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5"/>
        <w:jc w:val="right"/>
        <w:rPr>
          <w:rFonts w:ascii="仿宋_GB2312" w:eastAsia="仿宋_GB2312"/>
          <w:sz w:val="32"/>
          <w:szCs w:val="32"/>
        </w:rPr>
      </w:pPr>
      <w:bookmarkStart w:id="0" w:name="_GoBack"/>
      <w:bookmarkEnd w:id="0"/>
      <w:r>
        <w:rPr>
          <w:rFonts w:ascii="仿宋_GB2312" w:eastAsia="仿宋_GB2312"/>
          <w:sz w:val="32"/>
          <w:szCs w:val="32"/>
        </w:rPr>
        <w:t xml:space="preserve"> </w:t>
      </w:r>
    </w:p>
    <w:p>
      <w:pPr>
        <w:widowControl/>
        <w:spacing w:line="360" w:lineRule="auto"/>
        <w:jc w:val="left"/>
        <w:rPr>
          <w:rFonts w:ascii="黑体" w:hAnsi="黑体" w:eastAsia="黑体"/>
          <w:sz w:val="32"/>
          <w:szCs w:val="32"/>
        </w:rPr>
      </w:pPr>
      <w:r>
        <w:rPr>
          <w:rFonts w:hint="eastAsia" w:ascii="黑体" w:hAnsi="黑体" w:eastAsia="黑体"/>
          <w:sz w:val="32"/>
          <w:szCs w:val="32"/>
        </w:rPr>
        <w:t>附件</w:t>
      </w:r>
    </w:p>
    <w:p>
      <w:pPr>
        <w:jc w:val="center"/>
        <w:rPr>
          <w:rFonts w:ascii="黑体" w:hAnsi="黑体" w:eastAsia="黑体"/>
          <w:sz w:val="48"/>
          <w:szCs w:val="32"/>
        </w:rPr>
      </w:pPr>
      <w:r>
        <w:rPr>
          <w:rFonts w:hint="eastAsia" w:ascii="黑体" w:hAnsi="黑体" w:eastAsia="黑体"/>
          <w:sz w:val="48"/>
          <w:szCs w:val="32"/>
        </w:rPr>
        <w:t>中山市房建市政工程招标项目</w:t>
      </w:r>
    </w:p>
    <w:p>
      <w:pPr>
        <w:jc w:val="center"/>
        <w:rPr>
          <w:rFonts w:ascii="黑体" w:hAnsi="黑体" w:eastAsia="黑体"/>
          <w:sz w:val="48"/>
          <w:szCs w:val="32"/>
        </w:rPr>
      </w:pPr>
      <w:r>
        <w:rPr>
          <w:rFonts w:hint="eastAsia" w:ascii="黑体" w:hAnsi="黑体" w:eastAsia="黑体"/>
          <w:sz w:val="48"/>
          <w:szCs w:val="32"/>
        </w:rPr>
        <w:t>备案工作指引</w:t>
      </w:r>
    </w:p>
    <w:p>
      <w:pPr>
        <w:ind w:firstLine="645"/>
        <w:jc w:val="left"/>
        <w:rPr>
          <w:rFonts w:ascii="仿宋_GB2312" w:eastAsia="仿宋_GB2312"/>
          <w:sz w:val="32"/>
          <w:szCs w:val="32"/>
        </w:rPr>
      </w:pPr>
    </w:p>
    <w:p>
      <w:pPr>
        <w:ind w:firstLine="645"/>
        <w:jc w:val="left"/>
        <w:rPr>
          <w:rFonts w:ascii="仿宋_GB2312" w:eastAsia="仿宋_GB2312" w:cs="Times New Roman"/>
          <w:sz w:val="32"/>
          <w:szCs w:val="32"/>
        </w:rPr>
      </w:pPr>
      <w:r>
        <w:rPr>
          <w:rFonts w:hint="eastAsia" w:ascii="仿宋_GB2312" w:eastAsia="仿宋_GB2312"/>
          <w:sz w:val="32"/>
          <w:szCs w:val="32"/>
        </w:rPr>
        <w:t>为规范房建市政工程招投标备案工作，提高工作效率，根据广东省发展和改革委员会等六部门2</w:t>
      </w:r>
      <w:r>
        <w:rPr>
          <w:rFonts w:ascii="仿宋_GB2312" w:eastAsia="仿宋_GB2312"/>
          <w:sz w:val="32"/>
          <w:szCs w:val="32"/>
        </w:rPr>
        <w:t>019</w:t>
      </w:r>
      <w:r>
        <w:rPr>
          <w:rFonts w:hint="eastAsia" w:ascii="仿宋_GB2312" w:eastAsia="仿宋_GB2312"/>
          <w:sz w:val="32"/>
          <w:szCs w:val="32"/>
        </w:rPr>
        <w:t>年9月</w:t>
      </w:r>
      <w:r>
        <w:rPr>
          <w:rFonts w:ascii="仿宋_GB2312" w:eastAsia="仿宋_GB2312"/>
          <w:sz w:val="32"/>
          <w:szCs w:val="32"/>
        </w:rPr>
        <w:t>23</w:t>
      </w:r>
      <w:r>
        <w:rPr>
          <w:rFonts w:hint="eastAsia" w:ascii="仿宋_GB2312" w:eastAsia="仿宋_GB2312"/>
          <w:sz w:val="32"/>
          <w:szCs w:val="32"/>
        </w:rPr>
        <w:t>日联合印发的《广东省工程项目招投标领域营商环境专项整治工作方案》（粤发改法规函〔</w:t>
      </w:r>
      <w:r>
        <w:rPr>
          <w:rFonts w:ascii="仿宋_GB2312" w:eastAsia="仿宋_GB2312"/>
          <w:sz w:val="32"/>
          <w:szCs w:val="32"/>
        </w:rPr>
        <w:t>2019〕3299号）</w:t>
      </w:r>
      <w:r>
        <w:rPr>
          <w:rFonts w:hint="eastAsia" w:ascii="仿宋_GB2312" w:eastAsia="仿宋_GB2312" w:cs="Times New Roman"/>
          <w:sz w:val="32"/>
          <w:szCs w:val="32"/>
        </w:rPr>
        <w:t>有关要求，制定本工作指引。</w:t>
      </w:r>
    </w:p>
    <w:p>
      <w:pPr>
        <w:pStyle w:val="14"/>
        <w:numPr>
          <w:ilvl w:val="0"/>
          <w:numId w:val="1"/>
        </w:numPr>
        <w:ind w:firstLineChars="0"/>
        <w:jc w:val="left"/>
        <w:rPr>
          <w:rFonts w:hint="eastAsia" w:ascii="黑体" w:hAnsi="黑体" w:eastAsia="黑体" w:cs="黑体"/>
          <w:b w:val="0"/>
          <w:bCs/>
          <w:sz w:val="32"/>
          <w:szCs w:val="32"/>
        </w:rPr>
      </w:pPr>
      <w:r>
        <w:rPr>
          <w:rFonts w:hint="eastAsia" w:ascii="黑体" w:hAnsi="黑体" w:eastAsia="黑体" w:cs="黑体"/>
          <w:b w:val="0"/>
          <w:bCs/>
          <w:sz w:val="32"/>
          <w:szCs w:val="32"/>
        </w:rPr>
        <w:t>适用范围</w:t>
      </w:r>
    </w:p>
    <w:p>
      <w:pPr>
        <w:ind w:firstLine="645"/>
        <w:jc w:val="left"/>
        <w:rPr>
          <w:rFonts w:ascii="仿宋_GB2312" w:eastAsia="仿宋_GB2312"/>
          <w:sz w:val="32"/>
          <w:szCs w:val="32"/>
        </w:rPr>
      </w:pPr>
      <w:r>
        <w:rPr>
          <w:rFonts w:hint="eastAsia" w:ascii="仿宋_GB2312" w:eastAsia="仿宋_GB2312"/>
          <w:sz w:val="32"/>
          <w:szCs w:val="32"/>
        </w:rPr>
        <w:t>根据国家、省法律法规规定的，依法必须进行招标的房屋建筑和市政基础设施工程项目适用本指引。各级招标监督部门应该严格按照本指引开展工作。</w:t>
      </w:r>
    </w:p>
    <w:p>
      <w:pPr>
        <w:pStyle w:val="14"/>
        <w:numPr>
          <w:ilvl w:val="0"/>
          <w:numId w:val="1"/>
        </w:numPr>
        <w:ind w:firstLineChars="0"/>
        <w:jc w:val="left"/>
        <w:rPr>
          <w:rFonts w:hint="eastAsia" w:ascii="黑体" w:hAnsi="黑体" w:eastAsia="黑体"/>
          <w:b w:val="0"/>
          <w:bCs/>
          <w:sz w:val="32"/>
          <w:szCs w:val="32"/>
        </w:rPr>
      </w:pPr>
      <w:r>
        <w:rPr>
          <w:rFonts w:hint="eastAsia" w:ascii="黑体" w:hAnsi="黑体" w:eastAsia="黑体"/>
          <w:b w:val="0"/>
          <w:bCs/>
          <w:sz w:val="32"/>
          <w:szCs w:val="32"/>
        </w:rPr>
        <w:t>备案流程</w:t>
      </w:r>
    </w:p>
    <w:p>
      <w:pPr>
        <w:ind w:firstLine="645"/>
        <w:jc w:val="left"/>
        <w:rPr>
          <w:rFonts w:hint="eastAsia" w:ascii="楷体" w:hAnsi="楷体" w:eastAsia="楷体" w:cs="楷体"/>
          <w:b/>
          <w:sz w:val="32"/>
          <w:szCs w:val="32"/>
        </w:rPr>
      </w:pPr>
      <w:r>
        <w:rPr>
          <w:rFonts w:hint="eastAsia" w:ascii="楷体" w:hAnsi="楷体" w:eastAsia="楷体" w:cs="楷体"/>
          <w:b/>
          <w:sz w:val="32"/>
          <w:szCs w:val="32"/>
        </w:rPr>
        <w:t>（一）招标文件、招标公告环节</w:t>
      </w:r>
    </w:p>
    <w:p>
      <w:pPr>
        <w:ind w:firstLine="643"/>
        <w:jc w:val="left"/>
        <w:rPr>
          <w:rFonts w:ascii="仿宋_GB2312" w:eastAsia="仿宋_GB2312"/>
          <w:sz w:val="32"/>
          <w:szCs w:val="32"/>
        </w:rPr>
      </w:pPr>
      <w:r>
        <w:rPr>
          <w:rFonts w:hint="eastAsia" w:ascii="仿宋_GB2312" w:eastAsia="仿宋_GB2312"/>
          <w:b/>
          <w:sz w:val="32"/>
          <w:szCs w:val="32"/>
        </w:rPr>
        <w:t>1</w:t>
      </w:r>
      <w:r>
        <w:rPr>
          <w:rFonts w:ascii="仿宋_GB2312" w:eastAsia="仿宋_GB2312"/>
          <w:b/>
          <w:sz w:val="32"/>
          <w:szCs w:val="32"/>
        </w:rPr>
        <w:t>.</w:t>
      </w:r>
      <w:r>
        <w:rPr>
          <w:rFonts w:hint="eastAsia" w:ascii="仿宋_GB2312" w:eastAsia="仿宋_GB2312"/>
          <w:b/>
          <w:sz w:val="32"/>
          <w:szCs w:val="32"/>
        </w:rPr>
        <w:t>先公开后备案的招标项目：</w:t>
      </w:r>
      <w:r>
        <w:rPr>
          <w:rFonts w:hint="eastAsia" w:ascii="仿宋_GB2312" w:eastAsia="仿宋_GB2312"/>
          <w:sz w:val="32"/>
          <w:szCs w:val="32"/>
        </w:rPr>
        <w:t>招标监督部门在招标公告及招标文件发布之日起</w:t>
      </w:r>
      <w:r>
        <w:rPr>
          <w:rFonts w:hint="eastAsia" w:ascii="仿宋_GB2312" w:eastAsia="仿宋_GB2312"/>
          <w:sz w:val="32"/>
          <w:szCs w:val="32"/>
          <w:lang w:val="en-US" w:eastAsia="zh-CN"/>
        </w:rPr>
        <w:t>3</w:t>
      </w:r>
      <w:r>
        <w:rPr>
          <w:rFonts w:hint="eastAsia" w:ascii="仿宋_GB2312" w:eastAsia="仿宋_GB2312"/>
          <w:sz w:val="32"/>
          <w:szCs w:val="32"/>
        </w:rPr>
        <w:t>日内完成对事权监管范围内招标项目的招标文件备案检查工作，并通过交易系统反馈意见（无论有无意见均应填写）。</w:t>
      </w:r>
    </w:p>
    <w:p>
      <w:pPr>
        <w:ind w:firstLine="640" w:firstLineChars="200"/>
        <w:jc w:val="left"/>
        <w:rPr>
          <w:rFonts w:ascii="仿宋_GB2312" w:eastAsia="仿宋_GB2312"/>
          <w:sz w:val="32"/>
          <w:szCs w:val="32"/>
        </w:rPr>
      </w:pPr>
      <w:r>
        <w:rPr>
          <w:rFonts w:hint="eastAsia" w:ascii="仿宋_GB2312" w:eastAsia="仿宋_GB2312"/>
          <w:sz w:val="32"/>
          <w:szCs w:val="32"/>
        </w:rPr>
        <w:t>招标文件需在</w:t>
      </w:r>
      <w:r>
        <w:rPr>
          <w:rFonts w:hint="eastAsia" w:ascii="仿宋_GB2312" w:eastAsia="仿宋_GB2312"/>
          <w:sz w:val="32"/>
          <w:szCs w:val="32"/>
          <w:lang w:eastAsia="zh-CN"/>
        </w:rPr>
        <w:t>交易</w:t>
      </w:r>
      <w:r>
        <w:rPr>
          <w:rFonts w:hint="eastAsia" w:ascii="仿宋_GB2312" w:eastAsia="仿宋_GB2312"/>
          <w:sz w:val="32"/>
          <w:szCs w:val="32"/>
        </w:rPr>
        <w:t>系统</w:t>
      </w:r>
      <w:r>
        <w:rPr>
          <w:rFonts w:hint="eastAsia" w:ascii="仿宋_GB2312" w:eastAsia="仿宋_GB2312"/>
          <w:sz w:val="32"/>
          <w:szCs w:val="32"/>
          <w:lang w:eastAsia="zh-CN"/>
        </w:rPr>
        <w:t>招标文件</w:t>
      </w:r>
      <w:r>
        <w:rPr>
          <w:rFonts w:hint="eastAsia" w:ascii="仿宋_GB2312" w:eastAsia="仿宋_GB2312"/>
          <w:sz w:val="32"/>
          <w:szCs w:val="32"/>
        </w:rPr>
        <w:t>编辑模块中制作完成，如对招标文件范本进行增加、删除或修改的，应在招标文件“招标人对招标文件范本条款的修改”章节中明确。</w:t>
      </w:r>
    </w:p>
    <w:p>
      <w:pPr>
        <w:ind w:firstLine="643"/>
        <w:jc w:val="left"/>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 xml:space="preserve"> 先备案后公开的招标项目：</w:t>
      </w:r>
      <w:r>
        <w:rPr>
          <w:rFonts w:hint="eastAsia" w:ascii="仿宋_GB2312" w:eastAsia="仿宋_GB2312"/>
          <w:sz w:val="32"/>
          <w:szCs w:val="32"/>
        </w:rPr>
        <w:t>招标监督部门通过交易系统收到招标公告及招标文件之日起</w:t>
      </w:r>
      <w:r>
        <w:rPr>
          <w:rFonts w:hint="eastAsia" w:ascii="仿宋_GB2312" w:eastAsia="仿宋_GB2312"/>
          <w:sz w:val="32"/>
          <w:szCs w:val="32"/>
          <w:lang w:val="en-US" w:eastAsia="zh-CN"/>
        </w:rPr>
        <w:t>3</w:t>
      </w:r>
      <w:r>
        <w:rPr>
          <w:rFonts w:hint="eastAsia" w:ascii="仿宋_GB2312" w:eastAsia="仿宋_GB2312"/>
          <w:sz w:val="32"/>
          <w:szCs w:val="32"/>
        </w:rPr>
        <w:t>日内，完成对事权监管范围内招标项目的招标文件备案检查工作，并通过交易系统反馈意见（无论有无意见均应填写）。</w:t>
      </w:r>
    </w:p>
    <w:p>
      <w:pPr>
        <w:ind w:firstLine="643" w:firstLineChars="200"/>
        <w:jc w:val="left"/>
        <w:rPr>
          <w:rFonts w:hint="eastAsia" w:ascii="楷体" w:hAnsi="楷体" w:eastAsia="楷体" w:cs="楷体"/>
          <w:b/>
          <w:bCs w:val="0"/>
          <w:sz w:val="32"/>
          <w:szCs w:val="32"/>
        </w:rPr>
      </w:pPr>
      <w:r>
        <w:rPr>
          <w:rFonts w:hint="eastAsia" w:ascii="楷体" w:hAnsi="楷体" w:eastAsia="楷体" w:cs="楷体"/>
          <w:b/>
          <w:bCs w:val="0"/>
          <w:sz w:val="32"/>
          <w:szCs w:val="32"/>
        </w:rPr>
        <w:t>（二）</w:t>
      </w:r>
      <w:r>
        <w:rPr>
          <w:rFonts w:hint="eastAsia" w:ascii="楷体" w:hAnsi="楷体" w:eastAsia="楷体" w:cs="楷体"/>
          <w:b/>
          <w:bCs w:val="0"/>
          <w:sz w:val="32"/>
          <w:szCs w:val="32"/>
          <w:highlight w:val="none"/>
        </w:rPr>
        <w:t>澄清答疑</w:t>
      </w:r>
      <w:r>
        <w:rPr>
          <w:rFonts w:hint="eastAsia" w:ascii="楷体" w:hAnsi="楷体" w:eastAsia="楷体" w:cs="楷体"/>
          <w:b/>
          <w:bCs w:val="0"/>
          <w:sz w:val="32"/>
          <w:szCs w:val="32"/>
        </w:rPr>
        <w:t>、公告通知环节</w:t>
      </w:r>
    </w:p>
    <w:p>
      <w:pPr>
        <w:ind w:firstLine="643" w:firstLineChars="200"/>
        <w:jc w:val="left"/>
        <w:rPr>
          <w:rFonts w:ascii="仿宋_GB2312" w:eastAsia="仿宋_GB2312"/>
          <w:sz w:val="32"/>
          <w:szCs w:val="32"/>
        </w:rPr>
      </w:pPr>
      <w:r>
        <w:rPr>
          <w:rFonts w:hint="eastAsia" w:ascii="仿宋_GB2312" w:eastAsia="仿宋_GB2312"/>
          <w:b/>
          <w:sz w:val="32"/>
          <w:szCs w:val="32"/>
        </w:rPr>
        <w:t>1</w:t>
      </w:r>
      <w:r>
        <w:rPr>
          <w:rFonts w:ascii="仿宋_GB2312" w:eastAsia="仿宋_GB2312"/>
          <w:b/>
          <w:sz w:val="32"/>
          <w:szCs w:val="32"/>
        </w:rPr>
        <w:t>.</w:t>
      </w:r>
      <w:r>
        <w:rPr>
          <w:rFonts w:hint="eastAsia" w:ascii="仿宋_GB2312" w:eastAsia="仿宋_GB2312"/>
          <w:b/>
          <w:sz w:val="32"/>
          <w:szCs w:val="32"/>
        </w:rPr>
        <w:t>先公开后备案的招标工程项目：</w:t>
      </w:r>
      <w:r>
        <w:rPr>
          <w:rFonts w:hint="eastAsia" w:ascii="仿宋_GB2312" w:eastAsia="仿宋_GB2312"/>
          <w:sz w:val="32"/>
          <w:szCs w:val="32"/>
        </w:rPr>
        <w:t>招标监督部门在</w:t>
      </w:r>
      <w:r>
        <w:rPr>
          <w:rFonts w:hint="eastAsia" w:ascii="仿宋_GB2312" w:eastAsia="仿宋_GB2312"/>
          <w:sz w:val="32"/>
          <w:szCs w:val="32"/>
          <w:highlight w:val="none"/>
        </w:rPr>
        <w:t>答疑澄清</w:t>
      </w:r>
      <w:r>
        <w:rPr>
          <w:rFonts w:hint="eastAsia" w:ascii="仿宋_GB2312" w:eastAsia="仿宋_GB2312"/>
          <w:sz w:val="32"/>
          <w:szCs w:val="32"/>
        </w:rPr>
        <w:t>、公告通知发布之日起</w:t>
      </w:r>
      <w:r>
        <w:rPr>
          <w:rFonts w:hint="eastAsia" w:ascii="仿宋_GB2312" w:eastAsia="仿宋_GB2312"/>
          <w:sz w:val="32"/>
          <w:szCs w:val="32"/>
          <w:lang w:val="en-US" w:eastAsia="zh-CN"/>
        </w:rPr>
        <w:t>1</w:t>
      </w:r>
      <w:r>
        <w:rPr>
          <w:rFonts w:hint="eastAsia" w:ascii="仿宋_GB2312" w:eastAsia="仿宋_GB2312"/>
          <w:sz w:val="32"/>
          <w:szCs w:val="32"/>
        </w:rPr>
        <w:t>日内通过交易系统反馈检查意见（无论有无意见均应填写）。</w:t>
      </w:r>
    </w:p>
    <w:p>
      <w:pPr>
        <w:ind w:firstLine="640" w:firstLineChars="200"/>
        <w:jc w:val="left"/>
        <w:rPr>
          <w:rFonts w:ascii="仿宋_GB2312" w:eastAsia="仿宋_GB2312"/>
          <w:sz w:val="32"/>
          <w:szCs w:val="32"/>
        </w:rPr>
      </w:pPr>
      <w:r>
        <w:rPr>
          <w:rFonts w:hint="eastAsia" w:ascii="仿宋_GB2312" w:eastAsia="仿宋_GB2312"/>
          <w:sz w:val="32"/>
          <w:szCs w:val="32"/>
        </w:rPr>
        <w:t>招标人或招标代理须上传</w:t>
      </w:r>
      <w:r>
        <w:rPr>
          <w:rFonts w:hint="eastAsia" w:ascii="仿宋_GB2312" w:eastAsia="仿宋_GB2312"/>
          <w:sz w:val="32"/>
          <w:szCs w:val="32"/>
          <w:highlight w:val="none"/>
        </w:rPr>
        <w:t>答疑澄清</w:t>
      </w:r>
      <w:r>
        <w:rPr>
          <w:rFonts w:hint="eastAsia" w:ascii="仿宋_GB2312" w:eastAsia="仿宋_GB2312"/>
          <w:sz w:val="32"/>
          <w:szCs w:val="32"/>
        </w:rPr>
        <w:t>、公告通知的盖章扫描版方可对外发布。</w:t>
      </w:r>
    </w:p>
    <w:p>
      <w:pPr>
        <w:ind w:firstLine="640" w:firstLineChars="200"/>
        <w:jc w:val="left"/>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 xml:space="preserve"> 先备案后公开的招标工程项目：</w:t>
      </w:r>
      <w:r>
        <w:rPr>
          <w:rFonts w:hint="eastAsia" w:ascii="仿宋_GB2312" w:eastAsia="仿宋_GB2312"/>
          <w:sz w:val="32"/>
          <w:szCs w:val="32"/>
        </w:rPr>
        <w:t>招标人或招标代理应</w:t>
      </w:r>
      <w:r>
        <w:rPr>
          <w:rFonts w:hint="eastAsia" w:ascii="仿宋_GB2312" w:eastAsia="仿宋_GB2312"/>
          <w:sz w:val="32"/>
          <w:szCs w:val="32"/>
          <w:lang w:eastAsia="zh-CN"/>
        </w:rPr>
        <w:t>至少</w:t>
      </w:r>
      <w:r>
        <w:rPr>
          <w:rFonts w:hint="eastAsia" w:ascii="仿宋_GB2312" w:eastAsia="仿宋_GB2312"/>
          <w:sz w:val="32"/>
          <w:szCs w:val="32"/>
        </w:rPr>
        <w:t>在</w:t>
      </w:r>
      <w:r>
        <w:rPr>
          <w:rFonts w:hint="eastAsia" w:ascii="仿宋_GB2312" w:eastAsia="仿宋_GB2312"/>
          <w:sz w:val="32"/>
          <w:szCs w:val="32"/>
          <w:highlight w:val="none"/>
        </w:rPr>
        <w:t>答疑澄清</w:t>
      </w:r>
      <w:r>
        <w:rPr>
          <w:rFonts w:hint="eastAsia" w:ascii="仿宋_GB2312" w:eastAsia="仿宋_GB2312"/>
          <w:sz w:val="32"/>
          <w:szCs w:val="32"/>
        </w:rPr>
        <w:t>截止时间前一天通过交易系统将</w:t>
      </w:r>
      <w:r>
        <w:rPr>
          <w:rFonts w:hint="eastAsia" w:ascii="仿宋_GB2312" w:eastAsia="仿宋_GB2312"/>
          <w:sz w:val="32"/>
          <w:szCs w:val="32"/>
          <w:highlight w:val="none"/>
        </w:rPr>
        <w:t>答疑澄清</w:t>
      </w:r>
      <w:r>
        <w:rPr>
          <w:rFonts w:hint="eastAsia" w:ascii="仿宋_GB2312" w:eastAsia="仿宋_GB2312"/>
          <w:sz w:val="32"/>
          <w:szCs w:val="32"/>
        </w:rPr>
        <w:t>、公告通知推送至招标监督部门，并上传澄清答疑、公告通知的盖章扫描版。招标监督部门在收到</w:t>
      </w:r>
      <w:r>
        <w:rPr>
          <w:rFonts w:hint="eastAsia" w:ascii="仿宋_GB2312" w:eastAsia="仿宋_GB2312"/>
          <w:sz w:val="32"/>
          <w:szCs w:val="32"/>
          <w:highlight w:val="none"/>
        </w:rPr>
        <w:t>答疑澄清</w:t>
      </w:r>
      <w:r>
        <w:rPr>
          <w:rFonts w:hint="eastAsia" w:ascii="仿宋_GB2312" w:eastAsia="仿宋_GB2312"/>
          <w:sz w:val="32"/>
          <w:szCs w:val="32"/>
        </w:rPr>
        <w:t>、公告通知起</w:t>
      </w:r>
      <w:r>
        <w:rPr>
          <w:rFonts w:hint="eastAsia" w:ascii="仿宋_GB2312" w:eastAsia="仿宋_GB2312"/>
          <w:sz w:val="32"/>
          <w:szCs w:val="32"/>
          <w:lang w:val="en-US" w:eastAsia="zh-CN"/>
        </w:rPr>
        <w:t>1</w:t>
      </w:r>
      <w:r>
        <w:rPr>
          <w:rFonts w:hint="eastAsia" w:ascii="仿宋_GB2312" w:eastAsia="仿宋_GB2312"/>
          <w:sz w:val="32"/>
          <w:szCs w:val="32"/>
        </w:rPr>
        <w:t>日内通过交易系统反馈意见（无论有无意见均应填写）。</w:t>
      </w:r>
    </w:p>
    <w:p>
      <w:pPr>
        <w:ind w:firstLine="640" w:firstLineChars="200"/>
        <w:jc w:val="left"/>
        <w:rPr>
          <w:rFonts w:ascii="仿宋_GB2312" w:eastAsia="仿宋_GB2312"/>
          <w:sz w:val="32"/>
          <w:szCs w:val="32"/>
        </w:rPr>
      </w:pPr>
      <w:r>
        <w:rPr>
          <w:rFonts w:hint="eastAsia" w:ascii="仿宋_GB2312" w:eastAsia="仿宋_GB2312"/>
          <w:sz w:val="32"/>
          <w:szCs w:val="32"/>
        </w:rPr>
        <w:t>因招标人逾期推送</w:t>
      </w:r>
      <w:r>
        <w:rPr>
          <w:rFonts w:hint="eastAsia" w:ascii="仿宋_GB2312" w:eastAsia="仿宋_GB2312"/>
          <w:sz w:val="32"/>
          <w:szCs w:val="32"/>
          <w:highlight w:val="none"/>
        </w:rPr>
        <w:t>答疑澄清</w:t>
      </w:r>
      <w:r>
        <w:rPr>
          <w:rFonts w:hint="eastAsia" w:ascii="仿宋_GB2312" w:eastAsia="仿宋_GB2312"/>
          <w:sz w:val="32"/>
          <w:szCs w:val="32"/>
        </w:rPr>
        <w:t>、公告通知造成的不良后果由招标人自行承担。</w:t>
      </w:r>
    </w:p>
    <w:p>
      <w:pPr>
        <w:ind w:firstLine="643" w:firstLineChars="200"/>
        <w:jc w:val="left"/>
        <w:rPr>
          <w:rFonts w:hint="eastAsia" w:ascii="楷体" w:hAnsi="楷体" w:eastAsia="楷体" w:cs="楷体"/>
          <w:b/>
          <w:sz w:val="32"/>
          <w:szCs w:val="32"/>
        </w:rPr>
      </w:pPr>
      <w:r>
        <w:rPr>
          <w:rFonts w:hint="eastAsia" w:ascii="楷体" w:hAnsi="楷体" w:eastAsia="楷体" w:cs="楷体"/>
          <w:b/>
          <w:sz w:val="32"/>
          <w:szCs w:val="32"/>
        </w:rPr>
        <w:t>（三）中标通知书环节</w:t>
      </w:r>
    </w:p>
    <w:p>
      <w:pPr>
        <w:ind w:firstLine="640" w:firstLineChars="200"/>
        <w:jc w:val="left"/>
        <w:rPr>
          <w:rFonts w:ascii="仿宋_GB2312" w:eastAsia="仿宋_GB2312"/>
          <w:sz w:val="32"/>
          <w:szCs w:val="32"/>
        </w:rPr>
      </w:pPr>
      <w:r>
        <w:rPr>
          <w:rFonts w:hint="eastAsia" w:ascii="仿宋_GB2312" w:eastAsia="仿宋_GB2312"/>
          <w:sz w:val="32"/>
          <w:szCs w:val="32"/>
        </w:rPr>
        <w:t>招标项目完成中标候选人公示，且无异议、投诉或已完成异议、投诉处理的，招标人或招标代理可通过交易系统设置中标通知书、同步提交《异议情况说明》，推送至招标监督部门，招标监督部门在两日内完成确认工作。</w:t>
      </w:r>
    </w:p>
    <w:p>
      <w:pPr>
        <w:ind w:firstLine="643" w:firstLineChars="200"/>
        <w:jc w:val="left"/>
        <w:rPr>
          <w:rFonts w:hint="eastAsia" w:ascii="楷体" w:hAnsi="楷体" w:eastAsia="楷体" w:cs="楷体"/>
          <w:b/>
          <w:sz w:val="32"/>
          <w:szCs w:val="32"/>
        </w:rPr>
      </w:pPr>
      <w:r>
        <w:rPr>
          <w:rFonts w:hint="eastAsia" w:ascii="楷体" w:hAnsi="楷体" w:eastAsia="楷体" w:cs="楷体"/>
          <w:b/>
          <w:sz w:val="32"/>
          <w:szCs w:val="32"/>
        </w:rPr>
        <w:t>（四）招标投标情况书面报告环节</w:t>
      </w:r>
    </w:p>
    <w:p>
      <w:pPr>
        <w:ind w:firstLine="640" w:firstLineChars="200"/>
        <w:jc w:val="left"/>
        <w:rPr>
          <w:rFonts w:ascii="仿宋_GB2312" w:eastAsia="仿宋_GB2312"/>
          <w:b/>
          <w:sz w:val="32"/>
          <w:szCs w:val="32"/>
        </w:rPr>
      </w:pPr>
      <w:r>
        <w:rPr>
          <w:rFonts w:hint="eastAsia" w:ascii="仿宋_GB2312" w:eastAsia="仿宋_GB2312"/>
          <w:sz w:val="32"/>
          <w:szCs w:val="32"/>
        </w:rPr>
        <w:t>招标监督部门在收到《中山市房建市政工程招标投标情况报告书》及符合资料清单要求的招标资料、评标资料、投标资料等纸质原件后，在两日内反馈意见。</w:t>
      </w:r>
    </w:p>
    <w:p>
      <w:pPr>
        <w:ind w:firstLine="643" w:firstLineChars="200"/>
        <w:jc w:val="left"/>
        <w:rPr>
          <w:rFonts w:ascii="仿宋_GB2312" w:eastAsia="仿宋_GB2312"/>
          <w:b/>
          <w:sz w:val="32"/>
          <w:szCs w:val="32"/>
        </w:rPr>
      </w:pPr>
      <w:r>
        <w:rPr>
          <w:rFonts w:hint="eastAsia" w:ascii="楷体" w:hAnsi="楷体" w:eastAsia="楷体" w:cs="楷体"/>
          <w:b/>
          <w:sz w:val="32"/>
          <w:szCs w:val="32"/>
        </w:rPr>
        <w:t>（五）注意事项</w:t>
      </w:r>
    </w:p>
    <w:p>
      <w:pPr>
        <w:ind w:firstLine="640" w:firstLineChars="200"/>
        <w:jc w:val="left"/>
        <w:rPr>
          <w:rFonts w:ascii="仿宋_GB2312" w:eastAsia="仿宋_GB2312"/>
          <w:sz w:val="32"/>
          <w:szCs w:val="32"/>
        </w:rPr>
      </w:pPr>
      <w:r>
        <w:rPr>
          <w:rFonts w:hint="eastAsia" w:ascii="仿宋_GB2312" w:eastAsia="仿宋_GB2312"/>
          <w:sz w:val="32"/>
          <w:szCs w:val="32"/>
        </w:rPr>
        <w:t>招标人</w:t>
      </w:r>
      <w:r>
        <w:rPr>
          <w:rFonts w:hint="eastAsia" w:ascii="仿宋_GB2312" w:eastAsia="仿宋_GB2312"/>
          <w:sz w:val="32"/>
          <w:szCs w:val="32"/>
          <w:lang w:val="en-US" w:eastAsia="zh-CN"/>
        </w:rPr>
        <w:t>或</w:t>
      </w:r>
      <w:r>
        <w:rPr>
          <w:rFonts w:hint="eastAsia" w:ascii="仿宋_GB2312" w:eastAsia="仿宋_GB2312"/>
          <w:sz w:val="32"/>
          <w:szCs w:val="32"/>
        </w:rPr>
        <w:t>招标代理应根据相关法律法规及相关规定，自行检查招标监督部门选择情况（由于招投标和监督流程不可逆，选择错误可能导致重新招标）和法定条件齐备情况。</w:t>
      </w:r>
    </w:p>
    <w:p>
      <w:pPr>
        <w:ind w:firstLine="640" w:firstLineChars="200"/>
        <w:jc w:val="left"/>
        <w:rPr>
          <w:rFonts w:ascii="仿宋_GB2312" w:eastAsia="仿宋_GB2312"/>
          <w:sz w:val="32"/>
          <w:szCs w:val="32"/>
        </w:rPr>
      </w:pPr>
      <w:r>
        <w:rPr>
          <w:rFonts w:hint="eastAsia" w:ascii="仿宋_GB2312" w:eastAsia="仿宋_GB2312"/>
          <w:sz w:val="32"/>
          <w:szCs w:val="32"/>
        </w:rPr>
        <w:t>项目招标文件、招标公告、</w:t>
      </w:r>
      <w:r>
        <w:rPr>
          <w:rFonts w:hint="eastAsia" w:ascii="仿宋_GB2312" w:eastAsia="仿宋_GB2312"/>
          <w:sz w:val="32"/>
          <w:szCs w:val="32"/>
          <w:highlight w:val="none"/>
        </w:rPr>
        <w:t>答疑澄清</w:t>
      </w:r>
      <w:r>
        <w:rPr>
          <w:rFonts w:hint="eastAsia" w:ascii="仿宋_GB2312" w:eastAsia="仿宋_GB2312"/>
          <w:sz w:val="32"/>
          <w:szCs w:val="32"/>
        </w:rPr>
        <w:t>等存在违法违规情形的，招标监督部门应在检查意见中明确说明。其中，不涉及关键性内容调整的，招标人可自行决定调整招标文件或终止招标，关键性内容包括但不限于招标范围、项目概况、投标人资质、招标金额、项目管理人员资格等事项。</w:t>
      </w:r>
    </w:p>
    <w:p>
      <w:pPr>
        <w:ind w:firstLine="643" w:firstLineChars="200"/>
        <w:jc w:val="left"/>
        <w:rPr>
          <w:rFonts w:ascii="仿宋_GB2312" w:eastAsia="仿宋_GB2312"/>
          <w:b/>
          <w:sz w:val="32"/>
          <w:szCs w:val="32"/>
        </w:rPr>
      </w:pPr>
      <w:r>
        <w:rPr>
          <w:rFonts w:hint="eastAsia" w:ascii="仿宋_GB2312" w:eastAsia="仿宋_GB2312"/>
          <w:b/>
          <w:sz w:val="32"/>
          <w:szCs w:val="32"/>
        </w:rPr>
        <w:t>招标人在收到检查意见后</w:t>
      </w:r>
      <w:r>
        <w:rPr>
          <w:rFonts w:hint="eastAsia" w:ascii="仿宋_GB2312" w:eastAsia="仿宋_GB2312"/>
          <w:b/>
          <w:sz w:val="32"/>
          <w:szCs w:val="32"/>
          <w:lang w:val="en-US" w:eastAsia="zh-CN"/>
        </w:rPr>
        <w:t>3</w:t>
      </w:r>
      <w:r>
        <w:rPr>
          <w:rFonts w:hint="eastAsia" w:ascii="仿宋_GB2312" w:eastAsia="仿宋_GB2312"/>
          <w:b/>
          <w:sz w:val="32"/>
          <w:szCs w:val="32"/>
        </w:rPr>
        <w:t>日内</w:t>
      </w:r>
      <w:r>
        <w:rPr>
          <w:rFonts w:hint="eastAsia" w:ascii="仿宋_GB2312" w:eastAsia="仿宋_GB2312"/>
          <w:b/>
          <w:sz w:val="32"/>
          <w:szCs w:val="32"/>
          <w:lang w:eastAsia="zh-CN"/>
        </w:rPr>
        <w:t>对需要调整的事项</w:t>
      </w:r>
      <w:r>
        <w:rPr>
          <w:rFonts w:hint="eastAsia" w:ascii="仿宋_GB2312" w:eastAsia="仿宋_GB2312"/>
          <w:b/>
          <w:sz w:val="32"/>
          <w:szCs w:val="32"/>
        </w:rPr>
        <w:t>不进行反馈</w:t>
      </w:r>
      <w:r>
        <w:rPr>
          <w:rFonts w:hint="eastAsia" w:ascii="仿宋_GB2312" w:eastAsia="仿宋_GB2312"/>
          <w:b/>
          <w:sz w:val="32"/>
          <w:szCs w:val="32"/>
          <w:lang w:eastAsia="zh-CN"/>
        </w:rPr>
        <w:t>或调整</w:t>
      </w:r>
      <w:r>
        <w:rPr>
          <w:rFonts w:hint="eastAsia" w:ascii="仿宋_GB2312" w:eastAsia="仿宋_GB2312"/>
          <w:b/>
          <w:sz w:val="32"/>
          <w:szCs w:val="32"/>
        </w:rPr>
        <w:t>甚至造成其他不良后果的，招标监督部门将通过约谈、通报或行政处罚手段进行处理。</w:t>
      </w:r>
    </w:p>
    <w:p>
      <w:pPr>
        <w:pStyle w:val="14"/>
        <w:numPr>
          <w:ilvl w:val="0"/>
          <w:numId w:val="1"/>
        </w:numPr>
        <w:ind w:firstLineChars="0"/>
        <w:jc w:val="left"/>
        <w:rPr>
          <w:rFonts w:hint="eastAsia" w:ascii="黑体" w:hAnsi="黑体" w:eastAsia="黑体"/>
          <w:b w:val="0"/>
          <w:bCs/>
          <w:sz w:val="32"/>
          <w:szCs w:val="32"/>
        </w:rPr>
      </w:pPr>
      <w:r>
        <w:rPr>
          <w:rFonts w:hint="eastAsia" w:ascii="黑体" w:hAnsi="黑体" w:eastAsia="黑体"/>
          <w:b w:val="0"/>
          <w:bCs/>
          <w:sz w:val="32"/>
          <w:szCs w:val="32"/>
        </w:rPr>
        <w:t>招标监督部门检查范围</w:t>
      </w:r>
    </w:p>
    <w:p>
      <w:pPr>
        <w:pStyle w:val="14"/>
        <w:ind w:firstLine="640"/>
        <w:rPr>
          <w:rFonts w:ascii="仿宋_GB2312" w:eastAsia="仿宋_GB2312"/>
          <w:sz w:val="32"/>
          <w:szCs w:val="32"/>
        </w:rPr>
      </w:pPr>
      <w:r>
        <w:rPr>
          <w:rFonts w:hint="eastAsia" w:ascii="仿宋_GB2312" w:eastAsia="仿宋_GB2312"/>
          <w:sz w:val="32"/>
          <w:szCs w:val="32"/>
        </w:rPr>
        <w:t>招标监督部门应按照本指引开展工作，通过交易系统在各阶段对招标文件、招标公告、</w:t>
      </w:r>
      <w:r>
        <w:rPr>
          <w:rFonts w:hint="eastAsia" w:ascii="仿宋_GB2312" w:eastAsia="仿宋_GB2312"/>
          <w:sz w:val="32"/>
          <w:szCs w:val="32"/>
          <w:highlight w:val="none"/>
        </w:rPr>
        <w:t>答疑澄清</w:t>
      </w:r>
      <w:r>
        <w:rPr>
          <w:rFonts w:hint="eastAsia" w:ascii="仿宋_GB2312" w:eastAsia="仿宋_GB2312"/>
          <w:sz w:val="32"/>
          <w:szCs w:val="32"/>
        </w:rPr>
        <w:t>等进行合法合规情况检查，检查内容包括但不限于以下事项：</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楷体" w:hAnsi="楷体" w:eastAsia="楷体" w:cs="楷体"/>
          <w:b/>
          <w:bCs/>
          <w:sz w:val="32"/>
          <w:szCs w:val="32"/>
        </w:rPr>
        <w:t xml:space="preserve"> （一）满足招标的前提条件</w:t>
      </w:r>
    </w:p>
    <w:p>
      <w:pPr>
        <w:ind w:firstLine="645"/>
        <w:rPr>
          <w:rFonts w:ascii="仿宋_GB2312" w:eastAsia="仿宋_GB2312"/>
          <w:sz w:val="32"/>
          <w:szCs w:val="32"/>
        </w:rPr>
      </w:pPr>
      <w:r>
        <w:rPr>
          <w:rFonts w:hint="eastAsia" w:ascii="仿宋_GB2312" w:eastAsia="仿宋_GB2312"/>
          <w:sz w:val="32"/>
          <w:szCs w:val="32"/>
        </w:rPr>
        <w:t>依据国家发改委《必须招标的工程项目规定》《必须招标的基础设施和公用事业项目范围规定》，</w:t>
      </w:r>
      <w:r>
        <w:rPr>
          <w:rFonts w:ascii="仿宋_GB2312" w:eastAsia="仿宋_GB2312"/>
          <w:sz w:val="32"/>
          <w:szCs w:val="32"/>
        </w:rPr>
        <w:t>属于依法必须进行招标的项目</w:t>
      </w:r>
      <w:r>
        <w:rPr>
          <w:rFonts w:hint="eastAsia" w:ascii="仿宋_GB2312" w:eastAsia="仿宋_GB2312"/>
          <w:sz w:val="32"/>
          <w:szCs w:val="32"/>
        </w:rPr>
        <w:t>，且有相关的文件资料辅助证明（如</w:t>
      </w:r>
      <w:r>
        <w:rPr>
          <w:rFonts w:hint="eastAsia" w:ascii="仿宋_GB2312" w:eastAsia="仿宋_GB2312"/>
          <w:sz w:val="32"/>
          <w:szCs w:val="32"/>
          <w:lang w:eastAsia="zh-CN"/>
        </w:rPr>
        <w:t>市</w:t>
      </w:r>
      <w:r>
        <w:rPr>
          <w:rFonts w:hint="eastAsia" w:ascii="仿宋_GB2312" w:eastAsia="仿宋_GB2312"/>
          <w:sz w:val="32"/>
          <w:szCs w:val="32"/>
        </w:rPr>
        <w:t>发改局出具的审核意见、盖有招标人公章的《申请招标方式及招标组织形式表格》等）。</w:t>
      </w:r>
    </w:p>
    <w:p>
      <w:pPr>
        <w:ind w:firstLine="645"/>
        <w:rPr>
          <w:rFonts w:ascii="仿宋_GB2312" w:eastAsia="仿宋_GB2312"/>
          <w:sz w:val="32"/>
          <w:szCs w:val="32"/>
        </w:rPr>
      </w:pPr>
      <w:r>
        <w:rPr>
          <w:rFonts w:hint="eastAsia" w:ascii="仿宋_GB2312" w:eastAsia="仿宋_GB2312"/>
          <w:sz w:val="32"/>
          <w:szCs w:val="32"/>
        </w:rPr>
        <w:t>满足法律法规规定的招标条件，并按照办事指南提供齐全的招标资料。所提供资料中的项目名称、招标规模、招标人等应前后一致，如不一致，应附上相应的证明材料。</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（二）投标资格条件</w:t>
      </w:r>
    </w:p>
    <w:p>
      <w:pPr>
        <w:ind w:firstLine="640" w:firstLineChars="200"/>
        <w:rPr>
          <w:rFonts w:ascii="仿宋_GB2312" w:eastAsia="仿宋_GB2312"/>
          <w:sz w:val="32"/>
          <w:szCs w:val="32"/>
        </w:rPr>
      </w:pPr>
      <w:r>
        <w:rPr>
          <w:rFonts w:hint="eastAsia" w:ascii="仿宋_GB2312" w:eastAsia="仿宋_GB2312"/>
          <w:sz w:val="32"/>
          <w:szCs w:val="32"/>
        </w:rPr>
        <w:t>招标文件应尽量详尽列明招标规模及招标内容以明确投标资格条件。根据《建筑业企业资质标准》《工程设计资质标准》《工程勘察资质标准》《工程监理企业资质管理规定》等有关资质管理文件，设置投标资格条件，不得低于或高于法定资格条件。</w:t>
      </w:r>
      <w:r>
        <w:rPr>
          <w:rFonts w:hint="eastAsia" w:ascii="仿宋_GB2312" w:eastAsia="仿宋_GB2312"/>
          <w:b/>
          <w:sz w:val="32"/>
          <w:szCs w:val="32"/>
        </w:rPr>
        <w:t>如因招标范围内容不清晰，无法判定所适用的资质的，将作终止招标处理，后果由招标人自行承担。</w:t>
      </w:r>
    </w:p>
    <w:p>
      <w:pPr>
        <w:ind w:firstLine="640" w:firstLineChars="200"/>
        <w:rPr>
          <w:rFonts w:ascii="仿宋_GB2312" w:eastAsia="仿宋_GB2312"/>
          <w:sz w:val="32"/>
          <w:szCs w:val="32"/>
        </w:rPr>
      </w:pPr>
      <w:r>
        <w:rPr>
          <w:rFonts w:hint="eastAsia" w:ascii="仿宋_GB2312" w:eastAsia="仿宋_GB2312"/>
          <w:sz w:val="32"/>
          <w:szCs w:val="32"/>
        </w:rPr>
        <w:t>依据国家、省、市有关注册建造师、注册建筑师、勘察项目负责人等有关规定设置项目负责人、技术负责人、八大员等项目管理人员的要求。</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（三）招标时限</w:t>
      </w:r>
    </w:p>
    <w:p>
      <w:pPr>
        <w:ind w:firstLine="640" w:firstLineChars="200"/>
        <w:rPr>
          <w:rFonts w:ascii="仿宋_GB2312" w:eastAsia="仿宋_GB2312"/>
          <w:sz w:val="32"/>
          <w:szCs w:val="32"/>
        </w:rPr>
      </w:pPr>
      <w:r>
        <w:rPr>
          <w:rFonts w:hint="eastAsia" w:ascii="仿宋_GB2312" w:eastAsia="仿宋_GB2312"/>
          <w:sz w:val="32"/>
          <w:szCs w:val="32"/>
        </w:rPr>
        <w:t>各招标环节时限应符合当前国家、省、市有关法律法规、政策性文件的规定。如《中华人民共和国招标投标法》第二十三、二十四条；《中华人民共和国招标投标法实施条例》第十六、十七、二十一条。</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（四）商务标评标标准设定</w:t>
      </w:r>
    </w:p>
    <w:p>
      <w:pPr>
        <w:ind w:firstLine="640" w:firstLineChars="200"/>
        <w:rPr>
          <w:rFonts w:ascii="仿宋_GB2312" w:eastAsia="仿宋_GB2312"/>
          <w:sz w:val="32"/>
          <w:szCs w:val="32"/>
        </w:rPr>
      </w:pPr>
      <w:r>
        <w:rPr>
          <w:rFonts w:hint="eastAsia" w:ascii="仿宋_GB2312" w:eastAsia="仿宋_GB2312"/>
          <w:sz w:val="32"/>
          <w:szCs w:val="32"/>
        </w:rPr>
        <w:t>商务标评标标准不能违反国家、省、市禁止性规定，应根据项目特点设置合理、合法的评标标准。</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（五）招标金额</w:t>
      </w:r>
    </w:p>
    <w:p>
      <w:pPr>
        <w:ind w:firstLine="640" w:firstLineChars="200"/>
        <w:rPr>
          <w:rFonts w:ascii="仿宋_GB2312" w:eastAsia="仿宋_GB2312"/>
          <w:sz w:val="32"/>
          <w:szCs w:val="32"/>
        </w:rPr>
      </w:pPr>
      <w:r>
        <w:rPr>
          <w:rFonts w:hint="eastAsia" w:ascii="仿宋_GB2312" w:eastAsia="仿宋_GB2312"/>
          <w:sz w:val="32"/>
          <w:szCs w:val="32"/>
        </w:rPr>
        <w:t>招标金额的设定应在估算（或概算或预算）的基础上依法下浮设定。其中，施工招标项目的金额应按照《中山市住房和城乡建设局关于公布政府投资建筑、市政建设工程项目施工招标投标报价上限值及警戒值有关修改内容的通知》（中建通〔2</w:t>
      </w:r>
      <w:r>
        <w:rPr>
          <w:rFonts w:ascii="仿宋_GB2312" w:eastAsia="仿宋_GB2312"/>
          <w:sz w:val="32"/>
          <w:szCs w:val="32"/>
        </w:rPr>
        <w:t>013</w:t>
      </w:r>
      <w:r>
        <w:rPr>
          <w:rFonts w:hint="eastAsia" w:ascii="仿宋_GB2312" w:eastAsia="仿宋_GB2312"/>
          <w:sz w:val="32"/>
          <w:szCs w:val="32"/>
        </w:rPr>
        <w:t>〕1</w:t>
      </w:r>
      <w:r>
        <w:rPr>
          <w:rFonts w:ascii="仿宋_GB2312" w:eastAsia="仿宋_GB2312"/>
          <w:sz w:val="32"/>
          <w:szCs w:val="32"/>
        </w:rPr>
        <w:t>70</w:t>
      </w:r>
      <w:r>
        <w:rPr>
          <w:rFonts w:hint="eastAsia" w:ascii="仿宋_GB2312" w:eastAsia="仿宋_GB2312"/>
          <w:sz w:val="32"/>
          <w:szCs w:val="32"/>
        </w:rPr>
        <w:t>号）确定上限值和警戒值。镇区招标项目的招标金额不在规定区间内的，应附有加盖镇（区）政府公章的相关文件。</w:t>
      </w:r>
    </w:p>
    <w:p>
      <w:pPr>
        <w:ind w:firstLine="643" w:firstLineChars="200"/>
        <w:rPr>
          <w:rFonts w:ascii="仿宋_GB2312" w:eastAsia="仿宋_GB2312"/>
          <w:sz w:val="32"/>
          <w:szCs w:val="32"/>
        </w:rPr>
      </w:pPr>
      <w:r>
        <w:rPr>
          <w:rFonts w:hint="eastAsia" w:ascii="楷体" w:hAnsi="楷体" w:eastAsia="楷体" w:cs="楷体"/>
          <w:b/>
          <w:bCs/>
          <w:sz w:val="32"/>
          <w:szCs w:val="32"/>
        </w:rPr>
        <w:t>（六）其他</w:t>
      </w:r>
    </w:p>
    <w:p>
      <w:pPr>
        <w:widowControl/>
        <w:ind w:firstLine="640" w:firstLineChars="200"/>
        <w:jc w:val="left"/>
        <w:rPr>
          <w:rFonts w:ascii="仿宋_GB2312" w:eastAsia="仿宋_GB2312"/>
          <w:sz w:val="32"/>
          <w:szCs w:val="32"/>
        </w:rPr>
      </w:pPr>
      <w:r>
        <w:rPr>
          <w:rFonts w:hint="eastAsia" w:ascii="仿宋_GB2312" w:eastAsia="仿宋_GB2312"/>
          <w:sz w:val="32"/>
          <w:szCs w:val="32"/>
        </w:rPr>
        <w:t>招标文件中在范本范围外增添的条款须有相应的法律依据，不得设置不合法不合理的门槛来排斥潜在投标人。</w:t>
      </w:r>
    </w:p>
    <w:p>
      <w:pPr>
        <w:widowControl/>
        <w:jc w:val="left"/>
        <w:rPr>
          <w:rFonts w:ascii="宋体" w:hAnsi="宋体" w:eastAsia="宋体"/>
          <w:b/>
          <w:sz w:val="28"/>
          <w:szCs w:val="32"/>
          <w:u w:val="single"/>
        </w:rPr>
      </w:pPr>
    </w:p>
    <w:sectPr>
      <w:footerReference r:id="rId3" w:type="default"/>
      <w:pgSz w:w="11906" w:h="16838"/>
      <w:pgMar w:top="1276" w:right="1416" w:bottom="1135"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创艺简标宋">
    <w:altName w:val="方正舒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E4E5B"/>
    <w:multiLevelType w:val="multilevel"/>
    <w:tmpl w:val="630E4E5B"/>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2F3223"/>
    <w:rsid w:val="00002BA7"/>
    <w:rsid w:val="0000633E"/>
    <w:rsid w:val="00024284"/>
    <w:rsid w:val="000375F9"/>
    <w:rsid w:val="00052F4D"/>
    <w:rsid w:val="00061A93"/>
    <w:rsid w:val="000809B7"/>
    <w:rsid w:val="000C6503"/>
    <w:rsid w:val="000D634C"/>
    <w:rsid w:val="000E1330"/>
    <w:rsid w:val="000E2094"/>
    <w:rsid w:val="00104F8F"/>
    <w:rsid w:val="00105272"/>
    <w:rsid w:val="00107E6A"/>
    <w:rsid w:val="00110A46"/>
    <w:rsid w:val="00113C80"/>
    <w:rsid w:val="001140D2"/>
    <w:rsid w:val="00131463"/>
    <w:rsid w:val="0013464B"/>
    <w:rsid w:val="001447E3"/>
    <w:rsid w:val="001554CC"/>
    <w:rsid w:val="00165AA4"/>
    <w:rsid w:val="00183024"/>
    <w:rsid w:val="001B6F5C"/>
    <w:rsid w:val="001C52EB"/>
    <w:rsid w:val="002033A8"/>
    <w:rsid w:val="00203CE7"/>
    <w:rsid w:val="0021056F"/>
    <w:rsid w:val="00210C85"/>
    <w:rsid w:val="002241A3"/>
    <w:rsid w:val="002360B3"/>
    <w:rsid w:val="00257920"/>
    <w:rsid w:val="00257E2A"/>
    <w:rsid w:val="002C04DB"/>
    <w:rsid w:val="002C34CE"/>
    <w:rsid w:val="002D1111"/>
    <w:rsid w:val="002D19BD"/>
    <w:rsid w:val="002D24F5"/>
    <w:rsid w:val="002D24F7"/>
    <w:rsid w:val="002E7DFB"/>
    <w:rsid w:val="002F3223"/>
    <w:rsid w:val="00327388"/>
    <w:rsid w:val="00354F26"/>
    <w:rsid w:val="00355A93"/>
    <w:rsid w:val="00361E1F"/>
    <w:rsid w:val="00363CAE"/>
    <w:rsid w:val="00376E9A"/>
    <w:rsid w:val="003A2466"/>
    <w:rsid w:val="003A5CAE"/>
    <w:rsid w:val="003B0B9A"/>
    <w:rsid w:val="003E2B49"/>
    <w:rsid w:val="00402855"/>
    <w:rsid w:val="00404904"/>
    <w:rsid w:val="004411C3"/>
    <w:rsid w:val="00442748"/>
    <w:rsid w:val="00451337"/>
    <w:rsid w:val="004534A6"/>
    <w:rsid w:val="0045753D"/>
    <w:rsid w:val="00461136"/>
    <w:rsid w:val="00462CCC"/>
    <w:rsid w:val="00480EE9"/>
    <w:rsid w:val="004A1AC7"/>
    <w:rsid w:val="004A24C2"/>
    <w:rsid w:val="004C4E63"/>
    <w:rsid w:val="004D09FE"/>
    <w:rsid w:val="004D2496"/>
    <w:rsid w:val="004D58F7"/>
    <w:rsid w:val="004D71CB"/>
    <w:rsid w:val="00512371"/>
    <w:rsid w:val="00516F7F"/>
    <w:rsid w:val="00516FC4"/>
    <w:rsid w:val="00521A04"/>
    <w:rsid w:val="0052207C"/>
    <w:rsid w:val="005479F1"/>
    <w:rsid w:val="00547C42"/>
    <w:rsid w:val="00571004"/>
    <w:rsid w:val="00582BA2"/>
    <w:rsid w:val="005A2B0C"/>
    <w:rsid w:val="005A4BAC"/>
    <w:rsid w:val="005B1BA2"/>
    <w:rsid w:val="005E665F"/>
    <w:rsid w:val="005F6740"/>
    <w:rsid w:val="00605D59"/>
    <w:rsid w:val="006111EC"/>
    <w:rsid w:val="006233FB"/>
    <w:rsid w:val="006241D1"/>
    <w:rsid w:val="006320EC"/>
    <w:rsid w:val="00645D6D"/>
    <w:rsid w:val="006513E0"/>
    <w:rsid w:val="00670378"/>
    <w:rsid w:val="006709EC"/>
    <w:rsid w:val="0067272C"/>
    <w:rsid w:val="00674F07"/>
    <w:rsid w:val="006B7E25"/>
    <w:rsid w:val="006C1FCA"/>
    <w:rsid w:val="00702435"/>
    <w:rsid w:val="00712ED6"/>
    <w:rsid w:val="00717CAF"/>
    <w:rsid w:val="0072388C"/>
    <w:rsid w:val="00745B99"/>
    <w:rsid w:val="00753FA0"/>
    <w:rsid w:val="00756639"/>
    <w:rsid w:val="00762C13"/>
    <w:rsid w:val="007C0AF6"/>
    <w:rsid w:val="007C1ACA"/>
    <w:rsid w:val="007C4074"/>
    <w:rsid w:val="007C589F"/>
    <w:rsid w:val="007D2F83"/>
    <w:rsid w:val="0081636C"/>
    <w:rsid w:val="0083164B"/>
    <w:rsid w:val="0085179D"/>
    <w:rsid w:val="00864BFF"/>
    <w:rsid w:val="0089046F"/>
    <w:rsid w:val="008E1C36"/>
    <w:rsid w:val="008F58C8"/>
    <w:rsid w:val="009107EC"/>
    <w:rsid w:val="0093717C"/>
    <w:rsid w:val="00962BC3"/>
    <w:rsid w:val="00975162"/>
    <w:rsid w:val="009776B6"/>
    <w:rsid w:val="00981191"/>
    <w:rsid w:val="00995E71"/>
    <w:rsid w:val="009B2424"/>
    <w:rsid w:val="009C5318"/>
    <w:rsid w:val="00A03502"/>
    <w:rsid w:val="00A06F54"/>
    <w:rsid w:val="00A138B7"/>
    <w:rsid w:val="00A1518D"/>
    <w:rsid w:val="00A159BE"/>
    <w:rsid w:val="00A33979"/>
    <w:rsid w:val="00A35AE5"/>
    <w:rsid w:val="00A4268E"/>
    <w:rsid w:val="00A52A72"/>
    <w:rsid w:val="00A52F74"/>
    <w:rsid w:val="00A77EA3"/>
    <w:rsid w:val="00A94166"/>
    <w:rsid w:val="00AC0AAA"/>
    <w:rsid w:val="00AD3863"/>
    <w:rsid w:val="00AE2C76"/>
    <w:rsid w:val="00AE4EB4"/>
    <w:rsid w:val="00AE6615"/>
    <w:rsid w:val="00AF0AD2"/>
    <w:rsid w:val="00AF451E"/>
    <w:rsid w:val="00AF747D"/>
    <w:rsid w:val="00B21057"/>
    <w:rsid w:val="00B21BE6"/>
    <w:rsid w:val="00B46946"/>
    <w:rsid w:val="00B5090D"/>
    <w:rsid w:val="00B51F2B"/>
    <w:rsid w:val="00B91A76"/>
    <w:rsid w:val="00B95DEF"/>
    <w:rsid w:val="00B96A38"/>
    <w:rsid w:val="00BA321E"/>
    <w:rsid w:val="00BA39AE"/>
    <w:rsid w:val="00BA50AD"/>
    <w:rsid w:val="00BB4F9F"/>
    <w:rsid w:val="00BC5485"/>
    <w:rsid w:val="00BD4C2A"/>
    <w:rsid w:val="00BF28CB"/>
    <w:rsid w:val="00C06440"/>
    <w:rsid w:val="00C10608"/>
    <w:rsid w:val="00C1104B"/>
    <w:rsid w:val="00C15754"/>
    <w:rsid w:val="00C2203A"/>
    <w:rsid w:val="00C5756D"/>
    <w:rsid w:val="00C77E71"/>
    <w:rsid w:val="00CA0764"/>
    <w:rsid w:val="00CA428C"/>
    <w:rsid w:val="00CB75A7"/>
    <w:rsid w:val="00CC2561"/>
    <w:rsid w:val="00CC2C4D"/>
    <w:rsid w:val="00CC4909"/>
    <w:rsid w:val="00CC70ED"/>
    <w:rsid w:val="00CE79BF"/>
    <w:rsid w:val="00CF5283"/>
    <w:rsid w:val="00D03FA6"/>
    <w:rsid w:val="00D1662E"/>
    <w:rsid w:val="00D433AB"/>
    <w:rsid w:val="00D52F7B"/>
    <w:rsid w:val="00D62B0B"/>
    <w:rsid w:val="00D64135"/>
    <w:rsid w:val="00D86A65"/>
    <w:rsid w:val="00DA019C"/>
    <w:rsid w:val="00DC72F7"/>
    <w:rsid w:val="00DE6541"/>
    <w:rsid w:val="00DF37CE"/>
    <w:rsid w:val="00E0302E"/>
    <w:rsid w:val="00E179E1"/>
    <w:rsid w:val="00E2503E"/>
    <w:rsid w:val="00E41831"/>
    <w:rsid w:val="00E50674"/>
    <w:rsid w:val="00E70AD5"/>
    <w:rsid w:val="00E74215"/>
    <w:rsid w:val="00E8407A"/>
    <w:rsid w:val="00E97566"/>
    <w:rsid w:val="00EA7764"/>
    <w:rsid w:val="00EC23D3"/>
    <w:rsid w:val="00EC78C2"/>
    <w:rsid w:val="00EE6B91"/>
    <w:rsid w:val="00F2108D"/>
    <w:rsid w:val="00F2530F"/>
    <w:rsid w:val="00F30F8C"/>
    <w:rsid w:val="00F317F9"/>
    <w:rsid w:val="00F361FF"/>
    <w:rsid w:val="00F44C72"/>
    <w:rsid w:val="00F45300"/>
    <w:rsid w:val="00F662EB"/>
    <w:rsid w:val="00F74EFC"/>
    <w:rsid w:val="00F819C0"/>
    <w:rsid w:val="00F81FB5"/>
    <w:rsid w:val="00FE70C5"/>
    <w:rsid w:val="00FE7FAD"/>
    <w:rsid w:val="00FF09F9"/>
    <w:rsid w:val="00FF710C"/>
    <w:rsid w:val="0132636F"/>
    <w:rsid w:val="02C00E90"/>
    <w:rsid w:val="11DA069B"/>
    <w:rsid w:val="1B83128B"/>
    <w:rsid w:val="1D161244"/>
    <w:rsid w:val="23F1252A"/>
    <w:rsid w:val="27082871"/>
    <w:rsid w:val="31F26A2C"/>
    <w:rsid w:val="3F9057F1"/>
    <w:rsid w:val="43C90EF6"/>
    <w:rsid w:val="54452C48"/>
    <w:rsid w:val="594F4D66"/>
    <w:rsid w:val="5A145AD8"/>
    <w:rsid w:val="5D867CDE"/>
    <w:rsid w:val="5F825933"/>
    <w:rsid w:val="61161E58"/>
    <w:rsid w:val="632708B0"/>
    <w:rsid w:val="6A0C7756"/>
    <w:rsid w:val="7113043A"/>
    <w:rsid w:val="736C7E39"/>
    <w:rsid w:val="77FE0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3"/>
    <w:unhideWhenUsed/>
    <w:qFormat/>
    <w:uiPriority w:val="99"/>
    <w:rPr>
      <w:b/>
      <w:bCs/>
    </w:rPr>
  </w:style>
  <w:style w:type="paragraph" w:styleId="3">
    <w:name w:val="annotation text"/>
    <w:basedOn w:val="1"/>
    <w:link w:val="22"/>
    <w:unhideWhenUsed/>
    <w:qFormat/>
    <w:uiPriority w:val="99"/>
    <w:pPr>
      <w:jc w:val="left"/>
    </w:pPr>
  </w:style>
  <w:style w:type="paragraph" w:styleId="4">
    <w:name w:val="Body Text"/>
    <w:basedOn w:val="1"/>
    <w:link w:val="21"/>
    <w:qFormat/>
    <w:uiPriority w:val="0"/>
    <w:pPr>
      <w:jc w:val="center"/>
    </w:pPr>
    <w:rPr>
      <w:rFonts w:ascii="Times New Roman" w:hAnsi="Times New Roman" w:eastAsia="宋体" w:cs="Times New Roman"/>
      <w:sz w:val="22"/>
      <w:szCs w:val="24"/>
    </w:rPr>
  </w:style>
  <w:style w:type="paragraph" w:styleId="5">
    <w:name w:val="Body Text Indent"/>
    <w:basedOn w:val="1"/>
    <w:link w:val="20"/>
    <w:qFormat/>
    <w:uiPriority w:val="0"/>
    <w:pPr>
      <w:spacing w:line="220" w:lineRule="exact"/>
      <w:ind w:firstLine="400" w:firstLineChars="200"/>
    </w:pPr>
    <w:rPr>
      <w:rFonts w:ascii="宋体" w:hAnsi="宋体" w:eastAsia="宋体" w:cs="Times New Roman"/>
      <w:sz w:val="20"/>
      <w:szCs w:val="24"/>
    </w:rPr>
  </w:style>
  <w:style w:type="paragraph" w:styleId="6">
    <w:name w:val="Balloon Text"/>
    <w:basedOn w:val="1"/>
    <w:link w:val="18"/>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bidi="ar-SA"/>
    </w:rPr>
  </w:style>
  <w:style w:type="character" w:styleId="11">
    <w:name w:val="annotation reference"/>
    <w:basedOn w:val="10"/>
    <w:unhideWhenUsed/>
    <w:uiPriority w:val="99"/>
    <w:rPr>
      <w:sz w:val="21"/>
      <w:szCs w:val="21"/>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List Paragraph"/>
    <w:basedOn w:val="1"/>
    <w:qFormat/>
    <w:uiPriority w:val="34"/>
    <w:pPr>
      <w:ind w:firstLine="420" w:firstLineChars="200"/>
    </w:pPr>
  </w:style>
  <w:style w:type="paragraph" w:customStyle="1" w:styleId="15">
    <w:name w:val="Char Char Char Char1 Char Char"/>
    <w:basedOn w:val="1"/>
    <w:qFormat/>
    <w:uiPriority w:val="0"/>
    <w:pPr>
      <w:widowControl/>
      <w:spacing w:after="160" w:line="240" w:lineRule="exact"/>
      <w:jc w:val="left"/>
    </w:pPr>
    <w:rPr>
      <w:rFonts w:ascii="Verdana" w:hAnsi="Verdana" w:eastAsia="宋体" w:cs="Times New Roman"/>
      <w:kern w:val="0"/>
      <w:szCs w:val="20"/>
      <w:lang w:eastAsia="en-US"/>
    </w:rPr>
  </w:style>
  <w:style w:type="character" w:customStyle="1" w:styleId="16">
    <w:name w:val="页眉 Char"/>
    <w:basedOn w:val="10"/>
    <w:link w:val="8"/>
    <w:qFormat/>
    <w:uiPriority w:val="99"/>
    <w:rPr>
      <w:sz w:val="18"/>
      <w:szCs w:val="18"/>
    </w:rPr>
  </w:style>
  <w:style w:type="character" w:customStyle="1" w:styleId="17">
    <w:name w:val="页脚 Char"/>
    <w:basedOn w:val="10"/>
    <w:link w:val="7"/>
    <w:qFormat/>
    <w:uiPriority w:val="99"/>
    <w:rPr>
      <w:sz w:val="18"/>
      <w:szCs w:val="18"/>
    </w:rPr>
  </w:style>
  <w:style w:type="character" w:customStyle="1" w:styleId="18">
    <w:name w:val="批注框文本 Char"/>
    <w:basedOn w:val="10"/>
    <w:link w:val="6"/>
    <w:semiHidden/>
    <w:uiPriority w:val="99"/>
    <w:rPr>
      <w:sz w:val="18"/>
      <w:szCs w:val="18"/>
    </w:rPr>
  </w:style>
  <w:style w:type="character" w:customStyle="1" w:styleId="19">
    <w:name w:val="bigfont1"/>
    <w:uiPriority w:val="0"/>
    <w:rPr>
      <w:rFonts w:hint="default"/>
      <w:color w:val="000000"/>
      <w:sz w:val="24"/>
      <w:szCs w:val="24"/>
      <w:u w:val="none"/>
    </w:rPr>
  </w:style>
  <w:style w:type="character" w:customStyle="1" w:styleId="20">
    <w:name w:val="正文文本缩进 Char"/>
    <w:basedOn w:val="10"/>
    <w:link w:val="5"/>
    <w:uiPriority w:val="0"/>
    <w:rPr>
      <w:rFonts w:ascii="宋体" w:hAnsi="宋体" w:eastAsia="宋体" w:cs="Times New Roman"/>
      <w:sz w:val="20"/>
      <w:szCs w:val="24"/>
    </w:rPr>
  </w:style>
  <w:style w:type="character" w:customStyle="1" w:styleId="21">
    <w:name w:val="正文文本 Char"/>
    <w:basedOn w:val="10"/>
    <w:link w:val="4"/>
    <w:uiPriority w:val="0"/>
    <w:rPr>
      <w:rFonts w:ascii="Times New Roman" w:hAnsi="Times New Roman" w:eastAsia="宋体" w:cs="Times New Roman"/>
      <w:sz w:val="22"/>
      <w:szCs w:val="24"/>
    </w:rPr>
  </w:style>
  <w:style w:type="character" w:customStyle="1" w:styleId="22">
    <w:name w:val="批注文字 Char"/>
    <w:basedOn w:val="10"/>
    <w:link w:val="3"/>
    <w:semiHidden/>
    <w:qFormat/>
    <w:uiPriority w:val="99"/>
  </w:style>
  <w:style w:type="character" w:customStyle="1" w:styleId="23">
    <w:name w:val="批注主题 Char"/>
    <w:basedOn w:val="22"/>
    <w:link w:val="2"/>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2078</Words>
  <Characters>2097</Characters>
  <Lines>26</Lines>
  <Paragraphs>7</Paragraphs>
  <TotalTime>8</TotalTime>
  <ScaleCrop>false</ScaleCrop>
  <LinksUpToDate>false</LinksUpToDate>
  <CharactersWithSpaces>2104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2020-04-03T02:45:00Z</dcterms:created>
  <dc:creator>郑嘉娜</dc:creator>
  <cp:lastModifiedBy>黄碧华</cp:lastModifiedBy>
  <cp:lastPrinted>2020-04-09T06:48:00Z</cp:lastPrinted>
  <dcterms:modified xsi:type="dcterms:W3CDTF">2020-04-13T09:03:25Z</dcterms:modified>
  <dc:title>关于优化房屋建筑和市政基础设施工程招标项目招标备案等事宜的通知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