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1072" w:firstLineChars="200"/>
        <w:rPr>
          <w:rFonts w:eastAsia="MS Gothic"/>
          <w:b/>
          <w:sz w:val="84"/>
          <w:szCs w:val="84"/>
        </w:rPr>
      </w:pPr>
      <w:r>
        <w:rPr>
          <w:rFonts w:eastAsia="黑体"/>
          <w:spacing w:val="28"/>
          <w:sz w:val="48"/>
          <w:szCs w:val="48"/>
        </w:rPr>
        <w:drawing>
          <wp:anchor distT="0" distB="0" distL="114300" distR="114300" simplePos="0" relativeHeight="251661312" behindDoc="0" locked="0" layoutInCell="1" allowOverlap="1">
            <wp:simplePos x="0" y="0"/>
            <wp:positionH relativeFrom="page">
              <wp:posOffset>4610735</wp:posOffset>
            </wp:positionH>
            <wp:positionV relativeFrom="page">
              <wp:posOffset>920115</wp:posOffset>
            </wp:positionV>
            <wp:extent cx="1720215" cy="800100"/>
            <wp:effectExtent l="0" t="0" r="13335" b="0"/>
            <wp:wrapNone/>
            <wp:docPr id="3" name="图片 3" descr="说明: 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G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20215" cy="800100"/>
                    </a:xfrm>
                    <a:prstGeom prst="rect">
                      <a:avLst/>
                    </a:prstGeom>
                    <a:noFill/>
                    <a:ln>
                      <a:noFill/>
                    </a:ln>
                  </pic:spPr>
                </pic:pic>
              </a:graphicData>
            </a:graphic>
          </wp:anchor>
        </w:drawing>
      </w:r>
      <w:r>
        <w:rPr>
          <w:rFonts w:eastAsia="黑体"/>
          <w:spacing w:val="28"/>
          <w:sz w:val="48"/>
          <w:szCs w:val="48"/>
        </w:rPr>
        <w:t>广东省标准</w:t>
      </w:r>
      <w:r>
        <w:rPr>
          <w:rFonts w:eastAsia="黑体"/>
          <w:sz w:val="32"/>
          <w:szCs w:val="32"/>
        </w:rPr>
        <w:t xml:space="preserve">            </w:t>
      </w:r>
      <w:r>
        <w:rPr>
          <w:sz w:val="52"/>
        </w:rPr>
        <w:t xml:space="preserve">   </w:t>
      </w:r>
    </w:p>
    <w:p>
      <w:pPr>
        <w:adjustRightInd w:val="0"/>
        <w:snapToGrid w:val="0"/>
        <w:ind w:firstLine="0" w:firstLineChars="0"/>
      </w:pPr>
      <w:r>
        <w:t xml:space="preserve">                              </w:t>
      </w:r>
      <w:bookmarkStart w:id="0" w:name="_Toc337542810"/>
      <w:r>
        <w:t xml:space="preserve">                                                        </w:t>
      </w:r>
    </w:p>
    <w:p>
      <w:pPr>
        <w:adjustRightInd w:val="0"/>
        <w:snapToGrid w:val="0"/>
        <w:ind w:firstLine="0" w:firstLineChars="0"/>
        <w:rPr>
          <w:spacing w:val="17"/>
          <w:sz w:val="30"/>
          <w:szCs w:val="30"/>
        </w:rPr>
      </w:pPr>
      <w:r>
        <w:t xml:space="preserve">                                            </w:t>
      </w:r>
      <w:r>
        <w:rPr>
          <w:rFonts w:hint="eastAsia"/>
        </w:rPr>
        <w:t xml:space="preserve">   </w:t>
      </w:r>
      <w:r>
        <w:rPr>
          <w:spacing w:val="23"/>
          <w:sz w:val="30"/>
          <w:szCs w:val="30"/>
        </w:rPr>
        <w:t>DBJ 15-XX-</w:t>
      </w:r>
      <w:bookmarkEnd w:id="0"/>
      <w:r>
        <w:rPr>
          <w:sz w:val="30"/>
          <w:szCs w:val="30"/>
        </w:rPr>
        <w:t>20</w:t>
      </w:r>
      <w:r>
        <w:rPr>
          <w:rFonts w:hint="eastAsia"/>
          <w:sz w:val="30"/>
          <w:szCs w:val="30"/>
          <w:lang w:val="en-US" w:eastAsia="zh-CN"/>
        </w:rPr>
        <w:t>X</w:t>
      </w:r>
      <w:r>
        <w:rPr>
          <w:rFonts w:hint="eastAsia"/>
          <w:sz w:val="30"/>
          <w:szCs w:val="30"/>
        </w:rPr>
        <w:t>X</w:t>
      </w:r>
    </w:p>
    <w:p>
      <w:pPr>
        <w:adjustRightInd w:val="0"/>
        <w:snapToGrid w:val="0"/>
        <w:ind w:firstLine="0" w:firstLineChars="0"/>
        <w:rPr>
          <w:rFonts w:hint="default" w:eastAsia="黑体"/>
          <w:sz w:val="28"/>
          <w:szCs w:val="28"/>
          <w:lang w:val="en-US" w:eastAsia="zh-CN"/>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26035</wp:posOffset>
                </wp:positionH>
                <wp:positionV relativeFrom="paragraph">
                  <wp:posOffset>359410</wp:posOffset>
                </wp:positionV>
                <wp:extent cx="5486400" cy="41910"/>
                <wp:effectExtent l="0" t="4445" r="0" b="1079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V="1">
                          <a:off x="0" y="0"/>
                          <a:ext cx="5486400" cy="4191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2.05pt;margin-top:28.3pt;height:3.3pt;width:432pt;z-index:251659264;mso-width-relative:page;mso-height-relative:page;" filled="f" stroked="t" coordsize="21600,21600" o:gfxdata="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y2xaSdQAAAAHAQAADwAAAAAAAAABACAA&#10;AAAiAAAAZHJzL2Rvd25yZXYueG1sUEsBAhQAFAAAAAgAh07iQMbSr/3YAQAAeAMAAA4AAAAAAAAA&#10;AQAgAAAAIwEAAGRycy9lMm9Eb2MueG1sUEsFBgAAAAAGAAYAWQEAAG0FAAAAAA==&#10;">
                <v:fill on="f" focussize="0,0"/>
                <v:stroke color="#000000" joinstyle="round"/>
                <v:imagedata o:title=""/>
                <o:lock v:ext="edit" aspectratio="f"/>
              </v:line>
            </w:pict>
          </mc:Fallback>
        </mc:AlternateContent>
      </w:r>
      <w:r>
        <w:rPr>
          <w:sz w:val="28"/>
          <w:szCs w:val="28"/>
        </w:rPr>
        <w:t xml:space="preserve">                                      </w:t>
      </w:r>
      <w:r>
        <w:rPr>
          <w:rFonts w:eastAsia="黑体"/>
          <w:sz w:val="28"/>
          <w:szCs w:val="28"/>
        </w:rPr>
        <w:t>备案号 J XXXXX-20</w:t>
      </w:r>
      <w:r>
        <w:rPr>
          <w:rFonts w:hint="eastAsia" w:eastAsia="黑体"/>
          <w:sz w:val="28"/>
          <w:szCs w:val="28"/>
          <w:lang w:val="en-US" w:eastAsia="zh-CN"/>
        </w:rPr>
        <w:t>XX</w:t>
      </w:r>
    </w:p>
    <w:p>
      <w:pPr>
        <w:adjustRightInd w:val="0"/>
        <w:snapToGrid w:val="0"/>
        <w:ind w:firstLine="964"/>
        <w:rPr>
          <w:b/>
          <w:sz w:val="48"/>
          <w:szCs w:val="48"/>
        </w:rPr>
      </w:pPr>
      <w:bookmarkStart w:id="1" w:name="_Toc375640674"/>
    </w:p>
    <w:bookmarkEnd w:id="1"/>
    <w:p>
      <w:pPr>
        <w:adjustRightInd w:val="0"/>
        <w:snapToGrid w:val="0"/>
        <w:ind w:firstLine="964"/>
        <w:jc w:val="center"/>
        <w:rPr>
          <w:b/>
          <w:sz w:val="48"/>
          <w:szCs w:val="48"/>
        </w:rPr>
      </w:pPr>
      <w:r>
        <w:rPr>
          <w:rFonts w:hint="eastAsia"/>
          <w:b/>
          <w:sz w:val="48"/>
          <w:szCs w:val="48"/>
        </w:rPr>
        <w:t>城市黑臭水体治理规划编制规范</w:t>
      </w:r>
    </w:p>
    <w:p>
      <w:pPr>
        <w:adjustRightInd w:val="0"/>
        <w:snapToGrid w:val="0"/>
        <w:ind w:firstLine="480"/>
      </w:pPr>
    </w:p>
    <w:p>
      <w:pPr>
        <w:adjustRightInd w:val="0"/>
        <w:snapToGrid w:val="0"/>
        <w:ind w:firstLine="643"/>
        <w:jc w:val="center"/>
        <w:rPr>
          <w:b/>
          <w:sz w:val="32"/>
          <w:szCs w:val="28"/>
        </w:rPr>
      </w:pPr>
      <w:r>
        <w:rPr>
          <w:rFonts w:hint="eastAsia"/>
          <w:b/>
          <w:sz w:val="32"/>
          <w:szCs w:val="28"/>
        </w:rPr>
        <w:t xml:space="preserve">Specification for urban black-odor water </w:t>
      </w:r>
    </w:p>
    <w:p>
      <w:pPr>
        <w:adjustRightInd w:val="0"/>
        <w:snapToGrid w:val="0"/>
        <w:ind w:firstLine="643"/>
        <w:jc w:val="center"/>
        <w:rPr>
          <w:b/>
          <w:sz w:val="32"/>
          <w:szCs w:val="28"/>
        </w:rPr>
      </w:pPr>
      <w:r>
        <w:rPr>
          <w:rFonts w:hint="eastAsia"/>
          <w:b/>
          <w:sz w:val="32"/>
          <w:szCs w:val="28"/>
        </w:rPr>
        <w:t>treatment planning</w:t>
      </w:r>
    </w:p>
    <w:p>
      <w:pPr>
        <w:adjustRightInd w:val="0"/>
        <w:snapToGrid w:val="0"/>
        <w:ind w:firstLine="562"/>
        <w:jc w:val="center"/>
        <w:rPr>
          <w:b/>
          <w:sz w:val="28"/>
          <w:szCs w:val="28"/>
        </w:rPr>
      </w:pPr>
    </w:p>
    <w:p>
      <w:pPr>
        <w:adjustRightInd w:val="0"/>
        <w:snapToGrid w:val="0"/>
        <w:ind w:firstLine="562"/>
        <w:jc w:val="center"/>
        <w:rPr>
          <w:b/>
          <w:sz w:val="28"/>
          <w:szCs w:val="28"/>
        </w:rPr>
      </w:pPr>
    </w:p>
    <w:p>
      <w:pPr>
        <w:adjustRightInd w:val="0"/>
        <w:snapToGrid w:val="0"/>
        <w:ind w:firstLine="643"/>
        <w:jc w:val="center"/>
        <w:rPr>
          <w:b/>
          <w:sz w:val="30"/>
          <w:szCs w:val="30"/>
        </w:rPr>
      </w:pPr>
      <w:r>
        <w:rPr>
          <w:b/>
          <w:sz w:val="32"/>
          <w:szCs w:val="30"/>
        </w:rPr>
        <w:t>（</w:t>
      </w:r>
      <w:r>
        <w:rPr>
          <w:rFonts w:hint="eastAsia"/>
          <w:b/>
          <w:sz w:val="32"/>
          <w:szCs w:val="30"/>
        </w:rPr>
        <w:t>征求意见</w:t>
      </w:r>
      <w:r>
        <w:rPr>
          <w:b/>
          <w:sz w:val="32"/>
          <w:szCs w:val="30"/>
        </w:rPr>
        <w:t>稿）</w:t>
      </w: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pStyle w:val="29"/>
        <w:ind w:firstLine="0" w:firstLineChars="0"/>
        <w:jc w:val="left"/>
        <w:rPr>
          <w:rFonts w:ascii="Times New Roman" w:hAnsi="Times New Roman" w:eastAsia="宋体" w:cs="Times New Roman"/>
          <w:szCs w:val="21"/>
        </w:rPr>
      </w:pPr>
    </w:p>
    <w:p>
      <w:pPr>
        <w:adjustRightInd w:val="0"/>
        <w:snapToGrid w:val="0"/>
        <w:ind w:firstLine="0" w:firstLineChars="0"/>
        <w:rPr>
          <w:rFonts w:eastAsia="黑体"/>
          <w:sz w:val="28"/>
          <w:szCs w:val="28"/>
        </w:rPr>
      </w:pPr>
      <w:bookmarkStart w:id="2" w:name="_Toc472426036"/>
      <w:r>
        <w:rPr>
          <w:b/>
          <w:bCs/>
          <w:sz w:val="32"/>
        </w:rPr>
        <w:t xml:space="preserve">  </w:t>
      </w:r>
      <w:r>
        <w:rPr>
          <w:rFonts w:eastAsia="黑体"/>
          <w:sz w:val="28"/>
          <w:szCs w:val="28"/>
        </w:rPr>
        <w:t>20</w:t>
      </w:r>
      <w:r>
        <w:rPr>
          <w:rFonts w:hint="eastAsia" w:eastAsia="黑体"/>
          <w:sz w:val="28"/>
          <w:szCs w:val="28"/>
        </w:rPr>
        <w:t>20</w:t>
      </w:r>
      <w:r>
        <w:rPr>
          <w:rFonts w:eastAsia="黑体"/>
          <w:sz w:val="28"/>
          <w:szCs w:val="28"/>
        </w:rPr>
        <w:t>-XX-XX  发布                   20</w:t>
      </w:r>
      <w:r>
        <w:rPr>
          <w:rFonts w:hint="eastAsia" w:eastAsia="黑体"/>
          <w:sz w:val="28"/>
          <w:szCs w:val="28"/>
        </w:rPr>
        <w:t>20</w:t>
      </w:r>
      <w:r>
        <w:rPr>
          <w:rFonts w:eastAsia="黑体"/>
          <w:sz w:val="28"/>
          <w:szCs w:val="28"/>
        </w:rPr>
        <w:t>-XX-XX  实施</w:t>
      </w:r>
    </w:p>
    <w:p>
      <w:pPr>
        <w:tabs>
          <w:tab w:val="left" w:pos="8235"/>
        </w:tabs>
        <w:adjustRightInd w:val="0"/>
        <w:snapToGrid w:val="0"/>
        <w:ind w:firstLine="0" w:firstLineChars="0"/>
        <w:rPr>
          <w:rFonts w:eastAsia="黑体"/>
          <w:sz w:val="32"/>
          <w:szCs w:val="32"/>
        </w:rPr>
      </w:pPr>
      <w:r>
        <w:rPr>
          <w:rFonts w:eastAsia="黑体"/>
          <w:b/>
          <w:sz w:val="28"/>
          <w:szCs w:val="28"/>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55880</wp:posOffset>
                </wp:positionV>
                <wp:extent cx="5600700" cy="26670"/>
                <wp:effectExtent l="0" t="4445" r="0" b="698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00700" cy="2667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4.4pt;height:2.1pt;width:441pt;z-index:251664384;mso-width-relative:page;mso-height-relative:page;" filled="f" stroked="t" coordsize="21600,21600" o:gfxdata="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&#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KKr7SAAAABQEAAA8AAAAAAAAAAQAgAAAAIgAAAGRy&#10;cy9kb3ducmV2LnhtbFBLAQIUABQAAAAIAIdO4kAvAsuy0gEAAG4DAAAOAAAAAAAAAAEAIAAAACEB&#10;AABkcnMvZTJvRG9jLnhtbFBLBQYAAAAABgAGAFkBAABlBQAAAAA=&#10;">
                <v:fill on="f" focussize="0,0"/>
                <v:stroke color="#000000" joinstyle="round"/>
                <v:imagedata o:title=""/>
                <o:lock v:ext="edit" aspectratio="f"/>
              </v:line>
            </w:pict>
          </mc:Fallback>
        </mc:AlternateContent>
      </w:r>
      <w:r>
        <w:rPr>
          <w:rFonts w:eastAsia="黑体"/>
          <w:b/>
          <w:sz w:val="28"/>
          <w:szCs w:val="28"/>
        </w:rPr>
        <w:tab/>
      </w:r>
    </w:p>
    <w:p>
      <w:pPr>
        <w:adjustRightInd w:val="0"/>
        <w:snapToGrid w:val="0"/>
        <w:ind w:firstLine="0" w:firstLineChars="0"/>
        <w:jc w:val="center"/>
        <w:rPr>
          <w:rFonts w:eastAsia="黑体"/>
          <w:spacing w:val="20"/>
          <w:sz w:val="32"/>
          <w:szCs w:val="32"/>
        </w:rPr>
      </w:pPr>
      <w:r>
        <w:rPr>
          <w:rFonts w:eastAsia="黑体"/>
          <w:sz w:val="32"/>
          <w:szCs w:val="32"/>
        </w:rPr>
        <w:t>广东省住房和城乡建设厅</w:t>
      </w:r>
      <w:r>
        <w:rPr>
          <w:rFonts w:eastAsia="黑体"/>
          <w:spacing w:val="20"/>
          <w:sz w:val="28"/>
          <w:szCs w:val="28"/>
        </w:rPr>
        <w:t xml:space="preserve">  </w:t>
      </w:r>
      <w:r>
        <w:rPr>
          <w:rFonts w:eastAsia="黑体"/>
          <w:spacing w:val="20"/>
          <w:sz w:val="32"/>
          <w:szCs w:val="32"/>
        </w:rPr>
        <w:t>发布</w:t>
      </w:r>
    </w:p>
    <w:p>
      <w:pPr>
        <w:adjustRightInd w:val="0"/>
        <w:snapToGrid w:val="0"/>
        <w:ind w:firstLine="0" w:firstLineChars="0"/>
        <w:jc w:val="left"/>
        <w:rPr>
          <w:rFonts w:eastAsia="黑体"/>
          <w:spacing w:val="20"/>
          <w:sz w:val="21"/>
          <w:szCs w:val="21"/>
        </w:rPr>
      </w:pPr>
    </w:p>
    <w:tbl>
      <w:tblPr>
        <w:tblStyle w:val="39"/>
        <w:tblpPr w:leftFromText="180" w:rightFromText="180" w:vertAnchor="text" w:horzAnchor="page" w:tblpX="8249" w:tblpY="379"/>
        <w:tblOverlap w:val="never"/>
        <w:tblW w:w="2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420" w:type="dxa"/>
            <w:vAlign w:val="center"/>
          </w:tcPr>
          <w:p>
            <w:pPr>
              <w:adjustRightInd w:val="0"/>
              <w:snapToGrid w:val="0"/>
              <w:ind w:firstLine="0" w:firstLineChars="0"/>
              <w:jc w:val="center"/>
            </w:pPr>
            <w:r>
              <w:rPr>
                <w:rFonts w:hint="eastAsia"/>
              </w:rPr>
              <w:t>本</w:t>
            </w:r>
            <w:r>
              <w:t>标准不涉及专利</w:t>
            </w:r>
          </w:p>
        </w:tc>
      </w:tr>
      <w:bookmarkEnd w:id="2"/>
    </w:tbl>
    <w:p>
      <w:pPr>
        <w:ind w:firstLine="480"/>
      </w:pPr>
    </w:p>
    <w:p>
      <w:pPr>
        <w:ind w:firstLine="640"/>
        <w:jc w:val="center"/>
        <w:rPr>
          <w:rFonts w:ascii="仿宋_GB2312" w:eastAsia="仿宋_GB2312"/>
          <w:sz w:val="32"/>
        </w:rPr>
      </w:pPr>
    </w:p>
    <w:p>
      <w:pPr>
        <w:pStyle w:val="63"/>
        <w:spacing w:after="156"/>
        <w:jc w:val="center"/>
        <w:rPr>
          <w:sz w:val="36"/>
        </w:rPr>
      </w:pPr>
      <w:bookmarkStart w:id="3" w:name="_Toc24029561"/>
      <w:bookmarkStart w:id="4" w:name="_Toc24031958"/>
      <w:r>
        <w:rPr>
          <w:rFonts w:hint="eastAsia"/>
          <w:sz w:val="36"/>
        </w:rPr>
        <w:t>前言</w:t>
      </w:r>
      <w:bookmarkEnd w:id="3"/>
      <w:bookmarkEnd w:id="4"/>
    </w:p>
    <w:p>
      <w:pPr>
        <w:ind w:firstLine="480"/>
        <w:rPr>
          <w:szCs w:val="24"/>
        </w:rPr>
      </w:pPr>
      <w:r>
        <w:rPr>
          <w:rFonts w:hint="eastAsia" w:hAnsi="宋体" w:cs="Times New Roman"/>
          <w:szCs w:val="24"/>
        </w:rPr>
        <w:t>根据广东省住房和城乡建设厅《关于做好2018年广东省工程建设标准制修订工作》的通知（粤建科函</w:t>
      </w:r>
      <w:r>
        <w:rPr>
          <w:rFonts w:hint="eastAsia"/>
        </w:rPr>
        <w:t>(</w:t>
      </w:r>
      <w:r>
        <w:t>201</w:t>
      </w:r>
      <w:r>
        <w:rPr>
          <w:rFonts w:hint="eastAsia"/>
        </w:rPr>
        <w:t>8)</w:t>
      </w:r>
      <w:r>
        <w:rPr>
          <w:rFonts w:hint="eastAsia" w:hAnsi="宋体" w:cs="Times New Roman"/>
          <w:szCs w:val="24"/>
        </w:rPr>
        <w:t>2954号）的要求，中广核环保产业有限公司、</w:t>
      </w:r>
      <w:r>
        <w:rPr>
          <w:rFonts w:hint="eastAsia"/>
          <w:szCs w:val="24"/>
        </w:rPr>
        <w:t>深圳市立行环境科技有限公司和</w:t>
      </w:r>
      <w:r>
        <w:rPr>
          <w:rFonts w:hint="eastAsia" w:hAnsi="宋体" w:cs="Times New Roman"/>
          <w:szCs w:val="24"/>
        </w:rPr>
        <w:t>哈尔滨工业大学</w:t>
      </w:r>
      <w:r>
        <w:rPr>
          <w:rFonts w:hint="eastAsia"/>
          <w:szCs w:val="24"/>
        </w:rPr>
        <w:t>会同参编单位，共同编制完成了本规范。</w:t>
      </w:r>
    </w:p>
    <w:p>
      <w:pPr>
        <w:ind w:firstLine="480"/>
        <w:rPr>
          <w:rFonts w:asciiTheme="minorEastAsia" w:hAnsiTheme="minorEastAsia"/>
          <w:szCs w:val="24"/>
        </w:rPr>
      </w:pPr>
      <w:r>
        <w:rPr>
          <w:rFonts w:hint="eastAsia" w:asciiTheme="minorEastAsia" w:hAnsiTheme="minorEastAsia"/>
          <w:szCs w:val="24"/>
        </w:rPr>
        <w:t>本规范不涉及专利。</w:t>
      </w:r>
    </w:p>
    <w:p>
      <w:pPr>
        <w:ind w:firstLine="480"/>
        <w:rPr>
          <w:rFonts w:asciiTheme="minorEastAsia" w:hAnsiTheme="minorEastAsia"/>
          <w:szCs w:val="24"/>
        </w:rPr>
      </w:pPr>
      <w:r>
        <w:rPr>
          <w:rFonts w:hint="eastAsia" w:asciiTheme="minorEastAsia" w:hAnsiTheme="minorEastAsia"/>
          <w:szCs w:val="24"/>
        </w:rPr>
        <w:t>本规范的主要内容包括：1）总则；2）术语；3）基本规定；4）概述；5）区域概况；6）现状调查评价；7）总体规划；8）总体方案</w:t>
      </w:r>
      <w:r>
        <w:rPr>
          <w:rFonts w:hint="eastAsia" w:cs="仿宋_GB2312" w:asciiTheme="minorEastAsia" w:hAnsiTheme="minorEastAsia"/>
          <w:szCs w:val="24"/>
        </w:rPr>
        <w:t>；9）投资估算；10）非工程治理措施规划；11）环境影响评价；12）保障措施；13）实施效果分析；14）结论与建议</w:t>
      </w:r>
      <w:r>
        <w:rPr>
          <w:rFonts w:hint="eastAsia" w:asciiTheme="minorEastAsia" w:hAnsiTheme="minorEastAsia"/>
          <w:szCs w:val="24"/>
        </w:rPr>
        <w:t>。</w:t>
      </w:r>
    </w:p>
    <w:p>
      <w:pPr>
        <w:ind w:firstLine="480"/>
        <w:rPr>
          <w:rFonts w:asciiTheme="minorEastAsia" w:hAnsiTheme="minorEastAsia"/>
          <w:szCs w:val="24"/>
        </w:rPr>
      </w:pPr>
      <w:r>
        <w:rPr>
          <w:rFonts w:hint="eastAsia" w:asciiTheme="minorEastAsia" w:hAnsiTheme="minorEastAsia"/>
          <w:szCs w:val="24"/>
        </w:rPr>
        <w:t>本规范由广东省住房和城乡建设厅负责管理，中广核环保产业有限公司负责具体技术内容的解释。在执行过程中如有意见或建议，请寄送中广核环保产业有限公司（地址：深圳市深南中路2039-1号，邮政编码：</w:t>
      </w:r>
      <w:r>
        <w:rPr>
          <w:rFonts w:asciiTheme="minorEastAsia" w:hAnsiTheme="minorEastAsia"/>
          <w:szCs w:val="24"/>
        </w:rPr>
        <w:t>518031</w:t>
      </w:r>
      <w:r>
        <w:rPr>
          <w:rFonts w:hint="eastAsia" w:asciiTheme="minorEastAsia" w:hAnsiTheme="minorEastAsia"/>
          <w:szCs w:val="24"/>
        </w:rPr>
        <w:t>），以供今后修订时参考。</w:t>
      </w:r>
    </w:p>
    <w:p>
      <w:pPr>
        <w:ind w:firstLine="480"/>
        <w:rPr>
          <w:rFonts w:asciiTheme="minorEastAsia" w:hAnsiTheme="minorEastAsia"/>
          <w:szCs w:val="24"/>
        </w:rPr>
      </w:pPr>
      <w:r>
        <w:rPr>
          <w:rFonts w:hint="eastAsia" w:asciiTheme="minorEastAsia" w:hAnsiTheme="minorEastAsia"/>
          <w:szCs w:val="24"/>
        </w:rPr>
        <w:t>本规范的日常管理机构为广东省建设科技与标准化协会，电话：020-87259981，邮箱：</w:t>
      </w:r>
      <w:r>
        <w:rPr>
          <w:rFonts w:cs="Times New Roman"/>
          <w:szCs w:val="24"/>
        </w:rPr>
        <w:t>shenbxh@163.com</w:t>
      </w:r>
      <w:r>
        <w:rPr>
          <w:rFonts w:hint="eastAsia" w:asciiTheme="minorEastAsia" w:hAnsiTheme="minorEastAsia"/>
          <w:szCs w:val="24"/>
        </w:rPr>
        <w:t>。</w:t>
      </w:r>
    </w:p>
    <w:p>
      <w:pPr>
        <w:ind w:firstLine="482"/>
        <w:rPr>
          <w:rFonts w:asciiTheme="minorEastAsia" w:hAnsiTheme="minorEastAsia"/>
          <w:szCs w:val="24"/>
        </w:rPr>
      </w:pPr>
      <w:r>
        <w:rPr>
          <w:rFonts w:hint="eastAsia" w:cs="Times New Roman"/>
          <w:b/>
          <w:bCs/>
          <w:szCs w:val="24"/>
        </w:rPr>
        <w:t>本规范</w:t>
      </w:r>
      <w:r>
        <w:rPr>
          <w:rFonts w:hint="eastAsia" w:asciiTheme="minorEastAsia" w:hAnsiTheme="minorEastAsia"/>
          <w:b/>
          <w:szCs w:val="24"/>
        </w:rPr>
        <w:t>主编单位</w:t>
      </w:r>
      <w:r>
        <w:rPr>
          <w:rFonts w:hint="eastAsia" w:asciiTheme="minorEastAsia" w:hAnsiTheme="minorEastAsia"/>
          <w:szCs w:val="24"/>
        </w:rPr>
        <w:t xml:space="preserve">：中广核环保产业有限公司 </w:t>
      </w:r>
    </w:p>
    <w:p>
      <w:pPr>
        <w:ind w:firstLine="2400" w:firstLineChars="1000"/>
        <w:rPr>
          <w:rFonts w:asciiTheme="minorEastAsia" w:hAnsiTheme="minorEastAsia"/>
          <w:szCs w:val="24"/>
        </w:rPr>
      </w:pPr>
      <w:r>
        <w:rPr>
          <w:rFonts w:hint="eastAsia" w:asciiTheme="minorEastAsia" w:hAnsiTheme="minorEastAsia"/>
          <w:szCs w:val="24"/>
        </w:rPr>
        <w:t>深圳市立行环境科技有限公司</w:t>
      </w:r>
    </w:p>
    <w:p>
      <w:pPr>
        <w:ind w:firstLine="2400" w:firstLineChars="1000"/>
        <w:rPr>
          <w:rFonts w:asciiTheme="minorEastAsia" w:hAnsiTheme="minorEastAsia"/>
          <w:szCs w:val="24"/>
        </w:rPr>
      </w:pPr>
      <w:r>
        <w:rPr>
          <w:rFonts w:hint="eastAsia" w:asciiTheme="minorEastAsia" w:hAnsiTheme="minorEastAsia"/>
          <w:szCs w:val="24"/>
        </w:rPr>
        <w:t>哈尔滨工业大学</w:t>
      </w:r>
    </w:p>
    <w:p>
      <w:pPr>
        <w:ind w:firstLine="482"/>
        <w:rPr>
          <w:rFonts w:asciiTheme="minorEastAsia" w:hAnsiTheme="minorEastAsia"/>
          <w:szCs w:val="24"/>
        </w:rPr>
      </w:pPr>
      <w:r>
        <w:rPr>
          <w:rFonts w:cs="Times New Roman"/>
          <w:b/>
          <w:bCs/>
          <w:szCs w:val="24"/>
        </w:rPr>
        <w:t>本规范</w:t>
      </w:r>
      <w:r>
        <w:rPr>
          <w:rFonts w:hint="eastAsia" w:asciiTheme="minorEastAsia" w:hAnsiTheme="minorEastAsia"/>
          <w:b/>
          <w:szCs w:val="24"/>
        </w:rPr>
        <w:t>参编单位</w:t>
      </w:r>
      <w:r>
        <w:rPr>
          <w:rFonts w:hint="eastAsia" w:asciiTheme="minorEastAsia" w:hAnsiTheme="minorEastAsia"/>
          <w:szCs w:val="24"/>
        </w:rPr>
        <w:t>：广州资源环保科技股份有限公司</w:t>
      </w:r>
    </w:p>
    <w:p>
      <w:pPr>
        <w:ind w:firstLine="2400" w:firstLineChars="1000"/>
        <w:rPr>
          <w:rFonts w:asciiTheme="minorEastAsia" w:hAnsiTheme="minorEastAsia"/>
          <w:szCs w:val="24"/>
        </w:rPr>
      </w:pPr>
      <w:r>
        <w:rPr>
          <w:rFonts w:hint="eastAsia" w:asciiTheme="minorEastAsia" w:hAnsiTheme="minorEastAsia"/>
          <w:szCs w:val="24"/>
        </w:rPr>
        <w:t>上海库克莱生态科技有限公司</w:t>
      </w:r>
    </w:p>
    <w:p>
      <w:pPr>
        <w:ind w:firstLine="2400" w:firstLineChars="1000"/>
        <w:rPr>
          <w:rFonts w:asciiTheme="minorEastAsia" w:hAnsiTheme="minorEastAsia"/>
          <w:szCs w:val="24"/>
        </w:rPr>
      </w:pPr>
      <w:r>
        <w:rPr>
          <w:rFonts w:hint="eastAsia" w:asciiTheme="minorEastAsia" w:hAnsiTheme="minorEastAsia"/>
          <w:szCs w:val="24"/>
        </w:rPr>
        <w:t>深圳市深港产学研环保工程技术股份有限公司</w:t>
      </w:r>
    </w:p>
    <w:p>
      <w:pPr>
        <w:ind w:firstLine="2400" w:firstLineChars="1000"/>
        <w:rPr>
          <w:rFonts w:asciiTheme="minorEastAsia" w:hAnsiTheme="minorEastAsia"/>
          <w:szCs w:val="24"/>
        </w:rPr>
      </w:pPr>
      <w:r>
        <w:rPr>
          <w:rFonts w:hint="eastAsia" w:asciiTheme="minorEastAsia" w:hAnsiTheme="minorEastAsia"/>
          <w:szCs w:val="24"/>
        </w:rPr>
        <w:t>深圳市水务规划设计院股份有限公司</w:t>
      </w:r>
    </w:p>
    <w:p>
      <w:pPr>
        <w:ind w:firstLine="2400" w:firstLineChars="1000"/>
        <w:rPr>
          <w:rFonts w:asciiTheme="minorEastAsia" w:hAnsiTheme="minorEastAsia"/>
          <w:szCs w:val="24"/>
        </w:rPr>
      </w:pPr>
      <w:r>
        <w:rPr>
          <w:rFonts w:hint="eastAsia" w:asciiTheme="minorEastAsia" w:hAnsiTheme="minorEastAsia"/>
          <w:szCs w:val="24"/>
        </w:rPr>
        <w:t>广东建科节能环保科技有限公司</w:t>
      </w:r>
    </w:p>
    <w:p>
      <w:pPr>
        <w:widowControl/>
        <w:ind w:firstLine="480" w:firstLineChars="0"/>
        <w:jc w:val="left"/>
        <w:rPr>
          <w:rFonts w:asciiTheme="minorEastAsia" w:hAnsiTheme="minorEastAsia"/>
          <w:szCs w:val="24"/>
        </w:rPr>
      </w:pPr>
      <w:r>
        <w:rPr>
          <w:rFonts w:hint="eastAsia" w:asciiTheme="minorEastAsia" w:hAnsiTheme="minorEastAsia"/>
          <w:b/>
          <w:szCs w:val="24"/>
        </w:rPr>
        <w:t>本规范主要起草人：</w:t>
      </w:r>
      <w:r>
        <w:rPr>
          <w:rFonts w:hint="eastAsia" w:asciiTheme="minorEastAsia" w:hAnsiTheme="minorEastAsia"/>
        </w:rPr>
        <w:t xml:space="preserve">侯小阁 </w:t>
      </w:r>
      <w:r>
        <w:rPr>
          <w:rFonts w:asciiTheme="minorEastAsia" w:hAnsiTheme="minorEastAsia"/>
        </w:rPr>
        <w:t xml:space="preserve"> </w:t>
      </w:r>
      <w:r>
        <w:rPr>
          <w:rFonts w:hint="eastAsia" w:asciiTheme="minorEastAsia" w:hAnsiTheme="minorEastAsia"/>
        </w:rPr>
        <w:t xml:space="preserve">黄建伟  田 </w:t>
      </w:r>
      <w:r>
        <w:rPr>
          <w:rFonts w:asciiTheme="minorEastAsia" w:hAnsiTheme="minorEastAsia"/>
        </w:rPr>
        <w:t xml:space="preserve"> </w:t>
      </w:r>
      <w:r>
        <w:rPr>
          <w:rFonts w:hint="eastAsia" w:asciiTheme="minorEastAsia" w:hAnsiTheme="minorEastAsia"/>
        </w:rPr>
        <w:t xml:space="preserve">禹 </w:t>
      </w:r>
      <w:r>
        <w:rPr>
          <w:rFonts w:asciiTheme="minorEastAsia" w:hAnsiTheme="minorEastAsia"/>
        </w:rPr>
        <w:t xml:space="preserve"> </w:t>
      </w:r>
      <w:r>
        <w:rPr>
          <w:rFonts w:hint="eastAsia" w:asciiTheme="minorEastAsia" w:hAnsiTheme="minorEastAsia"/>
          <w:szCs w:val="24"/>
        </w:rPr>
        <w:t xml:space="preserve">苏 </w:t>
      </w:r>
      <w:r>
        <w:rPr>
          <w:rFonts w:asciiTheme="minorEastAsia" w:hAnsiTheme="minorEastAsia"/>
          <w:szCs w:val="24"/>
        </w:rPr>
        <w:t xml:space="preserve"> </w:t>
      </w:r>
      <w:r>
        <w:rPr>
          <w:rFonts w:hint="eastAsia" w:asciiTheme="minorEastAsia" w:hAnsiTheme="minorEastAsia"/>
          <w:szCs w:val="24"/>
        </w:rPr>
        <w:t xml:space="preserve">蕾 </w:t>
      </w:r>
      <w:r>
        <w:rPr>
          <w:rFonts w:asciiTheme="minorEastAsia" w:hAnsiTheme="minorEastAsia"/>
          <w:szCs w:val="24"/>
        </w:rPr>
        <w:t xml:space="preserve"> </w:t>
      </w:r>
      <w:r>
        <w:rPr>
          <w:rFonts w:hint="eastAsia" w:asciiTheme="minorEastAsia" w:hAnsiTheme="minorEastAsia"/>
          <w:szCs w:val="24"/>
        </w:rPr>
        <w:t xml:space="preserve">王 </w:t>
      </w:r>
      <w:r>
        <w:rPr>
          <w:rFonts w:asciiTheme="minorEastAsia" w:hAnsiTheme="minorEastAsia"/>
          <w:szCs w:val="24"/>
        </w:rPr>
        <w:t xml:space="preserve"> </w:t>
      </w:r>
      <w:r>
        <w:rPr>
          <w:rFonts w:hint="eastAsia" w:asciiTheme="minorEastAsia" w:hAnsiTheme="minorEastAsia"/>
          <w:szCs w:val="24"/>
        </w:rPr>
        <w:t xml:space="preserve">健 </w:t>
      </w:r>
      <w:r>
        <w:rPr>
          <w:rFonts w:asciiTheme="minorEastAsia" w:hAnsiTheme="minorEastAsia"/>
          <w:szCs w:val="24"/>
        </w:rPr>
        <w:t xml:space="preserve"> </w:t>
      </w:r>
      <w:r>
        <w:rPr>
          <w:rFonts w:hint="eastAsia" w:asciiTheme="minorEastAsia" w:hAnsiTheme="minorEastAsia"/>
          <w:szCs w:val="24"/>
        </w:rPr>
        <w:t>李冬梅</w:t>
      </w:r>
    </w:p>
    <w:p>
      <w:pPr>
        <w:widowControl/>
        <w:ind w:firstLine="2640" w:firstLineChars="1100"/>
        <w:jc w:val="left"/>
        <w:rPr>
          <w:rFonts w:asciiTheme="minorEastAsia" w:hAnsiTheme="minorEastAsia"/>
          <w:szCs w:val="24"/>
        </w:rPr>
      </w:pPr>
      <w:r>
        <w:rPr>
          <w:rFonts w:hint="eastAsia" w:asciiTheme="minorEastAsia" w:hAnsiTheme="minorEastAsia"/>
          <w:szCs w:val="24"/>
        </w:rPr>
        <w:t xml:space="preserve">梅立永 </w:t>
      </w:r>
      <w:r>
        <w:rPr>
          <w:rFonts w:asciiTheme="minorEastAsia" w:hAnsiTheme="minorEastAsia"/>
          <w:szCs w:val="24"/>
        </w:rPr>
        <w:t xml:space="preserve"> </w:t>
      </w:r>
      <w:r>
        <w:rPr>
          <w:rFonts w:hint="eastAsia" w:asciiTheme="minorEastAsia" w:hAnsiTheme="minorEastAsia"/>
          <w:szCs w:val="24"/>
        </w:rPr>
        <w:t xml:space="preserve">吴闪闪 </w:t>
      </w:r>
      <w:r>
        <w:rPr>
          <w:rFonts w:asciiTheme="minorEastAsia" w:hAnsiTheme="minorEastAsia"/>
          <w:szCs w:val="24"/>
        </w:rPr>
        <w:t xml:space="preserve"> </w:t>
      </w:r>
      <w:r>
        <w:rPr>
          <w:rFonts w:hint="eastAsia" w:asciiTheme="minorEastAsia" w:hAnsiTheme="minorEastAsia"/>
          <w:szCs w:val="24"/>
        </w:rPr>
        <w:t xml:space="preserve">曹容维 </w:t>
      </w:r>
      <w:r>
        <w:rPr>
          <w:rFonts w:asciiTheme="minorEastAsia" w:hAnsiTheme="minorEastAsia"/>
          <w:szCs w:val="24"/>
        </w:rPr>
        <w:t xml:space="preserve"> </w:t>
      </w:r>
      <w:r>
        <w:rPr>
          <w:rFonts w:hint="eastAsia" w:asciiTheme="minorEastAsia" w:hAnsiTheme="minorEastAsia"/>
        </w:rPr>
        <w:t>吴文龙</w:t>
      </w:r>
      <w:r>
        <w:rPr>
          <w:rFonts w:hint="eastAsia" w:asciiTheme="minorEastAsia" w:hAnsiTheme="minorEastAsia"/>
          <w:szCs w:val="24"/>
        </w:rPr>
        <w:t xml:space="preserve"> </w:t>
      </w:r>
      <w:r>
        <w:rPr>
          <w:rFonts w:asciiTheme="minorEastAsia" w:hAnsiTheme="minorEastAsia"/>
          <w:szCs w:val="24"/>
        </w:rPr>
        <w:t xml:space="preserve"> </w:t>
      </w:r>
      <w:r>
        <w:rPr>
          <w:rFonts w:hint="eastAsia" w:asciiTheme="minorEastAsia" w:hAnsiTheme="minorEastAsia"/>
          <w:szCs w:val="24"/>
        </w:rPr>
        <w:t xml:space="preserve">王国栋  </w:t>
      </w:r>
      <w:r>
        <w:rPr>
          <w:rFonts w:hint="eastAsia" w:asciiTheme="minorEastAsia" w:hAnsiTheme="minorEastAsia"/>
        </w:rPr>
        <w:t xml:space="preserve">刘 </w:t>
      </w:r>
      <w:r>
        <w:rPr>
          <w:rFonts w:asciiTheme="minorEastAsia" w:hAnsiTheme="minorEastAsia"/>
        </w:rPr>
        <w:t xml:space="preserve"> </w:t>
      </w:r>
      <w:r>
        <w:rPr>
          <w:rFonts w:hint="eastAsia" w:asciiTheme="minorEastAsia" w:hAnsiTheme="minorEastAsia"/>
        </w:rPr>
        <w:t>洪</w:t>
      </w:r>
    </w:p>
    <w:p>
      <w:pPr>
        <w:widowControl/>
        <w:ind w:firstLine="2640" w:firstLineChars="1100"/>
        <w:jc w:val="left"/>
        <w:rPr>
          <w:rFonts w:asciiTheme="minorEastAsia" w:hAnsiTheme="minorEastAsia"/>
          <w:szCs w:val="24"/>
        </w:rPr>
      </w:pPr>
      <w:r>
        <w:rPr>
          <w:rFonts w:hint="eastAsia" w:asciiTheme="minorEastAsia" w:hAnsiTheme="minorEastAsia"/>
        </w:rPr>
        <w:t xml:space="preserve">叶 </w:t>
      </w:r>
      <w:r>
        <w:rPr>
          <w:rFonts w:asciiTheme="minorEastAsia" w:hAnsiTheme="minorEastAsia"/>
        </w:rPr>
        <w:t xml:space="preserve"> </w:t>
      </w:r>
      <w:r>
        <w:rPr>
          <w:rFonts w:hint="eastAsia" w:asciiTheme="minorEastAsia" w:hAnsiTheme="minorEastAsia"/>
        </w:rPr>
        <w:t xml:space="preserve">龙 </w:t>
      </w:r>
      <w:r>
        <w:rPr>
          <w:rFonts w:asciiTheme="minorEastAsia" w:hAnsiTheme="minorEastAsia"/>
        </w:rPr>
        <w:t xml:space="preserve"> </w:t>
      </w:r>
      <w:r>
        <w:rPr>
          <w:rFonts w:hint="eastAsia" w:asciiTheme="minorEastAsia" w:hAnsiTheme="minorEastAsia"/>
        </w:rPr>
        <w:t xml:space="preserve">丛涤非 </w:t>
      </w:r>
      <w:r>
        <w:rPr>
          <w:rFonts w:asciiTheme="minorEastAsia" w:hAnsiTheme="minorEastAsia"/>
        </w:rPr>
        <w:t xml:space="preserve"> </w:t>
      </w:r>
      <w:r>
        <w:rPr>
          <w:rFonts w:hint="eastAsia" w:asciiTheme="minorEastAsia" w:hAnsiTheme="minorEastAsia"/>
        </w:rPr>
        <w:t xml:space="preserve">左 </w:t>
      </w:r>
      <w:r>
        <w:rPr>
          <w:rFonts w:asciiTheme="minorEastAsia" w:hAnsiTheme="minorEastAsia"/>
        </w:rPr>
        <w:t xml:space="preserve"> </w:t>
      </w:r>
      <w:r>
        <w:rPr>
          <w:rFonts w:hint="eastAsia" w:asciiTheme="minorEastAsia" w:hAnsiTheme="minorEastAsia"/>
        </w:rPr>
        <w:t>薇</w:t>
      </w:r>
      <w:r>
        <w:rPr>
          <w:rFonts w:asciiTheme="minorEastAsia" w:hAnsiTheme="minorEastAsia"/>
        </w:rPr>
        <w:t xml:space="preserve">  </w:t>
      </w:r>
      <w:r>
        <w:rPr>
          <w:rFonts w:hint="eastAsia" w:asciiTheme="minorEastAsia" w:hAnsiTheme="minorEastAsia"/>
          <w:szCs w:val="24"/>
        </w:rPr>
        <w:t>王福连</w:t>
      </w:r>
      <w:r>
        <w:rPr>
          <w:rFonts w:asciiTheme="minorEastAsia" w:hAnsiTheme="minorEastAsia"/>
        </w:rPr>
        <w:t xml:space="preserve">  </w:t>
      </w:r>
      <w:r>
        <w:rPr>
          <w:rFonts w:hint="eastAsia" w:asciiTheme="minorEastAsia" w:hAnsiTheme="minorEastAsia"/>
          <w:szCs w:val="24"/>
        </w:rPr>
        <w:t xml:space="preserve">庄兆恒 </w:t>
      </w:r>
      <w:r>
        <w:rPr>
          <w:rFonts w:asciiTheme="minorEastAsia" w:hAnsiTheme="minorEastAsia"/>
          <w:szCs w:val="24"/>
        </w:rPr>
        <w:t xml:space="preserve"> </w:t>
      </w:r>
      <w:r>
        <w:rPr>
          <w:rFonts w:hint="eastAsia" w:asciiTheme="minorEastAsia" w:hAnsiTheme="minorEastAsia"/>
        </w:rPr>
        <w:t xml:space="preserve">张 </w:t>
      </w:r>
      <w:r>
        <w:rPr>
          <w:rFonts w:asciiTheme="minorEastAsia" w:hAnsiTheme="minorEastAsia"/>
        </w:rPr>
        <w:t xml:space="preserve"> </w:t>
      </w:r>
      <w:r>
        <w:rPr>
          <w:rFonts w:hint="eastAsia" w:asciiTheme="minorEastAsia" w:hAnsiTheme="minorEastAsia"/>
        </w:rPr>
        <w:t>军</w:t>
      </w:r>
    </w:p>
    <w:p>
      <w:pPr>
        <w:widowControl/>
        <w:ind w:firstLine="2640" w:firstLineChars="1100"/>
        <w:jc w:val="left"/>
      </w:pPr>
      <w:r>
        <w:rPr>
          <w:rFonts w:hint="eastAsia"/>
        </w:rPr>
        <w:t xml:space="preserve">李志今 </w:t>
      </w:r>
      <w:r>
        <w:t xml:space="preserve"> </w:t>
      </w:r>
      <w:r>
        <w:rPr>
          <w:rFonts w:hint="eastAsia" w:asciiTheme="minorEastAsia" w:hAnsiTheme="minorEastAsia"/>
        </w:rPr>
        <w:t xml:space="preserve">李俐频 </w:t>
      </w:r>
      <w:r>
        <w:rPr>
          <w:rFonts w:asciiTheme="minorEastAsia" w:hAnsiTheme="minorEastAsia"/>
        </w:rPr>
        <w:t xml:space="preserve"> </w:t>
      </w:r>
      <w:r>
        <w:rPr>
          <w:rFonts w:hint="eastAsia" w:asciiTheme="minorEastAsia" w:hAnsiTheme="minorEastAsia"/>
        </w:rPr>
        <w:t xml:space="preserve">何小祥 </w:t>
      </w:r>
      <w:r>
        <w:rPr>
          <w:rFonts w:asciiTheme="minorEastAsia" w:hAnsiTheme="minorEastAsia"/>
        </w:rPr>
        <w:t xml:space="preserve"> </w:t>
      </w:r>
      <w:r>
        <w:rPr>
          <w:rFonts w:hint="eastAsia" w:asciiTheme="minorEastAsia" w:hAnsiTheme="minorEastAsia"/>
        </w:rPr>
        <w:t xml:space="preserve">曹恋沙 </w:t>
      </w:r>
      <w:r>
        <w:rPr>
          <w:rFonts w:asciiTheme="minorEastAsia" w:hAnsiTheme="minorEastAsia"/>
        </w:rPr>
        <w:t xml:space="preserve"> </w:t>
      </w:r>
      <w:r>
        <w:rPr>
          <w:rFonts w:hint="eastAsia" w:asciiTheme="minorEastAsia" w:hAnsiTheme="minorEastAsia"/>
        </w:rPr>
        <w:t xml:space="preserve">詹 </w:t>
      </w:r>
      <w:r>
        <w:rPr>
          <w:rFonts w:asciiTheme="minorEastAsia" w:hAnsiTheme="minorEastAsia"/>
        </w:rPr>
        <w:t xml:space="preserve"> </w:t>
      </w:r>
      <w:r>
        <w:rPr>
          <w:rFonts w:hint="eastAsia" w:asciiTheme="minorEastAsia" w:hAnsiTheme="minorEastAsia"/>
        </w:rPr>
        <w:t>巍</w:t>
      </w:r>
      <w:r>
        <w:rPr>
          <w:rFonts w:asciiTheme="minorEastAsia" w:hAnsiTheme="minorEastAsia"/>
        </w:rPr>
        <w:t xml:space="preserve">  </w:t>
      </w:r>
      <w:r>
        <w:rPr>
          <w:rFonts w:hint="eastAsia"/>
        </w:rPr>
        <w:t xml:space="preserve">罗 </w:t>
      </w:r>
      <w:r>
        <w:t xml:space="preserve"> </w:t>
      </w:r>
      <w:r>
        <w:rPr>
          <w:rFonts w:hint="eastAsia"/>
        </w:rPr>
        <w:t>辉</w:t>
      </w:r>
    </w:p>
    <w:p>
      <w:pPr>
        <w:widowControl/>
        <w:ind w:firstLine="2640" w:firstLineChars="1100"/>
        <w:jc w:val="left"/>
        <w:rPr>
          <w:rFonts w:asciiTheme="minorEastAsia" w:hAnsiTheme="minorEastAsia"/>
        </w:rPr>
      </w:pPr>
      <w:r>
        <w:rPr>
          <w:rFonts w:hint="eastAsia"/>
        </w:rPr>
        <w:t xml:space="preserve">卢敬斌 </w:t>
      </w:r>
      <w:r>
        <w:t xml:space="preserve"> </w:t>
      </w:r>
      <w:r>
        <w:rPr>
          <w:rFonts w:hint="eastAsia"/>
        </w:rPr>
        <w:t xml:space="preserve">董金荣 </w:t>
      </w:r>
      <w:r>
        <w:t xml:space="preserve"> </w:t>
      </w:r>
      <w:r>
        <w:rPr>
          <w:rFonts w:hint="eastAsia"/>
        </w:rPr>
        <w:t>杨小兵</w:t>
      </w:r>
    </w:p>
    <w:p>
      <w:pPr>
        <w:widowControl/>
        <w:spacing w:line="240" w:lineRule="auto"/>
        <w:ind w:firstLine="480" w:firstLineChars="0"/>
        <w:jc w:val="left"/>
        <w:rPr>
          <w:b/>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pPr>
      <w:r>
        <w:rPr>
          <w:rFonts w:hint="eastAsia" w:asciiTheme="minorEastAsia" w:hAnsiTheme="minorEastAsia"/>
          <w:b/>
          <w:szCs w:val="24"/>
        </w:rPr>
        <w:t>本规范主要审查人：</w:t>
      </w:r>
      <w:r>
        <w:rPr>
          <w:rFonts w:hint="eastAsia"/>
          <w:b/>
        </w:rPr>
        <w:t xml:space="preserve"> </w:t>
      </w:r>
    </w:p>
    <w:p>
      <w:pPr>
        <w:widowControl/>
        <w:spacing w:line="240" w:lineRule="auto"/>
        <w:ind w:firstLine="480" w:firstLineChars="0"/>
        <w:jc w:val="left"/>
        <w:rPr>
          <w:b/>
        </w:rPr>
      </w:pPr>
    </w:p>
    <w:p>
      <w:pPr>
        <w:pStyle w:val="63"/>
        <w:spacing w:after="156"/>
        <w:jc w:val="center"/>
        <w:rPr>
          <w:sz w:val="36"/>
        </w:rPr>
      </w:pPr>
      <w:r>
        <w:rPr>
          <w:rFonts w:hint="eastAsia"/>
          <w:sz w:val="36"/>
        </w:rPr>
        <w:t>目    次</w:t>
      </w:r>
    </w:p>
    <w:p>
      <w:pPr>
        <w:ind w:firstLine="480"/>
      </w:pPr>
    </w:p>
    <w:p>
      <w:pPr>
        <w:widowControl/>
        <w:spacing w:line="240" w:lineRule="auto"/>
        <w:ind w:firstLine="480" w:firstLineChars="0"/>
        <w:jc w:val="left"/>
        <w:rPr>
          <w:b/>
        </w:rPr>
      </w:pPr>
    </w:p>
    <w:p>
      <w:pPr>
        <w:pStyle w:val="26"/>
        <w:tabs>
          <w:tab w:val="right" w:leader="dot" w:pos="8296"/>
        </w:tabs>
        <w:rPr>
          <w:rFonts w:asciiTheme="minorHAnsi" w:hAnsiTheme="minorHAnsi"/>
          <w:sz w:val="21"/>
        </w:rPr>
      </w:pPr>
      <w:r>
        <w:fldChar w:fldCharType="begin"/>
      </w:r>
      <w:r>
        <w:instrText xml:space="preserve"> TOC \o "1-2" \h \z \u </w:instrText>
      </w:r>
      <w:r>
        <w:rPr>
          <w:rFonts w:hint="eastAsia"/>
        </w:rPr>
        <w:instrText xml:space="preserve">\b zhengwen</w:instrText>
      </w:r>
      <w:r>
        <w:fldChar w:fldCharType="separate"/>
      </w:r>
      <w:r>
        <w:fldChar w:fldCharType="begin"/>
      </w:r>
      <w:r>
        <w:instrText xml:space="preserve"> HYPERLINK \l "_Toc33185679" </w:instrText>
      </w:r>
      <w:r>
        <w:fldChar w:fldCharType="separate"/>
      </w:r>
      <w:r>
        <w:rPr>
          <w:rStyle w:val="37"/>
          <w:color w:val="auto"/>
        </w:rPr>
        <w:t>1 总    则</w:t>
      </w:r>
      <w:r>
        <w:tab/>
      </w:r>
      <w:r>
        <w:fldChar w:fldCharType="begin"/>
      </w:r>
      <w:r>
        <w:instrText xml:space="preserve"> PAGEREF _Toc33185679 \h </w:instrText>
      </w:r>
      <w:r>
        <w:fldChar w:fldCharType="separate"/>
      </w:r>
      <w:r>
        <w:t>1</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"_Toc33185680" </w:instrText>
      </w:r>
      <w:r>
        <w:fldChar w:fldCharType="separate"/>
      </w:r>
      <w:r>
        <w:rPr>
          <w:rStyle w:val="37"/>
          <w:color w:val="auto"/>
        </w:rPr>
        <w:t>2 术    语</w:t>
      </w:r>
      <w:r>
        <w:tab/>
      </w:r>
      <w:r>
        <w:fldChar w:fldCharType="begin"/>
      </w:r>
      <w:r>
        <w:instrText xml:space="preserve"> PAGEREF _Toc33185680 \h </w:instrText>
      </w:r>
      <w:r>
        <w:fldChar w:fldCharType="separate"/>
      </w:r>
      <w:r>
        <w:t>2</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"_Toc33185681" </w:instrText>
      </w:r>
      <w:r>
        <w:fldChar w:fldCharType="separate"/>
      </w:r>
      <w:r>
        <w:rPr>
          <w:rStyle w:val="37"/>
          <w:color w:val="auto"/>
        </w:rPr>
        <w:t>3 基本规定</w:t>
      </w:r>
      <w:r>
        <w:tab/>
      </w:r>
      <w:r>
        <w:fldChar w:fldCharType="begin"/>
      </w:r>
      <w:r>
        <w:instrText xml:space="preserve"> PAGEREF _Toc33185681 \h </w:instrText>
      </w:r>
      <w:r>
        <w:fldChar w:fldCharType="separate"/>
      </w:r>
      <w:r>
        <w:t>4</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"_Toc33185682" </w:instrText>
      </w:r>
      <w:r>
        <w:fldChar w:fldCharType="separate"/>
      </w:r>
      <w:r>
        <w:rPr>
          <w:rStyle w:val="37"/>
          <w:color w:val="auto"/>
        </w:rPr>
        <w:t>4 编制内容综合说明</w:t>
      </w:r>
      <w:r>
        <w:tab/>
      </w:r>
      <w:r>
        <w:fldChar w:fldCharType="begin"/>
      </w:r>
      <w:r>
        <w:instrText xml:space="preserve"> PAGEREF _Toc33185682 \h </w:instrText>
      </w:r>
      <w:r>
        <w:fldChar w:fldCharType="separate"/>
      </w:r>
      <w:r>
        <w:t>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"_Toc33185683" </w:instrText>
      </w:r>
      <w:r>
        <w:fldChar w:fldCharType="separate"/>
      </w:r>
      <w:r>
        <w:rPr>
          <w:rStyle w:val="37"/>
          <w:color w:val="auto"/>
        </w:rPr>
        <w:t>5 区域概况</w:t>
      </w:r>
      <w:r>
        <w:tab/>
      </w:r>
      <w:r>
        <w:fldChar w:fldCharType="begin"/>
      </w:r>
      <w:r>
        <w:instrText xml:space="preserve"> PAGEREF _Toc33185683 \h </w:instrText>
      </w:r>
      <w:r>
        <w:fldChar w:fldCharType="separate"/>
      </w:r>
      <w:r>
        <w:t>8</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"_Toc33185684" </w:instrText>
      </w:r>
      <w:r>
        <w:fldChar w:fldCharType="separate"/>
      </w:r>
      <w:r>
        <w:rPr>
          <w:rStyle w:val="37"/>
          <w:color w:val="auto"/>
        </w:rPr>
        <w:t>6 现状调查评价</w:t>
      </w:r>
      <w:r>
        <w:tab/>
      </w:r>
      <w:r>
        <w:fldChar w:fldCharType="begin"/>
      </w:r>
      <w:r>
        <w:instrText xml:space="preserve"> PAGEREF _Toc33185684 \h </w:instrText>
      </w:r>
      <w:r>
        <w:fldChar w:fldCharType="separate"/>
      </w:r>
      <w:r>
        <w:t>9</w:t>
      </w:r>
      <w:r>
        <w:fldChar w:fldCharType="end"/>
      </w:r>
      <w:r>
        <w:fldChar w:fldCharType="end"/>
      </w:r>
    </w:p>
    <w:p>
      <w:pPr>
        <w:pStyle w:val="31"/>
        <w:ind w:left="480"/>
        <w:rPr>
          <w:rFonts w:asciiTheme="minorHAnsi" w:hAnsiTheme="minorHAnsi"/>
          <w:sz w:val="21"/>
        </w:rPr>
      </w:pPr>
      <w:r>
        <w:fldChar w:fldCharType="begin"/>
      </w:r>
      <w:r>
        <w:instrText xml:space="preserve"> HYPERLINK \l "_Toc33185685" </w:instrText>
      </w:r>
      <w:r>
        <w:fldChar w:fldCharType="separate"/>
      </w:r>
      <w:r>
        <w:rPr>
          <w:rStyle w:val="37"/>
          <w:color w:val="auto"/>
        </w:rPr>
        <w:t>6.1 一般规定</w:t>
      </w:r>
      <w:r>
        <w:tab/>
      </w:r>
      <w:r>
        <w:fldChar w:fldCharType="begin"/>
      </w:r>
      <w:r>
        <w:instrText xml:space="preserve"> PAGEREF _Toc33185685 \h </w:instrText>
      </w:r>
      <w:r>
        <w:fldChar w:fldCharType="separate"/>
      </w:r>
      <w:r>
        <w:t>9</w:t>
      </w:r>
      <w:r>
        <w:fldChar w:fldCharType="end"/>
      </w:r>
      <w:r>
        <w:fldChar w:fldCharType="end"/>
      </w:r>
    </w:p>
    <w:p>
      <w:pPr>
        <w:pStyle w:val="31"/>
        <w:ind w:left="480"/>
        <w:rPr>
          <w:rFonts w:asciiTheme="minorHAnsi" w:hAnsiTheme="minorHAnsi"/>
          <w:sz w:val="21"/>
        </w:rPr>
      </w:pPr>
      <w:r>
        <w:fldChar w:fldCharType="begin"/>
      </w:r>
      <w:r>
        <w:instrText xml:space="preserve"> HYPERLINK \l "_Toc33185686" </w:instrText>
      </w:r>
      <w:r>
        <w:fldChar w:fldCharType="separate"/>
      </w:r>
      <w:r>
        <w:rPr>
          <w:rStyle w:val="37"/>
          <w:color w:val="auto"/>
        </w:rPr>
        <w:t>6.2 流域概况调查</w:t>
      </w:r>
      <w:r>
        <w:tab/>
      </w:r>
      <w:r>
        <w:fldChar w:fldCharType="begin"/>
      </w:r>
      <w:r>
        <w:instrText xml:space="preserve"> PAGEREF _Toc33185686 \h </w:instrText>
      </w:r>
      <w:r>
        <w:fldChar w:fldCharType="separate"/>
      </w:r>
      <w:r>
        <w:t>9</w:t>
      </w:r>
      <w:r>
        <w:fldChar w:fldCharType="end"/>
      </w:r>
      <w:r>
        <w:fldChar w:fldCharType="end"/>
      </w:r>
    </w:p>
    <w:p>
      <w:pPr>
        <w:pStyle w:val="31"/>
        <w:ind w:left="480"/>
        <w:rPr>
          <w:rFonts w:asciiTheme="minorHAnsi" w:hAnsiTheme="minorHAnsi"/>
          <w:sz w:val="21"/>
        </w:rPr>
      </w:pPr>
      <w:r>
        <w:fldChar w:fldCharType="begin"/>
      </w:r>
      <w:r>
        <w:instrText xml:space="preserve"> HYPERLINK \l "_Toc33185687" </w:instrText>
      </w:r>
      <w:r>
        <w:fldChar w:fldCharType="separate"/>
      </w:r>
      <w:r>
        <w:rPr>
          <w:rStyle w:val="37"/>
          <w:color w:val="auto"/>
        </w:rPr>
        <w:t>6.3 水质状况调查</w:t>
      </w:r>
      <w:r>
        <w:tab/>
      </w:r>
      <w:r>
        <w:fldChar w:fldCharType="begin"/>
      </w:r>
      <w:r>
        <w:instrText xml:space="preserve"> PAGEREF _Toc33185687 \h </w:instrText>
      </w:r>
      <w:r>
        <w:fldChar w:fldCharType="separate"/>
      </w:r>
      <w:r>
        <w:t>10</w:t>
      </w:r>
      <w:r>
        <w:fldChar w:fldCharType="end"/>
      </w:r>
      <w:r>
        <w:fldChar w:fldCharType="end"/>
      </w:r>
    </w:p>
    <w:p>
      <w:pPr>
        <w:pStyle w:val="31"/>
        <w:ind w:left="480"/>
        <w:rPr>
          <w:rFonts w:asciiTheme="minorHAnsi" w:hAnsiTheme="minorHAnsi"/>
          <w:sz w:val="21"/>
        </w:rPr>
      </w:pPr>
      <w:r>
        <w:fldChar w:fldCharType="begin"/>
      </w:r>
      <w:r>
        <w:instrText xml:space="preserve"> HYPERLINK \l "_Toc33185688" </w:instrText>
      </w:r>
      <w:r>
        <w:fldChar w:fldCharType="separate"/>
      </w:r>
      <w:r>
        <w:rPr>
          <w:rStyle w:val="37"/>
          <w:color w:val="auto"/>
        </w:rPr>
        <w:t>6.4 污染源调查</w:t>
      </w:r>
      <w:r>
        <w:tab/>
      </w:r>
      <w:r>
        <w:fldChar w:fldCharType="begin"/>
      </w:r>
      <w:r>
        <w:instrText xml:space="preserve"> PAGEREF _Toc33185688 \h </w:instrText>
      </w:r>
      <w:r>
        <w:fldChar w:fldCharType="separate"/>
      </w:r>
      <w:r>
        <w:t>11</w:t>
      </w:r>
      <w:r>
        <w:fldChar w:fldCharType="end"/>
      </w:r>
      <w:r>
        <w:fldChar w:fldCharType="end"/>
      </w:r>
    </w:p>
    <w:p>
      <w:pPr>
        <w:pStyle w:val="31"/>
        <w:ind w:left="480"/>
        <w:rPr>
          <w:rFonts w:asciiTheme="minorHAnsi" w:hAnsiTheme="minorHAnsi"/>
          <w:sz w:val="21"/>
        </w:rPr>
      </w:pPr>
      <w:r>
        <w:fldChar w:fldCharType="begin"/>
      </w:r>
      <w:r>
        <w:instrText xml:space="preserve"> HYPERLINK \l "_Toc33185689" </w:instrText>
      </w:r>
      <w:r>
        <w:fldChar w:fldCharType="separate"/>
      </w:r>
      <w:r>
        <w:rPr>
          <w:rStyle w:val="37"/>
          <w:color w:val="auto"/>
        </w:rPr>
        <w:t>6.5 水生态调查</w:t>
      </w:r>
      <w:r>
        <w:tab/>
      </w:r>
      <w:r>
        <w:fldChar w:fldCharType="begin"/>
      </w:r>
      <w:r>
        <w:instrText xml:space="preserve"> PAGEREF _Toc33185689 \h </w:instrText>
      </w:r>
      <w:r>
        <w:fldChar w:fldCharType="separate"/>
      </w:r>
      <w:r>
        <w:t>11</w:t>
      </w:r>
      <w:r>
        <w:fldChar w:fldCharType="end"/>
      </w:r>
      <w:r>
        <w:fldChar w:fldCharType="end"/>
      </w:r>
    </w:p>
    <w:p>
      <w:pPr>
        <w:pStyle w:val="31"/>
        <w:ind w:left="480"/>
        <w:rPr>
          <w:rFonts w:asciiTheme="minorHAnsi" w:hAnsiTheme="minorHAnsi"/>
          <w:sz w:val="21"/>
        </w:rPr>
      </w:pPr>
      <w:r>
        <w:fldChar w:fldCharType="begin"/>
      </w:r>
      <w:r>
        <w:instrText xml:space="preserve"> HYPERLINK \l "_Toc33185690" </w:instrText>
      </w:r>
      <w:r>
        <w:fldChar w:fldCharType="separate"/>
      </w:r>
      <w:r>
        <w:rPr>
          <w:rStyle w:val="37"/>
          <w:color w:val="auto"/>
        </w:rPr>
        <w:t>6.6 排水管网调查</w:t>
      </w:r>
      <w:r>
        <w:tab/>
      </w:r>
      <w:r>
        <w:fldChar w:fldCharType="begin"/>
      </w:r>
      <w:r>
        <w:instrText xml:space="preserve"> PAGEREF _Toc33185690 \h </w:instrText>
      </w:r>
      <w:r>
        <w:fldChar w:fldCharType="separate"/>
      </w:r>
      <w:r>
        <w:t>12</w:t>
      </w:r>
      <w:r>
        <w:fldChar w:fldCharType="end"/>
      </w:r>
      <w:r>
        <w:fldChar w:fldCharType="end"/>
      </w:r>
    </w:p>
    <w:p>
      <w:pPr>
        <w:pStyle w:val="31"/>
        <w:ind w:left="480"/>
        <w:rPr>
          <w:rFonts w:asciiTheme="minorHAnsi" w:hAnsiTheme="minorHAnsi"/>
          <w:sz w:val="21"/>
        </w:rPr>
      </w:pPr>
      <w:r>
        <w:fldChar w:fldCharType="begin"/>
      </w:r>
      <w:r>
        <w:instrText xml:space="preserve"> HYPERLINK \l "_Toc33185691" </w:instrText>
      </w:r>
      <w:r>
        <w:fldChar w:fldCharType="separate"/>
      </w:r>
      <w:r>
        <w:rPr>
          <w:rStyle w:val="37"/>
          <w:color w:val="auto"/>
        </w:rPr>
        <w:t>6.7 治理措施调查</w:t>
      </w:r>
      <w:r>
        <w:tab/>
      </w:r>
      <w:r>
        <w:fldChar w:fldCharType="begin"/>
      </w:r>
      <w:r>
        <w:instrText xml:space="preserve"> PAGEREF _Toc33185691 \h </w:instrText>
      </w:r>
      <w:r>
        <w:fldChar w:fldCharType="separate"/>
      </w:r>
      <w:r>
        <w:t>12</w:t>
      </w:r>
      <w:r>
        <w:fldChar w:fldCharType="end"/>
      </w:r>
      <w:r>
        <w:fldChar w:fldCharType="end"/>
      </w:r>
    </w:p>
    <w:p>
      <w:pPr>
        <w:pStyle w:val="31"/>
        <w:ind w:left="480"/>
        <w:rPr>
          <w:rFonts w:asciiTheme="minorHAnsi" w:hAnsiTheme="minorHAnsi"/>
          <w:sz w:val="21"/>
        </w:rPr>
      </w:pPr>
      <w:r>
        <w:fldChar w:fldCharType="begin"/>
      </w:r>
      <w:r>
        <w:instrText xml:space="preserve"> HYPERLINK \l "_Toc33185692" </w:instrText>
      </w:r>
      <w:r>
        <w:fldChar w:fldCharType="separate"/>
      </w:r>
      <w:r>
        <w:rPr>
          <w:rStyle w:val="37"/>
          <w:color w:val="auto"/>
        </w:rPr>
        <w:t>6.8 岸线管理与利用调查</w:t>
      </w:r>
      <w:r>
        <w:tab/>
      </w:r>
      <w:r>
        <w:fldChar w:fldCharType="begin"/>
      </w:r>
      <w:r>
        <w:instrText xml:space="preserve"> PAGEREF _Toc33185692 \h </w:instrText>
      </w:r>
      <w:r>
        <w:fldChar w:fldCharType="separate"/>
      </w:r>
      <w:r>
        <w:t>13</w:t>
      </w:r>
      <w:r>
        <w:fldChar w:fldCharType="end"/>
      </w:r>
      <w:r>
        <w:fldChar w:fldCharType="end"/>
      </w:r>
    </w:p>
    <w:p>
      <w:pPr>
        <w:pStyle w:val="31"/>
        <w:ind w:left="480"/>
        <w:rPr>
          <w:rFonts w:asciiTheme="minorHAnsi" w:hAnsiTheme="minorHAnsi"/>
          <w:sz w:val="21"/>
        </w:rPr>
      </w:pPr>
      <w:r>
        <w:fldChar w:fldCharType="begin"/>
      </w:r>
      <w:r>
        <w:instrText xml:space="preserve"> HYPERLINK \l "_Toc33185693" </w:instrText>
      </w:r>
      <w:r>
        <w:fldChar w:fldCharType="separate"/>
      </w:r>
      <w:r>
        <w:rPr>
          <w:rStyle w:val="37"/>
          <w:color w:val="auto"/>
        </w:rPr>
        <w:t>6.9 信息管控调查</w:t>
      </w:r>
      <w:r>
        <w:tab/>
      </w:r>
      <w:r>
        <w:fldChar w:fldCharType="begin"/>
      </w:r>
      <w:r>
        <w:instrText xml:space="preserve"> PAGEREF _Toc33185693 \h </w:instrText>
      </w:r>
      <w:r>
        <w:fldChar w:fldCharType="separate"/>
      </w:r>
      <w:r>
        <w:t>13</w:t>
      </w:r>
      <w:r>
        <w:fldChar w:fldCharType="end"/>
      </w:r>
      <w:r>
        <w:fldChar w:fldCharType="end"/>
      </w:r>
    </w:p>
    <w:p>
      <w:pPr>
        <w:pStyle w:val="31"/>
        <w:ind w:left="480"/>
        <w:rPr>
          <w:rFonts w:asciiTheme="minorHAnsi" w:hAnsiTheme="minorHAnsi"/>
          <w:sz w:val="21"/>
        </w:rPr>
      </w:pPr>
      <w:r>
        <w:fldChar w:fldCharType="begin"/>
      </w:r>
      <w:r>
        <w:instrText xml:space="preserve"> HYPERLINK \l "_Toc33185694" </w:instrText>
      </w:r>
      <w:r>
        <w:fldChar w:fldCharType="separate"/>
      </w:r>
      <w:r>
        <w:rPr>
          <w:rStyle w:val="37"/>
          <w:color w:val="auto"/>
        </w:rPr>
        <w:t>6.10 公众调查</w:t>
      </w:r>
      <w:r>
        <w:tab/>
      </w:r>
      <w:r>
        <w:fldChar w:fldCharType="begin"/>
      </w:r>
      <w:r>
        <w:instrText xml:space="preserve"> PAGEREF _Toc33185694 \h </w:instrText>
      </w:r>
      <w:r>
        <w:fldChar w:fldCharType="separate"/>
      </w:r>
      <w:r>
        <w:t>13</w:t>
      </w:r>
      <w:r>
        <w:fldChar w:fldCharType="end"/>
      </w:r>
      <w:r>
        <w:fldChar w:fldCharType="end"/>
      </w:r>
    </w:p>
    <w:p>
      <w:pPr>
        <w:pStyle w:val="31"/>
        <w:ind w:left="480"/>
        <w:rPr>
          <w:rFonts w:asciiTheme="minorHAnsi" w:hAnsiTheme="minorHAnsi"/>
          <w:sz w:val="21"/>
        </w:rPr>
      </w:pPr>
      <w:r>
        <w:fldChar w:fldCharType="begin"/>
      </w:r>
      <w:r>
        <w:instrText xml:space="preserve"> HYPERLINK \l "_Toc33185695" </w:instrText>
      </w:r>
      <w:r>
        <w:fldChar w:fldCharType="separate"/>
      </w:r>
      <w:r>
        <w:rPr>
          <w:rStyle w:val="37"/>
          <w:color w:val="auto"/>
        </w:rPr>
        <w:t>6.11 水体污染评价与成因分析</w:t>
      </w:r>
      <w:r>
        <w:tab/>
      </w:r>
      <w:r>
        <w:fldChar w:fldCharType="begin"/>
      </w:r>
      <w:r>
        <w:instrText xml:space="preserve"> PAGEREF _Toc33185695 \h </w:instrText>
      </w:r>
      <w:r>
        <w:fldChar w:fldCharType="separate"/>
      </w:r>
      <w:r>
        <w:t>13</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"_Toc33185696" </w:instrText>
      </w:r>
      <w:r>
        <w:fldChar w:fldCharType="separate"/>
      </w:r>
      <w:r>
        <w:rPr>
          <w:rStyle w:val="37"/>
          <w:color w:val="auto"/>
        </w:rPr>
        <w:t>7 总体规划</w:t>
      </w:r>
      <w:r>
        <w:tab/>
      </w:r>
      <w:r>
        <w:fldChar w:fldCharType="begin"/>
      </w:r>
      <w:r>
        <w:instrText xml:space="preserve"> PAGEREF _Toc33185696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"_Toc33185697" </w:instrText>
      </w:r>
      <w:r>
        <w:fldChar w:fldCharType="separate"/>
      </w:r>
      <w:r>
        <w:rPr>
          <w:rStyle w:val="37"/>
          <w:color w:val="auto"/>
        </w:rPr>
        <w:t>7.1 基本原则</w:t>
      </w:r>
      <w:r>
        <w:tab/>
      </w:r>
      <w:r>
        <w:fldChar w:fldCharType="begin"/>
      </w:r>
      <w:r>
        <w:instrText xml:space="preserve"> PAGEREF _Toc33185697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"_Toc33185698" </w:instrText>
      </w:r>
      <w:r>
        <w:fldChar w:fldCharType="separate"/>
      </w:r>
      <w:r>
        <w:rPr>
          <w:rStyle w:val="37"/>
          <w:color w:val="auto"/>
        </w:rPr>
        <w:t>7.2 规划目标与任务</w:t>
      </w:r>
      <w:r>
        <w:tab/>
      </w:r>
      <w:r>
        <w:fldChar w:fldCharType="begin"/>
      </w:r>
      <w:r>
        <w:instrText xml:space="preserve"> PAGEREF _Toc33185698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"_Toc33185699" </w:instrText>
      </w:r>
      <w:r>
        <w:fldChar w:fldCharType="separate"/>
      </w:r>
      <w:r>
        <w:rPr>
          <w:rStyle w:val="37"/>
          <w:color w:val="auto"/>
        </w:rPr>
        <w:t>7.3 规划范围</w:t>
      </w:r>
      <w:r>
        <w:tab/>
      </w:r>
      <w:r>
        <w:fldChar w:fldCharType="begin"/>
      </w:r>
      <w:r>
        <w:instrText xml:space="preserve"> PAGEREF _Toc33185699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"_Toc33185700" </w:instrText>
      </w:r>
      <w:r>
        <w:fldChar w:fldCharType="separate"/>
      </w:r>
      <w:r>
        <w:rPr>
          <w:rStyle w:val="37"/>
          <w:color w:val="auto"/>
        </w:rPr>
        <w:t>7.4 总体布局</w:t>
      </w:r>
      <w:r>
        <w:tab/>
      </w:r>
      <w:r>
        <w:fldChar w:fldCharType="begin"/>
      </w:r>
      <w:r>
        <w:instrText xml:space="preserve"> PAGEREF _Toc33185700 \h </w:instrText>
      </w:r>
      <w:r>
        <w:fldChar w:fldCharType="separate"/>
      </w:r>
      <w:r>
        <w:t>16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"_Toc33185701" </w:instrText>
      </w:r>
      <w:r>
        <w:fldChar w:fldCharType="separate"/>
      </w:r>
      <w:r>
        <w:rPr>
          <w:rStyle w:val="37"/>
          <w:color w:val="auto"/>
        </w:rPr>
        <w:t>8 治理方案</w:t>
      </w:r>
      <w:r>
        <w:tab/>
      </w:r>
      <w:r>
        <w:fldChar w:fldCharType="begin"/>
      </w:r>
      <w:r>
        <w:instrText xml:space="preserve"> PAGEREF _Toc33185701 \h </w:instrText>
      </w:r>
      <w:r>
        <w:fldChar w:fldCharType="separate"/>
      </w:r>
      <w:r>
        <w:t>17</w:t>
      </w:r>
      <w:r>
        <w:fldChar w:fldCharType="end"/>
      </w:r>
      <w:r>
        <w:fldChar w:fldCharType="end"/>
      </w:r>
    </w:p>
    <w:p>
      <w:pPr>
        <w:pStyle w:val="31"/>
        <w:ind w:left="480"/>
        <w:rPr>
          <w:rFonts w:asciiTheme="minorHAnsi" w:hAnsiTheme="minorHAnsi"/>
          <w:sz w:val="21"/>
        </w:rPr>
      </w:pPr>
      <w:r>
        <w:fldChar w:fldCharType="begin"/>
      </w:r>
      <w:r>
        <w:instrText xml:space="preserve"> HYPERLINK \l "_Toc33185702" </w:instrText>
      </w:r>
      <w:r>
        <w:fldChar w:fldCharType="separate"/>
      </w:r>
      <w:r>
        <w:rPr>
          <w:rStyle w:val="37"/>
          <w:color w:val="auto"/>
        </w:rPr>
        <w:t>8.1 一般规定</w:t>
      </w:r>
      <w:r>
        <w:tab/>
      </w:r>
      <w:r>
        <w:fldChar w:fldCharType="begin"/>
      </w:r>
      <w:r>
        <w:instrText xml:space="preserve"> PAGEREF _Toc33185702 \h </w:instrText>
      </w:r>
      <w:r>
        <w:fldChar w:fldCharType="separate"/>
      </w:r>
      <w:r>
        <w:t>17</w:t>
      </w:r>
      <w:r>
        <w:fldChar w:fldCharType="end"/>
      </w:r>
      <w:r>
        <w:fldChar w:fldCharType="end"/>
      </w:r>
    </w:p>
    <w:p>
      <w:pPr>
        <w:pStyle w:val="31"/>
        <w:ind w:left="480"/>
        <w:rPr>
          <w:rFonts w:asciiTheme="minorHAnsi" w:hAnsiTheme="minorHAnsi"/>
          <w:sz w:val="21"/>
        </w:rPr>
      </w:pPr>
      <w:r>
        <w:fldChar w:fldCharType="begin"/>
      </w:r>
      <w:r>
        <w:instrText xml:space="preserve"> HYPERLINK \l "_Toc33185703" </w:instrText>
      </w:r>
      <w:r>
        <w:fldChar w:fldCharType="separate"/>
      </w:r>
      <w:r>
        <w:rPr>
          <w:rStyle w:val="37"/>
          <w:color w:val="auto"/>
        </w:rPr>
        <w:t>8.2 控源截污方案</w:t>
      </w:r>
      <w:r>
        <w:tab/>
      </w:r>
      <w:r>
        <w:fldChar w:fldCharType="begin"/>
      </w:r>
      <w:r>
        <w:instrText xml:space="preserve"> PAGEREF _Toc33185703 \h </w:instrText>
      </w:r>
      <w:r>
        <w:fldChar w:fldCharType="separate"/>
      </w:r>
      <w:r>
        <w:t>17</w:t>
      </w:r>
      <w:r>
        <w:fldChar w:fldCharType="end"/>
      </w:r>
      <w:r>
        <w:fldChar w:fldCharType="end"/>
      </w:r>
    </w:p>
    <w:p>
      <w:pPr>
        <w:pStyle w:val="31"/>
        <w:ind w:left="480"/>
        <w:rPr>
          <w:rFonts w:asciiTheme="minorHAnsi" w:hAnsiTheme="minorHAnsi"/>
          <w:sz w:val="21"/>
        </w:rPr>
      </w:pPr>
      <w:r>
        <w:fldChar w:fldCharType="begin"/>
      </w:r>
      <w:r>
        <w:instrText xml:space="preserve"> HYPERLINK \l "_Toc33185704" </w:instrText>
      </w:r>
      <w:r>
        <w:fldChar w:fldCharType="separate"/>
      </w:r>
      <w:r>
        <w:rPr>
          <w:rStyle w:val="37"/>
          <w:color w:val="auto"/>
        </w:rPr>
        <w:t>8.3 内源治理方案</w:t>
      </w:r>
      <w:r>
        <w:tab/>
      </w:r>
      <w:r>
        <w:fldChar w:fldCharType="begin"/>
      </w:r>
      <w:r>
        <w:instrText xml:space="preserve"> PAGEREF _Toc33185704 \h </w:instrText>
      </w:r>
      <w:r>
        <w:fldChar w:fldCharType="separate"/>
      </w:r>
      <w:r>
        <w:t>18</w:t>
      </w:r>
      <w:r>
        <w:fldChar w:fldCharType="end"/>
      </w:r>
      <w:r>
        <w:fldChar w:fldCharType="end"/>
      </w:r>
    </w:p>
    <w:p>
      <w:pPr>
        <w:pStyle w:val="31"/>
        <w:ind w:left="480"/>
        <w:rPr>
          <w:rFonts w:asciiTheme="minorHAnsi" w:hAnsiTheme="minorHAnsi"/>
          <w:sz w:val="21"/>
        </w:rPr>
      </w:pPr>
      <w:r>
        <w:fldChar w:fldCharType="begin"/>
      </w:r>
      <w:r>
        <w:instrText xml:space="preserve"> HYPERLINK \l "_Toc33185705" </w:instrText>
      </w:r>
      <w:r>
        <w:fldChar w:fldCharType="separate"/>
      </w:r>
      <w:r>
        <w:rPr>
          <w:rStyle w:val="37"/>
          <w:color w:val="auto"/>
        </w:rPr>
        <w:t>8.4 生态修复方案</w:t>
      </w:r>
      <w:r>
        <w:tab/>
      </w:r>
      <w:r>
        <w:fldChar w:fldCharType="begin"/>
      </w:r>
      <w:r>
        <w:instrText xml:space="preserve"> PAGEREF _Toc33185705 \h </w:instrText>
      </w:r>
      <w:r>
        <w:fldChar w:fldCharType="separate"/>
      </w:r>
      <w:r>
        <w:t>18</w:t>
      </w:r>
      <w:r>
        <w:fldChar w:fldCharType="end"/>
      </w:r>
      <w:r>
        <w:fldChar w:fldCharType="end"/>
      </w:r>
    </w:p>
    <w:p>
      <w:pPr>
        <w:pStyle w:val="31"/>
        <w:ind w:left="480"/>
        <w:rPr>
          <w:rFonts w:asciiTheme="minorHAnsi" w:hAnsiTheme="minorHAnsi"/>
          <w:sz w:val="21"/>
        </w:rPr>
      </w:pPr>
      <w:r>
        <w:fldChar w:fldCharType="begin"/>
      </w:r>
      <w:r>
        <w:instrText xml:space="preserve"> HYPERLINK \l "_Toc33185706" </w:instrText>
      </w:r>
      <w:r>
        <w:fldChar w:fldCharType="separate"/>
      </w:r>
      <w:r>
        <w:rPr>
          <w:rStyle w:val="37"/>
          <w:color w:val="auto"/>
        </w:rPr>
        <w:t>8.5 活水提质方案</w:t>
      </w:r>
      <w:r>
        <w:tab/>
      </w:r>
      <w:r>
        <w:fldChar w:fldCharType="begin"/>
      </w:r>
      <w:r>
        <w:instrText xml:space="preserve"> PAGEREF _Toc33185706 \h </w:instrText>
      </w:r>
      <w:r>
        <w:fldChar w:fldCharType="separate"/>
      </w:r>
      <w:r>
        <w:t>19</w:t>
      </w:r>
      <w:r>
        <w:fldChar w:fldCharType="end"/>
      </w:r>
      <w:r>
        <w:fldChar w:fldCharType="end"/>
      </w:r>
    </w:p>
    <w:p>
      <w:pPr>
        <w:pStyle w:val="31"/>
        <w:ind w:left="480"/>
        <w:rPr>
          <w:rFonts w:asciiTheme="minorHAnsi" w:hAnsiTheme="minorHAnsi"/>
          <w:sz w:val="21"/>
        </w:rPr>
      </w:pPr>
      <w:r>
        <w:fldChar w:fldCharType="begin"/>
      </w:r>
      <w:r>
        <w:instrText xml:space="preserve"> HYPERLINK \l "_Toc33185707" </w:instrText>
      </w:r>
      <w:r>
        <w:fldChar w:fldCharType="separate"/>
      </w:r>
      <w:r>
        <w:rPr>
          <w:rStyle w:val="37"/>
          <w:color w:val="auto"/>
        </w:rPr>
        <w:t>8.6 其他工程方案</w:t>
      </w:r>
      <w:r>
        <w:tab/>
      </w:r>
      <w:r>
        <w:fldChar w:fldCharType="begin"/>
      </w:r>
      <w:r>
        <w:instrText xml:space="preserve"> PAGEREF _Toc33185707 \h </w:instrText>
      </w:r>
      <w:r>
        <w:fldChar w:fldCharType="separate"/>
      </w:r>
      <w:r>
        <w:t>20</w:t>
      </w:r>
      <w:r>
        <w:fldChar w:fldCharType="end"/>
      </w:r>
      <w:r>
        <w:fldChar w:fldCharType="end"/>
      </w:r>
    </w:p>
    <w:p>
      <w:pPr>
        <w:pStyle w:val="31"/>
        <w:ind w:left="480"/>
        <w:rPr>
          <w:rFonts w:asciiTheme="minorHAnsi" w:hAnsiTheme="minorHAnsi"/>
          <w:sz w:val="21"/>
        </w:rPr>
      </w:pPr>
      <w:r>
        <w:fldChar w:fldCharType="begin"/>
      </w:r>
      <w:r>
        <w:instrText xml:space="preserve"> HYPERLINK \l "_Toc33185708" </w:instrText>
      </w:r>
      <w:r>
        <w:fldChar w:fldCharType="separate"/>
      </w:r>
      <w:r>
        <w:rPr>
          <w:rStyle w:val="37"/>
          <w:color w:val="auto"/>
        </w:rPr>
        <w:t>8.7 实施方案计划安排</w:t>
      </w:r>
      <w:r>
        <w:tab/>
      </w:r>
      <w:r>
        <w:fldChar w:fldCharType="begin"/>
      </w:r>
      <w:r>
        <w:instrText xml:space="preserve"> PAGEREF _Toc33185708 \h </w:instrText>
      </w:r>
      <w:r>
        <w:fldChar w:fldCharType="separate"/>
      </w:r>
      <w:r>
        <w:t>20</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"_Toc33185709" </w:instrText>
      </w:r>
      <w:r>
        <w:fldChar w:fldCharType="separate"/>
      </w:r>
      <w:r>
        <w:rPr>
          <w:rStyle w:val="37"/>
          <w:color w:val="auto"/>
        </w:rPr>
        <w:t>9 投资估算</w:t>
      </w:r>
      <w:r>
        <w:tab/>
      </w:r>
      <w:r>
        <w:fldChar w:fldCharType="begin"/>
      </w:r>
      <w:r>
        <w:instrText xml:space="preserve"> PAGEREF _Toc33185709 \h </w:instrText>
      </w:r>
      <w:r>
        <w:fldChar w:fldCharType="separate"/>
      </w:r>
      <w:r>
        <w:t>21</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"_Toc33185710" </w:instrText>
      </w:r>
      <w:r>
        <w:fldChar w:fldCharType="separate"/>
      </w:r>
      <w:r>
        <w:rPr>
          <w:rStyle w:val="37"/>
          <w:color w:val="auto"/>
        </w:rPr>
        <w:t>10 非工程治理措施方案</w:t>
      </w:r>
      <w:r>
        <w:tab/>
      </w:r>
      <w:r>
        <w:fldChar w:fldCharType="begin"/>
      </w:r>
      <w:r>
        <w:instrText xml:space="preserve"> PAGEREF _Toc33185710 \h </w:instrText>
      </w:r>
      <w:r>
        <w:fldChar w:fldCharType="separate"/>
      </w:r>
      <w:r>
        <w:t>22</w:t>
      </w:r>
      <w:r>
        <w:fldChar w:fldCharType="end"/>
      </w:r>
      <w:r>
        <w:fldChar w:fldCharType="end"/>
      </w:r>
    </w:p>
    <w:p>
      <w:pPr>
        <w:pStyle w:val="31"/>
        <w:ind w:left="480"/>
        <w:rPr>
          <w:rFonts w:asciiTheme="minorHAnsi" w:hAnsiTheme="minorHAnsi"/>
          <w:sz w:val="21"/>
        </w:rPr>
      </w:pPr>
      <w:r>
        <w:fldChar w:fldCharType="begin"/>
      </w:r>
      <w:r>
        <w:instrText xml:space="preserve"> HYPERLINK \l "_Toc33185711" </w:instrText>
      </w:r>
      <w:r>
        <w:fldChar w:fldCharType="separate"/>
      </w:r>
      <w:r>
        <w:rPr>
          <w:rStyle w:val="37"/>
          <w:color w:val="auto"/>
        </w:rPr>
        <w:t>10.1 综合管理系统建设方案</w:t>
      </w:r>
      <w:r>
        <w:tab/>
      </w:r>
      <w:r>
        <w:fldChar w:fldCharType="begin"/>
      </w:r>
      <w:r>
        <w:instrText xml:space="preserve"> PAGEREF _Toc33185711 \h </w:instrText>
      </w:r>
      <w:r>
        <w:fldChar w:fldCharType="separate"/>
      </w:r>
      <w:r>
        <w:t>22</w:t>
      </w:r>
      <w:r>
        <w:fldChar w:fldCharType="end"/>
      </w:r>
      <w:r>
        <w:fldChar w:fldCharType="end"/>
      </w:r>
    </w:p>
    <w:p>
      <w:pPr>
        <w:pStyle w:val="31"/>
        <w:ind w:left="480"/>
        <w:rPr>
          <w:rFonts w:asciiTheme="minorHAnsi" w:hAnsiTheme="minorHAnsi"/>
          <w:sz w:val="21"/>
        </w:rPr>
      </w:pPr>
      <w:r>
        <w:fldChar w:fldCharType="begin"/>
      </w:r>
      <w:r>
        <w:instrText xml:space="preserve"> HYPERLINK \l "_Toc33185712" </w:instrText>
      </w:r>
      <w:r>
        <w:fldChar w:fldCharType="separate"/>
      </w:r>
      <w:r>
        <w:rPr>
          <w:rStyle w:val="37"/>
          <w:color w:val="auto"/>
        </w:rPr>
        <w:t>10.2 信息管控系统建设方案</w:t>
      </w:r>
      <w:r>
        <w:tab/>
      </w:r>
      <w:r>
        <w:fldChar w:fldCharType="begin"/>
      </w:r>
      <w:r>
        <w:instrText xml:space="preserve"> PAGEREF _Toc33185712 \h </w:instrText>
      </w:r>
      <w:r>
        <w:fldChar w:fldCharType="separate"/>
      </w:r>
      <w:r>
        <w:t>22</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"_Toc33185713" </w:instrText>
      </w:r>
      <w:r>
        <w:fldChar w:fldCharType="separate"/>
      </w:r>
      <w:r>
        <w:rPr>
          <w:rStyle w:val="37"/>
          <w:color w:val="auto"/>
        </w:rPr>
        <w:t>11 规划环境影响评价</w:t>
      </w:r>
      <w:r>
        <w:tab/>
      </w:r>
      <w:r>
        <w:fldChar w:fldCharType="begin"/>
      </w:r>
      <w:r>
        <w:instrText xml:space="preserve"> PAGEREF _Toc33185713 \h </w:instrText>
      </w:r>
      <w:r>
        <w:fldChar w:fldCharType="separate"/>
      </w:r>
      <w:r>
        <w:t>24</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"_Toc33185714" </w:instrText>
      </w:r>
      <w:r>
        <w:fldChar w:fldCharType="separate"/>
      </w:r>
      <w:r>
        <w:rPr>
          <w:rStyle w:val="37"/>
          <w:color w:val="auto"/>
        </w:rPr>
        <w:t>12 保障措施</w:t>
      </w:r>
      <w:r>
        <w:tab/>
      </w:r>
      <w:r>
        <w:fldChar w:fldCharType="begin"/>
      </w:r>
      <w:r>
        <w:instrText xml:space="preserve"> PAGEREF _Toc33185714 \h </w:instrText>
      </w:r>
      <w:r>
        <w:fldChar w:fldCharType="separate"/>
      </w:r>
      <w:r>
        <w:t>25</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"_Toc33185715" </w:instrText>
      </w:r>
      <w:r>
        <w:fldChar w:fldCharType="separate"/>
      </w:r>
      <w:r>
        <w:rPr>
          <w:rStyle w:val="37"/>
          <w:color w:val="auto"/>
        </w:rPr>
        <w:t>13 实施效果分析</w:t>
      </w:r>
      <w:r>
        <w:tab/>
      </w:r>
      <w:r>
        <w:fldChar w:fldCharType="begin"/>
      </w:r>
      <w:r>
        <w:instrText xml:space="preserve"> PAGEREF _Toc33185715 \h </w:instrText>
      </w:r>
      <w:r>
        <w:fldChar w:fldCharType="separate"/>
      </w:r>
      <w:r>
        <w:t>26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"_Toc33185716" </w:instrText>
      </w:r>
      <w:r>
        <w:fldChar w:fldCharType="separate"/>
      </w:r>
      <w:r>
        <w:rPr>
          <w:rStyle w:val="37"/>
          <w:color w:val="auto"/>
        </w:rPr>
        <w:t>14 结论与建议</w:t>
      </w:r>
      <w:r>
        <w:tab/>
      </w:r>
      <w:r>
        <w:fldChar w:fldCharType="begin"/>
      </w:r>
      <w:r>
        <w:instrText xml:space="preserve"> PAGEREF _Toc33185716 \h </w:instrText>
      </w:r>
      <w:r>
        <w:fldChar w:fldCharType="separate"/>
      </w:r>
      <w:r>
        <w:t>27</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"_Toc33185717" </w:instrText>
      </w:r>
      <w:r>
        <w:fldChar w:fldCharType="separate"/>
      </w:r>
      <w:r>
        <w:rPr>
          <w:rStyle w:val="37"/>
          <w:color w:val="auto"/>
        </w:rPr>
        <w:t>15 城市黑臭水体治理规划编制成果要求</w:t>
      </w:r>
      <w:r>
        <w:tab/>
      </w:r>
      <w:r>
        <w:fldChar w:fldCharType="begin"/>
      </w:r>
      <w:r>
        <w:instrText xml:space="preserve"> PAGEREF _Toc33185717 \h </w:instrText>
      </w:r>
      <w:r>
        <w:fldChar w:fldCharType="separate"/>
      </w:r>
      <w:r>
        <w:t>28</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"_Toc33185718" </w:instrText>
      </w:r>
      <w:r>
        <w:fldChar w:fldCharType="separate"/>
      </w:r>
      <w:r>
        <w:rPr>
          <w:rStyle w:val="37"/>
          <w:color w:val="auto"/>
        </w:rPr>
        <w:t>附录A 城市黑臭水体治理规划编写提纲及要求</w:t>
      </w:r>
      <w:r>
        <w:tab/>
      </w:r>
      <w:r>
        <w:fldChar w:fldCharType="begin"/>
      </w:r>
      <w:r>
        <w:instrText xml:space="preserve"> PAGEREF _Toc33185718 \h </w:instrText>
      </w:r>
      <w:r>
        <w:fldChar w:fldCharType="separate"/>
      </w:r>
      <w:r>
        <w:t>30</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"_Toc33185719" </w:instrText>
      </w:r>
      <w:r>
        <w:fldChar w:fldCharType="separate"/>
      </w:r>
      <w:r>
        <w:rPr>
          <w:rStyle w:val="37"/>
          <w:color w:val="auto"/>
        </w:rPr>
        <w:t>附录B 现状调查表、记录表、成果表等</w:t>
      </w:r>
      <w:r>
        <w:tab/>
      </w:r>
      <w:r>
        <w:fldChar w:fldCharType="begin"/>
      </w:r>
      <w:r>
        <w:instrText xml:space="preserve"> PAGEREF _Toc33185719 \h </w:instrText>
      </w:r>
      <w:r>
        <w:fldChar w:fldCharType="separate"/>
      </w:r>
      <w:r>
        <w:t>35</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"_Toc33185720" </w:instrText>
      </w:r>
      <w:r>
        <w:fldChar w:fldCharType="separate"/>
      </w:r>
      <w:r>
        <w:rPr>
          <w:rStyle w:val="37"/>
          <w:color w:val="auto"/>
        </w:rPr>
        <w:t>本规范用词说明</w:t>
      </w:r>
      <w:r>
        <w:tab/>
      </w:r>
      <w:r>
        <w:fldChar w:fldCharType="begin"/>
      </w:r>
      <w:r>
        <w:instrText xml:space="preserve"> PAGEREF _Toc33185720 \h </w:instrText>
      </w:r>
      <w:r>
        <w:fldChar w:fldCharType="separate"/>
      </w:r>
      <w:r>
        <w:t>41</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"_Toc33185721" </w:instrText>
      </w:r>
      <w:r>
        <w:fldChar w:fldCharType="separate"/>
      </w:r>
      <w:r>
        <w:rPr>
          <w:rStyle w:val="37"/>
          <w:color w:val="auto"/>
        </w:rPr>
        <w:t>引用标准名录</w:t>
      </w:r>
      <w:r>
        <w:tab/>
      </w:r>
      <w:r>
        <w:fldChar w:fldCharType="begin"/>
      </w:r>
      <w:r>
        <w:instrText xml:space="preserve"> PAGEREF _Toc33185721 \h </w:instrText>
      </w:r>
      <w:r>
        <w:fldChar w:fldCharType="separate"/>
      </w:r>
      <w:r>
        <w:t>42</w:t>
      </w:r>
      <w:r>
        <w:fldChar w:fldCharType="end"/>
      </w:r>
      <w:r>
        <w:fldChar w:fldCharType="end"/>
      </w:r>
    </w:p>
    <w:p>
      <w:pPr>
        <w:pStyle w:val="26"/>
        <w:tabs>
          <w:tab w:val="right" w:leader="dot" w:pos="8296"/>
        </w:tabs>
        <w:rPr>
          <w:rStyle w:val="37"/>
          <w:color w:val="auto"/>
        </w:rPr>
      </w:pPr>
      <w:r>
        <w:fldChar w:fldCharType="begin"/>
      </w:r>
      <w:r>
        <w:instrText xml:space="preserve"> HYPERLINK \l "_Toc33185722" </w:instrText>
      </w:r>
      <w:r>
        <w:fldChar w:fldCharType="separate"/>
      </w:r>
      <w:r>
        <w:rPr>
          <w:rStyle w:val="37"/>
          <w:color w:val="auto"/>
        </w:rPr>
        <w:t>条文说明</w:t>
      </w:r>
      <w:r>
        <w:tab/>
      </w:r>
      <w:r>
        <w:fldChar w:fldCharType="begin"/>
      </w:r>
      <w:r>
        <w:instrText xml:space="preserve"> PAGEREF _Toc33185722 \h </w:instrText>
      </w:r>
      <w:r>
        <w:fldChar w:fldCharType="separate"/>
      </w:r>
      <w:r>
        <w:t>43</w:t>
      </w:r>
      <w:r>
        <w:fldChar w:fldCharType="end"/>
      </w:r>
      <w:r>
        <w:fldChar w:fldCharType="end"/>
      </w:r>
    </w:p>
    <w:p>
      <w:pPr>
        <w:widowControl/>
        <w:spacing w:line="240" w:lineRule="auto"/>
        <w:ind w:firstLine="0" w:firstLineChars="0"/>
        <w:jc w:val="left"/>
        <w:rPr>
          <w:rFonts w:eastAsia="宋体"/>
          <w:b/>
          <w:kern w:val="0"/>
          <w:sz w:val="36"/>
          <w:szCs w:val="20"/>
        </w:rPr>
      </w:pPr>
      <w:r>
        <w:rPr>
          <w:sz w:val="36"/>
        </w:rPr>
        <w:br w:type="page"/>
      </w:r>
    </w:p>
    <w:p>
      <w:pPr>
        <w:pStyle w:val="63"/>
        <w:spacing w:after="156"/>
        <w:jc w:val="center"/>
        <w:rPr>
          <w:sz w:val="36"/>
        </w:rPr>
      </w:pPr>
      <w:r>
        <w:rPr>
          <w:sz w:val="36"/>
        </w:rPr>
        <w:t>Contents</w:t>
      </w:r>
    </w:p>
    <w:p>
      <w:pPr>
        <w:ind w:firstLine="480"/>
      </w:pPr>
    </w:p>
    <w:p>
      <w:pPr>
        <w:widowControl/>
        <w:spacing w:line="240" w:lineRule="auto"/>
        <w:ind w:firstLine="480" w:firstLineChars="0"/>
        <w:jc w:val="left"/>
        <w:rPr>
          <w:b/>
        </w:rPr>
      </w:pPr>
    </w:p>
    <w:p>
      <w:pPr>
        <w:pStyle w:val="26"/>
        <w:tabs>
          <w:tab w:val="right" w:leader="dot" w:pos="8296"/>
        </w:tabs>
        <w:rPr>
          <w:rFonts w:asciiTheme="minorHAnsi" w:hAnsiTheme="minorHAnsi"/>
          <w:sz w:val="21"/>
        </w:rPr>
      </w:pPr>
      <w:r>
        <w:fldChar w:fldCharType="begin"/>
      </w:r>
      <w:r>
        <w:instrText xml:space="preserve"> TOC \o "1-2" \h \z \u </w:instrText>
      </w:r>
      <w:r>
        <w:rPr>
          <w:rFonts w:hint="eastAsia"/>
        </w:rPr>
        <w:instrText xml:space="preserve">\b zhengwen</w:instrText>
      </w:r>
      <w:r>
        <w:fldChar w:fldCharType="separate"/>
      </w:r>
      <w:r>
        <w:fldChar w:fldCharType="begin"/>
      </w:r>
      <w:r>
        <w:instrText xml:space="preserve"> HYPERLINK \l "_Toc33185679" </w:instrText>
      </w:r>
      <w:r>
        <w:fldChar w:fldCharType="separate"/>
      </w:r>
      <w:r>
        <w:rPr>
          <w:rStyle w:val="37"/>
          <w:color w:val="auto"/>
        </w:rPr>
        <w:t xml:space="preserve">1 </w:t>
      </w:r>
      <w:r>
        <w:rPr>
          <w:rFonts w:cs="Times New Roman"/>
          <w:szCs w:val="24"/>
        </w:rPr>
        <w:t>General Provisions</w:t>
      </w:r>
      <w:r>
        <w:tab/>
      </w:r>
      <w:r>
        <w:fldChar w:fldCharType="begin"/>
      </w:r>
      <w:r>
        <w:instrText xml:space="preserve"> PAGEREF _Toc33185679 \h </w:instrText>
      </w:r>
      <w:r>
        <w:fldChar w:fldCharType="separate"/>
      </w:r>
      <w:r>
        <w:t>1</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"_Toc33185680" </w:instrText>
      </w:r>
      <w:r>
        <w:fldChar w:fldCharType="separate"/>
      </w:r>
      <w:r>
        <w:rPr>
          <w:rStyle w:val="37"/>
          <w:color w:val="auto"/>
        </w:rPr>
        <w:t xml:space="preserve">2 </w:t>
      </w:r>
      <w:r>
        <w:rPr>
          <w:rStyle w:val="37"/>
          <w:rFonts w:hint="eastAsia"/>
          <w:color w:val="auto"/>
        </w:rPr>
        <w:t>T</w:t>
      </w:r>
      <w:r>
        <w:rPr>
          <w:rStyle w:val="37"/>
          <w:color w:val="auto"/>
        </w:rPr>
        <w:t>erms</w:t>
      </w:r>
      <w:r>
        <w:tab/>
      </w:r>
      <w:r>
        <w:fldChar w:fldCharType="begin"/>
      </w:r>
      <w:r>
        <w:instrText xml:space="preserve"> PAGEREF _Toc33185680 \h </w:instrText>
      </w:r>
      <w:r>
        <w:fldChar w:fldCharType="separate"/>
      </w:r>
      <w:r>
        <w:t>2</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"_Toc33185681" </w:instrText>
      </w:r>
      <w:r>
        <w:fldChar w:fldCharType="separate"/>
      </w:r>
      <w:r>
        <w:rPr>
          <w:rStyle w:val="37"/>
          <w:color w:val="auto"/>
        </w:rPr>
        <w:t xml:space="preserve">3 </w:t>
      </w:r>
      <w:r>
        <w:rPr>
          <w:rFonts w:cs="Times New Roman"/>
          <w:szCs w:val="24"/>
        </w:rPr>
        <w:t>Basic requirements</w:t>
      </w:r>
      <w:r>
        <w:tab/>
      </w:r>
      <w:r>
        <w:fldChar w:fldCharType="begin"/>
      </w:r>
      <w:r>
        <w:instrText xml:space="preserve"> PAGEREF _Toc33185681 \h </w:instrText>
      </w:r>
      <w:r>
        <w:fldChar w:fldCharType="separate"/>
      </w:r>
      <w:r>
        <w:t>4</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"_Toc33185682" </w:instrText>
      </w:r>
      <w:r>
        <w:fldChar w:fldCharType="separate"/>
      </w:r>
      <w:r>
        <w:rPr>
          <w:rStyle w:val="37"/>
          <w:color w:val="auto"/>
        </w:rPr>
        <w:t xml:space="preserve">4 </w:t>
      </w:r>
      <w:r>
        <w:rPr>
          <w:rFonts w:hint="eastAsia" w:cs="Times New Roman"/>
          <w:szCs w:val="24"/>
        </w:rPr>
        <w:t>C</w:t>
      </w:r>
      <w:r>
        <w:rPr>
          <w:rFonts w:cs="Times New Roman"/>
          <w:szCs w:val="24"/>
        </w:rPr>
        <w:t>omprehensive explanation</w:t>
      </w:r>
      <w:r>
        <w:tab/>
      </w:r>
      <w:r>
        <w:fldChar w:fldCharType="begin"/>
      </w:r>
      <w:r>
        <w:instrText xml:space="preserve"> PAGEREF _Toc33185682 \h </w:instrText>
      </w:r>
      <w:r>
        <w:fldChar w:fldCharType="separate"/>
      </w:r>
      <w:r>
        <w:t>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"_Toc33185683" </w:instrText>
      </w:r>
      <w:r>
        <w:fldChar w:fldCharType="separate"/>
      </w:r>
      <w:r>
        <w:rPr>
          <w:rStyle w:val="37"/>
          <w:color w:val="auto"/>
        </w:rPr>
        <w:t xml:space="preserve">5 </w:t>
      </w:r>
      <w:r>
        <w:rPr>
          <w:rFonts w:hint="eastAsia" w:cs="Times New Roman"/>
          <w:szCs w:val="24"/>
        </w:rPr>
        <w:t>R</w:t>
      </w:r>
      <w:r>
        <w:rPr>
          <w:rFonts w:cs="Times New Roman"/>
          <w:szCs w:val="24"/>
        </w:rPr>
        <w:t>egional survey</w:t>
      </w:r>
      <w:r>
        <w:tab/>
      </w:r>
      <w:r>
        <w:fldChar w:fldCharType="begin"/>
      </w:r>
      <w:r>
        <w:instrText xml:space="preserve"> PAGEREF _Toc33185683 \h </w:instrText>
      </w:r>
      <w:r>
        <w:fldChar w:fldCharType="separate"/>
      </w:r>
      <w:r>
        <w:t>8</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"_Toc33185684" </w:instrText>
      </w:r>
      <w:r>
        <w:fldChar w:fldCharType="separate"/>
      </w:r>
      <w:r>
        <w:rPr>
          <w:rStyle w:val="37"/>
          <w:color w:val="auto"/>
        </w:rPr>
        <w:t xml:space="preserve">6 </w:t>
      </w:r>
      <w:r>
        <w:rPr>
          <w:rFonts w:cs="Times New Roman"/>
          <w:szCs w:val="24"/>
        </w:rPr>
        <w:t>Basic investigation and assessment</w:t>
      </w:r>
      <w:r>
        <w:tab/>
      </w:r>
      <w:r>
        <w:fldChar w:fldCharType="begin"/>
      </w:r>
      <w:r>
        <w:instrText xml:space="preserve"> PAGEREF _Toc33185684 \h </w:instrText>
      </w:r>
      <w:r>
        <w:fldChar w:fldCharType="separate"/>
      </w:r>
      <w:r>
        <w:t>9</w:t>
      </w:r>
      <w:r>
        <w:fldChar w:fldCharType="end"/>
      </w:r>
      <w:r>
        <w:fldChar w:fldCharType="end"/>
      </w:r>
    </w:p>
    <w:p>
      <w:pPr>
        <w:pStyle w:val="31"/>
        <w:ind w:left="480"/>
        <w:rPr>
          <w:rFonts w:asciiTheme="minorHAnsi" w:hAnsiTheme="minorHAnsi"/>
          <w:sz w:val="21"/>
        </w:rPr>
      </w:pPr>
      <w:r>
        <w:fldChar w:fldCharType="begin"/>
      </w:r>
      <w:r>
        <w:instrText xml:space="preserve"> HYPERLINK \l "_Toc33185685" </w:instrText>
      </w:r>
      <w:r>
        <w:fldChar w:fldCharType="separate"/>
      </w:r>
      <w:r>
        <w:rPr>
          <w:rStyle w:val="37"/>
          <w:color w:val="auto"/>
        </w:rPr>
        <w:t xml:space="preserve">6.1 </w:t>
      </w:r>
      <w:r>
        <w:rPr>
          <w:rFonts w:cs="Times New Roman"/>
          <w:szCs w:val="24"/>
        </w:rPr>
        <w:t>General requirements</w:t>
      </w:r>
      <w:r>
        <w:tab/>
      </w:r>
      <w:r>
        <w:fldChar w:fldCharType="begin"/>
      </w:r>
      <w:r>
        <w:instrText xml:space="preserve"> PAGEREF _Toc33185685 \h </w:instrText>
      </w:r>
      <w:r>
        <w:fldChar w:fldCharType="separate"/>
      </w:r>
      <w:r>
        <w:t>9</w:t>
      </w:r>
      <w:r>
        <w:fldChar w:fldCharType="end"/>
      </w:r>
      <w:r>
        <w:fldChar w:fldCharType="end"/>
      </w:r>
    </w:p>
    <w:p>
      <w:pPr>
        <w:pStyle w:val="31"/>
        <w:ind w:left="480"/>
        <w:rPr>
          <w:rFonts w:asciiTheme="minorHAnsi" w:hAnsiTheme="minorHAnsi"/>
          <w:sz w:val="21"/>
        </w:rPr>
      </w:pPr>
      <w:r>
        <w:fldChar w:fldCharType="begin"/>
      </w:r>
      <w:r>
        <w:instrText xml:space="preserve"> HYPERLINK \l "_Toc33185686" </w:instrText>
      </w:r>
      <w:r>
        <w:fldChar w:fldCharType="separate"/>
      </w:r>
      <w:r>
        <w:rPr>
          <w:rStyle w:val="37"/>
          <w:color w:val="auto"/>
        </w:rPr>
        <w:t xml:space="preserve">6.2 </w:t>
      </w:r>
      <w:r>
        <w:rPr>
          <w:rFonts w:cs="Times New Roman"/>
          <w:szCs w:val="24"/>
        </w:rPr>
        <w:t>Hydrologic</w:t>
      </w:r>
      <w:r>
        <w:rPr>
          <w:rFonts w:hint="eastAsia" w:cs="Times New Roman"/>
          <w:szCs w:val="24"/>
        </w:rPr>
        <w:t>al</w:t>
      </w:r>
      <w:r>
        <w:rPr>
          <w:rFonts w:cs="Times New Roman"/>
          <w:szCs w:val="24"/>
        </w:rPr>
        <w:t xml:space="preserve"> investigation</w:t>
      </w:r>
      <w:r>
        <w:tab/>
      </w:r>
      <w:r>
        <w:fldChar w:fldCharType="begin"/>
      </w:r>
      <w:r>
        <w:instrText xml:space="preserve"> PAGEREF _Toc33185686 \h </w:instrText>
      </w:r>
      <w:r>
        <w:fldChar w:fldCharType="separate"/>
      </w:r>
      <w:r>
        <w:t>9</w:t>
      </w:r>
      <w:r>
        <w:fldChar w:fldCharType="end"/>
      </w:r>
      <w:r>
        <w:fldChar w:fldCharType="end"/>
      </w:r>
    </w:p>
    <w:p>
      <w:pPr>
        <w:pStyle w:val="31"/>
        <w:ind w:left="480"/>
        <w:rPr>
          <w:rFonts w:asciiTheme="minorHAnsi" w:hAnsiTheme="minorHAnsi"/>
          <w:sz w:val="21"/>
        </w:rPr>
      </w:pPr>
      <w:r>
        <w:fldChar w:fldCharType="begin"/>
      </w:r>
      <w:r>
        <w:instrText xml:space="preserve"> HYPERLINK \l "_Toc33185687" </w:instrText>
      </w:r>
      <w:r>
        <w:fldChar w:fldCharType="separate"/>
      </w:r>
      <w:r>
        <w:rPr>
          <w:rStyle w:val="37"/>
          <w:color w:val="auto"/>
        </w:rPr>
        <w:t xml:space="preserve">6.3 </w:t>
      </w:r>
      <w:r>
        <w:rPr>
          <w:rFonts w:cs="Times New Roman"/>
          <w:szCs w:val="24"/>
        </w:rPr>
        <w:t>Water quality investigation</w:t>
      </w:r>
      <w:r>
        <w:tab/>
      </w:r>
      <w:r>
        <w:fldChar w:fldCharType="begin"/>
      </w:r>
      <w:r>
        <w:instrText xml:space="preserve"> PAGEREF _Toc33185687 \h </w:instrText>
      </w:r>
      <w:r>
        <w:fldChar w:fldCharType="separate"/>
      </w:r>
      <w:r>
        <w:t>10</w:t>
      </w:r>
      <w:r>
        <w:fldChar w:fldCharType="end"/>
      </w:r>
      <w:r>
        <w:fldChar w:fldCharType="end"/>
      </w:r>
    </w:p>
    <w:p>
      <w:pPr>
        <w:pStyle w:val="31"/>
        <w:ind w:left="480"/>
        <w:rPr>
          <w:rFonts w:asciiTheme="minorHAnsi" w:hAnsiTheme="minorHAnsi"/>
          <w:sz w:val="21"/>
        </w:rPr>
      </w:pPr>
      <w:r>
        <w:fldChar w:fldCharType="begin"/>
      </w:r>
      <w:r>
        <w:instrText xml:space="preserve"> HYPERLINK \l "_Toc33185688" </w:instrText>
      </w:r>
      <w:r>
        <w:fldChar w:fldCharType="separate"/>
      </w:r>
      <w:r>
        <w:rPr>
          <w:rStyle w:val="37"/>
          <w:color w:val="auto"/>
        </w:rPr>
        <w:t xml:space="preserve">6.4 </w:t>
      </w:r>
      <w:r>
        <w:rPr>
          <w:rFonts w:cs="Times New Roman"/>
          <w:szCs w:val="24"/>
        </w:rPr>
        <w:t>Pollution sources investigation</w:t>
      </w:r>
      <w:r>
        <w:tab/>
      </w:r>
      <w:r>
        <w:fldChar w:fldCharType="begin"/>
      </w:r>
      <w:r>
        <w:instrText xml:space="preserve"> PAGEREF _Toc33185688 \h </w:instrText>
      </w:r>
      <w:r>
        <w:fldChar w:fldCharType="separate"/>
      </w:r>
      <w:r>
        <w:t>11</w:t>
      </w:r>
      <w:r>
        <w:fldChar w:fldCharType="end"/>
      </w:r>
      <w:r>
        <w:fldChar w:fldCharType="end"/>
      </w:r>
    </w:p>
    <w:p>
      <w:pPr>
        <w:pStyle w:val="31"/>
        <w:ind w:left="480"/>
        <w:rPr>
          <w:rFonts w:asciiTheme="minorHAnsi" w:hAnsiTheme="minorHAnsi"/>
          <w:sz w:val="21"/>
        </w:rPr>
      </w:pPr>
      <w:r>
        <w:fldChar w:fldCharType="begin"/>
      </w:r>
      <w:r>
        <w:instrText xml:space="preserve"> HYPERLINK \l "_Toc33185689" </w:instrText>
      </w:r>
      <w:r>
        <w:fldChar w:fldCharType="separate"/>
      </w:r>
      <w:r>
        <w:rPr>
          <w:rStyle w:val="37"/>
          <w:color w:val="auto"/>
        </w:rPr>
        <w:t xml:space="preserve">6.5 </w:t>
      </w:r>
      <w:r>
        <w:rPr>
          <w:rFonts w:cs="Times New Roman"/>
          <w:szCs w:val="24"/>
        </w:rPr>
        <w:t>Ecological investigation</w:t>
      </w:r>
      <w:r>
        <w:tab/>
      </w:r>
      <w:r>
        <w:fldChar w:fldCharType="begin"/>
      </w:r>
      <w:r>
        <w:instrText xml:space="preserve"> PAGEREF _Toc33185689 \h </w:instrText>
      </w:r>
      <w:r>
        <w:fldChar w:fldCharType="separate"/>
      </w:r>
      <w:r>
        <w:t>11</w:t>
      </w:r>
      <w:r>
        <w:fldChar w:fldCharType="end"/>
      </w:r>
      <w:r>
        <w:fldChar w:fldCharType="end"/>
      </w:r>
    </w:p>
    <w:p>
      <w:pPr>
        <w:pStyle w:val="31"/>
        <w:ind w:left="480"/>
        <w:rPr>
          <w:rFonts w:asciiTheme="minorHAnsi" w:hAnsiTheme="minorHAnsi"/>
          <w:sz w:val="21"/>
        </w:rPr>
      </w:pPr>
      <w:r>
        <w:fldChar w:fldCharType="begin"/>
      </w:r>
      <w:r>
        <w:instrText xml:space="preserve"> HYPERLINK \l "_Toc33185690" </w:instrText>
      </w:r>
      <w:r>
        <w:fldChar w:fldCharType="separate"/>
      </w:r>
      <w:r>
        <w:rPr>
          <w:rStyle w:val="37"/>
          <w:color w:val="auto"/>
        </w:rPr>
        <w:t xml:space="preserve">6.6 </w:t>
      </w:r>
      <w:r>
        <w:rPr>
          <w:rFonts w:cs="Times New Roman"/>
          <w:szCs w:val="24"/>
        </w:rPr>
        <w:t>Drainage network investigation</w:t>
      </w:r>
      <w:r>
        <w:tab/>
      </w:r>
      <w:r>
        <w:fldChar w:fldCharType="begin"/>
      </w:r>
      <w:r>
        <w:instrText xml:space="preserve"> PAGEREF _Toc33185690 \h </w:instrText>
      </w:r>
      <w:r>
        <w:fldChar w:fldCharType="separate"/>
      </w:r>
      <w:r>
        <w:t>12</w:t>
      </w:r>
      <w:r>
        <w:fldChar w:fldCharType="end"/>
      </w:r>
      <w:r>
        <w:fldChar w:fldCharType="end"/>
      </w:r>
    </w:p>
    <w:p>
      <w:pPr>
        <w:pStyle w:val="31"/>
        <w:ind w:left="480"/>
        <w:rPr>
          <w:rFonts w:asciiTheme="minorHAnsi" w:hAnsiTheme="minorHAnsi"/>
          <w:sz w:val="21"/>
        </w:rPr>
      </w:pPr>
      <w:r>
        <w:fldChar w:fldCharType="begin"/>
      </w:r>
      <w:r>
        <w:instrText xml:space="preserve"> HYPERLINK \l "_Toc33185691" </w:instrText>
      </w:r>
      <w:r>
        <w:fldChar w:fldCharType="separate"/>
      </w:r>
      <w:r>
        <w:rPr>
          <w:rStyle w:val="37"/>
          <w:color w:val="auto"/>
        </w:rPr>
        <w:t xml:space="preserve">6.7 </w:t>
      </w:r>
      <w:r>
        <w:rPr>
          <w:rFonts w:cs="Times New Roman"/>
          <w:szCs w:val="24"/>
        </w:rPr>
        <w:t>Treatment facilities investigation</w:t>
      </w:r>
      <w:r>
        <w:tab/>
      </w:r>
      <w:r>
        <w:fldChar w:fldCharType="begin"/>
      </w:r>
      <w:r>
        <w:instrText xml:space="preserve"> PAGEREF _Toc33185691 \h </w:instrText>
      </w:r>
      <w:r>
        <w:fldChar w:fldCharType="separate"/>
      </w:r>
      <w:r>
        <w:t>12</w:t>
      </w:r>
      <w:r>
        <w:fldChar w:fldCharType="end"/>
      </w:r>
      <w:r>
        <w:fldChar w:fldCharType="end"/>
      </w:r>
    </w:p>
    <w:p>
      <w:pPr>
        <w:pStyle w:val="31"/>
        <w:ind w:left="480"/>
        <w:rPr>
          <w:rFonts w:asciiTheme="minorHAnsi" w:hAnsiTheme="minorHAnsi"/>
          <w:sz w:val="21"/>
        </w:rPr>
      </w:pPr>
      <w:r>
        <w:fldChar w:fldCharType="begin"/>
      </w:r>
      <w:r>
        <w:instrText xml:space="preserve"> HYPERLINK \l "_Toc33185692" </w:instrText>
      </w:r>
      <w:r>
        <w:fldChar w:fldCharType="separate"/>
      </w:r>
      <w:r>
        <w:rPr>
          <w:rStyle w:val="37"/>
          <w:color w:val="auto"/>
        </w:rPr>
        <w:t xml:space="preserve">6.8 </w:t>
      </w:r>
      <w:r>
        <w:rPr>
          <w:rFonts w:cs="Times New Roman"/>
          <w:szCs w:val="24"/>
        </w:rPr>
        <w:t>Shoreline management investigation</w:t>
      </w:r>
      <w:r>
        <w:tab/>
      </w:r>
      <w:r>
        <w:fldChar w:fldCharType="begin"/>
      </w:r>
      <w:r>
        <w:instrText xml:space="preserve"> PAGEREF _Toc33185692 \h </w:instrText>
      </w:r>
      <w:r>
        <w:fldChar w:fldCharType="separate"/>
      </w:r>
      <w:r>
        <w:t>13</w:t>
      </w:r>
      <w:r>
        <w:fldChar w:fldCharType="end"/>
      </w:r>
      <w:r>
        <w:fldChar w:fldCharType="end"/>
      </w:r>
    </w:p>
    <w:p>
      <w:pPr>
        <w:pStyle w:val="31"/>
        <w:ind w:left="480"/>
        <w:rPr>
          <w:rFonts w:asciiTheme="minorHAnsi" w:hAnsiTheme="minorHAnsi"/>
          <w:sz w:val="21"/>
        </w:rPr>
      </w:pPr>
      <w:r>
        <w:fldChar w:fldCharType="begin"/>
      </w:r>
      <w:r>
        <w:instrText xml:space="preserve"> HYPERLINK \l "_Toc33185693" </w:instrText>
      </w:r>
      <w:r>
        <w:fldChar w:fldCharType="separate"/>
      </w:r>
      <w:r>
        <w:rPr>
          <w:rStyle w:val="37"/>
          <w:color w:val="auto"/>
        </w:rPr>
        <w:t xml:space="preserve">6.9 </w:t>
      </w:r>
      <w:r>
        <w:rPr>
          <w:rFonts w:cs="Times New Roman"/>
          <w:szCs w:val="24"/>
        </w:rPr>
        <w:t>Information and management investigation</w:t>
      </w:r>
      <w:r>
        <w:tab/>
      </w:r>
      <w:r>
        <w:fldChar w:fldCharType="begin"/>
      </w:r>
      <w:r>
        <w:instrText xml:space="preserve"> PAGEREF _Toc33185693 \h </w:instrText>
      </w:r>
      <w:r>
        <w:fldChar w:fldCharType="separate"/>
      </w:r>
      <w:r>
        <w:t>13</w:t>
      </w:r>
      <w:r>
        <w:fldChar w:fldCharType="end"/>
      </w:r>
      <w:r>
        <w:fldChar w:fldCharType="end"/>
      </w:r>
    </w:p>
    <w:p>
      <w:pPr>
        <w:pStyle w:val="31"/>
        <w:ind w:left="480"/>
        <w:rPr>
          <w:rFonts w:asciiTheme="minorHAnsi" w:hAnsiTheme="minorHAnsi"/>
          <w:sz w:val="21"/>
        </w:rPr>
      </w:pPr>
      <w:r>
        <w:fldChar w:fldCharType="begin"/>
      </w:r>
      <w:r>
        <w:instrText xml:space="preserve"> HYPERLINK \l "_Toc33185694" </w:instrText>
      </w:r>
      <w:r>
        <w:fldChar w:fldCharType="separate"/>
      </w:r>
      <w:r>
        <w:rPr>
          <w:rStyle w:val="37"/>
          <w:color w:val="auto"/>
        </w:rPr>
        <w:t xml:space="preserve">6.10 </w:t>
      </w:r>
      <w:r>
        <w:rPr>
          <w:rFonts w:cs="Times New Roman"/>
          <w:szCs w:val="24"/>
        </w:rPr>
        <w:t>Public Participation investigation</w:t>
      </w:r>
      <w:r>
        <w:tab/>
      </w:r>
      <w:r>
        <w:fldChar w:fldCharType="begin"/>
      </w:r>
      <w:r>
        <w:instrText xml:space="preserve"> PAGEREF _Toc33185694 \h </w:instrText>
      </w:r>
      <w:r>
        <w:fldChar w:fldCharType="separate"/>
      </w:r>
      <w:r>
        <w:t>13</w:t>
      </w:r>
      <w:r>
        <w:fldChar w:fldCharType="end"/>
      </w:r>
      <w:r>
        <w:fldChar w:fldCharType="end"/>
      </w:r>
    </w:p>
    <w:p>
      <w:pPr>
        <w:pStyle w:val="31"/>
        <w:ind w:left="480"/>
        <w:rPr>
          <w:rFonts w:asciiTheme="minorHAnsi" w:hAnsiTheme="minorHAnsi"/>
          <w:sz w:val="21"/>
        </w:rPr>
      </w:pPr>
      <w:r>
        <w:fldChar w:fldCharType="begin"/>
      </w:r>
      <w:r>
        <w:instrText xml:space="preserve"> HYPERLINK \l "_Toc33185695" </w:instrText>
      </w:r>
      <w:r>
        <w:fldChar w:fldCharType="separate"/>
      </w:r>
      <w:r>
        <w:rPr>
          <w:rStyle w:val="37"/>
          <w:color w:val="auto"/>
        </w:rPr>
        <w:t>6.11</w:t>
      </w:r>
      <w:r>
        <w:rPr>
          <w:rFonts w:cs="Times New Roman"/>
          <w:szCs w:val="24"/>
        </w:rPr>
        <w:t xml:space="preserve"> Pollution assessment and causes analysis</w:t>
      </w:r>
      <w:r>
        <w:tab/>
      </w:r>
      <w:r>
        <w:fldChar w:fldCharType="begin"/>
      </w:r>
      <w:r>
        <w:instrText xml:space="preserve"> PAGEREF _Toc33185695 \h </w:instrText>
      </w:r>
      <w:r>
        <w:fldChar w:fldCharType="separate"/>
      </w:r>
      <w:r>
        <w:t>13</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"_Toc33185696" </w:instrText>
      </w:r>
      <w:r>
        <w:fldChar w:fldCharType="separate"/>
      </w:r>
      <w:r>
        <w:rPr>
          <w:rStyle w:val="37"/>
          <w:color w:val="auto"/>
        </w:rPr>
        <w:t xml:space="preserve">7 </w:t>
      </w:r>
      <w:r>
        <w:rPr>
          <w:rFonts w:cs="Times New Roman"/>
          <w:szCs w:val="24"/>
        </w:rPr>
        <w:t>Overall Plan</w:t>
      </w:r>
      <w:r>
        <w:tab/>
      </w:r>
      <w:r>
        <w:fldChar w:fldCharType="begin"/>
      </w:r>
      <w:r>
        <w:instrText xml:space="preserve"> PAGEREF _Toc33185696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"_Toc33185697" </w:instrText>
      </w:r>
      <w:r>
        <w:fldChar w:fldCharType="separate"/>
      </w:r>
      <w:r>
        <w:rPr>
          <w:rStyle w:val="37"/>
          <w:color w:val="auto"/>
        </w:rPr>
        <w:t xml:space="preserve">7.1 </w:t>
      </w:r>
      <w:r>
        <w:rPr>
          <w:rFonts w:cs="Times New Roman"/>
          <w:szCs w:val="24"/>
        </w:rPr>
        <w:t>General principles</w:t>
      </w:r>
      <w:r>
        <w:tab/>
      </w:r>
      <w:r>
        <w:fldChar w:fldCharType="begin"/>
      </w:r>
      <w:r>
        <w:instrText xml:space="preserve"> PAGEREF _Toc33185697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"_Toc33185698" </w:instrText>
      </w:r>
      <w:r>
        <w:fldChar w:fldCharType="separate"/>
      </w:r>
      <w:r>
        <w:rPr>
          <w:rStyle w:val="37"/>
          <w:color w:val="auto"/>
        </w:rPr>
        <w:t xml:space="preserve">7.2 </w:t>
      </w:r>
      <w:r>
        <w:rPr>
          <w:rFonts w:cs="Times New Roman"/>
          <w:szCs w:val="24"/>
        </w:rPr>
        <w:t>Plan objectives and targets</w:t>
      </w:r>
      <w:r>
        <w:tab/>
      </w:r>
      <w:r>
        <w:fldChar w:fldCharType="begin"/>
      </w:r>
      <w:r>
        <w:instrText xml:space="preserve"> PAGEREF _Toc33185698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"_Toc33185699" </w:instrText>
      </w:r>
      <w:r>
        <w:fldChar w:fldCharType="separate"/>
      </w:r>
      <w:r>
        <w:rPr>
          <w:rStyle w:val="37"/>
          <w:color w:val="auto"/>
        </w:rPr>
        <w:t xml:space="preserve">7.3 </w:t>
      </w:r>
      <w:r>
        <w:rPr>
          <w:rFonts w:cs="Times New Roman"/>
          <w:szCs w:val="24"/>
        </w:rPr>
        <w:t>Scope</w:t>
      </w:r>
      <w:r>
        <w:tab/>
      </w:r>
      <w:r>
        <w:fldChar w:fldCharType="begin"/>
      </w:r>
      <w:r>
        <w:instrText xml:space="preserve"> PAGEREF _Toc33185699 \h </w:instrText>
      </w:r>
      <w:r>
        <w:fldChar w:fldCharType="separate"/>
      </w:r>
      <w:r>
        <w:t>15</w:t>
      </w:r>
      <w:r>
        <w:fldChar w:fldCharType="end"/>
      </w:r>
      <w:r>
        <w:fldChar w:fldCharType="end"/>
      </w:r>
    </w:p>
    <w:p>
      <w:pPr>
        <w:pStyle w:val="31"/>
        <w:ind w:left="480"/>
        <w:rPr>
          <w:rFonts w:asciiTheme="minorHAnsi" w:hAnsiTheme="minorHAnsi"/>
          <w:sz w:val="21"/>
        </w:rPr>
      </w:pPr>
      <w:r>
        <w:fldChar w:fldCharType="begin"/>
      </w:r>
      <w:r>
        <w:instrText xml:space="preserve"> HYPERLINK \l "_Toc33185700" </w:instrText>
      </w:r>
      <w:r>
        <w:fldChar w:fldCharType="separate"/>
      </w:r>
      <w:r>
        <w:rPr>
          <w:rStyle w:val="37"/>
          <w:color w:val="auto"/>
        </w:rPr>
        <w:t xml:space="preserve">7.4 </w:t>
      </w:r>
      <w:r>
        <w:rPr>
          <w:rStyle w:val="37"/>
          <w:rFonts w:hint="eastAsia"/>
          <w:color w:val="auto"/>
        </w:rPr>
        <w:t>L</w:t>
      </w:r>
      <w:r>
        <w:rPr>
          <w:rStyle w:val="37"/>
          <w:color w:val="auto"/>
        </w:rPr>
        <w:t>ayout</w:t>
      </w:r>
      <w:r>
        <w:tab/>
      </w:r>
      <w:r>
        <w:fldChar w:fldCharType="begin"/>
      </w:r>
      <w:r>
        <w:instrText xml:space="preserve"> PAGEREF _Toc33185700 \h </w:instrText>
      </w:r>
      <w:r>
        <w:fldChar w:fldCharType="separate"/>
      </w:r>
      <w:r>
        <w:t>16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"_Toc33185701" </w:instrText>
      </w:r>
      <w:r>
        <w:fldChar w:fldCharType="separate"/>
      </w:r>
      <w:r>
        <w:rPr>
          <w:rStyle w:val="37"/>
          <w:color w:val="auto"/>
        </w:rPr>
        <w:t xml:space="preserve">8 </w:t>
      </w:r>
      <w:r>
        <w:rPr>
          <w:rStyle w:val="37"/>
          <w:rFonts w:hint="eastAsia"/>
          <w:color w:val="auto"/>
        </w:rPr>
        <w:t>E</w:t>
      </w:r>
      <w:r>
        <w:rPr>
          <w:rStyle w:val="37"/>
          <w:color w:val="auto"/>
        </w:rPr>
        <w:t>ngineering measures</w:t>
      </w:r>
      <w:r>
        <w:tab/>
      </w:r>
      <w:r>
        <w:fldChar w:fldCharType="begin"/>
      </w:r>
      <w:r>
        <w:instrText xml:space="preserve"> PAGEREF _Toc33185701 \h </w:instrText>
      </w:r>
      <w:r>
        <w:fldChar w:fldCharType="separate"/>
      </w:r>
      <w:r>
        <w:t>17</w:t>
      </w:r>
      <w:r>
        <w:fldChar w:fldCharType="end"/>
      </w:r>
      <w:r>
        <w:fldChar w:fldCharType="end"/>
      </w:r>
    </w:p>
    <w:p>
      <w:pPr>
        <w:pStyle w:val="31"/>
        <w:ind w:left="480"/>
        <w:rPr>
          <w:rFonts w:asciiTheme="minorHAnsi" w:hAnsiTheme="minorHAnsi"/>
          <w:sz w:val="21"/>
        </w:rPr>
      </w:pPr>
      <w:r>
        <w:fldChar w:fldCharType="begin"/>
      </w:r>
      <w:r>
        <w:instrText xml:space="preserve"> HYPERLINK \l "_Toc33185702" </w:instrText>
      </w:r>
      <w:r>
        <w:fldChar w:fldCharType="separate"/>
      </w:r>
      <w:r>
        <w:rPr>
          <w:rStyle w:val="37"/>
          <w:color w:val="auto"/>
        </w:rPr>
        <w:t xml:space="preserve">8.1 </w:t>
      </w:r>
      <w:r>
        <w:rPr>
          <w:rStyle w:val="37"/>
          <w:rFonts w:hint="eastAsia"/>
          <w:color w:val="auto"/>
        </w:rPr>
        <w:t>G</w:t>
      </w:r>
      <w:r>
        <w:rPr>
          <w:rStyle w:val="37"/>
          <w:color w:val="auto"/>
        </w:rPr>
        <w:t>eneral requirements</w:t>
      </w:r>
      <w:r>
        <w:tab/>
      </w:r>
      <w:r>
        <w:fldChar w:fldCharType="begin"/>
      </w:r>
      <w:r>
        <w:instrText xml:space="preserve"> PAGEREF _Toc33185702 \h </w:instrText>
      </w:r>
      <w:r>
        <w:fldChar w:fldCharType="separate"/>
      </w:r>
      <w:r>
        <w:t>17</w:t>
      </w:r>
      <w:r>
        <w:fldChar w:fldCharType="end"/>
      </w:r>
      <w:r>
        <w:fldChar w:fldCharType="end"/>
      </w:r>
    </w:p>
    <w:p>
      <w:pPr>
        <w:pStyle w:val="31"/>
        <w:ind w:left="480"/>
        <w:rPr>
          <w:rFonts w:asciiTheme="minorHAnsi" w:hAnsiTheme="minorHAnsi"/>
          <w:sz w:val="21"/>
        </w:rPr>
      </w:pPr>
      <w:r>
        <w:fldChar w:fldCharType="begin"/>
      </w:r>
      <w:r>
        <w:instrText xml:space="preserve"> HYPERLINK \l "_Toc33185703" </w:instrText>
      </w:r>
      <w:r>
        <w:fldChar w:fldCharType="separate"/>
      </w:r>
      <w:r>
        <w:rPr>
          <w:rStyle w:val="37"/>
          <w:color w:val="auto"/>
        </w:rPr>
        <w:t>8.2 Sources and discharge control</w:t>
      </w:r>
      <w:r>
        <w:tab/>
      </w:r>
      <w:r>
        <w:fldChar w:fldCharType="begin"/>
      </w:r>
      <w:r>
        <w:instrText xml:space="preserve"> PAGEREF _Toc33185703 \h </w:instrText>
      </w:r>
      <w:r>
        <w:fldChar w:fldCharType="separate"/>
      </w:r>
      <w:r>
        <w:t>17</w:t>
      </w:r>
      <w:r>
        <w:fldChar w:fldCharType="end"/>
      </w:r>
      <w:r>
        <w:fldChar w:fldCharType="end"/>
      </w:r>
    </w:p>
    <w:p>
      <w:pPr>
        <w:pStyle w:val="31"/>
        <w:ind w:left="480"/>
        <w:rPr>
          <w:rFonts w:asciiTheme="minorHAnsi" w:hAnsiTheme="minorHAnsi"/>
          <w:sz w:val="21"/>
        </w:rPr>
      </w:pPr>
      <w:r>
        <w:fldChar w:fldCharType="begin"/>
      </w:r>
      <w:r>
        <w:instrText xml:space="preserve"> HYPERLINK \l "_Toc33185704" </w:instrText>
      </w:r>
      <w:r>
        <w:fldChar w:fldCharType="separate"/>
      </w:r>
      <w:r>
        <w:rPr>
          <w:rStyle w:val="37"/>
          <w:color w:val="auto"/>
        </w:rPr>
        <w:t xml:space="preserve">8.3 </w:t>
      </w:r>
      <w:r>
        <w:rPr>
          <w:rStyle w:val="37"/>
          <w:rFonts w:hint="eastAsia"/>
          <w:color w:val="auto"/>
        </w:rPr>
        <w:t>I</w:t>
      </w:r>
      <w:r>
        <w:rPr>
          <w:rStyle w:val="37"/>
          <w:color w:val="auto"/>
        </w:rPr>
        <w:t>nternal source control</w:t>
      </w:r>
      <w:r>
        <w:tab/>
      </w:r>
      <w:r>
        <w:fldChar w:fldCharType="begin"/>
      </w:r>
      <w:r>
        <w:instrText xml:space="preserve"> PAGEREF _Toc33185704 \h </w:instrText>
      </w:r>
      <w:r>
        <w:fldChar w:fldCharType="separate"/>
      </w:r>
      <w:r>
        <w:t>18</w:t>
      </w:r>
      <w:r>
        <w:fldChar w:fldCharType="end"/>
      </w:r>
      <w:r>
        <w:fldChar w:fldCharType="end"/>
      </w:r>
    </w:p>
    <w:p>
      <w:pPr>
        <w:pStyle w:val="31"/>
        <w:ind w:left="480"/>
        <w:rPr>
          <w:rFonts w:asciiTheme="minorHAnsi" w:hAnsiTheme="minorHAnsi"/>
          <w:sz w:val="21"/>
        </w:rPr>
      </w:pPr>
      <w:r>
        <w:fldChar w:fldCharType="begin"/>
      </w:r>
      <w:r>
        <w:instrText xml:space="preserve"> HYPERLINK \l "_Toc33185705" </w:instrText>
      </w:r>
      <w:r>
        <w:fldChar w:fldCharType="separate"/>
      </w:r>
      <w:r>
        <w:rPr>
          <w:rStyle w:val="37"/>
          <w:color w:val="auto"/>
        </w:rPr>
        <w:t xml:space="preserve">8.4 </w:t>
      </w:r>
      <w:r>
        <w:rPr>
          <w:rStyle w:val="37"/>
          <w:rFonts w:hint="eastAsia"/>
          <w:color w:val="auto"/>
        </w:rPr>
        <w:t>E</w:t>
      </w:r>
      <w:r>
        <w:rPr>
          <w:rStyle w:val="37"/>
          <w:color w:val="auto"/>
        </w:rPr>
        <w:t>cological remediation</w:t>
      </w:r>
      <w:r>
        <w:tab/>
      </w:r>
      <w:r>
        <w:fldChar w:fldCharType="begin"/>
      </w:r>
      <w:r>
        <w:instrText xml:space="preserve"> PAGEREF _Toc33185705 \h </w:instrText>
      </w:r>
      <w:r>
        <w:fldChar w:fldCharType="separate"/>
      </w:r>
      <w:r>
        <w:t>18</w:t>
      </w:r>
      <w:r>
        <w:fldChar w:fldCharType="end"/>
      </w:r>
      <w:r>
        <w:fldChar w:fldCharType="end"/>
      </w:r>
    </w:p>
    <w:p>
      <w:pPr>
        <w:pStyle w:val="31"/>
        <w:ind w:left="480"/>
        <w:rPr>
          <w:rFonts w:asciiTheme="minorHAnsi" w:hAnsiTheme="minorHAnsi"/>
          <w:sz w:val="21"/>
        </w:rPr>
      </w:pPr>
      <w:r>
        <w:fldChar w:fldCharType="begin"/>
      </w:r>
      <w:r>
        <w:instrText xml:space="preserve"> HYPERLINK \l "_Toc33185706" </w:instrText>
      </w:r>
      <w:r>
        <w:fldChar w:fldCharType="separate"/>
      </w:r>
      <w:r>
        <w:rPr>
          <w:rStyle w:val="37"/>
          <w:color w:val="auto"/>
        </w:rPr>
        <w:t xml:space="preserve">8.5 </w:t>
      </w:r>
      <w:r>
        <w:rPr>
          <w:rStyle w:val="37"/>
          <w:rFonts w:hint="eastAsia"/>
          <w:color w:val="auto"/>
        </w:rPr>
        <w:t>H</w:t>
      </w:r>
      <w:r>
        <w:rPr>
          <w:rStyle w:val="37"/>
          <w:color w:val="auto"/>
        </w:rPr>
        <w:t>ydrodynamics</w:t>
      </w:r>
      <w:r>
        <w:tab/>
      </w:r>
      <w:r>
        <w:fldChar w:fldCharType="begin"/>
      </w:r>
      <w:r>
        <w:instrText xml:space="preserve"> PAGEREF _Toc33185706 \h </w:instrText>
      </w:r>
      <w:r>
        <w:fldChar w:fldCharType="separate"/>
      </w:r>
      <w:r>
        <w:t>19</w:t>
      </w:r>
      <w:r>
        <w:fldChar w:fldCharType="end"/>
      </w:r>
      <w:r>
        <w:fldChar w:fldCharType="end"/>
      </w:r>
    </w:p>
    <w:p>
      <w:pPr>
        <w:pStyle w:val="31"/>
        <w:ind w:left="480"/>
        <w:rPr>
          <w:rFonts w:asciiTheme="minorHAnsi" w:hAnsiTheme="minorHAnsi"/>
          <w:sz w:val="21"/>
        </w:rPr>
      </w:pPr>
      <w:r>
        <w:fldChar w:fldCharType="begin"/>
      </w:r>
      <w:r>
        <w:instrText xml:space="preserve"> HYPERLINK \l "_Toc33185707" </w:instrText>
      </w:r>
      <w:r>
        <w:fldChar w:fldCharType="separate"/>
      </w:r>
      <w:r>
        <w:rPr>
          <w:rStyle w:val="37"/>
          <w:color w:val="auto"/>
        </w:rPr>
        <w:t xml:space="preserve">8.6 </w:t>
      </w:r>
      <w:r>
        <w:rPr>
          <w:rStyle w:val="37"/>
          <w:rFonts w:hint="eastAsia"/>
          <w:color w:val="auto"/>
        </w:rPr>
        <w:t>O</w:t>
      </w:r>
      <w:r>
        <w:rPr>
          <w:rStyle w:val="37"/>
          <w:color w:val="auto"/>
        </w:rPr>
        <w:t>ther measures</w:t>
      </w:r>
      <w:r>
        <w:tab/>
      </w:r>
      <w:r>
        <w:fldChar w:fldCharType="begin"/>
      </w:r>
      <w:r>
        <w:instrText xml:space="preserve"> PAGEREF _Toc33185707 \h </w:instrText>
      </w:r>
      <w:r>
        <w:fldChar w:fldCharType="separate"/>
      </w:r>
      <w:r>
        <w:t>20</w:t>
      </w:r>
      <w:r>
        <w:fldChar w:fldCharType="end"/>
      </w:r>
      <w:r>
        <w:fldChar w:fldCharType="end"/>
      </w:r>
    </w:p>
    <w:p>
      <w:pPr>
        <w:pStyle w:val="31"/>
        <w:ind w:left="480"/>
        <w:rPr>
          <w:rFonts w:asciiTheme="minorHAnsi" w:hAnsiTheme="minorHAnsi"/>
          <w:sz w:val="21"/>
        </w:rPr>
      </w:pPr>
      <w:r>
        <w:fldChar w:fldCharType="begin"/>
      </w:r>
      <w:r>
        <w:instrText xml:space="preserve"> HYPERLINK \l "_Toc33185708" </w:instrText>
      </w:r>
      <w:r>
        <w:fldChar w:fldCharType="separate"/>
      </w:r>
      <w:r>
        <w:rPr>
          <w:rStyle w:val="37"/>
          <w:color w:val="auto"/>
        </w:rPr>
        <w:t xml:space="preserve">8.7 </w:t>
      </w:r>
      <w:r>
        <w:rPr>
          <w:rStyle w:val="37"/>
          <w:rFonts w:hint="eastAsia"/>
          <w:color w:val="auto"/>
        </w:rPr>
        <w:t>E</w:t>
      </w:r>
      <w:r>
        <w:rPr>
          <w:rStyle w:val="37"/>
          <w:color w:val="auto"/>
        </w:rPr>
        <w:t>xecutions and plans</w:t>
      </w:r>
      <w:r>
        <w:tab/>
      </w:r>
      <w:r>
        <w:fldChar w:fldCharType="begin"/>
      </w:r>
      <w:r>
        <w:instrText xml:space="preserve"> PAGEREF _Toc33185708 \h </w:instrText>
      </w:r>
      <w:r>
        <w:fldChar w:fldCharType="separate"/>
      </w:r>
      <w:r>
        <w:t>20</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"_Toc33185709" </w:instrText>
      </w:r>
      <w:r>
        <w:fldChar w:fldCharType="separate"/>
      </w:r>
      <w:r>
        <w:rPr>
          <w:rStyle w:val="37"/>
          <w:color w:val="auto"/>
        </w:rPr>
        <w:t xml:space="preserve">9 </w:t>
      </w:r>
      <w:r>
        <w:rPr>
          <w:rStyle w:val="37"/>
          <w:rFonts w:hint="eastAsia"/>
          <w:color w:val="auto"/>
        </w:rPr>
        <w:t>I</w:t>
      </w:r>
      <w:r>
        <w:rPr>
          <w:rStyle w:val="37"/>
          <w:color w:val="auto"/>
        </w:rPr>
        <w:t>nvestment estimate</w:t>
      </w:r>
      <w:r>
        <w:tab/>
      </w:r>
      <w:r>
        <w:fldChar w:fldCharType="begin"/>
      </w:r>
      <w:r>
        <w:instrText xml:space="preserve"> PAGEREF _Toc33185709 \h </w:instrText>
      </w:r>
      <w:r>
        <w:fldChar w:fldCharType="separate"/>
      </w:r>
      <w:r>
        <w:t>21</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"_Toc33185710" </w:instrText>
      </w:r>
      <w:r>
        <w:fldChar w:fldCharType="separate"/>
      </w:r>
      <w:r>
        <w:rPr>
          <w:rStyle w:val="37"/>
          <w:color w:val="auto"/>
        </w:rPr>
        <w:t xml:space="preserve">10 </w:t>
      </w:r>
      <w:r>
        <w:rPr>
          <w:rStyle w:val="37"/>
          <w:rFonts w:hint="eastAsia"/>
          <w:color w:val="auto"/>
        </w:rPr>
        <w:t>N</w:t>
      </w:r>
      <w:r>
        <w:rPr>
          <w:rStyle w:val="37"/>
          <w:color w:val="auto"/>
        </w:rPr>
        <w:t>on engineering mearures</w:t>
      </w:r>
      <w:r>
        <w:tab/>
      </w:r>
      <w:r>
        <w:fldChar w:fldCharType="begin"/>
      </w:r>
      <w:r>
        <w:instrText xml:space="preserve"> PAGEREF _Toc33185710 \h </w:instrText>
      </w:r>
      <w:r>
        <w:fldChar w:fldCharType="separate"/>
      </w:r>
      <w:r>
        <w:t>22</w:t>
      </w:r>
      <w:r>
        <w:fldChar w:fldCharType="end"/>
      </w:r>
      <w:r>
        <w:fldChar w:fldCharType="end"/>
      </w:r>
    </w:p>
    <w:p>
      <w:pPr>
        <w:pStyle w:val="31"/>
        <w:ind w:left="480"/>
        <w:rPr>
          <w:rFonts w:asciiTheme="minorHAnsi" w:hAnsiTheme="minorHAnsi"/>
          <w:sz w:val="21"/>
        </w:rPr>
      </w:pPr>
      <w:r>
        <w:fldChar w:fldCharType="begin"/>
      </w:r>
      <w:r>
        <w:instrText xml:space="preserve"> HYPERLINK \l "_Toc33185711" </w:instrText>
      </w:r>
      <w:r>
        <w:fldChar w:fldCharType="separate"/>
      </w:r>
      <w:r>
        <w:rPr>
          <w:rStyle w:val="37"/>
          <w:color w:val="auto"/>
        </w:rPr>
        <w:t xml:space="preserve">10.1 </w:t>
      </w:r>
      <w:r>
        <w:rPr>
          <w:rStyle w:val="37"/>
          <w:rFonts w:hint="eastAsia"/>
          <w:color w:val="auto"/>
        </w:rPr>
        <w:t>M</w:t>
      </w:r>
      <w:r>
        <w:rPr>
          <w:rStyle w:val="37"/>
          <w:color w:val="auto"/>
        </w:rPr>
        <w:t>anagement system</w:t>
      </w:r>
      <w:r>
        <w:tab/>
      </w:r>
      <w:r>
        <w:fldChar w:fldCharType="begin"/>
      </w:r>
      <w:r>
        <w:instrText xml:space="preserve"> PAGEREF _Toc33185711 \h </w:instrText>
      </w:r>
      <w:r>
        <w:fldChar w:fldCharType="separate"/>
      </w:r>
      <w:r>
        <w:t>22</w:t>
      </w:r>
      <w:r>
        <w:fldChar w:fldCharType="end"/>
      </w:r>
      <w:r>
        <w:fldChar w:fldCharType="end"/>
      </w:r>
    </w:p>
    <w:p>
      <w:pPr>
        <w:pStyle w:val="31"/>
        <w:ind w:left="480"/>
        <w:rPr>
          <w:rFonts w:asciiTheme="minorHAnsi" w:hAnsiTheme="minorHAnsi"/>
          <w:sz w:val="21"/>
        </w:rPr>
      </w:pPr>
      <w:r>
        <w:fldChar w:fldCharType="begin"/>
      </w:r>
      <w:r>
        <w:instrText xml:space="preserve"> HYPERLINK \l "_Toc33185712" </w:instrText>
      </w:r>
      <w:r>
        <w:fldChar w:fldCharType="separate"/>
      </w:r>
      <w:r>
        <w:rPr>
          <w:rStyle w:val="37"/>
          <w:color w:val="auto"/>
        </w:rPr>
        <w:t xml:space="preserve">10.2 </w:t>
      </w:r>
      <w:r>
        <w:rPr>
          <w:rStyle w:val="37"/>
          <w:rFonts w:hint="eastAsia"/>
          <w:color w:val="auto"/>
        </w:rPr>
        <w:t>I</w:t>
      </w:r>
      <w:r>
        <w:rPr>
          <w:rStyle w:val="37"/>
          <w:color w:val="auto"/>
        </w:rPr>
        <w:t>nformation and management</w:t>
      </w:r>
      <w:r>
        <w:tab/>
      </w:r>
      <w:r>
        <w:fldChar w:fldCharType="begin"/>
      </w:r>
      <w:r>
        <w:instrText xml:space="preserve"> PAGEREF _Toc33185712 \h </w:instrText>
      </w:r>
      <w:r>
        <w:fldChar w:fldCharType="separate"/>
      </w:r>
      <w:r>
        <w:t>22</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"_Toc33185713" </w:instrText>
      </w:r>
      <w:r>
        <w:fldChar w:fldCharType="separate"/>
      </w:r>
      <w:r>
        <w:rPr>
          <w:rStyle w:val="37"/>
          <w:color w:val="auto"/>
        </w:rPr>
        <w:t xml:space="preserve">11 </w:t>
      </w:r>
      <w:r>
        <w:rPr>
          <w:rStyle w:val="37"/>
          <w:rFonts w:hint="eastAsia"/>
          <w:color w:val="auto"/>
        </w:rPr>
        <w:t>P</w:t>
      </w:r>
      <w:r>
        <w:rPr>
          <w:rStyle w:val="37"/>
          <w:color w:val="auto"/>
        </w:rPr>
        <w:t>lan environmental impact assessment</w:t>
      </w:r>
      <w:r>
        <w:tab/>
      </w:r>
      <w:r>
        <w:fldChar w:fldCharType="begin"/>
      </w:r>
      <w:r>
        <w:instrText xml:space="preserve"> PAGEREF _Toc33185713 \h </w:instrText>
      </w:r>
      <w:r>
        <w:fldChar w:fldCharType="separate"/>
      </w:r>
      <w:r>
        <w:t>24</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"_Toc33185714" </w:instrText>
      </w:r>
      <w:r>
        <w:fldChar w:fldCharType="separate"/>
      </w:r>
      <w:r>
        <w:rPr>
          <w:rStyle w:val="37"/>
          <w:color w:val="auto"/>
        </w:rPr>
        <w:t xml:space="preserve">12 </w:t>
      </w:r>
      <w:r>
        <w:rPr>
          <w:rStyle w:val="37"/>
          <w:rFonts w:hint="eastAsia"/>
          <w:color w:val="auto"/>
        </w:rPr>
        <w:t>S</w:t>
      </w:r>
      <w:r>
        <w:rPr>
          <w:rStyle w:val="37"/>
          <w:color w:val="auto"/>
        </w:rPr>
        <w:t>afeguards</w:t>
      </w:r>
      <w:r>
        <w:tab/>
      </w:r>
      <w:r>
        <w:fldChar w:fldCharType="begin"/>
      </w:r>
      <w:r>
        <w:instrText xml:space="preserve"> PAGEREF _Toc33185714 \h </w:instrText>
      </w:r>
      <w:r>
        <w:fldChar w:fldCharType="separate"/>
      </w:r>
      <w:r>
        <w:t>25</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"_Toc33185715" </w:instrText>
      </w:r>
      <w:r>
        <w:fldChar w:fldCharType="separate"/>
      </w:r>
      <w:r>
        <w:rPr>
          <w:rStyle w:val="37"/>
          <w:color w:val="auto"/>
        </w:rPr>
        <w:t xml:space="preserve">13 </w:t>
      </w:r>
      <w:r>
        <w:rPr>
          <w:rStyle w:val="37"/>
          <w:rFonts w:hint="eastAsia"/>
          <w:color w:val="auto"/>
        </w:rPr>
        <w:t>A</w:t>
      </w:r>
      <w:r>
        <w:rPr>
          <w:rStyle w:val="37"/>
          <w:color w:val="auto"/>
        </w:rPr>
        <w:t>ssessment of plan effect</w:t>
      </w:r>
      <w:r>
        <w:tab/>
      </w:r>
      <w:r>
        <w:fldChar w:fldCharType="begin"/>
      </w:r>
      <w:r>
        <w:instrText xml:space="preserve"> PAGEREF _Toc33185715 \h </w:instrText>
      </w:r>
      <w:r>
        <w:fldChar w:fldCharType="separate"/>
      </w:r>
      <w:r>
        <w:t>26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"_Toc33185716" </w:instrText>
      </w:r>
      <w:r>
        <w:fldChar w:fldCharType="separate"/>
      </w:r>
      <w:r>
        <w:rPr>
          <w:rStyle w:val="37"/>
          <w:color w:val="auto"/>
        </w:rPr>
        <w:t xml:space="preserve">14 </w:t>
      </w:r>
      <w:r>
        <w:rPr>
          <w:rStyle w:val="37"/>
          <w:rFonts w:hint="eastAsia"/>
          <w:color w:val="auto"/>
        </w:rPr>
        <w:t>C</w:t>
      </w:r>
      <w:r>
        <w:rPr>
          <w:rStyle w:val="37"/>
          <w:color w:val="auto"/>
        </w:rPr>
        <w:t>onclusions and suggestions</w:t>
      </w:r>
      <w:r>
        <w:tab/>
      </w:r>
      <w:r>
        <w:fldChar w:fldCharType="begin"/>
      </w:r>
      <w:r>
        <w:instrText xml:space="preserve"> PAGEREF _Toc33185716 \h </w:instrText>
      </w:r>
      <w:r>
        <w:fldChar w:fldCharType="separate"/>
      </w:r>
      <w:r>
        <w:t>27</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"_Toc33185717" </w:instrText>
      </w:r>
      <w:r>
        <w:fldChar w:fldCharType="separate"/>
      </w:r>
      <w:r>
        <w:rPr>
          <w:rStyle w:val="37"/>
          <w:color w:val="auto"/>
        </w:rPr>
        <w:t xml:space="preserve">15 </w:t>
      </w:r>
      <w:r>
        <w:rPr>
          <w:rFonts w:cs="Times New Roman"/>
          <w:szCs w:val="24"/>
        </w:rPr>
        <w:t>Report preparation</w:t>
      </w:r>
      <w:r>
        <w:tab/>
      </w:r>
      <w:r>
        <w:fldChar w:fldCharType="begin"/>
      </w:r>
      <w:r>
        <w:instrText xml:space="preserve"> PAGEREF _Toc33185717 \h </w:instrText>
      </w:r>
      <w:r>
        <w:fldChar w:fldCharType="separate"/>
      </w:r>
      <w:r>
        <w:t>28</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"_Toc33185718" </w:instrText>
      </w:r>
      <w:r>
        <w:fldChar w:fldCharType="separate"/>
      </w:r>
      <w:r>
        <w:rPr>
          <w:rFonts w:cs="Times New Roman"/>
          <w:szCs w:val="24"/>
        </w:rPr>
        <w:t xml:space="preserve">Appendix </w:t>
      </w:r>
      <w:r>
        <w:rPr>
          <w:rFonts w:hint="eastAsia" w:cs="Times New Roman"/>
          <w:szCs w:val="24"/>
        </w:rPr>
        <w:t>A Outline of investigation report</w:t>
      </w:r>
      <w:r>
        <w:tab/>
      </w:r>
      <w:r>
        <w:fldChar w:fldCharType="begin"/>
      </w:r>
      <w:r>
        <w:instrText xml:space="preserve"> PAGEREF _Toc33185718 \h </w:instrText>
      </w:r>
      <w:r>
        <w:fldChar w:fldCharType="separate"/>
      </w:r>
      <w:r>
        <w:t>30</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"_Toc33185719" </w:instrText>
      </w:r>
      <w:r>
        <w:fldChar w:fldCharType="separate"/>
      </w:r>
      <w:r>
        <w:rPr>
          <w:rStyle w:val="37"/>
          <w:rFonts w:hint="eastAsia"/>
          <w:color w:val="auto"/>
        </w:rPr>
        <w:t>A</w:t>
      </w:r>
      <w:r>
        <w:rPr>
          <w:rStyle w:val="37"/>
          <w:color w:val="auto"/>
        </w:rPr>
        <w:t xml:space="preserve">ppendix B </w:t>
      </w:r>
      <w:r>
        <w:rPr>
          <w:rStyle w:val="37"/>
          <w:rFonts w:hint="eastAsia"/>
          <w:color w:val="auto"/>
        </w:rPr>
        <w:t>F</w:t>
      </w:r>
      <w:r>
        <w:rPr>
          <w:rStyle w:val="37"/>
          <w:color w:val="auto"/>
        </w:rPr>
        <w:t>orms and sheets of investigation, record and result</w:t>
      </w:r>
      <w:r>
        <w:tab/>
      </w:r>
      <w:r>
        <w:fldChar w:fldCharType="begin"/>
      </w:r>
      <w:r>
        <w:instrText xml:space="preserve"> PAGEREF _Toc33185719 \h </w:instrText>
      </w:r>
      <w:r>
        <w:fldChar w:fldCharType="separate"/>
      </w:r>
      <w:r>
        <w:t>35</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"_Toc33185720" </w:instrText>
      </w:r>
      <w:r>
        <w:fldChar w:fldCharType="separate"/>
      </w:r>
      <w:r>
        <w:rPr>
          <w:rFonts w:hint="eastAsia" w:eastAsia="宋体" w:cs="Times New Roman"/>
        </w:rPr>
        <w:t>Explanation of Wording in this Specification</w:t>
      </w:r>
      <w:r>
        <w:tab/>
      </w:r>
      <w:r>
        <w:fldChar w:fldCharType="begin"/>
      </w:r>
      <w:r>
        <w:instrText xml:space="preserve"> PAGEREF _Toc33185720 \h </w:instrText>
      </w:r>
      <w:r>
        <w:fldChar w:fldCharType="separate"/>
      </w:r>
      <w:r>
        <w:t>41</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"_Toc33185721" </w:instrText>
      </w:r>
      <w:r>
        <w:fldChar w:fldCharType="separate"/>
      </w:r>
      <w:r>
        <w:rPr>
          <w:rFonts w:hint="eastAsia" w:eastAsia="宋体" w:cs="Times New Roman"/>
        </w:rPr>
        <w:t>List of Quoted Standards</w:t>
      </w:r>
      <w:r>
        <w:tab/>
      </w:r>
      <w:r>
        <w:fldChar w:fldCharType="begin"/>
      </w:r>
      <w:r>
        <w:instrText xml:space="preserve"> PAGEREF _Toc33185721 \h </w:instrText>
      </w:r>
      <w:r>
        <w:fldChar w:fldCharType="separate"/>
      </w:r>
      <w:r>
        <w:t>42</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"_Toc33185722" </w:instrText>
      </w:r>
      <w:r>
        <w:fldChar w:fldCharType="separate"/>
      </w:r>
      <w:r>
        <w:rPr>
          <w:rFonts w:hint="eastAsia" w:eastAsia="宋体" w:cs="Times New Roman"/>
        </w:rPr>
        <w:t>Explanation of provisions</w:t>
      </w:r>
      <w:r>
        <w:tab/>
      </w:r>
      <w:r>
        <w:fldChar w:fldCharType="begin"/>
      </w:r>
      <w:r>
        <w:instrText xml:space="preserve"> PAGEREF _Toc33185722 \h </w:instrText>
      </w:r>
      <w:r>
        <w:fldChar w:fldCharType="separate"/>
      </w:r>
      <w:r>
        <w:t>43</w:t>
      </w:r>
      <w:r>
        <w:fldChar w:fldCharType="end"/>
      </w:r>
      <w:r>
        <w:fldChar w:fldCharType="end"/>
      </w:r>
    </w:p>
    <w:p>
      <w:pPr>
        <w:ind w:firstLine="480"/>
      </w:pPr>
      <w:r>
        <w:fldChar w:fldCharType="end"/>
      </w:r>
    </w:p>
    <w:p>
      <w:pPr>
        <w:pStyle w:val="26"/>
        <w:sectPr>
          <w:footerReference r:id="rId9" w:type="default"/>
          <w:pgSz w:w="11906" w:h="16838"/>
          <w:pgMar w:top="1440" w:right="1800" w:bottom="1440" w:left="1800" w:header="851" w:footer="992" w:gutter="0"/>
          <w:pgNumType w:start="1"/>
          <w:cols w:space="425" w:num="1"/>
          <w:docGrid w:type="lines" w:linePitch="312" w:charSpace="0"/>
        </w:sectPr>
      </w:pPr>
      <w:r>
        <w:fldChar w:fldCharType="end"/>
      </w:r>
    </w:p>
    <w:p>
      <w:pPr>
        <w:pStyle w:val="2"/>
        <w:spacing w:before="163" w:beforeLines="50" w:after="489" w:afterLines="150"/>
      </w:pPr>
      <w:bookmarkStart w:id="5" w:name="_Toc14097875"/>
      <w:bookmarkStart w:id="6" w:name="_Toc24029562"/>
      <w:bookmarkStart w:id="7" w:name="_Toc33185679"/>
      <w:bookmarkStart w:id="8" w:name="zhengwen"/>
      <w:r>
        <w:rPr>
          <w:rFonts w:hint="eastAsia"/>
        </w:rPr>
        <w:t xml:space="preserve">总 </w:t>
      </w:r>
      <w:r>
        <w:t xml:space="preserve">   </w:t>
      </w:r>
      <w:r>
        <w:rPr>
          <w:rFonts w:hint="eastAsia"/>
        </w:rPr>
        <w:t>则</w:t>
      </w:r>
      <w:bookmarkEnd w:id="5"/>
      <w:bookmarkEnd w:id="6"/>
      <w:bookmarkEnd w:id="7"/>
    </w:p>
    <w:p>
      <w:pPr>
        <w:pStyle w:val="65"/>
        <w:numPr>
          <w:ilvl w:val="2"/>
          <w:numId w:val="2"/>
        </w:numPr>
        <w:spacing w:before="163" w:beforeLines="50"/>
        <w:jc w:val="both"/>
      </w:pPr>
      <w:r>
        <w:rPr>
          <w:rFonts w:hint="eastAsia"/>
        </w:rPr>
        <w:t>根据《水污染防治行动计划》（国发〔2015〕17号）、《城市黑臭水体整治工作指南》（建城[2015]130号）、《城市黑臭水体治理攻坚战实施方案》（建城〔2018〕104号）等有关城市黑臭水体治理的要求，为推动广东省城市黑臭水体治理工作，加强城市黑臭水体治理规划编制工作的管理，统一规划编制的基本原则、工作内容和技术要求，保证规划编制的水平和质量，制定本规范。</w:t>
      </w:r>
    </w:p>
    <w:p>
      <w:pPr>
        <w:pStyle w:val="65"/>
        <w:numPr>
          <w:ilvl w:val="2"/>
          <w:numId w:val="2"/>
        </w:numPr>
        <w:spacing w:before="163" w:beforeLines="50"/>
        <w:jc w:val="both"/>
      </w:pPr>
      <w:r>
        <w:rPr>
          <w:rFonts w:hint="eastAsia"/>
        </w:rPr>
        <w:t>本规范适用于广东省城镇建成区内城市黑臭水体治理规划的编制，其他水体治理规划的编制可参照执行。</w:t>
      </w:r>
    </w:p>
    <w:p>
      <w:pPr>
        <w:pStyle w:val="65"/>
        <w:numPr>
          <w:ilvl w:val="2"/>
          <w:numId w:val="2"/>
        </w:numPr>
        <w:spacing w:before="163" w:beforeLines="50"/>
        <w:jc w:val="both"/>
      </w:pPr>
      <w:r>
        <w:rPr>
          <w:rFonts w:hint="eastAsia"/>
        </w:rPr>
        <w:t>广东省城市黑臭水体治理规划编制工作除符合本规范外，尚应符合国家、行业和广东省地方现行有关规范、标准的规定。</w:t>
      </w:r>
    </w:p>
    <w:p>
      <w:pPr>
        <w:ind w:firstLine="480"/>
      </w:pPr>
    </w:p>
    <w:p>
      <w:pPr>
        <w:widowControl/>
        <w:spacing w:line="240" w:lineRule="auto"/>
        <w:ind w:firstLine="0" w:firstLineChars="0"/>
        <w:jc w:val="left"/>
      </w:pPr>
      <w:r>
        <w:br w:type="page"/>
      </w:r>
    </w:p>
    <w:p>
      <w:pPr>
        <w:pStyle w:val="2"/>
        <w:spacing w:before="163" w:beforeLines="50" w:after="489" w:afterLines="150"/>
      </w:pPr>
      <w:bookmarkStart w:id="9" w:name="_Toc14097876"/>
      <w:bookmarkStart w:id="10" w:name="_Toc3474256"/>
      <w:bookmarkStart w:id="11" w:name="_Toc33185680"/>
      <w:bookmarkStart w:id="12" w:name="_Toc24029563"/>
      <w:r>
        <w:rPr>
          <w:rFonts w:hint="eastAsia"/>
        </w:rPr>
        <w:t xml:space="preserve">术 </w:t>
      </w:r>
      <w:r>
        <w:t xml:space="preserve">   </w:t>
      </w:r>
      <w:r>
        <w:rPr>
          <w:rFonts w:hint="eastAsia"/>
        </w:rPr>
        <w:t>语</w:t>
      </w:r>
      <w:bookmarkEnd w:id="9"/>
      <w:bookmarkEnd w:id="10"/>
      <w:bookmarkEnd w:id="11"/>
      <w:bookmarkEnd w:id="12"/>
    </w:p>
    <w:p>
      <w:pPr>
        <w:pStyle w:val="65"/>
        <w:numPr>
          <w:ilvl w:val="2"/>
          <w:numId w:val="3"/>
        </w:numPr>
        <w:spacing w:before="163" w:beforeLines="50"/>
        <w:jc w:val="both"/>
      </w:pPr>
      <w:r>
        <w:rPr>
          <w:rFonts w:hint="eastAsia"/>
        </w:rPr>
        <w:t>城市黑臭水体 urban black-</w:t>
      </w:r>
      <w:r>
        <w:t>odor</w:t>
      </w:r>
      <w:r>
        <w:rPr>
          <w:rFonts w:hint="eastAsia"/>
        </w:rPr>
        <w:t xml:space="preserve"> water</w:t>
      </w:r>
    </w:p>
    <w:p>
      <w:pPr>
        <w:pStyle w:val="65"/>
        <w:spacing w:before="163" w:beforeLines="50"/>
        <w:ind w:firstLine="480" w:firstLineChars="200"/>
        <w:jc w:val="both"/>
        <w:outlineLvl w:val="9"/>
      </w:pPr>
      <w:r>
        <w:rPr>
          <w:rFonts w:hint="eastAsia"/>
        </w:rPr>
        <w:t>城市建成区内，呈现令人不悦的颜色和（或）散发令人不适气味的水体的统称。</w:t>
      </w:r>
    </w:p>
    <w:p>
      <w:pPr>
        <w:pStyle w:val="65"/>
        <w:numPr>
          <w:ilvl w:val="2"/>
          <w:numId w:val="3"/>
        </w:numPr>
        <w:spacing w:before="163" w:beforeLines="50"/>
        <w:jc w:val="both"/>
      </w:pPr>
      <w:r>
        <w:rPr>
          <w:rFonts w:hint="eastAsia"/>
        </w:rPr>
        <w:t>生物多样性 biodiversity</w:t>
      </w:r>
    </w:p>
    <w:p>
      <w:pPr>
        <w:pStyle w:val="65"/>
        <w:spacing w:before="163" w:beforeLines="50"/>
        <w:ind w:firstLine="480" w:firstLineChars="200"/>
        <w:jc w:val="both"/>
        <w:outlineLvl w:val="9"/>
      </w:pPr>
      <w:r>
        <w:rPr>
          <w:rFonts w:hint="eastAsia"/>
        </w:rPr>
        <w:t>生物及其环境形成的生态复合体以及与此相关的各种生态过程的综合，包括动物、植物、微生物和它们所拥有的基因以及它们与其生存环境形成的复杂的生态系统。包括遗传多样性、物种多样性和生态系统多样性三个组成部分。</w:t>
      </w:r>
    </w:p>
    <w:p>
      <w:pPr>
        <w:pStyle w:val="65"/>
        <w:numPr>
          <w:ilvl w:val="2"/>
          <w:numId w:val="3"/>
        </w:numPr>
        <w:spacing w:before="163" w:beforeLines="50"/>
        <w:jc w:val="both"/>
      </w:pPr>
      <w:r>
        <w:rPr>
          <w:rFonts w:hint="eastAsia"/>
        </w:rPr>
        <w:t>水环境容量 water environment capacity</w:t>
      </w:r>
    </w:p>
    <w:p>
      <w:pPr>
        <w:pStyle w:val="65"/>
        <w:spacing w:before="163" w:beforeLines="50"/>
        <w:ind w:firstLine="480" w:firstLineChars="200"/>
        <w:jc w:val="both"/>
        <w:outlineLvl w:val="9"/>
      </w:pPr>
      <w:r>
        <w:rPr>
          <w:rFonts w:hint="eastAsia"/>
        </w:rPr>
        <w:t>在给定水域范围和水文条件、规定排污方式和水质目标的前提下，单位时间内该水域最大允许纳污量。</w:t>
      </w:r>
    </w:p>
    <w:p>
      <w:pPr>
        <w:pStyle w:val="65"/>
        <w:numPr>
          <w:ilvl w:val="2"/>
          <w:numId w:val="3"/>
        </w:numPr>
        <w:spacing w:before="163" w:beforeLines="50"/>
        <w:jc w:val="both"/>
      </w:pPr>
      <w:r>
        <w:rPr>
          <w:rFonts w:hint="eastAsia"/>
        </w:rPr>
        <w:t>海绵城市 sponge city</w:t>
      </w:r>
    </w:p>
    <w:p>
      <w:pPr>
        <w:pStyle w:val="65"/>
        <w:spacing w:before="163" w:beforeLines="50"/>
        <w:ind w:firstLine="480" w:firstLineChars="200"/>
        <w:jc w:val="both"/>
        <w:outlineLvl w:val="9"/>
      </w:pPr>
      <w:r>
        <w:rPr>
          <w:rFonts w:hint="eastAsia"/>
        </w:rPr>
        <w:t>新一代城市雨洪管理概念，是指城市能够像海绵一样，在适应环境变化和应对雨水带来的自然灾害等方面具有良好的弹性。</w:t>
      </w:r>
    </w:p>
    <w:p>
      <w:pPr>
        <w:pStyle w:val="65"/>
        <w:numPr>
          <w:ilvl w:val="2"/>
          <w:numId w:val="3"/>
        </w:numPr>
        <w:spacing w:before="163" w:beforeLines="50"/>
        <w:jc w:val="both"/>
      </w:pPr>
      <w:r>
        <w:rPr>
          <w:rFonts w:hint="eastAsia"/>
        </w:rPr>
        <w:t>点源污染 point source pollution</w:t>
      </w:r>
    </w:p>
    <w:p>
      <w:pPr>
        <w:pStyle w:val="65"/>
        <w:spacing w:before="163" w:beforeLines="50"/>
        <w:ind w:firstLine="480" w:firstLineChars="200"/>
        <w:jc w:val="both"/>
        <w:outlineLvl w:val="9"/>
      </w:pPr>
      <w:r>
        <w:rPr>
          <w:rFonts w:hint="eastAsia"/>
        </w:rPr>
        <w:t>以点源形式进入城市水体的各种污染源，主要包括工业废水和城市生活污水，通常有固定的排污口集中排放。</w:t>
      </w:r>
    </w:p>
    <w:p>
      <w:pPr>
        <w:pStyle w:val="65"/>
        <w:numPr>
          <w:ilvl w:val="2"/>
          <w:numId w:val="3"/>
        </w:numPr>
        <w:spacing w:before="163" w:beforeLines="50"/>
        <w:jc w:val="both"/>
      </w:pPr>
      <w:r>
        <w:rPr>
          <w:rFonts w:hint="eastAsia"/>
        </w:rPr>
        <w:t>面源污染 non-point source pollution</w:t>
      </w:r>
    </w:p>
    <w:p>
      <w:pPr>
        <w:pStyle w:val="65"/>
        <w:spacing w:before="163" w:beforeLines="50"/>
        <w:ind w:firstLine="480" w:firstLineChars="200"/>
        <w:jc w:val="both"/>
        <w:outlineLvl w:val="9"/>
      </w:pPr>
      <w:r>
        <w:rPr>
          <w:rFonts w:hint="eastAsia"/>
        </w:rPr>
        <w:t>以非点源（分散源）形式进入城市水体的各种污染源，主要包括各类降水所携带的污染负荷、城乡接合部地区分散式畜禽养殖废水的污染等，通常具有明显的区域和季节性变化特征。</w:t>
      </w:r>
    </w:p>
    <w:p>
      <w:pPr>
        <w:pStyle w:val="65"/>
        <w:numPr>
          <w:ilvl w:val="2"/>
          <w:numId w:val="3"/>
        </w:numPr>
        <w:spacing w:before="163" w:beforeLines="50"/>
        <w:jc w:val="both"/>
      </w:pPr>
      <w:r>
        <w:rPr>
          <w:rFonts w:hint="eastAsia"/>
        </w:rPr>
        <w:t>内源污染 internal pollution</w:t>
      </w:r>
    </w:p>
    <w:p>
      <w:pPr>
        <w:pStyle w:val="65"/>
        <w:spacing w:before="163" w:beforeLines="50"/>
        <w:ind w:firstLine="480" w:firstLineChars="200"/>
        <w:jc w:val="both"/>
        <w:outlineLvl w:val="9"/>
      </w:pPr>
      <w:r>
        <w:rPr>
          <w:rFonts w:hint="eastAsia"/>
        </w:rPr>
        <w:t>城市水体底泥中所含有的污染物以及水体中各种漂浮物、悬浮物、岸边垃圾、未清理的水生植物或水华藻类等所形成的腐败物。</w:t>
      </w:r>
    </w:p>
    <w:p>
      <w:pPr>
        <w:pStyle w:val="65"/>
        <w:numPr>
          <w:ilvl w:val="2"/>
          <w:numId w:val="3"/>
        </w:numPr>
        <w:spacing w:before="163" w:beforeLines="50"/>
        <w:jc w:val="both"/>
      </w:pPr>
      <w:r>
        <w:rPr>
          <w:rFonts w:hint="eastAsia"/>
        </w:rPr>
        <w:t>水生态系统 water ecosystem</w:t>
      </w:r>
    </w:p>
    <w:p>
      <w:pPr>
        <w:pStyle w:val="65"/>
        <w:spacing w:before="163" w:beforeLines="50"/>
        <w:ind w:firstLine="480" w:firstLineChars="200"/>
        <w:jc w:val="both"/>
        <w:outlineLvl w:val="9"/>
      </w:pPr>
      <w:r>
        <w:rPr>
          <w:rFonts w:hint="eastAsia"/>
        </w:rPr>
        <w:t>水生生物群落及其环境相互作用、相互制约，通过物质循环和能量流动，共同构成具有一定结构和功能的动态平衡系统。</w:t>
      </w:r>
    </w:p>
    <w:p>
      <w:pPr>
        <w:pStyle w:val="65"/>
        <w:numPr>
          <w:ilvl w:val="2"/>
          <w:numId w:val="3"/>
        </w:numPr>
        <w:spacing w:before="163" w:beforeLines="50"/>
        <w:jc w:val="both"/>
      </w:pPr>
      <w:r>
        <w:rPr>
          <w:rFonts w:hint="eastAsia"/>
        </w:rPr>
        <w:t xml:space="preserve">生态修复 </w:t>
      </w:r>
      <w:r>
        <w:t>ecological remediation</w:t>
      </w:r>
    </w:p>
    <w:p>
      <w:pPr>
        <w:pStyle w:val="65"/>
        <w:spacing w:before="163" w:beforeLines="50"/>
        <w:ind w:firstLine="480" w:firstLineChars="200"/>
        <w:jc w:val="both"/>
        <w:outlineLvl w:val="9"/>
      </w:pPr>
      <w:r>
        <w:rPr>
          <w:rFonts w:hint="eastAsia"/>
        </w:rPr>
        <w:t>在生态学原理指导下，以生物修复为基础，结合各种物理修复、化学修复以及工程技术措施，通过优化组合，使之达到最佳效果和最低耗费的一种综合的修复污染环境的方法。</w:t>
      </w:r>
    </w:p>
    <w:p>
      <w:pPr>
        <w:pStyle w:val="65"/>
        <w:numPr>
          <w:ilvl w:val="2"/>
          <w:numId w:val="3"/>
        </w:numPr>
        <w:spacing w:before="163" w:beforeLines="50"/>
        <w:jc w:val="both"/>
      </w:pPr>
      <w:r>
        <w:rPr>
          <w:rFonts w:hint="eastAsia"/>
        </w:rPr>
        <w:t>生态疏浚</w:t>
      </w:r>
      <w:r>
        <w:t xml:space="preserve"> ecological dredging</w:t>
      </w:r>
    </w:p>
    <w:p>
      <w:pPr>
        <w:pStyle w:val="65"/>
        <w:spacing w:before="163" w:beforeLines="50"/>
        <w:ind w:firstLine="480" w:firstLineChars="200"/>
        <w:jc w:val="both"/>
        <w:outlineLvl w:val="9"/>
      </w:pPr>
      <w:r>
        <w:rPr>
          <w:rFonts w:hint="eastAsia"/>
        </w:rPr>
        <w:t>采用环保型的施工机械设备，去除水体底表层被污染的淤泥，并控制施工过程中污染物扩散，以减轻水体内源污染负荷的施工技术方法。</w:t>
      </w:r>
    </w:p>
    <w:p>
      <w:pPr>
        <w:pStyle w:val="65"/>
        <w:numPr>
          <w:ilvl w:val="2"/>
          <w:numId w:val="3"/>
        </w:numPr>
        <w:spacing w:before="163" w:beforeLines="50"/>
        <w:jc w:val="both"/>
      </w:pPr>
      <w:r>
        <w:rPr>
          <w:rFonts w:hint="eastAsia"/>
        </w:rPr>
        <w:t>二次污染</w:t>
      </w:r>
      <w:r>
        <w:t xml:space="preserve"> secondary poll</w:t>
      </w:r>
      <w:r>
        <w:rPr>
          <w:rFonts w:hint="eastAsia"/>
        </w:rPr>
        <w:t>u</w:t>
      </w:r>
      <w:r>
        <w:t>tion</w:t>
      </w:r>
    </w:p>
    <w:p>
      <w:pPr>
        <w:pStyle w:val="65"/>
        <w:spacing w:before="163" w:beforeLines="50"/>
        <w:ind w:firstLine="480" w:firstLineChars="200"/>
        <w:jc w:val="both"/>
        <w:outlineLvl w:val="9"/>
      </w:pPr>
      <w:r>
        <w:rPr>
          <w:rFonts w:hint="eastAsia"/>
        </w:rPr>
        <w:t>当某些一次污染物，在自然条件的作用下，改变了原有性质，特别是那些反应性较强的物质，性质极不稳定，而产生新的污染物，即出现二次污染。</w:t>
      </w:r>
    </w:p>
    <w:p>
      <w:pPr>
        <w:pStyle w:val="65"/>
        <w:numPr>
          <w:ilvl w:val="2"/>
          <w:numId w:val="3"/>
        </w:numPr>
        <w:spacing w:before="163" w:beforeLines="50"/>
        <w:jc w:val="both"/>
      </w:pPr>
      <w:r>
        <w:rPr>
          <w:rFonts w:hint="eastAsia"/>
        </w:rPr>
        <w:t>余水处理</w:t>
      </w:r>
      <w:r>
        <w:t xml:space="preserve"> </w:t>
      </w:r>
      <w:r>
        <w:rPr>
          <w:rFonts w:hint="eastAsia"/>
        </w:rPr>
        <w:t>r</w:t>
      </w:r>
      <w:r>
        <w:t>esidual water treatment</w:t>
      </w:r>
    </w:p>
    <w:p>
      <w:pPr>
        <w:pStyle w:val="65"/>
        <w:spacing w:before="163" w:beforeLines="50"/>
        <w:ind w:firstLine="480" w:firstLineChars="200"/>
        <w:jc w:val="both"/>
        <w:outlineLvl w:val="9"/>
      </w:pPr>
      <w:r>
        <w:rPr>
          <w:rFonts w:hint="eastAsia"/>
        </w:rPr>
        <w:t>通过物理或化学的方法，对污泥堆场渗出的富含悬浮物的污水进行处理，使排放的尾水符合要求的过程。</w:t>
      </w:r>
    </w:p>
    <w:p>
      <w:pPr>
        <w:widowControl/>
        <w:spacing w:line="240" w:lineRule="auto"/>
        <w:ind w:firstLine="0" w:firstLineChars="0"/>
        <w:jc w:val="left"/>
        <w:rPr>
          <w:rFonts w:eastAsia="黑体"/>
          <w:b/>
          <w:kern w:val="0"/>
          <w:sz w:val="36"/>
        </w:rPr>
      </w:pPr>
      <w:r>
        <w:br w:type="page"/>
      </w:r>
    </w:p>
    <w:p>
      <w:pPr>
        <w:pStyle w:val="2"/>
        <w:spacing w:before="163" w:beforeLines="50" w:after="489" w:afterLines="150"/>
      </w:pPr>
      <w:bookmarkStart w:id="13" w:name="_Toc33185681"/>
      <w:bookmarkStart w:id="14" w:name="_Toc24029564"/>
      <w:r>
        <w:rPr>
          <w:rFonts w:hint="eastAsia"/>
        </w:rPr>
        <w:t>基本规定</w:t>
      </w:r>
      <w:bookmarkEnd w:id="13"/>
      <w:bookmarkEnd w:id="14"/>
    </w:p>
    <w:p>
      <w:pPr>
        <w:pStyle w:val="65"/>
        <w:numPr>
          <w:ilvl w:val="0"/>
          <w:numId w:val="4"/>
        </w:numPr>
        <w:spacing w:before="163" w:beforeLines="50"/>
        <w:jc w:val="both"/>
      </w:pPr>
      <w:r>
        <w:rPr>
          <w:rFonts w:hint="eastAsia"/>
        </w:rPr>
        <w:t>编制城市黑臭水体治理规划应遵循国家相关法律法规及相关政策文件。</w:t>
      </w:r>
    </w:p>
    <w:p>
      <w:pPr>
        <w:pStyle w:val="65"/>
        <w:numPr>
          <w:ilvl w:val="0"/>
          <w:numId w:val="4"/>
        </w:numPr>
        <w:spacing w:before="163" w:beforeLines="50"/>
        <w:jc w:val="both"/>
      </w:pPr>
      <w:r>
        <w:rPr>
          <w:rFonts w:hint="eastAsia"/>
        </w:rPr>
        <w:t>编制城市黑臭水体治理规划应以批准的城镇总体规划为主要依据，并充分参考其他相关专项规划及有关成果。</w:t>
      </w:r>
    </w:p>
    <w:p>
      <w:pPr>
        <w:pStyle w:val="65"/>
        <w:numPr>
          <w:ilvl w:val="0"/>
          <w:numId w:val="4"/>
        </w:numPr>
        <w:spacing w:before="163" w:beforeLines="50"/>
        <w:jc w:val="both"/>
      </w:pPr>
      <w:r>
        <w:rPr>
          <w:rFonts w:hint="eastAsia"/>
        </w:rPr>
        <w:t>编制广东省城市黑臭水体治理规划，应根据可持续发展、生态文明建设的需要，针对流域、区域特性、城市发展与水体环境现状及存在问题，按照流域统筹、系统治理的思路，依据统一规划、因地制宜、突出重点的原则和经济技术可行性原则，提出治理规划目标与任务，制定治理规划的总体方案及主要空间布局与实施方案，实现社会、经济与环境效益、长远与眼前利益、整体与局部利益的统筹。</w:t>
      </w:r>
    </w:p>
    <w:p>
      <w:pPr>
        <w:pStyle w:val="65"/>
        <w:numPr>
          <w:ilvl w:val="0"/>
          <w:numId w:val="4"/>
        </w:numPr>
        <w:spacing w:before="163" w:beforeLines="50"/>
        <w:jc w:val="both"/>
      </w:pPr>
      <w:r>
        <w:rPr>
          <w:rFonts w:hint="eastAsia"/>
        </w:rPr>
        <w:t>编制城市黑臭水体治理规划，应尊重科学，实事求是。充分查阅和参考以往专项规划及有关成果，积极并慎重采用新技术、新方法，注重工程措施与技术手段、管理方法相结合，广泛听取并论证采纳各方面的意见和建议比较不同的方案设计，优选规划方案，提高规划的科学性和可实施性。</w:t>
      </w:r>
    </w:p>
    <w:p>
      <w:pPr>
        <w:pStyle w:val="65"/>
        <w:numPr>
          <w:ilvl w:val="0"/>
          <w:numId w:val="4"/>
        </w:numPr>
        <w:spacing w:before="163" w:beforeLines="50"/>
        <w:jc w:val="both"/>
      </w:pPr>
      <w:r>
        <w:rPr>
          <w:rFonts w:hint="eastAsia"/>
        </w:rPr>
        <w:t>城市黑臭水体治理规划应体现全局性和指导性，突出其对黑臭水体治理工作的约束性和控制性。</w:t>
      </w:r>
    </w:p>
    <w:p>
      <w:pPr>
        <w:pStyle w:val="65"/>
        <w:numPr>
          <w:ilvl w:val="0"/>
          <w:numId w:val="4"/>
        </w:numPr>
        <w:spacing w:before="163" w:beforeLines="50"/>
        <w:jc w:val="both"/>
      </w:pPr>
      <w:r>
        <w:rPr>
          <w:rFonts w:hint="eastAsia"/>
        </w:rPr>
        <w:t>城市黑臭水体治理规划编制应遵循下级规划服从上级规划、专项规划服从综合规划的原则。</w:t>
      </w:r>
    </w:p>
    <w:p>
      <w:pPr>
        <w:pStyle w:val="65"/>
        <w:numPr>
          <w:ilvl w:val="0"/>
          <w:numId w:val="4"/>
        </w:numPr>
        <w:spacing w:before="163" w:beforeLines="50"/>
        <w:jc w:val="both"/>
      </w:pPr>
      <w:r>
        <w:rPr>
          <w:rFonts w:hint="eastAsia"/>
        </w:rPr>
        <w:t>编制城市黑臭水体治理规划，应以消除黑臭、提升水环境质量、修复水生态为主要目标，应兼顾防洪排涝、海绵城市建设、水资源可持续利用等多重目标。</w:t>
      </w:r>
    </w:p>
    <w:p>
      <w:pPr>
        <w:pStyle w:val="65"/>
        <w:numPr>
          <w:ilvl w:val="0"/>
          <w:numId w:val="4"/>
        </w:numPr>
        <w:spacing w:before="163" w:beforeLines="50"/>
        <w:jc w:val="both"/>
      </w:pPr>
      <w:r>
        <w:rPr>
          <w:rFonts w:hint="eastAsia"/>
        </w:rPr>
        <w:t>编制城市黑臭水体治理规划应考虑相关防洪排涝标准与规划，确保水安全。</w:t>
      </w:r>
    </w:p>
    <w:p>
      <w:pPr>
        <w:pStyle w:val="65"/>
        <w:numPr>
          <w:ilvl w:val="0"/>
          <w:numId w:val="4"/>
        </w:numPr>
        <w:spacing w:before="163" w:beforeLines="50"/>
        <w:jc w:val="both"/>
      </w:pPr>
      <w:r>
        <w:rPr>
          <w:rFonts w:hint="eastAsia"/>
        </w:rPr>
        <w:t>黑臭水体治理规划应考虑近远结合、统筹安排。应处理好干支流、上下游、全流域的关系，局部安排应符合区域水体治理规划的总体安排；应采取预防为主，预治结合，源头治理与末端治理结合，处理好非工程措施与工程措施之间的关系，建设与运营的关系。</w:t>
      </w:r>
    </w:p>
    <w:p>
      <w:pPr>
        <w:pStyle w:val="65"/>
        <w:numPr>
          <w:ilvl w:val="0"/>
          <w:numId w:val="4"/>
        </w:numPr>
        <w:spacing w:before="163" w:beforeLines="50"/>
        <w:jc w:val="both"/>
      </w:pPr>
      <w:r>
        <w:rPr>
          <w:rFonts w:hint="eastAsia"/>
        </w:rPr>
        <w:t>黑臭水体治理规划应注意统筹各部门的使用要求，构建水岸综合体，保留后续发展利用空间等。</w:t>
      </w:r>
    </w:p>
    <w:p>
      <w:pPr>
        <w:pStyle w:val="65"/>
        <w:numPr>
          <w:ilvl w:val="0"/>
          <w:numId w:val="4"/>
        </w:numPr>
        <w:spacing w:before="163" w:beforeLines="50"/>
        <w:jc w:val="both"/>
      </w:pPr>
      <w:r>
        <w:rPr>
          <w:rFonts w:hint="eastAsia"/>
        </w:rPr>
        <w:t>城市黑臭水体治理规划编制所需的基本资料应来源可靠，数据准确，并具有代表性。</w:t>
      </w:r>
    </w:p>
    <w:p>
      <w:pPr>
        <w:pStyle w:val="65"/>
        <w:numPr>
          <w:ilvl w:val="0"/>
          <w:numId w:val="4"/>
        </w:numPr>
        <w:spacing w:before="163" w:beforeLines="50"/>
        <w:jc w:val="both"/>
      </w:pPr>
      <w:r>
        <w:rPr>
          <w:rFonts w:hint="eastAsia"/>
        </w:rPr>
        <w:t>城市黑臭水体治理规划的规划基准年宜为规划编制的前一年，规划水平年宜与相关国民经济和社会发展规划或相关的上位规划、同级规划相协调，可分为近期和远期两个水平年，并以近期为重点。</w:t>
      </w:r>
      <w:r>
        <w:br w:type="page"/>
      </w:r>
    </w:p>
    <w:p>
      <w:pPr>
        <w:pStyle w:val="2"/>
        <w:spacing w:before="163" w:beforeLines="50" w:after="489" w:afterLines="150"/>
      </w:pPr>
      <w:bookmarkStart w:id="15" w:name="_Toc24029570"/>
      <w:bookmarkStart w:id="16" w:name="_Toc33185682"/>
      <w:r>
        <w:rPr>
          <w:rFonts w:hint="eastAsia"/>
        </w:rPr>
        <w:t>编制内容综合说明</w:t>
      </w:r>
      <w:bookmarkEnd w:id="15"/>
      <w:bookmarkEnd w:id="16"/>
    </w:p>
    <w:p>
      <w:pPr>
        <w:pStyle w:val="5"/>
        <w:numPr>
          <w:ilvl w:val="2"/>
          <w:numId w:val="5"/>
        </w:numPr>
        <w:spacing w:before="163"/>
        <w:jc w:val="both"/>
        <w:rPr>
          <w:rFonts w:asciiTheme="minorEastAsia" w:hAnsiTheme="minorEastAsia"/>
        </w:rPr>
      </w:pPr>
      <w:r>
        <w:rPr>
          <w:rFonts w:hint="eastAsia" w:asciiTheme="minorEastAsia" w:hAnsiTheme="minorEastAsia"/>
        </w:rPr>
        <w:t>城市黑臭水体治理规划编制内容应包括区域概况、现状调查与评价、规划目标与任务、总体规划与布局、治理方案、投资估算、非工程措施方案、环境影响评价、保障措施、实施效果分析、结论与建议、形成规划成果等。</w:t>
      </w:r>
    </w:p>
    <w:p>
      <w:pPr>
        <w:pStyle w:val="5"/>
        <w:numPr>
          <w:ilvl w:val="2"/>
          <w:numId w:val="5"/>
        </w:numPr>
        <w:spacing w:before="163"/>
        <w:jc w:val="both"/>
        <w:rPr>
          <w:rFonts w:asciiTheme="minorEastAsia" w:hAnsiTheme="minorEastAsia"/>
        </w:rPr>
      </w:pPr>
      <w:r>
        <w:rPr>
          <w:rFonts w:hint="eastAsia" w:asciiTheme="minorEastAsia" w:hAnsiTheme="minorEastAsia"/>
        </w:rPr>
        <w:t>根据规划编制任务要求，对黑臭水体所在区域的基本情况进行调查，包括城市概况，地理、地质、水文、气象、生态等自然条件和城市社会经济等概况，以及相关规划与计划等。</w:t>
      </w:r>
    </w:p>
    <w:p>
      <w:pPr>
        <w:pStyle w:val="5"/>
        <w:numPr>
          <w:ilvl w:val="2"/>
          <w:numId w:val="5"/>
        </w:numPr>
        <w:spacing w:before="163"/>
        <w:jc w:val="both"/>
        <w:rPr>
          <w:rFonts w:asciiTheme="minorEastAsia" w:hAnsiTheme="minorEastAsia"/>
        </w:rPr>
      </w:pPr>
      <w:r>
        <w:rPr>
          <w:rFonts w:hint="eastAsia" w:asciiTheme="minorEastAsia" w:hAnsiTheme="minorEastAsia"/>
        </w:rPr>
        <w:t>规划应对水环境现状开展相应深度的现状调查及必要的专题研究，包括流域概况、水质状况、污染源、水生态、排水管网、治理设施、岸线管理与利用、公众调查等情况。</w:t>
      </w:r>
    </w:p>
    <w:p>
      <w:pPr>
        <w:pStyle w:val="5"/>
        <w:numPr>
          <w:ilvl w:val="2"/>
          <w:numId w:val="5"/>
        </w:numPr>
        <w:spacing w:before="163"/>
        <w:jc w:val="both"/>
        <w:rPr>
          <w:rFonts w:asciiTheme="minorEastAsia" w:hAnsiTheme="minorEastAsia"/>
        </w:rPr>
      </w:pPr>
      <w:r>
        <w:rPr>
          <w:rFonts w:hint="eastAsia" w:asciiTheme="minorEastAsia" w:hAnsiTheme="minorEastAsia"/>
        </w:rPr>
        <w:t>应分析评价城市水体的黑臭和污染的程度、危害及发展趋势，分析原因，确定主要影响因子，根据规划区社会经济发展要求，进行治理必要性分析，确定水体治理规划的目标、任务。</w:t>
      </w:r>
    </w:p>
    <w:p>
      <w:pPr>
        <w:pStyle w:val="5"/>
        <w:numPr>
          <w:ilvl w:val="2"/>
          <w:numId w:val="5"/>
        </w:numPr>
        <w:spacing w:before="163"/>
        <w:jc w:val="both"/>
        <w:rPr>
          <w:rFonts w:asciiTheme="minorEastAsia" w:hAnsiTheme="minorEastAsia"/>
        </w:rPr>
      </w:pPr>
      <w:r>
        <w:rPr>
          <w:rFonts w:hint="eastAsia" w:asciiTheme="minorEastAsia" w:hAnsiTheme="minorEastAsia"/>
        </w:rPr>
        <w:t>应根据规划任务以及工作基础、工程建设条件等论证确定规划范围、规划期。</w:t>
      </w:r>
    </w:p>
    <w:p>
      <w:pPr>
        <w:pStyle w:val="5"/>
        <w:numPr>
          <w:ilvl w:val="2"/>
          <w:numId w:val="5"/>
        </w:numPr>
        <w:spacing w:before="163"/>
        <w:jc w:val="both"/>
        <w:rPr>
          <w:rFonts w:asciiTheme="minorEastAsia" w:hAnsiTheme="minorEastAsia"/>
        </w:rPr>
      </w:pPr>
      <w:r>
        <w:rPr>
          <w:rFonts w:hint="eastAsia" w:asciiTheme="minorEastAsia" w:hAnsiTheme="minorEastAsia"/>
        </w:rPr>
        <w:t>应根据规划区域特征、主要污染问题及主要影响因子，确定重点治理对象和主要治理工程、措施，提出总体规划方案和治理措施的总体布局。</w:t>
      </w:r>
    </w:p>
    <w:p>
      <w:pPr>
        <w:pStyle w:val="5"/>
        <w:numPr>
          <w:ilvl w:val="2"/>
          <w:numId w:val="5"/>
        </w:numPr>
        <w:spacing w:before="163"/>
        <w:jc w:val="both"/>
        <w:rPr>
          <w:rFonts w:asciiTheme="minorEastAsia" w:hAnsiTheme="minorEastAsia"/>
        </w:rPr>
      </w:pPr>
      <w:r>
        <w:rPr>
          <w:rFonts w:hint="eastAsia" w:asciiTheme="minorEastAsia" w:hAnsiTheme="minorEastAsia"/>
        </w:rPr>
        <w:t>应对主要治理工程进行方案设计，明确到控源截污、内源治理、活水保质、生态修复等分项措施。</w:t>
      </w:r>
    </w:p>
    <w:p>
      <w:pPr>
        <w:pStyle w:val="5"/>
        <w:numPr>
          <w:ilvl w:val="2"/>
          <w:numId w:val="5"/>
        </w:numPr>
        <w:spacing w:before="163"/>
        <w:jc w:val="both"/>
        <w:rPr>
          <w:rFonts w:asciiTheme="minorEastAsia" w:hAnsiTheme="minorEastAsia"/>
        </w:rPr>
      </w:pPr>
      <w:r>
        <w:rPr>
          <w:rFonts w:hint="eastAsia" w:asciiTheme="minorEastAsia" w:hAnsiTheme="minorEastAsia"/>
        </w:rPr>
        <w:t>应对工程设计方案进行投资估算并编制估算成果。</w:t>
      </w:r>
    </w:p>
    <w:p>
      <w:pPr>
        <w:pStyle w:val="5"/>
        <w:numPr>
          <w:ilvl w:val="2"/>
          <w:numId w:val="5"/>
        </w:numPr>
        <w:spacing w:before="163"/>
        <w:jc w:val="both"/>
        <w:rPr>
          <w:rFonts w:asciiTheme="minorEastAsia" w:hAnsiTheme="minorEastAsia"/>
        </w:rPr>
      </w:pPr>
      <w:r>
        <w:rPr>
          <w:rFonts w:hint="eastAsia" w:asciiTheme="minorEastAsia" w:hAnsiTheme="minorEastAsia"/>
        </w:rPr>
        <w:t>应制定非工程措施方案，可包括综合管理系统建设方案、信息管控系统建设方案等。</w:t>
      </w:r>
    </w:p>
    <w:p>
      <w:pPr>
        <w:pStyle w:val="5"/>
        <w:numPr>
          <w:ilvl w:val="2"/>
          <w:numId w:val="5"/>
        </w:numPr>
        <w:spacing w:before="163"/>
        <w:jc w:val="both"/>
        <w:rPr>
          <w:rFonts w:asciiTheme="minorEastAsia" w:hAnsiTheme="minorEastAsia"/>
        </w:rPr>
      </w:pPr>
      <w:r>
        <w:rPr>
          <w:rFonts w:hint="eastAsia" w:asciiTheme="minorEastAsia" w:hAnsiTheme="minorEastAsia"/>
        </w:rPr>
        <w:t>应分析预测规划实施可能带来的环境影响，确定需要采取的环境保护措施，并考虑规划实施过程和实施后的跟踪评价等。</w:t>
      </w:r>
    </w:p>
    <w:p>
      <w:pPr>
        <w:pStyle w:val="5"/>
        <w:numPr>
          <w:ilvl w:val="2"/>
          <w:numId w:val="5"/>
        </w:numPr>
        <w:spacing w:before="163"/>
        <w:jc w:val="both"/>
        <w:rPr>
          <w:rFonts w:asciiTheme="minorEastAsia" w:hAnsiTheme="minorEastAsia"/>
        </w:rPr>
      </w:pPr>
      <w:r>
        <w:rPr>
          <w:rFonts w:hint="eastAsia" w:asciiTheme="minorEastAsia" w:hAnsiTheme="minorEastAsia"/>
        </w:rPr>
        <w:t>应拟定保障规划实施的相关必要条件，包括建设用地、资金筹措、组织与管理、应急与监督检查等。</w:t>
      </w:r>
    </w:p>
    <w:p>
      <w:pPr>
        <w:pStyle w:val="5"/>
        <w:numPr>
          <w:ilvl w:val="2"/>
          <w:numId w:val="5"/>
        </w:numPr>
        <w:spacing w:before="163"/>
        <w:jc w:val="both"/>
        <w:rPr>
          <w:rFonts w:asciiTheme="minorEastAsia" w:hAnsiTheme="minorEastAsia"/>
        </w:rPr>
      </w:pPr>
      <w:r>
        <w:rPr>
          <w:rFonts w:hint="eastAsia" w:asciiTheme="minorEastAsia" w:hAnsiTheme="minorEastAsia"/>
        </w:rPr>
        <w:t>应对规划的实施效果进行分析与预测，进行环境、社会、经济效益分析。</w:t>
      </w:r>
    </w:p>
    <w:p>
      <w:pPr>
        <w:pStyle w:val="5"/>
        <w:numPr>
          <w:ilvl w:val="2"/>
          <w:numId w:val="5"/>
        </w:numPr>
        <w:spacing w:before="163"/>
        <w:jc w:val="both"/>
        <w:rPr>
          <w:rFonts w:asciiTheme="minorEastAsia" w:hAnsiTheme="minorEastAsia"/>
        </w:rPr>
      </w:pPr>
      <w:r>
        <w:rPr>
          <w:rFonts w:asciiTheme="minorEastAsia" w:hAnsiTheme="minorEastAsia"/>
        </w:rPr>
        <w:t>应</w:t>
      </w:r>
      <w:r>
        <w:rPr>
          <w:rFonts w:hint="eastAsia" w:asciiTheme="minorEastAsia" w:hAnsiTheme="minorEastAsia"/>
        </w:rPr>
        <w:t>提出</w:t>
      </w:r>
      <w:r>
        <w:rPr>
          <w:rFonts w:asciiTheme="minorEastAsia" w:hAnsiTheme="minorEastAsia"/>
        </w:rPr>
        <w:t>主要结论</w:t>
      </w:r>
      <w:r>
        <w:rPr>
          <w:rFonts w:hint="eastAsia" w:asciiTheme="minorEastAsia" w:hAnsiTheme="minorEastAsia"/>
        </w:rPr>
        <w:t>和建议，明确</w:t>
      </w:r>
      <w:r>
        <w:rPr>
          <w:rFonts w:asciiTheme="minorEastAsia" w:hAnsiTheme="minorEastAsia"/>
        </w:rPr>
        <w:t>重点项目</w:t>
      </w:r>
      <w:r>
        <w:rPr>
          <w:rFonts w:hint="eastAsia" w:asciiTheme="minorEastAsia" w:hAnsiTheme="minorEastAsia"/>
        </w:rPr>
        <w:t>和重点工程，</w:t>
      </w:r>
      <w:r>
        <w:rPr>
          <w:rFonts w:asciiTheme="minorEastAsia" w:hAnsiTheme="minorEastAsia"/>
        </w:rPr>
        <w:t>提出</w:t>
      </w:r>
      <w:r>
        <w:rPr>
          <w:rFonts w:hint="eastAsia" w:asciiTheme="minorEastAsia" w:hAnsiTheme="minorEastAsia"/>
        </w:rPr>
        <w:t>时间</w:t>
      </w:r>
      <w:r>
        <w:rPr>
          <w:rFonts w:asciiTheme="minorEastAsia" w:hAnsiTheme="minorEastAsia"/>
        </w:rPr>
        <w:t>进度</w:t>
      </w:r>
      <w:r>
        <w:rPr>
          <w:rFonts w:hint="eastAsia" w:asciiTheme="minorEastAsia" w:hAnsiTheme="minorEastAsia"/>
        </w:rPr>
        <w:t>计划</w:t>
      </w:r>
      <w:r>
        <w:rPr>
          <w:rFonts w:asciiTheme="minorEastAsia" w:hAnsiTheme="minorEastAsia"/>
        </w:rPr>
        <w:t>及</w:t>
      </w:r>
      <w:r>
        <w:rPr>
          <w:rFonts w:hint="eastAsia" w:asciiTheme="minorEastAsia" w:hAnsiTheme="minorEastAsia"/>
        </w:rPr>
        <w:t>相关要求，</w:t>
      </w:r>
      <w:r>
        <w:rPr>
          <w:rFonts w:asciiTheme="minorEastAsia" w:hAnsiTheme="minorEastAsia"/>
        </w:rPr>
        <w:t>并</w:t>
      </w:r>
      <w:r>
        <w:rPr>
          <w:rFonts w:hint="eastAsia" w:asciiTheme="minorEastAsia" w:hAnsiTheme="minorEastAsia"/>
        </w:rPr>
        <w:t>对中期、远期安排提出建议。</w:t>
      </w:r>
    </w:p>
    <w:p>
      <w:pPr>
        <w:pStyle w:val="5"/>
        <w:numPr>
          <w:ilvl w:val="2"/>
          <w:numId w:val="5"/>
        </w:numPr>
        <w:spacing w:before="163"/>
        <w:jc w:val="both"/>
        <w:rPr>
          <w:rFonts w:asciiTheme="minorEastAsia" w:hAnsiTheme="minorEastAsia"/>
        </w:rPr>
      </w:pPr>
      <w:r>
        <w:rPr>
          <w:rFonts w:hint="eastAsia" w:asciiTheme="minorEastAsia" w:hAnsiTheme="minorEastAsia"/>
          <w:bCs w:val="0"/>
        </w:rPr>
        <w:t>应按上述内容和要求，编写规划报告文本，同时完成必要的附图和附表</w:t>
      </w:r>
      <w:r>
        <w:rPr>
          <w:rFonts w:hint="eastAsia" w:asciiTheme="minorEastAsia" w:hAnsiTheme="minorEastAsia"/>
        </w:rPr>
        <w:t>。</w:t>
      </w:r>
    </w:p>
    <w:p>
      <w:pPr>
        <w:widowControl/>
        <w:spacing w:line="240" w:lineRule="auto"/>
        <w:ind w:firstLine="0" w:firstLineChars="0"/>
        <w:jc w:val="left"/>
        <w:rPr>
          <w:rFonts w:eastAsia="黑体"/>
          <w:b/>
          <w:kern w:val="0"/>
          <w:sz w:val="36"/>
        </w:rPr>
      </w:pPr>
      <w:bookmarkStart w:id="17" w:name="_Toc24029573"/>
      <w:bookmarkStart w:id="18" w:name="_Toc3474257"/>
      <w:r>
        <w:br w:type="page"/>
      </w:r>
    </w:p>
    <w:p>
      <w:pPr>
        <w:pStyle w:val="2"/>
        <w:spacing w:before="163" w:beforeLines="50" w:after="489" w:afterLines="150"/>
      </w:pPr>
      <w:bookmarkStart w:id="19" w:name="_Toc33185683"/>
      <w:r>
        <w:rPr>
          <w:rFonts w:hint="eastAsia"/>
        </w:rPr>
        <w:t>区域概况</w:t>
      </w:r>
      <w:bookmarkEnd w:id="17"/>
      <w:bookmarkEnd w:id="19"/>
      <w:bookmarkStart w:id="20" w:name="_Toc24029578"/>
      <w:bookmarkEnd w:id="20"/>
      <w:bookmarkStart w:id="21" w:name="_Toc24029574"/>
      <w:bookmarkEnd w:id="21"/>
      <w:bookmarkStart w:id="22" w:name="_Toc24029190"/>
      <w:bookmarkEnd w:id="22"/>
      <w:bookmarkStart w:id="23" w:name="_Toc24031970"/>
      <w:bookmarkEnd w:id="23"/>
      <w:bookmarkStart w:id="24" w:name="_Toc24031966"/>
      <w:bookmarkEnd w:id="24"/>
      <w:bookmarkStart w:id="25" w:name="_Toc24029186"/>
      <w:bookmarkEnd w:id="25"/>
    </w:p>
    <w:p>
      <w:pPr>
        <w:pStyle w:val="5"/>
        <w:numPr>
          <w:ilvl w:val="2"/>
          <w:numId w:val="6"/>
        </w:numPr>
        <w:spacing w:before="163"/>
        <w:jc w:val="both"/>
      </w:pPr>
      <w:r>
        <w:rPr>
          <w:rFonts w:hint="eastAsia"/>
        </w:rPr>
        <w:t>区域概况应包括规划水体所在城市概况、自然条件概况、社会经济概况、相关规划与计划等内容。</w:t>
      </w:r>
    </w:p>
    <w:p>
      <w:pPr>
        <w:pStyle w:val="5"/>
        <w:numPr>
          <w:ilvl w:val="2"/>
          <w:numId w:val="6"/>
        </w:numPr>
        <w:spacing w:before="163"/>
        <w:jc w:val="both"/>
      </w:pPr>
      <w:r>
        <w:rPr>
          <w:rFonts w:hint="eastAsia"/>
        </w:rPr>
        <w:t>区域概况资料可从统计、民政、电力、规划、建设、国土资源、交通、水利、农业、林业、旅游、环保等其他相关行业（或部门）的专项规划资料、历史监测资料、地方志等渠道、途径进行收集。</w:t>
      </w:r>
    </w:p>
    <w:p>
      <w:pPr>
        <w:pStyle w:val="5"/>
        <w:numPr>
          <w:ilvl w:val="2"/>
          <w:numId w:val="6"/>
        </w:numPr>
        <w:spacing w:before="163"/>
        <w:jc w:val="both"/>
      </w:pPr>
      <w:r>
        <w:rPr>
          <w:rFonts w:hint="eastAsia"/>
        </w:rPr>
        <w:t>城市概况包括规划水体所在城市或部分城区的地理位置、城市历史沿革和定位、行政区划分、交通条件等基本情况。</w:t>
      </w:r>
    </w:p>
    <w:p>
      <w:pPr>
        <w:pStyle w:val="5"/>
        <w:numPr>
          <w:ilvl w:val="2"/>
          <w:numId w:val="6"/>
        </w:numPr>
        <w:spacing w:before="163"/>
        <w:jc w:val="both"/>
      </w:pPr>
      <w:r>
        <w:rPr>
          <w:rFonts w:hint="eastAsia"/>
        </w:rPr>
        <w:t>自然条件概况可包括区域的自然地理、水文气象和其他自然条件等基本情况。</w:t>
      </w:r>
    </w:p>
    <w:p>
      <w:pPr>
        <w:pStyle w:val="5"/>
        <w:numPr>
          <w:ilvl w:val="2"/>
          <w:numId w:val="6"/>
        </w:numPr>
        <w:spacing w:before="163"/>
        <w:jc w:val="both"/>
      </w:pPr>
      <w:r>
        <w:rPr>
          <w:rFonts w:hint="eastAsia"/>
        </w:rPr>
        <w:t>社会经济概况包括社会发展现状、经济发展现状、社会经济发展规划、文化特色等基本情况。</w:t>
      </w:r>
    </w:p>
    <w:p>
      <w:pPr>
        <w:pStyle w:val="5"/>
        <w:numPr>
          <w:ilvl w:val="2"/>
          <w:numId w:val="6"/>
        </w:numPr>
        <w:spacing w:before="163"/>
        <w:jc w:val="both"/>
      </w:pPr>
      <w:r>
        <w:rPr>
          <w:rFonts w:hint="eastAsia"/>
        </w:rPr>
        <w:t>相关规划和计划包括相关的上位规划、区域规划、专项规划和已有的黑臭水体治理计划与方案等。</w:t>
      </w:r>
    </w:p>
    <w:p>
      <w:pPr>
        <w:ind w:firstLine="480"/>
        <w:rPr>
          <w:szCs w:val="32"/>
        </w:rPr>
      </w:pPr>
      <w:r>
        <w:br w:type="page"/>
      </w:r>
    </w:p>
    <w:p>
      <w:pPr>
        <w:pStyle w:val="2"/>
        <w:spacing w:before="163" w:beforeLines="50" w:after="326" w:afterLines="100"/>
      </w:pPr>
      <w:bookmarkStart w:id="26" w:name="_Toc24029590"/>
      <w:bookmarkStart w:id="27" w:name="_Toc33185684"/>
      <w:r>
        <w:rPr>
          <w:rFonts w:hint="eastAsia"/>
        </w:rPr>
        <w:t>现状调查</w:t>
      </w:r>
      <w:bookmarkEnd w:id="18"/>
      <w:r>
        <w:rPr>
          <w:rFonts w:hint="eastAsia"/>
        </w:rPr>
        <w:t>评价</w:t>
      </w:r>
      <w:bookmarkEnd w:id="26"/>
      <w:bookmarkEnd w:id="27"/>
      <w:bookmarkStart w:id="28" w:name="_Toc24031983"/>
      <w:bookmarkEnd w:id="28"/>
      <w:bookmarkStart w:id="29" w:name="_Toc24029591"/>
      <w:bookmarkEnd w:id="29"/>
      <w:bookmarkStart w:id="30" w:name="_Toc24029220"/>
      <w:bookmarkEnd w:id="30"/>
      <w:bookmarkStart w:id="31" w:name="_Toc3474258"/>
      <w:bookmarkStart w:id="32" w:name="_Toc3474264"/>
      <w:bookmarkStart w:id="33" w:name="_Toc14097883"/>
    </w:p>
    <w:bookmarkEnd w:id="31"/>
    <w:p>
      <w:pPr>
        <w:pStyle w:val="4"/>
      </w:pPr>
      <w:bookmarkStart w:id="34" w:name="_Toc33185685"/>
      <w:bookmarkStart w:id="35" w:name="_Toc24029592"/>
      <w:bookmarkStart w:id="36" w:name="_Toc24029613"/>
      <w:r>
        <w:rPr>
          <w:rFonts w:hint="eastAsia"/>
        </w:rPr>
        <w:t>一般规定</w:t>
      </w:r>
      <w:bookmarkEnd w:id="34"/>
      <w:bookmarkEnd w:id="35"/>
    </w:p>
    <w:p>
      <w:pPr>
        <w:pStyle w:val="5"/>
        <w:numPr>
          <w:ilvl w:val="2"/>
          <w:numId w:val="7"/>
        </w:numPr>
        <w:spacing w:before="163"/>
        <w:jc w:val="both"/>
      </w:pPr>
      <w:r>
        <w:rPr>
          <w:rFonts w:hint="eastAsia"/>
        </w:rPr>
        <w:t>现状调查与评价应包括流域概况、水质状况、污染源分布、水生态现状、治理设施现状、公众识别状况、黑臭成因分析及结论等。现状调查的内容可根据规划的层级和任务要求做相应的调整。</w:t>
      </w:r>
    </w:p>
    <w:p>
      <w:pPr>
        <w:pStyle w:val="5"/>
        <w:numPr>
          <w:ilvl w:val="2"/>
          <w:numId w:val="7"/>
        </w:numPr>
        <w:spacing w:before="163"/>
        <w:jc w:val="both"/>
      </w:pPr>
      <w:r>
        <w:rPr>
          <w:rFonts w:hint="eastAsia"/>
        </w:rPr>
        <w:t>应采取资料收集和现场调查相结合的方式开展现状调查，全面了解治理规划范围内水体的</w:t>
      </w:r>
      <w:r>
        <w:t>历史和现状</w:t>
      </w:r>
      <w:r>
        <w:rPr>
          <w:rFonts w:hint="eastAsia"/>
        </w:rPr>
        <w:t>。</w:t>
      </w:r>
    </w:p>
    <w:p>
      <w:pPr>
        <w:pStyle w:val="5"/>
        <w:numPr>
          <w:ilvl w:val="2"/>
          <w:numId w:val="7"/>
        </w:numPr>
        <w:spacing w:before="163"/>
        <w:jc w:val="both"/>
      </w:pPr>
      <w:r>
        <w:rPr>
          <w:rFonts w:hint="eastAsia"/>
        </w:rPr>
        <w:t>应向水利、生态环境、农业、林业、住房与城乡建设、规划和自然资源等有关部门收集</w:t>
      </w:r>
      <w:r>
        <w:t>调查规划范围内自然环境、社会环境、水文水利、水安全、水环境和水生态等方面的基础资料、相关规划资料及历史监测资料，同时应收集信息管控能力方面的资料。</w:t>
      </w:r>
    </w:p>
    <w:p>
      <w:pPr>
        <w:pStyle w:val="5"/>
        <w:numPr>
          <w:ilvl w:val="2"/>
          <w:numId w:val="7"/>
        </w:numPr>
        <w:spacing w:before="163"/>
        <w:jc w:val="both"/>
      </w:pPr>
      <w:r>
        <w:rPr>
          <w:rFonts w:hint="eastAsia"/>
        </w:rPr>
        <w:t>资料收集范围不应小于规划区域，时间上宜采用近3年调查资料。</w:t>
      </w:r>
    </w:p>
    <w:p>
      <w:pPr>
        <w:pStyle w:val="5"/>
        <w:numPr>
          <w:ilvl w:val="2"/>
          <w:numId w:val="7"/>
        </w:numPr>
        <w:spacing w:before="163"/>
        <w:jc w:val="both"/>
      </w:pPr>
      <w:r>
        <w:rPr>
          <w:rFonts w:hint="eastAsia"/>
        </w:rPr>
        <w:t>当资料不能满足规划要求时，应进行必要的现场调查和监测。还不能满足要求时，可采用延长插补、统计分析、专家判断等方法进行修正。</w:t>
      </w:r>
    </w:p>
    <w:p>
      <w:pPr>
        <w:pStyle w:val="5"/>
        <w:numPr>
          <w:ilvl w:val="2"/>
          <w:numId w:val="7"/>
        </w:numPr>
        <w:spacing w:before="163"/>
        <w:jc w:val="both"/>
      </w:pPr>
      <w:r>
        <w:t>应根据现状调查结果，</w:t>
      </w:r>
      <w:r>
        <w:rPr>
          <w:rFonts w:hint="eastAsia"/>
        </w:rPr>
        <w:t>分别</w:t>
      </w:r>
      <w:r>
        <w:t>按本规范附录B</w:t>
      </w:r>
      <w:r>
        <w:rPr>
          <w:rFonts w:hint="eastAsia"/>
        </w:rPr>
        <w:t>.0.</w:t>
      </w:r>
      <w:r>
        <w:t>5</w:t>
      </w:r>
      <w:r>
        <w:rPr>
          <w:rFonts w:hint="eastAsia"/>
        </w:rPr>
        <w:t>、</w:t>
      </w:r>
      <w:r>
        <w:t>B</w:t>
      </w:r>
      <w:r>
        <w:rPr>
          <w:rFonts w:hint="eastAsia"/>
        </w:rPr>
        <w:t>.0.2和</w:t>
      </w:r>
      <w:r>
        <w:t>B</w:t>
      </w:r>
      <w:r>
        <w:rPr>
          <w:rFonts w:hint="eastAsia"/>
        </w:rPr>
        <w:t>.0.3规定</w:t>
      </w:r>
      <w:r>
        <w:t>的格式要求编制黑臭水体清单</w:t>
      </w:r>
      <w:r>
        <w:rPr>
          <w:rFonts w:hint="eastAsia"/>
        </w:rPr>
        <w:t>、</w:t>
      </w:r>
      <w:r>
        <w:t>污染源清单</w:t>
      </w:r>
      <w:r>
        <w:rPr>
          <w:rFonts w:hint="eastAsia"/>
        </w:rPr>
        <w:t>和治理设施清单</w:t>
      </w:r>
      <w:r>
        <w:t>。</w:t>
      </w:r>
    </w:p>
    <w:p>
      <w:pPr>
        <w:pStyle w:val="5"/>
        <w:numPr>
          <w:ilvl w:val="2"/>
          <w:numId w:val="7"/>
        </w:numPr>
        <w:spacing w:before="163"/>
        <w:jc w:val="both"/>
      </w:pPr>
      <w:r>
        <w:t>应在现状调查基础上，整理调查成果，从水安全、污染源</w:t>
      </w:r>
      <w:r>
        <w:rPr>
          <w:rFonts w:hint="eastAsia"/>
        </w:rPr>
        <w:t>、</w:t>
      </w:r>
      <w:r>
        <w:t>治理措施、信息管控和公众</w:t>
      </w:r>
      <w:r>
        <w:rPr>
          <w:rFonts w:hint="eastAsia"/>
        </w:rPr>
        <w:t>识别</w:t>
      </w:r>
      <w:r>
        <w:t>等方面进行评价，并分析污染负荷和</w:t>
      </w:r>
      <w:r>
        <w:rPr>
          <w:rFonts w:hint="eastAsia"/>
        </w:rPr>
        <w:t>水</w:t>
      </w:r>
      <w:r>
        <w:t>环境容量，</w:t>
      </w:r>
      <w:r>
        <w:rPr>
          <w:rFonts w:hint="eastAsia"/>
        </w:rPr>
        <w:t>分析黑臭成因</w:t>
      </w:r>
      <w:r>
        <w:t>。</w:t>
      </w:r>
    </w:p>
    <w:p>
      <w:pPr>
        <w:pStyle w:val="5"/>
        <w:numPr>
          <w:ilvl w:val="2"/>
          <w:numId w:val="7"/>
        </w:numPr>
        <w:spacing w:before="163"/>
        <w:jc w:val="both"/>
      </w:pPr>
      <w:r>
        <w:t>现状调查评价成果宜形成专项报告。</w:t>
      </w:r>
    </w:p>
    <w:p>
      <w:pPr>
        <w:pStyle w:val="4"/>
      </w:pPr>
      <w:bookmarkStart w:id="37" w:name="_Toc24029593"/>
      <w:bookmarkStart w:id="38" w:name="_Toc33185686"/>
      <w:r>
        <w:rPr>
          <w:rFonts w:hint="eastAsia"/>
        </w:rPr>
        <w:t>流域概况调查</w:t>
      </w:r>
      <w:bookmarkEnd w:id="37"/>
      <w:bookmarkEnd w:id="38"/>
    </w:p>
    <w:p>
      <w:pPr>
        <w:pStyle w:val="5"/>
        <w:numPr>
          <w:ilvl w:val="2"/>
          <w:numId w:val="8"/>
        </w:numPr>
        <w:spacing w:before="163"/>
        <w:jc w:val="both"/>
      </w:pPr>
      <w:bookmarkStart w:id="39" w:name="_Toc24029232"/>
      <w:bookmarkEnd w:id="39"/>
      <w:bookmarkStart w:id="40" w:name="_Toc24029594"/>
      <w:bookmarkEnd w:id="40"/>
      <w:bookmarkStart w:id="41" w:name="_Toc24031986"/>
      <w:bookmarkEnd w:id="41"/>
      <w:r>
        <w:rPr>
          <w:rFonts w:hint="eastAsia"/>
        </w:rPr>
        <w:t>流域概况调查内容应包括水系概况、水资源概况、防洪排涝概况、水文概况等。</w:t>
      </w:r>
    </w:p>
    <w:p>
      <w:pPr>
        <w:pStyle w:val="5"/>
        <w:numPr>
          <w:ilvl w:val="2"/>
          <w:numId w:val="8"/>
        </w:numPr>
        <w:spacing w:before="163"/>
        <w:jc w:val="both"/>
      </w:pPr>
      <w:r>
        <w:rPr>
          <w:rFonts w:hint="eastAsia"/>
        </w:rPr>
        <w:t>水系概况调查内容应包括城市河湖水系位置，流域面积、河湖特征(长度、流量、流速、水质等)、城市河湖水系连通情况、与周边城市水系的关系等。</w:t>
      </w:r>
    </w:p>
    <w:p>
      <w:pPr>
        <w:pStyle w:val="5"/>
        <w:numPr>
          <w:ilvl w:val="2"/>
          <w:numId w:val="8"/>
        </w:numPr>
        <w:spacing w:before="163"/>
        <w:jc w:val="both"/>
      </w:pPr>
      <w:r>
        <w:rPr>
          <w:rFonts w:hint="eastAsia"/>
        </w:rPr>
        <w:t>水资源概况调查内容应包括</w:t>
      </w:r>
      <w:r>
        <w:rPr>
          <w:rFonts w:cs="Times New Roman"/>
        </w:rPr>
        <w:t>区域水资源总量</w:t>
      </w:r>
      <w:r>
        <w:rPr>
          <w:rFonts w:hint="eastAsia"/>
        </w:rPr>
        <w:t>及时空分布</w:t>
      </w:r>
      <w:r>
        <w:rPr>
          <w:rFonts w:cs="Times New Roman"/>
        </w:rPr>
        <w:t>、水资源开发利用状况等。</w:t>
      </w:r>
    </w:p>
    <w:p>
      <w:pPr>
        <w:pStyle w:val="5"/>
        <w:numPr>
          <w:ilvl w:val="2"/>
          <w:numId w:val="8"/>
        </w:numPr>
        <w:spacing w:before="163"/>
        <w:jc w:val="both"/>
      </w:pPr>
      <w:r>
        <w:rPr>
          <w:rFonts w:hint="eastAsia"/>
        </w:rPr>
        <w:t>防洪排涝概况调查内容应包括城市防洪排涝防护能力、内涝特点、现状治涝措施及设计标准等。</w:t>
      </w:r>
    </w:p>
    <w:p>
      <w:pPr>
        <w:pStyle w:val="5"/>
        <w:numPr>
          <w:ilvl w:val="2"/>
          <w:numId w:val="8"/>
        </w:numPr>
        <w:spacing w:before="163"/>
        <w:jc w:val="both"/>
      </w:pPr>
      <w:r>
        <w:rPr>
          <w:rFonts w:hint="eastAsia"/>
        </w:rPr>
        <w:t>水文概况调查内容应包括城市降雨类型、总量和分布、</w:t>
      </w:r>
      <w:r>
        <w:rPr>
          <w:rFonts w:cs="Times New Roman"/>
        </w:rPr>
        <w:t>径流、洪水、水位（潮位）等</w:t>
      </w:r>
      <w:r>
        <w:rPr>
          <w:rFonts w:hint="eastAsia"/>
        </w:rPr>
        <w:t>。</w:t>
      </w:r>
    </w:p>
    <w:p>
      <w:pPr>
        <w:pStyle w:val="5"/>
        <w:numPr>
          <w:ilvl w:val="2"/>
          <w:numId w:val="8"/>
        </w:numPr>
        <w:spacing w:before="163"/>
        <w:jc w:val="both"/>
      </w:pPr>
      <w:r>
        <w:rPr>
          <w:rFonts w:hint="eastAsia"/>
        </w:rPr>
        <w:t>对于感潮河涌，应重点调查潮水特点，包括感潮范围，水位、水深、流向、流速及其分布、河潮间隙、潮差和历时等。</w:t>
      </w:r>
    </w:p>
    <w:p>
      <w:pPr>
        <w:pStyle w:val="5"/>
        <w:numPr>
          <w:ilvl w:val="2"/>
          <w:numId w:val="8"/>
        </w:numPr>
        <w:spacing w:before="163"/>
        <w:jc w:val="both"/>
      </w:pPr>
      <w:r>
        <w:rPr>
          <w:rFonts w:hint="eastAsia"/>
        </w:rPr>
        <w:t>应调查区域水利工程运行情况，在闸群控制的河网地区，应收集现有闸群调度方案，宜现场调查各河段流向、流速、流量，了解它们的变化特点。</w:t>
      </w:r>
    </w:p>
    <w:p>
      <w:pPr>
        <w:pStyle w:val="5"/>
        <w:numPr>
          <w:ilvl w:val="2"/>
          <w:numId w:val="8"/>
        </w:numPr>
        <w:spacing w:before="163"/>
        <w:jc w:val="both"/>
      </w:pPr>
      <w:r>
        <w:rPr>
          <w:rFonts w:hint="eastAsia"/>
        </w:rPr>
        <w:t>应绘制区域水系图。</w:t>
      </w:r>
    </w:p>
    <w:p>
      <w:pPr>
        <w:pStyle w:val="4"/>
      </w:pPr>
      <w:bookmarkStart w:id="42" w:name="_Toc24029595"/>
      <w:bookmarkStart w:id="43" w:name="_Toc33185687"/>
      <w:r>
        <w:rPr>
          <w:rFonts w:hint="eastAsia"/>
        </w:rPr>
        <w:t>水质状况调查</w:t>
      </w:r>
      <w:bookmarkEnd w:id="42"/>
      <w:bookmarkEnd w:id="43"/>
    </w:p>
    <w:p>
      <w:pPr>
        <w:pStyle w:val="5"/>
        <w:numPr>
          <w:ilvl w:val="2"/>
          <w:numId w:val="9"/>
        </w:numPr>
        <w:spacing w:before="163"/>
        <w:jc w:val="both"/>
      </w:pPr>
      <w:bookmarkStart w:id="44" w:name="_Toc24029241"/>
      <w:bookmarkEnd w:id="44"/>
      <w:bookmarkStart w:id="45" w:name="_Toc24031988"/>
      <w:bookmarkEnd w:id="45"/>
      <w:bookmarkStart w:id="46" w:name="_Toc24029596"/>
      <w:bookmarkEnd w:id="46"/>
      <w:r>
        <w:t>水质状况调查</w:t>
      </w:r>
      <w:r>
        <w:rPr>
          <w:rFonts w:hint="eastAsia"/>
        </w:rPr>
        <w:t>内容包括历史和现状的水环境质量状况。</w:t>
      </w:r>
    </w:p>
    <w:p>
      <w:pPr>
        <w:pStyle w:val="5"/>
        <w:numPr>
          <w:ilvl w:val="2"/>
          <w:numId w:val="9"/>
        </w:numPr>
        <w:spacing w:before="163"/>
        <w:jc w:val="both"/>
      </w:pPr>
      <w:r>
        <w:rPr>
          <w:rFonts w:hint="eastAsia"/>
        </w:rPr>
        <w:t>历史水质资料应包括污染源普查、水资源公报、相关统计年鉴及水质常规监测资料等。</w:t>
      </w:r>
    </w:p>
    <w:p>
      <w:pPr>
        <w:pStyle w:val="5"/>
        <w:numPr>
          <w:ilvl w:val="2"/>
          <w:numId w:val="9"/>
        </w:numPr>
        <w:spacing w:before="163"/>
        <w:jc w:val="both"/>
      </w:pPr>
      <w:r>
        <w:rPr>
          <w:rFonts w:hint="eastAsia"/>
        </w:rPr>
        <w:t>现场调查应参照《水环境监测规范》SL 219</w:t>
      </w:r>
      <w:r>
        <w:rPr>
          <w:rFonts w:cs="Times New Roman"/>
        </w:rPr>
        <w:t>和《地表水和污水监测技术规范》HJ/T 91</w:t>
      </w:r>
      <w:r>
        <w:rPr>
          <w:rFonts w:hint="eastAsia"/>
        </w:rPr>
        <w:t>执行。</w:t>
      </w:r>
    </w:p>
    <w:p>
      <w:pPr>
        <w:pStyle w:val="5"/>
        <w:keepLines w:val="0"/>
        <w:numPr>
          <w:ilvl w:val="2"/>
          <w:numId w:val="9"/>
        </w:numPr>
        <w:tabs>
          <w:tab w:val="left" w:pos="720"/>
          <w:tab w:val="clear" w:pos="583"/>
        </w:tabs>
        <w:spacing w:before="163"/>
        <w:jc w:val="both"/>
        <w:rPr>
          <w:rFonts w:cs="Times New Roman"/>
        </w:rPr>
      </w:pPr>
      <w:r>
        <w:rPr>
          <w:rFonts w:cs="Times New Roman"/>
        </w:rPr>
        <w:t>水质</w:t>
      </w:r>
      <w:r>
        <w:rPr>
          <w:rFonts w:hint="eastAsia" w:cs="Times New Roman"/>
        </w:rPr>
        <w:t>调查</w:t>
      </w:r>
      <w:r>
        <w:rPr>
          <w:rFonts w:cs="Times New Roman"/>
        </w:rPr>
        <w:t>指标应包括但不限于溶解氧</w:t>
      </w:r>
      <w:r>
        <w:rPr>
          <w:rFonts w:hint="eastAsia" w:cs="Times New Roman"/>
        </w:rPr>
        <w:t>（DO）</w:t>
      </w:r>
      <w:r>
        <w:rPr>
          <w:rFonts w:cs="Times New Roman"/>
        </w:rPr>
        <w:t>、pH值、氧化还原电位</w:t>
      </w:r>
      <w:r>
        <w:rPr>
          <w:rFonts w:hint="eastAsia" w:cs="Times New Roman"/>
        </w:rPr>
        <w:t>（ORP）</w:t>
      </w:r>
      <w:r>
        <w:rPr>
          <w:rFonts w:cs="Times New Roman"/>
        </w:rPr>
        <w:t>、透明度、水温、总氮、总磷、氨氮（NH</w:t>
      </w:r>
      <w:r>
        <w:rPr>
          <w:rFonts w:cs="Times New Roman"/>
          <w:vertAlign w:val="subscript"/>
        </w:rPr>
        <w:t>3</w:t>
      </w:r>
      <w:r>
        <w:rPr>
          <w:rFonts w:cs="Times New Roman"/>
        </w:rPr>
        <w:t>-N）、化学需氧量</w:t>
      </w:r>
      <w:r>
        <w:rPr>
          <w:rFonts w:hint="eastAsia" w:cs="Times New Roman"/>
        </w:rPr>
        <w:t>（</w:t>
      </w:r>
      <w:r>
        <w:rPr>
          <w:rFonts w:cs="Times New Roman"/>
        </w:rPr>
        <w:t>COD</w:t>
      </w:r>
      <w:r>
        <w:rPr>
          <w:rFonts w:cs="Times New Roman"/>
          <w:vertAlign w:val="subscript"/>
        </w:rPr>
        <w:t>Cr</w:t>
      </w:r>
      <w:r>
        <w:rPr>
          <w:rFonts w:hint="eastAsia" w:cs="Times New Roman"/>
        </w:rPr>
        <w:t>）</w:t>
      </w:r>
      <w:r>
        <w:rPr>
          <w:rFonts w:cs="Times New Roman"/>
        </w:rPr>
        <w:t>等。</w:t>
      </w:r>
    </w:p>
    <w:p>
      <w:pPr>
        <w:pStyle w:val="5"/>
        <w:numPr>
          <w:ilvl w:val="2"/>
          <w:numId w:val="9"/>
        </w:numPr>
        <w:spacing w:before="163"/>
        <w:jc w:val="both"/>
      </w:pPr>
      <w:r>
        <w:rPr>
          <w:rFonts w:hint="eastAsia"/>
        </w:rPr>
        <w:t>必要时可根据水体污染特征选择特定项目，以准确反映污染特征。</w:t>
      </w:r>
    </w:p>
    <w:p>
      <w:pPr>
        <w:pStyle w:val="5"/>
        <w:numPr>
          <w:ilvl w:val="2"/>
          <w:numId w:val="9"/>
        </w:numPr>
        <w:spacing w:before="163"/>
        <w:jc w:val="both"/>
      </w:pPr>
      <w:r>
        <w:rPr>
          <w:rFonts w:hint="eastAsia"/>
        </w:rPr>
        <w:t>应根据水质调查成果，按</w:t>
      </w:r>
      <w:r>
        <w:t>本规范附录</w:t>
      </w:r>
      <w:r>
        <w:rPr>
          <w:rFonts w:hint="eastAsia"/>
        </w:rPr>
        <w:t>B.0.1</w:t>
      </w:r>
      <w:r>
        <w:t>的格式</w:t>
      </w:r>
      <w:r>
        <w:rPr>
          <w:rFonts w:hint="eastAsia"/>
        </w:rPr>
        <w:t>汇编成《流域水质状况汇总表》。</w:t>
      </w:r>
    </w:p>
    <w:p>
      <w:pPr>
        <w:pStyle w:val="4"/>
      </w:pPr>
      <w:bookmarkStart w:id="47" w:name="_Toc24029597"/>
      <w:bookmarkStart w:id="48" w:name="_Toc33185688"/>
      <w:r>
        <w:rPr>
          <w:rFonts w:hint="eastAsia"/>
        </w:rPr>
        <w:t>污染源调查</w:t>
      </w:r>
      <w:bookmarkEnd w:id="47"/>
      <w:bookmarkEnd w:id="48"/>
    </w:p>
    <w:p>
      <w:pPr>
        <w:pStyle w:val="5"/>
        <w:numPr>
          <w:ilvl w:val="2"/>
          <w:numId w:val="10"/>
        </w:numPr>
        <w:spacing w:before="163"/>
        <w:jc w:val="both"/>
      </w:pPr>
      <w:bookmarkStart w:id="49" w:name="_Toc24029248"/>
      <w:bookmarkEnd w:id="49"/>
      <w:bookmarkStart w:id="50" w:name="_Toc24029598"/>
      <w:bookmarkEnd w:id="50"/>
      <w:bookmarkStart w:id="51" w:name="_Toc24031990"/>
      <w:bookmarkEnd w:id="51"/>
      <w:r>
        <w:rPr>
          <w:rFonts w:hint="eastAsia"/>
        </w:rPr>
        <w:t>应充分利用污染源普查、排污口调查等现有资料。</w:t>
      </w:r>
    </w:p>
    <w:p>
      <w:pPr>
        <w:pStyle w:val="5"/>
        <w:numPr>
          <w:ilvl w:val="2"/>
          <w:numId w:val="10"/>
        </w:numPr>
        <w:spacing w:before="163"/>
        <w:jc w:val="both"/>
      </w:pPr>
      <w:r>
        <w:rPr>
          <w:rFonts w:hint="eastAsia"/>
        </w:rPr>
        <w:t>应重点开展入河排污口现场调查，</w:t>
      </w:r>
      <w:r>
        <w:rPr>
          <w:rFonts w:cs="Times New Roman"/>
        </w:rPr>
        <w:t>现场调查应按照《城市黑臭水体整治——排水口、管道及检查井治理技术指南》</w:t>
      </w:r>
      <w:r>
        <w:rPr>
          <w:rFonts w:hint="eastAsia" w:cs="Times New Roman"/>
        </w:rPr>
        <w:t>的规定</w:t>
      </w:r>
      <w:r>
        <w:rPr>
          <w:rFonts w:cs="Times New Roman"/>
        </w:rPr>
        <w:t>执行。</w:t>
      </w:r>
    </w:p>
    <w:p>
      <w:pPr>
        <w:pStyle w:val="5"/>
        <w:keepLines w:val="0"/>
        <w:numPr>
          <w:ilvl w:val="2"/>
          <w:numId w:val="10"/>
        </w:numPr>
        <w:tabs>
          <w:tab w:val="left" w:pos="720"/>
          <w:tab w:val="clear" w:pos="583"/>
        </w:tabs>
        <w:spacing w:before="163"/>
        <w:jc w:val="both"/>
      </w:pPr>
      <w:r>
        <w:rPr>
          <w:rFonts w:hint="eastAsia"/>
        </w:rPr>
        <w:t>应开展面源污染调查，调查内容包括区域土地利用现状、区域土壤和水土流失状况、区域降雨污染特征及时空变化规律、区域下垫面特征、农业生产现状及其污染防治情况等</w:t>
      </w:r>
      <w:r>
        <w:rPr>
          <w:rFonts w:hint="eastAsia" w:cs="Times New Roman"/>
        </w:rPr>
        <w:t>。</w:t>
      </w:r>
    </w:p>
    <w:p>
      <w:pPr>
        <w:pStyle w:val="5"/>
        <w:keepLines w:val="0"/>
        <w:numPr>
          <w:ilvl w:val="2"/>
          <w:numId w:val="10"/>
        </w:numPr>
        <w:tabs>
          <w:tab w:val="left" w:pos="720"/>
          <w:tab w:val="clear" w:pos="583"/>
        </w:tabs>
        <w:spacing w:before="163"/>
        <w:jc w:val="both"/>
        <w:rPr>
          <w:rFonts w:cs="Times New Roman"/>
        </w:rPr>
      </w:pPr>
      <w:r>
        <w:rPr>
          <w:rFonts w:hint="eastAsia"/>
        </w:rPr>
        <w:t>应开展水体底泥调查，</w:t>
      </w:r>
      <w:r>
        <w:rPr>
          <w:rFonts w:cs="Times New Roman"/>
        </w:rPr>
        <w:t>重点</w:t>
      </w:r>
      <w:r>
        <w:rPr>
          <w:rFonts w:hint="eastAsia" w:cs="Times New Roman"/>
        </w:rPr>
        <w:t>调查水体底泥</w:t>
      </w:r>
      <w:r>
        <w:rPr>
          <w:rFonts w:cs="Times New Roman"/>
        </w:rPr>
        <w:t>类型、厚度</w:t>
      </w:r>
      <w:r>
        <w:rPr>
          <w:rFonts w:hint="eastAsia" w:cs="Times New Roman"/>
        </w:rPr>
        <w:t>、</w:t>
      </w:r>
      <w:r>
        <w:rPr>
          <w:rFonts w:hint="eastAsia"/>
        </w:rPr>
        <w:t>嗅味及主要</w:t>
      </w:r>
      <w:r>
        <w:rPr>
          <w:rFonts w:cs="Times New Roman"/>
        </w:rPr>
        <w:t>理化性质，其中理化性质指标包括但不限于含水率、pH值、有机质、氨氮、总磷、总有机碳、重金属等。</w:t>
      </w:r>
    </w:p>
    <w:p>
      <w:pPr>
        <w:pStyle w:val="5"/>
        <w:numPr>
          <w:ilvl w:val="2"/>
          <w:numId w:val="10"/>
        </w:numPr>
        <w:spacing w:before="163"/>
        <w:jc w:val="both"/>
      </w:pPr>
      <w:r>
        <w:t>底泥检测断面布设应符合</w:t>
      </w:r>
      <w:r>
        <w:rPr>
          <w:rFonts w:hint="eastAsia" w:cs="Times New Roman"/>
        </w:rPr>
        <w:t>《湖泊河流环保疏浚工程技术指南（试行）》</w:t>
      </w:r>
      <w:r>
        <w:t>的断面测量规定，并综合考虑点源、面源污染</w:t>
      </w:r>
      <w:r>
        <w:rPr>
          <w:rFonts w:hint="eastAsia"/>
        </w:rPr>
        <w:t>、</w:t>
      </w:r>
      <w:r>
        <w:t>排污口、支流汇入口</w:t>
      </w:r>
      <w:r>
        <w:rPr>
          <w:rFonts w:hint="eastAsia"/>
        </w:rPr>
        <w:t>与</w:t>
      </w:r>
      <w:r>
        <w:t>汇入干流口等情况。</w:t>
      </w:r>
      <w:r>
        <w:rPr>
          <w:rFonts w:cs="Times New Roman"/>
        </w:rPr>
        <w:t>同时调查水体中各种漂浮物、悬浮物，以及岸边垃圾、未清理的水生植物或水华藻类等所形成的腐败物。</w:t>
      </w:r>
    </w:p>
    <w:p>
      <w:pPr>
        <w:pStyle w:val="5"/>
        <w:numPr>
          <w:ilvl w:val="2"/>
          <w:numId w:val="10"/>
        </w:numPr>
        <w:spacing w:before="163"/>
        <w:jc w:val="both"/>
      </w:pPr>
      <w:r>
        <w:rPr>
          <w:rFonts w:hint="eastAsia"/>
        </w:rPr>
        <w:t>应根据调查成果，将污染物名称、类型、来源、负荷等按</w:t>
      </w:r>
      <w:r>
        <w:t>本规范的附录B</w:t>
      </w:r>
      <w:r>
        <w:rPr>
          <w:rFonts w:hint="eastAsia"/>
        </w:rPr>
        <w:t>.0.2</w:t>
      </w:r>
      <w:r>
        <w:t>的格式</w:t>
      </w:r>
      <w:r>
        <w:rPr>
          <w:rFonts w:hint="eastAsia"/>
        </w:rPr>
        <w:t>汇编成《污染源清单》。</w:t>
      </w:r>
    </w:p>
    <w:p>
      <w:pPr>
        <w:pStyle w:val="4"/>
      </w:pPr>
      <w:bookmarkStart w:id="52" w:name="_Toc24029599"/>
      <w:bookmarkStart w:id="53" w:name="_Toc33185689"/>
      <w:r>
        <w:rPr>
          <w:rFonts w:hint="eastAsia"/>
        </w:rPr>
        <w:t>水生态调查</w:t>
      </w:r>
      <w:bookmarkEnd w:id="52"/>
      <w:bookmarkEnd w:id="53"/>
    </w:p>
    <w:p>
      <w:pPr>
        <w:pStyle w:val="5"/>
        <w:numPr>
          <w:ilvl w:val="2"/>
          <w:numId w:val="11"/>
        </w:numPr>
        <w:spacing w:before="163"/>
        <w:jc w:val="both"/>
      </w:pPr>
      <w:bookmarkStart w:id="54" w:name="_Toc24031992"/>
      <w:bookmarkEnd w:id="54"/>
      <w:bookmarkStart w:id="55" w:name="_Toc24029255"/>
      <w:bookmarkEnd w:id="55"/>
      <w:bookmarkStart w:id="56" w:name="_Toc24029600"/>
      <w:bookmarkEnd w:id="56"/>
      <w:r>
        <w:rPr>
          <w:rFonts w:hint="eastAsia"/>
        </w:rPr>
        <w:t>宜根据水体的功能、保护对象和目标，开展水生态调查</w:t>
      </w:r>
      <w:r>
        <w:t>。</w:t>
      </w:r>
    </w:p>
    <w:p>
      <w:pPr>
        <w:pStyle w:val="5"/>
        <w:numPr>
          <w:ilvl w:val="2"/>
          <w:numId w:val="11"/>
        </w:numPr>
        <w:spacing w:before="163"/>
        <w:jc w:val="both"/>
      </w:pPr>
      <w:r>
        <w:rPr>
          <w:rFonts w:hint="eastAsia"/>
        </w:rPr>
        <w:t>水生态调查内容可包括</w:t>
      </w:r>
      <w:r>
        <w:t>水生生物和河滨带植被的群落结构与分布。</w:t>
      </w:r>
    </w:p>
    <w:p>
      <w:pPr>
        <w:pStyle w:val="5"/>
        <w:numPr>
          <w:ilvl w:val="2"/>
          <w:numId w:val="11"/>
        </w:numPr>
        <w:spacing w:before="163"/>
        <w:jc w:val="both"/>
      </w:pPr>
      <w:r>
        <w:rPr>
          <w:rFonts w:hint="eastAsia"/>
        </w:rPr>
        <w:t>宜初步调查水体水生生物群落组成和现存量，水生生物应包括鱼类、底栖动物、浮游动物、浮游植物和高等维管束植物等。</w:t>
      </w:r>
    </w:p>
    <w:p>
      <w:pPr>
        <w:pStyle w:val="5"/>
        <w:numPr>
          <w:ilvl w:val="2"/>
          <w:numId w:val="11"/>
        </w:numPr>
        <w:spacing w:before="163"/>
        <w:jc w:val="both"/>
      </w:pPr>
      <w:r>
        <w:rPr>
          <w:rFonts w:hint="eastAsia"/>
        </w:rPr>
        <w:t>宜调查岸坡、滩地等河岸带的动植物分布状况。</w:t>
      </w:r>
    </w:p>
    <w:p>
      <w:pPr>
        <w:pStyle w:val="5"/>
        <w:numPr>
          <w:ilvl w:val="2"/>
          <w:numId w:val="11"/>
        </w:numPr>
        <w:spacing w:before="163"/>
        <w:jc w:val="both"/>
      </w:pPr>
      <w:r>
        <w:rPr>
          <w:rFonts w:hint="eastAsia"/>
        </w:rPr>
        <w:t>宜</w:t>
      </w:r>
      <w:r>
        <w:t>关注外来入侵物种状况及其对生态系统的影响，</w:t>
      </w:r>
      <w:r>
        <w:rPr>
          <w:rFonts w:hint="eastAsia"/>
        </w:rPr>
        <w:t>宜对外来入侵生物物进行详尽调查。</w:t>
      </w:r>
    </w:p>
    <w:p>
      <w:pPr>
        <w:pStyle w:val="5"/>
        <w:numPr>
          <w:ilvl w:val="2"/>
          <w:numId w:val="11"/>
        </w:numPr>
        <w:spacing w:before="163"/>
        <w:jc w:val="both"/>
      </w:pPr>
      <w:r>
        <w:rPr>
          <w:rFonts w:hint="eastAsia"/>
        </w:rPr>
        <w:t>宜开展河湖生态现状与历史状况的对比，分析区域已有开发活动导致的生态问题。</w:t>
      </w:r>
    </w:p>
    <w:p>
      <w:pPr>
        <w:pStyle w:val="4"/>
      </w:pPr>
      <w:bookmarkStart w:id="57" w:name="_Toc1491"/>
      <w:bookmarkStart w:id="58" w:name="_Toc11723"/>
      <w:bookmarkStart w:id="59" w:name="_Toc6999"/>
      <w:bookmarkStart w:id="60" w:name="_Toc8812"/>
      <w:bookmarkStart w:id="61" w:name="_Toc33185690"/>
      <w:r>
        <w:t>排水管网调查</w:t>
      </w:r>
      <w:bookmarkEnd w:id="57"/>
      <w:bookmarkEnd w:id="58"/>
      <w:bookmarkEnd w:id="59"/>
      <w:bookmarkEnd w:id="60"/>
      <w:bookmarkEnd w:id="61"/>
    </w:p>
    <w:p>
      <w:pPr>
        <w:pStyle w:val="5"/>
        <w:numPr>
          <w:ilvl w:val="2"/>
          <w:numId w:val="12"/>
        </w:numPr>
        <w:spacing w:before="163"/>
        <w:jc w:val="both"/>
      </w:pPr>
      <w:r>
        <w:t>调查对象应包括市政排水管网、</w:t>
      </w:r>
      <w:r>
        <w:rPr>
          <w:rFonts w:hint="eastAsia"/>
        </w:rPr>
        <w:t>排水户连接管网和</w:t>
      </w:r>
      <w:r>
        <w:t>入河排水口</w:t>
      </w:r>
      <w:r>
        <w:rPr>
          <w:rFonts w:hint="eastAsia"/>
        </w:rPr>
        <w:t>，宜包括</w:t>
      </w:r>
      <w:r>
        <w:t>排水户内部排水管网。</w:t>
      </w:r>
    </w:p>
    <w:p>
      <w:pPr>
        <w:pStyle w:val="5"/>
        <w:numPr>
          <w:ilvl w:val="2"/>
          <w:numId w:val="12"/>
        </w:numPr>
        <w:spacing w:before="163"/>
        <w:jc w:val="both"/>
      </w:pPr>
      <w:r>
        <w:t>调查范围应根据</w:t>
      </w:r>
      <w:r>
        <w:rPr>
          <w:rFonts w:hint="eastAsia"/>
        </w:rPr>
        <w:t>水体的</w:t>
      </w:r>
      <w:r>
        <w:t>流域范围、排水现状分区、排水规划分区、污染源调查等确定。</w:t>
      </w:r>
    </w:p>
    <w:p>
      <w:pPr>
        <w:pStyle w:val="5"/>
        <w:numPr>
          <w:ilvl w:val="2"/>
          <w:numId w:val="12"/>
        </w:numPr>
        <w:spacing w:before="163"/>
        <w:jc w:val="both"/>
      </w:pPr>
      <w:r>
        <w:t>调查内容</w:t>
      </w:r>
      <w:r>
        <w:rPr>
          <w:rFonts w:hint="eastAsia"/>
        </w:rPr>
        <w:t>应</w:t>
      </w:r>
      <w:r>
        <w:t>包括排水体制、管网现状、管网规划、现状排水管道缺陷、排水口及拍门、雨污混接、污水收集率、污水处理率等。</w:t>
      </w:r>
    </w:p>
    <w:p>
      <w:pPr>
        <w:pStyle w:val="5"/>
        <w:numPr>
          <w:ilvl w:val="2"/>
          <w:numId w:val="12"/>
        </w:numPr>
        <w:spacing w:before="163"/>
        <w:jc w:val="both"/>
      </w:pPr>
      <w:r>
        <w:t>调查方法以收集资料法为主，根据需要进行补充检测。管网检测应符合《城市黑臭水体整治-排水口、管道及检查井治理技术指南》（建城函[2016]198号）的规定。</w:t>
      </w:r>
    </w:p>
    <w:p>
      <w:pPr>
        <w:pStyle w:val="5"/>
        <w:numPr>
          <w:ilvl w:val="2"/>
          <w:numId w:val="12"/>
        </w:numPr>
        <w:spacing w:before="163"/>
        <w:jc w:val="both"/>
      </w:pPr>
      <w:r>
        <w:t>现状管网问题较多</w:t>
      </w:r>
      <w:r>
        <w:rPr>
          <w:rFonts w:hint="eastAsia"/>
        </w:rPr>
        <w:t>的情况</w:t>
      </w:r>
      <w:r>
        <w:t>，宜开展专项调查。</w:t>
      </w:r>
    </w:p>
    <w:p>
      <w:pPr>
        <w:pStyle w:val="4"/>
      </w:pPr>
      <w:bookmarkStart w:id="62" w:name="_Toc33185691"/>
      <w:bookmarkStart w:id="63" w:name="_Toc24029601"/>
      <w:r>
        <w:rPr>
          <w:rFonts w:hint="eastAsia"/>
        </w:rPr>
        <w:t>治理措施调查</w:t>
      </w:r>
      <w:bookmarkEnd w:id="62"/>
      <w:bookmarkEnd w:id="63"/>
    </w:p>
    <w:p>
      <w:pPr>
        <w:pStyle w:val="5"/>
        <w:numPr>
          <w:ilvl w:val="2"/>
          <w:numId w:val="13"/>
        </w:numPr>
        <w:spacing w:before="163"/>
        <w:jc w:val="both"/>
      </w:pPr>
      <w:bookmarkStart w:id="64" w:name="_Toc24029261"/>
      <w:bookmarkEnd w:id="64"/>
      <w:bookmarkStart w:id="65" w:name="_Toc24031994"/>
      <w:bookmarkEnd w:id="65"/>
      <w:bookmarkStart w:id="66" w:name="_Toc24029602"/>
      <w:bookmarkEnd w:id="66"/>
      <w:r>
        <w:rPr>
          <w:rFonts w:hint="eastAsia"/>
        </w:rPr>
        <w:t>治理措施调查内容应包括控源截污措施、内源治理措施、活水补水措施、生态修复措施、景观提升措施以及其</w:t>
      </w:r>
      <w:r>
        <w:t>他治理</w:t>
      </w:r>
      <w:r>
        <w:rPr>
          <w:rFonts w:hint="eastAsia"/>
        </w:rPr>
        <w:t>措施</w:t>
      </w:r>
      <w:r>
        <w:t>等。</w:t>
      </w:r>
    </w:p>
    <w:p>
      <w:pPr>
        <w:pStyle w:val="5"/>
        <w:numPr>
          <w:ilvl w:val="2"/>
          <w:numId w:val="13"/>
        </w:numPr>
        <w:spacing w:before="163"/>
        <w:jc w:val="both"/>
      </w:pPr>
      <w:r>
        <w:rPr>
          <w:rFonts w:hint="eastAsia"/>
        </w:rPr>
        <w:t>应收集</w:t>
      </w:r>
      <w:r>
        <w:t>已建</w:t>
      </w:r>
      <w:r>
        <w:rPr>
          <w:rFonts w:hint="eastAsia"/>
        </w:rPr>
        <w:t>各治理措施的立项资料和运行资料，同时应收集拟建治理措施的规划资料。</w:t>
      </w:r>
    </w:p>
    <w:p>
      <w:pPr>
        <w:pStyle w:val="5"/>
        <w:numPr>
          <w:ilvl w:val="2"/>
          <w:numId w:val="13"/>
        </w:numPr>
        <w:spacing w:before="163"/>
        <w:jc w:val="both"/>
        <w:rPr>
          <w:rFonts w:cs="Times New Roman"/>
        </w:rPr>
      </w:pPr>
      <w:r>
        <w:rPr>
          <w:rFonts w:cs="Times New Roman"/>
        </w:rPr>
        <w:t>应</w:t>
      </w:r>
      <w:r>
        <w:rPr>
          <w:rFonts w:hint="eastAsia" w:cs="Times New Roman"/>
        </w:rPr>
        <w:t>对</w:t>
      </w:r>
      <w:r>
        <w:rPr>
          <w:rFonts w:cs="Times New Roman"/>
        </w:rPr>
        <w:t>已建污水处理设施、应急</w:t>
      </w:r>
      <w:r>
        <w:rPr>
          <w:rFonts w:hint="eastAsia" w:cs="Times New Roman"/>
        </w:rPr>
        <w:t>处理</w:t>
      </w:r>
      <w:r>
        <w:rPr>
          <w:rFonts w:cs="Times New Roman"/>
        </w:rPr>
        <w:t>设施</w:t>
      </w:r>
      <w:r>
        <w:rPr>
          <w:rFonts w:hint="eastAsia" w:cs="Times New Roman"/>
        </w:rPr>
        <w:t>、污泥处理设施</w:t>
      </w:r>
      <w:r>
        <w:rPr>
          <w:rFonts w:cs="Times New Roman"/>
        </w:rPr>
        <w:t>等</w:t>
      </w:r>
      <w:r>
        <w:rPr>
          <w:rFonts w:hint="eastAsia" w:cs="Times New Roman"/>
        </w:rPr>
        <w:t>开展</w:t>
      </w:r>
      <w:r>
        <w:rPr>
          <w:rFonts w:cs="Times New Roman"/>
        </w:rPr>
        <w:t>现场调查</w:t>
      </w:r>
      <w:r>
        <w:rPr>
          <w:rFonts w:hint="eastAsia" w:cs="Times New Roman"/>
        </w:rPr>
        <w:t>，了解其运行情况。</w:t>
      </w:r>
    </w:p>
    <w:p>
      <w:pPr>
        <w:pStyle w:val="5"/>
        <w:numPr>
          <w:ilvl w:val="2"/>
          <w:numId w:val="13"/>
        </w:numPr>
        <w:spacing w:before="163"/>
        <w:jc w:val="both"/>
      </w:pPr>
      <w:r>
        <w:rPr>
          <w:rFonts w:hint="eastAsia" w:cs="Times New Roman"/>
        </w:rPr>
        <w:t>宜对</w:t>
      </w:r>
      <w:r>
        <w:rPr>
          <w:rFonts w:cs="Times New Roman"/>
        </w:rPr>
        <w:t>拟建</w:t>
      </w:r>
      <w:r>
        <w:rPr>
          <w:rFonts w:hint="eastAsia" w:cs="Times New Roman"/>
        </w:rPr>
        <w:t>/在建治理措施开展现场调查，了解其实施情况。</w:t>
      </w:r>
    </w:p>
    <w:p>
      <w:pPr>
        <w:pStyle w:val="5"/>
        <w:numPr>
          <w:ilvl w:val="2"/>
          <w:numId w:val="13"/>
        </w:numPr>
        <w:spacing w:before="163"/>
        <w:jc w:val="both"/>
      </w:pPr>
      <w:r>
        <w:rPr>
          <w:rFonts w:hint="eastAsia"/>
        </w:rPr>
        <w:t>治理措施</w:t>
      </w:r>
      <w:r>
        <w:t>调查</w:t>
      </w:r>
      <w:r>
        <w:rPr>
          <w:rFonts w:hint="eastAsia"/>
        </w:rPr>
        <w:t>应根据收集资料，按</w:t>
      </w:r>
      <w:r>
        <w:t>本规范的附录</w:t>
      </w:r>
      <w:r>
        <w:rPr>
          <w:rFonts w:hint="eastAsia"/>
        </w:rPr>
        <w:t>A.0.3</w:t>
      </w:r>
      <w:r>
        <w:t>的格式</w:t>
      </w:r>
      <w:r>
        <w:rPr>
          <w:rFonts w:hint="eastAsia"/>
        </w:rPr>
        <w:t>汇编成《治理措施汇总表》。</w:t>
      </w:r>
    </w:p>
    <w:p>
      <w:pPr>
        <w:pStyle w:val="4"/>
      </w:pPr>
      <w:bookmarkStart w:id="67" w:name="_Toc24029603"/>
      <w:bookmarkStart w:id="68" w:name="_Toc33185692"/>
      <w:r>
        <w:rPr>
          <w:rFonts w:hint="eastAsia"/>
        </w:rPr>
        <w:t>岸线管理与利用调查</w:t>
      </w:r>
      <w:bookmarkEnd w:id="67"/>
      <w:bookmarkEnd w:id="68"/>
    </w:p>
    <w:p>
      <w:pPr>
        <w:pStyle w:val="5"/>
        <w:numPr>
          <w:ilvl w:val="2"/>
          <w:numId w:val="14"/>
        </w:numPr>
        <w:spacing w:before="163"/>
        <w:jc w:val="both"/>
      </w:pPr>
      <w:bookmarkStart w:id="69" w:name="_Toc24029269"/>
      <w:bookmarkEnd w:id="69"/>
      <w:bookmarkStart w:id="70" w:name="_Toc24031996"/>
      <w:bookmarkEnd w:id="70"/>
      <w:bookmarkStart w:id="71" w:name="_Toc24029604"/>
      <w:bookmarkEnd w:id="71"/>
      <w:r>
        <w:rPr>
          <w:rFonts w:hint="eastAsia"/>
        </w:rPr>
        <w:t>岸线调查内容应包括码头、供排水设施、沿河建筑物、堤防、沿河道路及其他设施等的管理与利用现状。</w:t>
      </w:r>
    </w:p>
    <w:p>
      <w:pPr>
        <w:pStyle w:val="5"/>
        <w:numPr>
          <w:ilvl w:val="2"/>
          <w:numId w:val="14"/>
        </w:numPr>
        <w:spacing w:before="163"/>
        <w:jc w:val="both"/>
      </w:pPr>
      <w:r>
        <w:rPr>
          <w:rFonts w:hint="eastAsia"/>
        </w:rPr>
        <w:t>宜开展堤防、供排水设施、沿河建筑物等重点岸线设施的现场调查。</w:t>
      </w:r>
    </w:p>
    <w:p>
      <w:pPr>
        <w:pStyle w:val="4"/>
      </w:pPr>
      <w:bookmarkStart w:id="72" w:name="_Toc33185693"/>
      <w:bookmarkStart w:id="73" w:name="_Toc24029605"/>
      <w:r>
        <w:rPr>
          <w:rFonts w:hint="eastAsia"/>
        </w:rPr>
        <w:t>信息管控调查</w:t>
      </w:r>
      <w:bookmarkEnd w:id="72"/>
      <w:bookmarkEnd w:id="73"/>
    </w:p>
    <w:p>
      <w:pPr>
        <w:pStyle w:val="5"/>
        <w:numPr>
          <w:ilvl w:val="2"/>
          <w:numId w:val="15"/>
        </w:numPr>
        <w:spacing w:before="163"/>
        <w:jc w:val="both"/>
      </w:pPr>
      <w:bookmarkStart w:id="74" w:name="_Toc24029274"/>
      <w:bookmarkEnd w:id="74"/>
      <w:bookmarkStart w:id="75" w:name="_Toc24029606"/>
      <w:bookmarkEnd w:id="75"/>
      <w:bookmarkStart w:id="76" w:name="_Toc24031998"/>
      <w:bookmarkEnd w:id="76"/>
      <w:r>
        <w:rPr>
          <w:rFonts w:hint="eastAsia"/>
        </w:rPr>
        <w:t>综合管理应包括机构设置、人员队伍建设、设施与设备建设及宣传教育等。</w:t>
      </w:r>
    </w:p>
    <w:p>
      <w:pPr>
        <w:pStyle w:val="5"/>
        <w:numPr>
          <w:ilvl w:val="2"/>
          <w:numId w:val="15"/>
        </w:numPr>
        <w:spacing w:before="163"/>
        <w:jc w:val="both"/>
      </w:pPr>
      <w:r>
        <w:rPr>
          <w:rFonts w:hint="eastAsia"/>
        </w:rPr>
        <w:t>信息化建设应包括监测体系与应急机制等。</w:t>
      </w:r>
    </w:p>
    <w:p>
      <w:pPr>
        <w:pStyle w:val="5"/>
        <w:numPr>
          <w:ilvl w:val="2"/>
          <w:numId w:val="15"/>
        </w:numPr>
        <w:spacing w:before="163"/>
        <w:jc w:val="both"/>
      </w:pPr>
      <w:r>
        <w:rPr>
          <w:rFonts w:hint="eastAsia"/>
        </w:rPr>
        <w:t>应通过资料收集和实地走访等形式调查评价水体综合管理及信息化建设现状。</w:t>
      </w:r>
    </w:p>
    <w:p>
      <w:pPr>
        <w:pStyle w:val="4"/>
      </w:pPr>
      <w:bookmarkStart w:id="77" w:name="_Toc33185694"/>
      <w:bookmarkStart w:id="78" w:name="_Toc24029607"/>
      <w:r>
        <w:rPr>
          <w:rFonts w:hint="eastAsia"/>
        </w:rPr>
        <w:t>公众调查</w:t>
      </w:r>
      <w:bookmarkEnd w:id="77"/>
      <w:bookmarkEnd w:id="78"/>
    </w:p>
    <w:p>
      <w:pPr>
        <w:pStyle w:val="5"/>
        <w:numPr>
          <w:ilvl w:val="2"/>
          <w:numId w:val="16"/>
        </w:numPr>
        <w:spacing w:before="163"/>
        <w:jc w:val="both"/>
      </w:pPr>
      <w:bookmarkStart w:id="79" w:name="_Toc24032000"/>
      <w:bookmarkEnd w:id="79"/>
      <w:bookmarkStart w:id="80" w:name="_Toc24029279"/>
      <w:bookmarkEnd w:id="80"/>
      <w:bookmarkStart w:id="81" w:name="_Toc24029608"/>
      <w:bookmarkEnd w:id="81"/>
      <w:r>
        <w:rPr>
          <w:rFonts w:hint="eastAsia"/>
        </w:rPr>
        <w:t>应开展公众调查，确定公众满意度，识别水体黑臭时间规律和原因等。</w:t>
      </w:r>
    </w:p>
    <w:p>
      <w:pPr>
        <w:pStyle w:val="5"/>
        <w:numPr>
          <w:ilvl w:val="2"/>
          <w:numId w:val="16"/>
        </w:numPr>
        <w:spacing w:before="163"/>
        <w:jc w:val="both"/>
      </w:pPr>
      <w:r>
        <w:rPr>
          <w:rFonts w:hint="eastAsia"/>
        </w:rPr>
        <w:t>公众调查方式应参考《城市黑臭水体整治工作指南》的规定执行。</w:t>
      </w:r>
    </w:p>
    <w:p>
      <w:pPr>
        <w:pStyle w:val="5"/>
        <w:numPr>
          <w:ilvl w:val="2"/>
          <w:numId w:val="16"/>
        </w:numPr>
        <w:spacing w:before="163"/>
        <w:jc w:val="both"/>
      </w:pPr>
      <w:r>
        <w:rPr>
          <w:rFonts w:hint="eastAsia"/>
        </w:rPr>
        <w:t>公众调查应根据调查情况，按</w:t>
      </w:r>
      <w:r>
        <w:t>本规范的附录B</w:t>
      </w:r>
      <w:r>
        <w:rPr>
          <w:rFonts w:hint="eastAsia"/>
        </w:rPr>
        <w:t>.0.4</w:t>
      </w:r>
      <w:r>
        <w:t>的格式</w:t>
      </w:r>
      <w:r>
        <w:rPr>
          <w:rFonts w:hint="eastAsia"/>
        </w:rPr>
        <w:t>汇编成《公众调查汇总表》。</w:t>
      </w:r>
    </w:p>
    <w:p>
      <w:pPr>
        <w:pStyle w:val="4"/>
      </w:pPr>
      <w:bookmarkStart w:id="82" w:name="_Toc24029283"/>
      <w:bookmarkEnd w:id="82"/>
      <w:bookmarkStart w:id="83" w:name="_Toc24029610"/>
      <w:bookmarkEnd w:id="83"/>
      <w:bookmarkStart w:id="84" w:name="_Toc24032002"/>
      <w:bookmarkEnd w:id="84"/>
      <w:bookmarkStart w:id="85" w:name="_Toc33185695"/>
      <w:bookmarkStart w:id="86" w:name="_Toc24029611"/>
      <w:r>
        <w:rPr>
          <w:rFonts w:hint="eastAsia"/>
        </w:rPr>
        <w:t>水体污染评价与成因分析</w:t>
      </w:r>
      <w:bookmarkEnd w:id="85"/>
      <w:bookmarkEnd w:id="86"/>
    </w:p>
    <w:p>
      <w:pPr>
        <w:pStyle w:val="5"/>
        <w:numPr>
          <w:ilvl w:val="2"/>
          <w:numId w:val="17"/>
        </w:numPr>
        <w:spacing w:before="163"/>
        <w:jc w:val="both"/>
      </w:pPr>
      <w:bookmarkStart w:id="87" w:name="_Toc24029612"/>
      <w:bookmarkEnd w:id="87"/>
      <w:bookmarkStart w:id="88" w:name="_Toc24029289"/>
      <w:bookmarkEnd w:id="88"/>
      <w:bookmarkStart w:id="89" w:name="_Toc24032004"/>
      <w:bookmarkEnd w:id="89"/>
      <w:r>
        <w:rPr>
          <w:rFonts w:hint="eastAsia"/>
        </w:rPr>
        <w:t>应在调查工作基础上开展水体污染评价及成因分析，应包括黑臭水体评价、污染负荷分析、环境容量分析、主要污染因子识别及成因分析等。</w:t>
      </w:r>
    </w:p>
    <w:p>
      <w:pPr>
        <w:pStyle w:val="5"/>
        <w:numPr>
          <w:ilvl w:val="2"/>
          <w:numId w:val="17"/>
        </w:numPr>
        <w:spacing w:before="163"/>
        <w:jc w:val="both"/>
      </w:pPr>
      <w:r>
        <w:rPr>
          <w:rFonts w:hint="eastAsia"/>
        </w:rPr>
        <w:t>黑臭水体评价应包括水体名称、起始边界、类型、面积、长度、所在区域、黑臭级别、水质现状等，按</w:t>
      </w:r>
      <w:r>
        <w:t>本规范的附录</w:t>
      </w:r>
      <w:r>
        <w:rPr>
          <w:rFonts w:hint="eastAsia"/>
        </w:rPr>
        <w:t>B.0.5</w:t>
      </w:r>
      <w:r>
        <w:t>的格式</w:t>
      </w:r>
      <w:r>
        <w:rPr>
          <w:rFonts w:hint="eastAsia"/>
        </w:rPr>
        <w:t>汇编成《黑臭水体清单》。</w:t>
      </w:r>
    </w:p>
    <w:p>
      <w:pPr>
        <w:pStyle w:val="5"/>
        <w:numPr>
          <w:ilvl w:val="2"/>
          <w:numId w:val="17"/>
        </w:numPr>
        <w:spacing w:before="163"/>
        <w:jc w:val="both"/>
      </w:pPr>
      <w:r>
        <w:rPr>
          <w:rFonts w:hint="eastAsia"/>
        </w:rPr>
        <w:t>黑臭水体评价应参考《城市黑臭水体整治工作指南》的规定执行。</w:t>
      </w:r>
    </w:p>
    <w:p>
      <w:pPr>
        <w:pStyle w:val="5"/>
        <w:numPr>
          <w:ilvl w:val="2"/>
          <w:numId w:val="17"/>
        </w:numPr>
        <w:spacing w:before="163"/>
        <w:jc w:val="both"/>
      </w:pPr>
      <w:r>
        <w:rPr>
          <w:rFonts w:hint="eastAsia"/>
        </w:rPr>
        <w:t>应根据调查结果分析水质变化规律，水质评价应符合《地表水环境质量标准》GB3838的规定，评价方法宜采用单指标评价法。湖库营养状态评价宜采用指数法。</w:t>
      </w:r>
    </w:p>
    <w:p>
      <w:pPr>
        <w:pStyle w:val="5"/>
        <w:numPr>
          <w:ilvl w:val="2"/>
          <w:numId w:val="17"/>
        </w:numPr>
        <w:spacing w:before="163"/>
        <w:jc w:val="both"/>
      </w:pPr>
      <w:r>
        <w:rPr>
          <w:rFonts w:hint="eastAsia"/>
        </w:rPr>
        <w:t>水生态评价应</w:t>
      </w:r>
      <w:r>
        <w:t>参照《河湖生态保护与修复规划导则》SL709</w:t>
      </w:r>
      <w:r>
        <w:rPr>
          <w:rFonts w:hint="eastAsia"/>
        </w:rPr>
        <w:t>的规定执行</w:t>
      </w:r>
      <w:r>
        <w:t>，对水体河湖地貌、水环境、生物状况等进行评价。</w:t>
      </w:r>
    </w:p>
    <w:p>
      <w:pPr>
        <w:pStyle w:val="5"/>
        <w:numPr>
          <w:ilvl w:val="2"/>
          <w:numId w:val="17"/>
        </w:numPr>
        <w:spacing w:before="163"/>
        <w:jc w:val="both"/>
      </w:pPr>
      <w:r>
        <w:rPr>
          <w:rFonts w:hint="eastAsia"/>
        </w:rPr>
        <w:t>水环境容量的计算宜采用污染负荷计算法或数值模型方法，并应符合《水域纳污能力计算规程》</w:t>
      </w:r>
      <w:r>
        <w:t>GB/T</w:t>
      </w:r>
      <w:r>
        <w:rPr>
          <w:rFonts w:hint="eastAsia"/>
        </w:rPr>
        <w:t xml:space="preserve"> </w:t>
      </w:r>
      <w:r>
        <w:t>25173</w:t>
      </w:r>
      <w:r>
        <w:rPr>
          <w:rFonts w:hint="eastAsia"/>
        </w:rPr>
        <w:t>的规定。</w:t>
      </w:r>
    </w:p>
    <w:p>
      <w:pPr>
        <w:pStyle w:val="5"/>
        <w:numPr>
          <w:ilvl w:val="2"/>
          <w:numId w:val="17"/>
        </w:numPr>
        <w:spacing w:before="163"/>
        <w:jc w:val="both"/>
      </w:pPr>
      <w:r>
        <w:rPr>
          <w:rFonts w:hint="eastAsia"/>
        </w:rPr>
        <w:t>主要污染因子识别及成因分析应根据调查结果筛选、识别主要污染因子，并对污染成因进行分析评价。</w:t>
      </w:r>
    </w:p>
    <w:p>
      <w:pPr>
        <w:pStyle w:val="5"/>
        <w:numPr>
          <w:ilvl w:val="2"/>
          <w:numId w:val="17"/>
        </w:numPr>
        <w:spacing w:before="163"/>
        <w:jc w:val="both"/>
      </w:pPr>
      <w:r>
        <w:rPr>
          <w:rFonts w:hint="eastAsia"/>
        </w:rPr>
        <w:t>应根据黑臭水体评价、水生态评价、污染负荷、环境容量分析结果，分析水体黑臭现状与治理目标的偏离程度，确定水体治理的近期目标。</w:t>
      </w:r>
    </w:p>
    <w:p>
      <w:pPr>
        <w:pStyle w:val="5"/>
        <w:numPr>
          <w:ilvl w:val="2"/>
          <w:numId w:val="17"/>
        </w:numPr>
        <w:spacing w:before="163"/>
        <w:jc w:val="both"/>
      </w:pPr>
      <w:r>
        <w:rPr>
          <w:rFonts w:hint="eastAsia"/>
        </w:rPr>
        <w:t>宜根据调查评价结果和相关规划，预测水体远期治理需求。</w:t>
      </w:r>
    </w:p>
    <w:p>
      <w:pPr>
        <w:ind w:firstLine="480"/>
        <w:rPr>
          <w:szCs w:val="32"/>
        </w:rPr>
      </w:pPr>
      <w:r>
        <w:br w:type="page"/>
      </w:r>
    </w:p>
    <w:p>
      <w:pPr>
        <w:pStyle w:val="2"/>
        <w:spacing w:before="163" w:beforeLines="50" w:after="326" w:afterLines="100"/>
      </w:pPr>
      <w:bookmarkStart w:id="90" w:name="_Toc33185696"/>
      <w:r>
        <w:rPr>
          <w:rFonts w:hint="eastAsia"/>
        </w:rPr>
        <w:t>总体</w:t>
      </w:r>
      <w:bookmarkEnd w:id="32"/>
      <w:bookmarkEnd w:id="33"/>
      <w:r>
        <w:rPr>
          <w:rFonts w:hint="eastAsia"/>
        </w:rPr>
        <w:t>规划</w:t>
      </w:r>
      <w:bookmarkEnd w:id="36"/>
      <w:bookmarkEnd w:id="90"/>
    </w:p>
    <w:p>
      <w:pPr>
        <w:pStyle w:val="4"/>
      </w:pPr>
      <w:bookmarkStart w:id="91" w:name="_Toc33185697"/>
      <w:r>
        <w:rPr>
          <w:rFonts w:hint="eastAsia"/>
        </w:rPr>
        <w:t>基本原则</w:t>
      </w:r>
      <w:bookmarkEnd w:id="91"/>
    </w:p>
    <w:p>
      <w:pPr>
        <w:pStyle w:val="5"/>
        <w:numPr>
          <w:ilvl w:val="2"/>
          <w:numId w:val="18"/>
        </w:numPr>
        <w:spacing w:before="163"/>
        <w:jc w:val="both"/>
      </w:pPr>
      <w:r>
        <w:rPr>
          <w:rFonts w:hint="eastAsia"/>
        </w:rPr>
        <w:t>应针对城市黑臭水体的流域、区域特征、治理目标与水体环境与治理现状，在掌握主要污染因子和成因的基础上，拟定规划目标和任务，确定控制指标、重点治理对象、主要治理工程和其他治理措施，确定治理措施的布局，形成总体规划方案。</w:t>
      </w:r>
    </w:p>
    <w:p>
      <w:pPr>
        <w:pStyle w:val="5"/>
        <w:numPr>
          <w:ilvl w:val="2"/>
          <w:numId w:val="18"/>
        </w:numPr>
        <w:spacing w:before="163"/>
        <w:jc w:val="both"/>
      </w:pPr>
      <w:r>
        <w:rPr>
          <w:rFonts w:hint="eastAsia"/>
        </w:rPr>
        <w:t>规划目标、任务、控制指标和治理措施与布局按规划水平年分近、远期拟定。</w:t>
      </w:r>
    </w:p>
    <w:p>
      <w:pPr>
        <w:pStyle w:val="5"/>
        <w:numPr>
          <w:ilvl w:val="2"/>
          <w:numId w:val="18"/>
        </w:numPr>
        <w:spacing w:before="163"/>
        <w:jc w:val="both"/>
      </w:pPr>
      <w:r>
        <w:rPr>
          <w:rFonts w:hint="eastAsia"/>
        </w:rPr>
        <w:t>应通过技术可行性分析、经济投入分析、治理目标可达性分析，</w:t>
      </w:r>
      <w:r>
        <w:t xml:space="preserve"> </w:t>
      </w:r>
      <w:r>
        <w:rPr>
          <w:rFonts w:hint="eastAsia"/>
        </w:rPr>
        <w:t>优化总体规划目标和方案，保障规划的科学性、合理性和可实施性。</w:t>
      </w:r>
    </w:p>
    <w:p>
      <w:pPr>
        <w:pStyle w:val="4"/>
      </w:pPr>
      <w:bookmarkStart w:id="92" w:name="_Toc14097885"/>
      <w:bookmarkStart w:id="93" w:name="_Toc33185698"/>
      <w:bookmarkStart w:id="94" w:name="_Toc3474266"/>
      <w:bookmarkStart w:id="95" w:name="_Toc24029615"/>
      <w:r>
        <w:rPr>
          <w:rFonts w:hint="eastAsia"/>
        </w:rPr>
        <w:t>规划目标与任务</w:t>
      </w:r>
      <w:bookmarkEnd w:id="92"/>
      <w:bookmarkEnd w:id="93"/>
      <w:bookmarkEnd w:id="94"/>
      <w:bookmarkEnd w:id="95"/>
    </w:p>
    <w:p>
      <w:pPr>
        <w:pStyle w:val="5"/>
        <w:numPr>
          <w:ilvl w:val="2"/>
          <w:numId w:val="19"/>
        </w:numPr>
        <w:spacing w:before="163"/>
        <w:jc w:val="both"/>
      </w:pPr>
      <w:r>
        <w:rPr>
          <w:rFonts w:hint="eastAsia"/>
        </w:rPr>
        <w:t>总体规划要结合区域特征，从经济社会长远发展需要出发确定规划目标与任务，促进水资源合理利用和城市水安全，保障经济社会可持续发展。</w:t>
      </w:r>
    </w:p>
    <w:p>
      <w:pPr>
        <w:pStyle w:val="5"/>
        <w:numPr>
          <w:ilvl w:val="2"/>
          <w:numId w:val="19"/>
        </w:numPr>
        <w:spacing w:before="163"/>
        <w:jc w:val="both"/>
      </w:pPr>
      <w:r>
        <w:rPr>
          <w:rFonts w:hint="eastAsia"/>
        </w:rPr>
        <w:t>规划目标应分不同规划水平年拟定，并根据规划工作要求与规划期内的需求确定，以定量为主。</w:t>
      </w:r>
    </w:p>
    <w:p>
      <w:pPr>
        <w:pStyle w:val="5"/>
        <w:numPr>
          <w:ilvl w:val="2"/>
          <w:numId w:val="19"/>
        </w:numPr>
        <w:spacing w:before="163"/>
        <w:jc w:val="both"/>
      </w:pPr>
      <w:r>
        <w:t>应根据不同规划水平年，统筹</w:t>
      </w:r>
      <w:r>
        <w:rPr>
          <w:rFonts w:hint="eastAsia"/>
        </w:rPr>
        <w:t>并拟定</w:t>
      </w:r>
      <w:r>
        <w:t>控源截污、内源治理、生态修复、活水</w:t>
      </w:r>
      <w:r>
        <w:rPr>
          <w:rFonts w:hint="eastAsia"/>
        </w:rPr>
        <w:t>提</w:t>
      </w:r>
      <w:r>
        <w:t>质等</w:t>
      </w:r>
      <w:r>
        <w:rPr>
          <w:rFonts w:hint="eastAsia"/>
        </w:rPr>
        <w:t>主要</w:t>
      </w:r>
      <w:r>
        <w:t>任务。</w:t>
      </w:r>
    </w:p>
    <w:p>
      <w:pPr>
        <w:pStyle w:val="5"/>
        <w:numPr>
          <w:ilvl w:val="2"/>
          <w:numId w:val="19"/>
        </w:numPr>
        <w:spacing w:before="163"/>
        <w:jc w:val="both"/>
      </w:pPr>
      <w:r>
        <w:t>应根据规划任务的轻重缓急，</w:t>
      </w:r>
      <w:r>
        <w:rPr>
          <w:rFonts w:hint="eastAsia"/>
        </w:rPr>
        <w:t>提出分阶段实施的任务</w:t>
      </w:r>
      <w:r>
        <w:t>。</w:t>
      </w:r>
    </w:p>
    <w:p>
      <w:pPr>
        <w:pStyle w:val="5"/>
        <w:numPr>
          <w:ilvl w:val="2"/>
          <w:numId w:val="19"/>
        </w:numPr>
        <w:spacing w:before="163"/>
        <w:jc w:val="both"/>
      </w:pPr>
      <w:r>
        <w:rPr>
          <w:rFonts w:hint="eastAsia"/>
        </w:rPr>
        <w:t>应因地制宜，按照城市黑臭水体治理规划目标及主要任务，结合各地流域水质控制指标要求，选取控制指标。</w:t>
      </w:r>
    </w:p>
    <w:p>
      <w:pPr>
        <w:pStyle w:val="4"/>
      </w:pPr>
      <w:bookmarkStart w:id="96" w:name="_Toc14097886"/>
      <w:bookmarkStart w:id="97" w:name="_Toc33185699"/>
      <w:bookmarkStart w:id="98" w:name="_Toc24029616"/>
      <w:bookmarkStart w:id="99" w:name="_Toc3474267"/>
      <w:r>
        <w:rPr>
          <w:rFonts w:hint="eastAsia"/>
        </w:rPr>
        <w:t>规划范围</w:t>
      </w:r>
      <w:bookmarkEnd w:id="96"/>
      <w:bookmarkEnd w:id="97"/>
      <w:bookmarkEnd w:id="98"/>
      <w:bookmarkEnd w:id="99"/>
    </w:p>
    <w:p>
      <w:pPr>
        <w:pStyle w:val="5"/>
        <w:numPr>
          <w:ilvl w:val="2"/>
          <w:numId w:val="20"/>
        </w:numPr>
        <w:spacing w:before="163"/>
        <w:jc w:val="both"/>
      </w:pPr>
      <w:r>
        <w:rPr>
          <w:rFonts w:hint="eastAsia"/>
        </w:rPr>
        <w:t>规划范围应根据规划任务、工作基础、工程建设条件等确定相应规划范围，应明确城市黑臭水体流域范围内重点点源、面源等污染，将上游污染一定范围作为规划范围。若规划范围为部分流域范围时，可提出规划范围和影响范围的范畴。</w:t>
      </w:r>
    </w:p>
    <w:p>
      <w:pPr>
        <w:pStyle w:val="4"/>
      </w:pPr>
      <w:bookmarkStart w:id="100" w:name="_Toc24029618"/>
      <w:bookmarkStart w:id="101" w:name="_Toc33185700"/>
      <w:r>
        <w:rPr>
          <w:rFonts w:hint="eastAsia"/>
        </w:rPr>
        <w:t>总体</w:t>
      </w:r>
      <w:bookmarkEnd w:id="100"/>
      <w:r>
        <w:rPr>
          <w:rFonts w:hint="eastAsia"/>
        </w:rPr>
        <w:t>布局</w:t>
      </w:r>
      <w:bookmarkEnd w:id="101"/>
    </w:p>
    <w:p>
      <w:pPr>
        <w:pStyle w:val="5"/>
        <w:numPr>
          <w:ilvl w:val="2"/>
          <w:numId w:val="21"/>
        </w:numPr>
        <w:spacing w:before="163"/>
        <w:jc w:val="both"/>
      </w:pPr>
      <w:r>
        <w:rPr>
          <w:rFonts w:hint="eastAsia"/>
        </w:rPr>
        <w:t>应根据水体污染评价及成因分析成果，明确不同污染物贡献度，根据黑臭水体治理目标，必要时建立水质模型并开展技术经济分析，系统性提出治理策略、方向和基本工作要求。</w:t>
      </w:r>
    </w:p>
    <w:p>
      <w:pPr>
        <w:pStyle w:val="5"/>
        <w:numPr>
          <w:ilvl w:val="2"/>
          <w:numId w:val="21"/>
        </w:numPr>
        <w:spacing w:before="163"/>
        <w:jc w:val="both"/>
      </w:pPr>
      <w:r>
        <w:rPr>
          <w:rFonts w:hint="eastAsia"/>
        </w:rPr>
        <w:t>应基于技术经济分析，综合城市黑臭水体以及水系上下游、左右岸的主要问题，统筹控源截污规划、内源治理规划、生态修复规划、活水保质规划等治理措施作出总体布局。</w:t>
      </w:r>
    </w:p>
    <w:p>
      <w:pPr>
        <w:pStyle w:val="5"/>
        <w:numPr>
          <w:ilvl w:val="2"/>
          <w:numId w:val="21"/>
        </w:numPr>
        <w:spacing w:before="163"/>
        <w:jc w:val="both"/>
      </w:pPr>
      <w:r>
        <w:rPr>
          <w:rFonts w:hint="eastAsia"/>
        </w:rPr>
        <w:t>应按轻重缓急，提出重点布局方案，明确重点治理对象、范围和重点项目和重点治理工程。</w:t>
      </w:r>
    </w:p>
    <w:p>
      <w:pPr>
        <w:pStyle w:val="5"/>
        <w:numPr>
          <w:ilvl w:val="2"/>
          <w:numId w:val="21"/>
        </w:numPr>
        <w:spacing w:before="163"/>
        <w:jc w:val="both"/>
      </w:pPr>
      <w:r>
        <w:rPr>
          <w:rFonts w:hint="eastAsia"/>
        </w:rPr>
        <w:t>总体布局应尽可能满足相应地区和有关部门的要求。</w:t>
      </w:r>
    </w:p>
    <w:p>
      <w:pPr>
        <w:ind w:firstLine="480"/>
      </w:pPr>
    </w:p>
    <w:p>
      <w:pPr>
        <w:widowControl/>
        <w:spacing w:line="240" w:lineRule="auto"/>
        <w:ind w:firstLine="0" w:firstLineChars="0"/>
        <w:jc w:val="left"/>
        <w:rPr>
          <w:rFonts w:eastAsia="黑体"/>
          <w:b/>
          <w:kern w:val="0"/>
          <w:sz w:val="36"/>
        </w:rPr>
      </w:pPr>
      <w:bookmarkStart w:id="102" w:name="_Toc3474270"/>
      <w:r>
        <w:br w:type="page"/>
      </w:r>
    </w:p>
    <w:bookmarkEnd w:id="102"/>
    <w:p>
      <w:pPr>
        <w:pStyle w:val="2"/>
        <w:spacing w:before="163" w:beforeLines="50" w:after="326" w:afterLines="100"/>
      </w:pPr>
      <w:bookmarkStart w:id="103" w:name="_Toc33185701"/>
      <w:bookmarkStart w:id="104" w:name="_Toc24029620"/>
      <w:r>
        <w:rPr>
          <w:rFonts w:hint="eastAsia"/>
        </w:rPr>
        <w:t>治理方案</w:t>
      </w:r>
      <w:bookmarkEnd w:id="103"/>
      <w:bookmarkEnd w:id="104"/>
    </w:p>
    <w:p>
      <w:pPr>
        <w:pStyle w:val="4"/>
      </w:pPr>
      <w:bookmarkStart w:id="105" w:name="_Toc33185702"/>
      <w:bookmarkStart w:id="106" w:name="_Toc24029621"/>
      <w:r>
        <w:rPr>
          <w:rFonts w:hint="eastAsia"/>
        </w:rPr>
        <w:t>一般规定</w:t>
      </w:r>
      <w:bookmarkEnd w:id="105"/>
      <w:bookmarkEnd w:id="106"/>
    </w:p>
    <w:p>
      <w:pPr>
        <w:pStyle w:val="5"/>
        <w:numPr>
          <w:ilvl w:val="2"/>
          <w:numId w:val="22"/>
        </w:numPr>
        <w:spacing w:before="163"/>
        <w:ind w:left="0"/>
        <w:jc w:val="both"/>
      </w:pPr>
      <w:bookmarkStart w:id="107" w:name="_Toc3474272"/>
      <w:r>
        <w:rPr>
          <w:rFonts w:hint="eastAsia"/>
        </w:rPr>
        <w:t>治理方案宜包括控源截污、内源治理、生态修复、活水提质等方面，并可根据实际需要进行取舍与调整。</w:t>
      </w:r>
    </w:p>
    <w:p>
      <w:pPr>
        <w:pStyle w:val="5"/>
        <w:numPr>
          <w:ilvl w:val="2"/>
          <w:numId w:val="22"/>
        </w:numPr>
        <w:spacing w:before="163"/>
        <w:ind w:left="0"/>
        <w:jc w:val="both"/>
      </w:pPr>
      <w:r>
        <w:rPr>
          <w:rFonts w:hint="eastAsia"/>
        </w:rPr>
        <w:t>治理方案内容应包括近期方案、远期方案，绘制近、远期规划建设方案图，并提出对应的工程量清单。</w:t>
      </w:r>
    </w:p>
    <w:p>
      <w:pPr>
        <w:pStyle w:val="5"/>
        <w:numPr>
          <w:ilvl w:val="2"/>
          <w:numId w:val="22"/>
        </w:numPr>
        <w:spacing w:before="163"/>
        <w:ind w:left="0"/>
        <w:jc w:val="both"/>
      </w:pPr>
      <w:r>
        <w:rPr>
          <w:rFonts w:hint="eastAsia"/>
        </w:rPr>
        <w:t>方案制定应结合城市相关规划，统筹安排水体治理设施，进行合理布局。</w:t>
      </w:r>
    </w:p>
    <w:p>
      <w:pPr>
        <w:pStyle w:val="6"/>
        <w:numPr>
          <w:ilvl w:val="0"/>
          <w:numId w:val="23"/>
        </w:numPr>
        <w:jc w:val="both"/>
      </w:pPr>
      <w:r>
        <w:rPr>
          <w:rFonts w:hint="eastAsia"/>
        </w:rPr>
        <w:t>应根据城市的规模、用地规划布局，结合地形地势、风向、受纳水体位置与环境容量、再生利用需求、污泥处理处置出路以及社会、经济条件等综合因素确定。</w:t>
      </w:r>
    </w:p>
    <w:p>
      <w:pPr>
        <w:pStyle w:val="6"/>
        <w:numPr>
          <w:ilvl w:val="0"/>
          <w:numId w:val="23"/>
        </w:numPr>
        <w:jc w:val="both"/>
      </w:pPr>
      <w:r>
        <w:rPr>
          <w:rFonts w:hint="eastAsia"/>
        </w:rPr>
        <w:t>应充分利用现状设施及在建、拟建设施。</w:t>
      </w:r>
    </w:p>
    <w:p>
      <w:pPr>
        <w:pStyle w:val="6"/>
        <w:numPr>
          <w:ilvl w:val="0"/>
          <w:numId w:val="23"/>
        </w:numPr>
        <w:jc w:val="both"/>
      </w:pPr>
      <w:r>
        <w:rPr>
          <w:rFonts w:hint="eastAsia"/>
        </w:rPr>
        <w:t>近期方案的制定还应综合考虑治理目标、财政状况、工程实施等约束条件。</w:t>
      </w:r>
    </w:p>
    <w:p>
      <w:pPr>
        <w:pStyle w:val="4"/>
      </w:pPr>
      <w:bookmarkStart w:id="108" w:name="_Toc24029622"/>
      <w:bookmarkStart w:id="109" w:name="_Toc33185703"/>
      <w:r>
        <w:rPr>
          <w:rFonts w:hint="eastAsia"/>
        </w:rPr>
        <w:t>控源截污方案</w:t>
      </w:r>
      <w:bookmarkEnd w:id="108"/>
      <w:bookmarkEnd w:id="109"/>
    </w:p>
    <w:bookmarkEnd w:id="107"/>
    <w:p>
      <w:pPr>
        <w:pStyle w:val="5"/>
        <w:numPr>
          <w:ilvl w:val="2"/>
          <w:numId w:val="24"/>
        </w:numPr>
        <w:spacing w:before="163"/>
        <w:ind w:left="0"/>
        <w:jc w:val="both"/>
      </w:pPr>
      <w:bookmarkStart w:id="110" w:name="_Toc3474276"/>
      <w:r>
        <w:rPr>
          <w:rFonts w:hint="eastAsia"/>
        </w:rPr>
        <w:t>控源截污方案应包含源头污染控制方案、末端排口截污方案等内容。</w:t>
      </w:r>
    </w:p>
    <w:p>
      <w:pPr>
        <w:pStyle w:val="5"/>
        <w:numPr>
          <w:ilvl w:val="2"/>
          <w:numId w:val="24"/>
        </w:numPr>
        <w:spacing w:before="163"/>
        <w:ind w:left="0"/>
        <w:jc w:val="both"/>
      </w:pPr>
      <w:r>
        <w:rPr>
          <w:rFonts w:hint="eastAsia"/>
        </w:rPr>
        <w:t>控源截污方案的制定可根据情况结合海绵城市建设的相关内容与原则。</w:t>
      </w:r>
    </w:p>
    <w:p>
      <w:pPr>
        <w:pStyle w:val="5"/>
        <w:numPr>
          <w:ilvl w:val="2"/>
          <w:numId w:val="24"/>
        </w:numPr>
        <w:spacing w:before="163"/>
        <w:ind w:left="0"/>
        <w:jc w:val="both"/>
      </w:pPr>
      <w:r>
        <w:rPr>
          <w:rFonts w:hint="eastAsia"/>
        </w:rPr>
        <w:t>源头污染控制方案可包括污、废水收集系统建设、面源污染源头管控、正本清源等内容。</w:t>
      </w:r>
    </w:p>
    <w:p>
      <w:pPr>
        <w:pStyle w:val="5"/>
        <w:numPr>
          <w:ilvl w:val="2"/>
          <w:numId w:val="24"/>
        </w:numPr>
        <w:spacing w:before="163"/>
        <w:ind w:left="0"/>
        <w:jc w:val="both"/>
      </w:pPr>
      <w:r>
        <w:rPr>
          <w:rFonts w:hint="eastAsia"/>
        </w:rPr>
        <w:t>制定源头污染控制方案应掌握规划范围内现状管线（雨水、污水、电力、通信、燃气等）和面源污染源的现状，在此基础上结合污染控制目标和经济条件等因素，提出截污管网建设、改造和修复方案。</w:t>
      </w:r>
    </w:p>
    <w:p>
      <w:pPr>
        <w:pStyle w:val="5"/>
        <w:numPr>
          <w:ilvl w:val="2"/>
          <w:numId w:val="24"/>
        </w:numPr>
        <w:spacing w:before="163"/>
        <w:ind w:left="0"/>
        <w:jc w:val="both"/>
      </w:pPr>
      <w:r>
        <w:rPr>
          <w:rFonts w:hint="eastAsia"/>
        </w:rPr>
        <w:t>末端排口截污主要针对城市水体排口包括沿岸污水直排口、分流制雨水口（初期雨水）、混流排放口、合流制排放口等进行截污。</w:t>
      </w:r>
    </w:p>
    <w:p>
      <w:pPr>
        <w:pStyle w:val="5"/>
        <w:numPr>
          <w:ilvl w:val="2"/>
          <w:numId w:val="24"/>
        </w:numPr>
        <w:spacing w:before="163"/>
        <w:ind w:left="0"/>
        <w:jc w:val="both"/>
      </w:pPr>
      <w:r>
        <w:rPr>
          <w:rFonts w:hint="eastAsia"/>
        </w:rPr>
        <w:t>制定末端排口截污方案应基于水质目标，根据对排口调查的结果，和所在区域水体水环境容量、水文气象特征、排口性质、区域管网建设情况，可通过模型分析，提出截污治理方案，并提出对排口进行溯源整治的措施。</w:t>
      </w:r>
    </w:p>
    <w:p>
      <w:pPr>
        <w:pStyle w:val="4"/>
      </w:pPr>
      <w:bookmarkStart w:id="111" w:name="_Toc33185704"/>
      <w:bookmarkStart w:id="112" w:name="_Toc24029623"/>
      <w:r>
        <w:rPr>
          <w:rFonts w:hint="eastAsia"/>
        </w:rPr>
        <w:t>内源治理方案</w:t>
      </w:r>
      <w:bookmarkEnd w:id="110"/>
      <w:bookmarkEnd w:id="111"/>
      <w:bookmarkEnd w:id="112"/>
      <w:r>
        <w:t xml:space="preserve"> </w:t>
      </w:r>
    </w:p>
    <w:p>
      <w:pPr>
        <w:pStyle w:val="5"/>
        <w:numPr>
          <w:ilvl w:val="2"/>
          <w:numId w:val="25"/>
        </w:numPr>
        <w:spacing w:before="163"/>
        <w:ind w:left="0"/>
        <w:jc w:val="both"/>
      </w:pPr>
      <w:r>
        <w:rPr>
          <w:rFonts w:hint="eastAsia"/>
        </w:rPr>
        <w:t>应根据水体污染评价及成因分析成果，结合内源污染现状和规划治理目标，提出内源治理目标与措施，形成系统的内源治理方案。</w:t>
      </w:r>
    </w:p>
    <w:p>
      <w:pPr>
        <w:pStyle w:val="5"/>
        <w:numPr>
          <w:ilvl w:val="2"/>
          <w:numId w:val="25"/>
        </w:numPr>
        <w:spacing w:before="163"/>
        <w:ind w:left="0"/>
        <w:jc w:val="both"/>
      </w:pPr>
      <w:r>
        <w:rPr>
          <w:rFonts w:hint="eastAsia"/>
        </w:rPr>
        <w:t>内源治理措施宜包括底泥污染治理、河道垃圾清理、生物残体及漂浮物清理等。</w:t>
      </w:r>
    </w:p>
    <w:p>
      <w:pPr>
        <w:pStyle w:val="5"/>
        <w:numPr>
          <w:ilvl w:val="2"/>
          <w:numId w:val="25"/>
        </w:numPr>
        <w:spacing w:before="163"/>
        <w:ind w:left="0"/>
        <w:jc w:val="both"/>
      </w:pPr>
      <w:r>
        <w:rPr>
          <w:rFonts w:hint="eastAsia"/>
        </w:rPr>
        <w:t>应对底泥污染进行合理控制，在维持现状河道走向、宽度及保证原有河岸安全的原则下，确定底泥污染治理的技术措施。</w:t>
      </w:r>
    </w:p>
    <w:p>
      <w:pPr>
        <w:pStyle w:val="5"/>
        <w:numPr>
          <w:ilvl w:val="2"/>
          <w:numId w:val="25"/>
        </w:numPr>
        <w:spacing w:before="163"/>
        <w:ind w:left="0"/>
        <w:jc w:val="both"/>
      </w:pPr>
      <w:r>
        <w:rPr>
          <w:rFonts w:hint="eastAsia"/>
        </w:rPr>
        <w:t>清淤措施应遵循“因地制宜”、“减量化、稳定化、无害化、资源化”及“就地就近”的底泥处理处置原则，明确清淤面积、清淤位置、清淤深度、清淤方式、运输及处理工艺、产出物处置消纳方式等，并形成底泥处置方案。</w:t>
      </w:r>
    </w:p>
    <w:p>
      <w:pPr>
        <w:pStyle w:val="4"/>
      </w:pPr>
      <w:bookmarkStart w:id="113" w:name="_Toc33185705"/>
      <w:bookmarkStart w:id="114" w:name="_Toc24029624"/>
      <w:r>
        <w:rPr>
          <w:rFonts w:hint="eastAsia"/>
        </w:rPr>
        <w:t>生态修复方案</w:t>
      </w:r>
      <w:bookmarkEnd w:id="113"/>
      <w:bookmarkEnd w:id="114"/>
    </w:p>
    <w:p>
      <w:pPr>
        <w:pStyle w:val="5"/>
        <w:numPr>
          <w:ilvl w:val="2"/>
          <w:numId w:val="26"/>
        </w:numPr>
        <w:spacing w:before="163"/>
        <w:jc w:val="both"/>
      </w:pPr>
      <w:r>
        <w:t>应根据</w:t>
      </w:r>
      <w:r>
        <w:rPr>
          <w:rFonts w:hint="eastAsia"/>
        </w:rPr>
        <w:t>城市水体污染评价及成因分析结果，以及水生生态</w:t>
      </w:r>
      <w:r>
        <w:t>现状和规划治理目标</w:t>
      </w:r>
      <w:r>
        <w:rPr>
          <w:rFonts w:hint="eastAsia"/>
        </w:rPr>
        <w:t>，</w:t>
      </w:r>
      <w:r>
        <w:t>遵循</w:t>
      </w:r>
      <w:r>
        <w:rPr>
          <w:rFonts w:hint="eastAsia"/>
        </w:rPr>
        <w:t>因地制宜</w:t>
      </w:r>
      <w:r>
        <w:t>的原则</w:t>
      </w:r>
      <w:r>
        <w:rPr>
          <w:rFonts w:hint="eastAsia"/>
        </w:rPr>
        <w:t>，</w:t>
      </w:r>
      <w:r>
        <w:t>统筹</w:t>
      </w:r>
      <w:r>
        <w:rPr>
          <w:rFonts w:hint="eastAsia"/>
        </w:rPr>
        <w:t>水体防洪、</w:t>
      </w:r>
      <w:r>
        <w:t>供水、航运、治污</w:t>
      </w:r>
      <w:r>
        <w:rPr>
          <w:rFonts w:hint="eastAsia"/>
        </w:rPr>
        <w:t>、景观、文化</w:t>
      </w:r>
      <w:r>
        <w:t>及生态等功能</w:t>
      </w:r>
      <w:r>
        <w:rPr>
          <w:rFonts w:hint="eastAsia"/>
        </w:rPr>
        <w:t>要求</w:t>
      </w:r>
      <w:r>
        <w:t>，</w:t>
      </w:r>
      <w:r>
        <w:rPr>
          <w:rFonts w:hint="eastAsia"/>
        </w:rPr>
        <w:t>并</w:t>
      </w:r>
      <w:r>
        <w:t>结合</w:t>
      </w:r>
      <w:r>
        <w:rPr>
          <w:rFonts w:hint="eastAsia"/>
        </w:rPr>
        <w:t>活水提质规划、海绵城市规划等多方面需求，提出城市黑臭水体生态修复方案</w:t>
      </w:r>
      <w:r>
        <w:t>。</w:t>
      </w:r>
    </w:p>
    <w:p>
      <w:pPr>
        <w:pStyle w:val="5"/>
        <w:numPr>
          <w:ilvl w:val="2"/>
          <w:numId w:val="26"/>
        </w:numPr>
        <w:spacing w:before="163"/>
        <w:jc w:val="both"/>
      </w:pPr>
      <w:r>
        <w:rPr>
          <w:rFonts w:hint="eastAsia"/>
        </w:rPr>
        <w:t>制定生态修复方案，应充分考虑水体的水生生态现状，和水文、气象及周边所在区域的地形地貌等特征，分析生态修复措施的可行性。</w:t>
      </w:r>
    </w:p>
    <w:p>
      <w:pPr>
        <w:pStyle w:val="5"/>
        <w:numPr>
          <w:ilvl w:val="2"/>
          <w:numId w:val="26"/>
        </w:numPr>
        <w:spacing w:before="163"/>
        <w:jc w:val="both"/>
      </w:pPr>
      <w:r>
        <w:rPr>
          <w:rFonts w:hint="eastAsia"/>
        </w:rPr>
        <w:t>具体水体生态修复措施可参照《河湖生态修复与保护规划编制导则》SL709、《城市黑臭水体整治工作指南》等的规定采用。</w:t>
      </w:r>
    </w:p>
    <w:p>
      <w:pPr>
        <w:pStyle w:val="5"/>
        <w:numPr>
          <w:ilvl w:val="2"/>
          <w:numId w:val="26"/>
        </w:numPr>
        <w:spacing w:before="163"/>
        <w:jc w:val="both"/>
      </w:pPr>
      <w:r>
        <w:rPr>
          <w:rFonts w:hint="eastAsia"/>
        </w:rPr>
        <w:t>水体生态修复应在控源截污规划和内源污染治理规划的基础上实施。</w:t>
      </w:r>
    </w:p>
    <w:p>
      <w:pPr>
        <w:pStyle w:val="5"/>
        <w:numPr>
          <w:ilvl w:val="2"/>
          <w:numId w:val="26"/>
        </w:numPr>
        <w:spacing w:before="163"/>
        <w:jc w:val="both"/>
      </w:pPr>
      <w:r>
        <w:rPr>
          <w:rFonts w:hint="eastAsia"/>
        </w:rPr>
        <w:t>水体及周边空间的生态修复措施，应考虑与区域生态安全格局和蓝绿空间分布的充分衔接。</w:t>
      </w:r>
    </w:p>
    <w:p>
      <w:pPr>
        <w:pStyle w:val="5"/>
        <w:numPr>
          <w:ilvl w:val="2"/>
          <w:numId w:val="26"/>
        </w:numPr>
        <w:spacing w:before="163"/>
        <w:jc w:val="both"/>
      </w:pPr>
      <w:r>
        <w:rPr>
          <w:rFonts w:hint="eastAsia"/>
        </w:rPr>
        <w:t>有行洪需求的河道不宜在河道内设置沉水植物、浮水（叶）植物以及人工增氧设备等影响行洪的措施，可采用包括沿线的护岸、堤防或防汛墙的生态化改造、景观绿化节点布置、旁路人工湿地等生态措施。</w:t>
      </w:r>
    </w:p>
    <w:p>
      <w:pPr>
        <w:pStyle w:val="5"/>
        <w:numPr>
          <w:ilvl w:val="2"/>
          <w:numId w:val="26"/>
        </w:numPr>
        <w:spacing w:before="163"/>
        <w:jc w:val="both"/>
      </w:pPr>
      <w:r>
        <w:rPr>
          <w:rFonts w:hint="eastAsia"/>
        </w:rPr>
        <w:t>对相对封闭的湖库的生态修复措施，应充分结合当地景观和文化，形成从缓冲带到深水区、人工恢复到生物群落自然建立的立体空间布局。</w:t>
      </w:r>
    </w:p>
    <w:p>
      <w:pPr>
        <w:pStyle w:val="4"/>
      </w:pPr>
      <w:bookmarkStart w:id="115" w:name="_Toc24029625"/>
      <w:bookmarkStart w:id="116" w:name="_Toc33185706"/>
      <w:r>
        <w:rPr>
          <w:rFonts w:hint="eastAsia"/>
        </w:rPr>
        <w:t>活水提质方案</w:t>
      </w:r>
      <w:bookmarkEnd w:id="115"/>
      <w:bookmarkEnd w:id="116"/>
    </w:p>
    <w:p>
      <w:pPr>
        <w:pStyle w:val="5"/>
        <w:numPr>
          <w:ilvl w:val="2"/>
          <w:numId w:val="27"/>
        </w:numPr>
        <w:spacing w:before="163"/>
        <w:jc w:val="both"/>
        <w:rPr>
          <w:rFonts w:cs="Times New Roman"/>
        </w:rPr>
      </w:pPr>
      <w:r>
        <w:rPr>
          <w:rFonts w:hint="eastAsia" w:cs="Times New Roman"/>
        </w:rPr>
        <w:t>应根据水体污染评价及成因分析结果，以及补水水源的可获得性，分析活水提质方案的必要性与可行性。对确定有必要且可行的水体应提出活水提质方案。</w:t>
      </w:r>
    </w:p>
    <w:p>
      <w:pPr>
        <w:pStyle w:val="5"/>
        <w:numPr>
          <w:ilvl w:val="2"/>
          <w:numId w:val="27"/>
        </w:numPr>
        <w:spacing w:before="163"/>
        <w:jc w:val="both"/>
      </w:pPr>
      <w:r>
        <w:t>应根据城市河湖</w:t>
      </w:r>
      <w:r>
        <w:rPr>
          <w:rFonts w:hint="eastAsia"/>
        </w:rPr>
        <w:t>条件，遵从城市河湖水系连通的流域规划，充分利用现有资源，</w:t>
      </w:r>
      <w:r>
        <w:t>确定水动力提升工程总体</w:t>
      </w:r>
      <w:r>
        <w:rPr>
          <w:rFonts w:hint="eastAsia"/>
        </w:rPr>
        <w:t>方案</w:t>
      </w:r>
      <w:r>
        <w:t>。方案中若</w:t>
      </w:r>
      <w:r>
        <w:rPr>
          <w:rFonts w:hint="eastAsia"/>
        </w:rPr>
        <w:t>包含</w:t>
      </w:r>
      <w:r>
        <w:t>规划水系连通或活</w:t>
      </w:r>
      <w:r>
        <w:rPr>
          <w:rFonts w:hint="eastAsia"/>
        </w:rPr>
        <w:t>水补</w:t>
      </w:r>
      <w:r>
        <w:t>给方案</w:t>
      </w:r>
      <w:r>
        <w:rPr>
          <w:rFonts w:hint="eastAsia"/>
        </w:rPr>
        <w:t>，</w:t>
      </w:r>
      <w:r>
        <w:t>应符合《城市水系规划导则》SL 431</w:t>
      </w:r>
      <w:r>
        <w:rPr>
          <w:rFonts w:hint="eastAsia"/>
        </w:rPr>
        <w:t>、《室外排水设计规范》GB50014、《河湖生态环境需水计算规范》SLZ712、《河湖生态保护与修复规划编制导则》</w:t>
      </w:r>
      <w:r>
        <w:rPr>
          <w:rFonts w:cs="Times New Roman"/>
        </w:rPr>
        <w:t>SL709</w:t>
      </w:r>
      <w:r>
        <w:t>的</w:t>
      </w:r>
      <w:r>
        <w:rPr>
          <w:rFonts w:hint="eastAsia"/>
        </w:rPr>
        <w:t>相关</w:t>
      </w:r>
      <w:r>
        <w:t>规定。</w:t>
      </w:r>
    </w:p>
    <w:p>
      <w:pPr>
        <w:pStyle w:val="5"/>
        <w:numPr>
          <w:ilvl w:val="2"/>
          <w:numId w:val="27"/>
        </w:numPr>
        <w:spacing w:before="163"/>
        <w:jc w:val="both"/>
        <w:rPr>
          <w:rFonts w:cs="Times New Roman"/>
        </w:rPr>
      </w:pPr>
      <w:r>
        <w:rPr>
          <w:rFonts w:hint="eastAsia" w:cs="Times New Roman"/>
        </w:rPr>
        <w:t>活水补给方案应包括</w:t>
      </w:r>
      <w:r>
        <w:rPr>
          <w:rFonts w:hint="eastAsia"/>
        </w:rPr>
        <w:t>补水水源、补水规模、补水线位、补水点布置等内容。</w:t>
      </w:r>
    </w:p>
    <w:p>
      <w:pPr>
        <w:pStyle w:val="5"/>
        <w:numPr>
          <w:ilvl w:val="2"/>
          <w:numId w:val="27"/>
        </w:numPr>
        <w:spacing w:before="163"/>
        <w:jc w:val="both"/>
      </w:pPr>
      <w:r>
        <w:rPr>
          <w:rFonts w:hint="eastAsia"/>
        </w:rPr>
        <w:t>在复杂水系，宜通过建立水动力-水质模型，确定补水点、补水量、提升泵站位置、流经路线、叠加闸等管控措施。</w:t>
      </w:r>
    </w:p>
    <w:p>
      <w:pPr>
        <w:pStyle w:val="5"/>
        <w:numPr>
          <w:ilvl w:val="2"/>
          <w:numId w:val="27"/>
        </w:numPr>
        <w:spacing w:before="163"/>
        <w:jc w:val="both"/>
        <w:rPr>
          <w:rFonts w:eastAsia="宋体"/>
        </w:rPr>
      </w:pPr>
      <w:r>
        <w:rPr>
          <w:rFonts w:hint="eastAsia"/>
        </w:rPr>
        <w:t>可选择水库水（若有）、污水处理厂再生水等作为补水水源。</w:t>
      </w:r>
    </w:p>
    <w:p>
      <w:pPr>
        <w:pStyle w:val="5"/>
        <w:numPr>
          <w:ilvl w:val="2"/>
          <w:numId w:val="27"/>
        </w:numPr>
        <w:spacing w:before="163"/>
        <w:jc w:val="both"/>
        <w:rPr>
          <w:rFonts w:eastAsia="宋体"/>
        </w:rPr>
      </w:pPr>
      <w:r>
        <w:rPr>
          <w:rFonts w:hint="eastAsia"/>
        </w:rPr>
        <w:t>可参考《河湖生态环境需水计算规范》SLZ712，结合生态需水量、景观需水量等要求，确定补水规模。</w:t>
      </w:r>
    </w:p>
    <w:p>
      <w:pPr>
        <w:pStyle w:val="5"/>
        <w:numPr>
          <w:ilvl w:val="2"/>
          <w:numId w:val="27"/>
        </w:numPr>
        <w:spacing w:before="163"/>
        <w:jc w:val="both"/>
      </w:pPr>
      <w:r>
        <w:rPr>
          <w:rFonts w:hint="eastAsia"/>
        </w:rPr>
        <w:t>可根据相关规划，结合规划市政杂用水量，确定补水线位。补水线位宜沿河或沿路敷设。</w:t>
      </w:r>
    </w:p>
    <w:p>
      <w:pPr>
        <w:pStyle w:val="5"/>
        <w:numPr>
          <w:ilvl w:val="2"/>
          <w:numId w:val="27"/>
        </w:numPr>
        <w:spacing w:before="163"/>
        <w:jc w:val="both"/>
      </w:pPr>
      <w:r>
        <w:rPr>
          <w:rFonts w:hint="eastAsia"/>
        </w:rPr>
        <w:t>补水水质应优于水体目标水质要求，若现状水源不满足补水要求，可采用深度净化处理工艺提标提质。</w:t>
      </w:r>
    </w:p>
    <w:p>
      <w:pPr>
        <w:pStyle w:val="4"/>
      </w:pPr>
      <w:bookmarkStart w:id="117" w:name="_Toc33185707"/>
      <w:bookmarkStart w:id="118" w:name="_Toc24029626"/>
      <w:r>
        <w:rPr>
          <w:rFonts w:hint="eastAsia"/>
        </w:rPr>
        <w:t>其他工程方案</w:t>
      </w:r>
      <w:bookmarkEnd w:id="117"/>
      <w:bookmarkEnd w:id="118"/>
    </w:p>
    <w:p>
      <w:pPr>
        <w:pStyle w:val="5"/>
        <w:numPr>
          <w:ilvl w:val="2"/>
          <w:numId w:val="28"/>
        </w:numPr>
        <w:spacing w:before="163"/>
        <w:jc w:val="both"/>
      </w:pPr>
      <w:r>
        <w:rPr>
          <w:rFonts w:hint="eastAsia"/>
        </w:rPr>
        <w:t>加强岸线水土保持工程建设，达到本区域水土流失防治目标，具体建设参照《生产建设项目水土保持技术标准》GB 50433的规定执行。</w:t>
      </w:r>
    </w:p>
    <w:p>
      <w:pPr>
        <w:pStyle w:val="5"/>
        <w:numPr>
          <w:ilvl w:val="2"/>
          <w:numId w:val="28"/>
        </w:numPr>
        <w:spacing w:before="163"/>
        <w:jc w:val="both"/>
      </w:pPr>
      <w:r>
        <w:rPr>
          <w:rFonts w:hint="eastAsia"/>
        </w:rPr>
        <w:t>可根据实际需要，增加其他必要的工程措施。</w:t>
      </w:r>
    </w:p>
    <w:p>
      <w:pPr>
        <w:pStyle w:val="4"/>
      </w:pPr>
      <w:bookmarkStart w:id="119" w:name="_Toc24029627"/>
      <w:bookmarkStart w:id="120" w:name="_Toc33185708"/>
      <w:bookmarkStart w:id="121" w:name="_Toc7789120"/>
      <w:r>
        <w:rPr>
          <w:rFonts w:hint="eastAsia"/>
        </w:rPr>
        <w:t>实施方案计划安排</w:t>
      </w:r>
      <w:bookmarkEnd w:id="119"/>
      <w:bookmarkEnd w:id="120"/>
    </w:p>
    <w:p>
      <w:pPr>
        <w:pStyle w:val="5"/>
        <w:numPr>
          <w:ilvl w:val="2"/>
          <w:numId w:val="29"/>
        </w:numPr>
        <w:spacing w:before="163"/>
        <w:jc w:val="both"/>
      </w:pPr>
      <w:r>
        <w:rPr>
          <w:rFonts w:hint="eastAsia"/>
        </w:rPr>
        <w:t>应符合上位规划及相关专项规划的要求。</w:t>
      </w:r>
    </w:p>
    <w:p>
      <w:pPr>
        <w:pStyle w:val="5"/>
        <w:numPr>
          <w:ilvl w:val="2"/>
          <w:numId w:val="29"/>
        </w:numPr>
        <w:spacing w:before="163"/>
        <w:jc w:val="both"/>
      </w:pPr>
      <w:r>
        <w:rPr>
          <w:rFonts w:hint="eastAsia"/>
        </w:rPr>
        <w:t>实施方案安排计划应包括实施时间、实施内容、阶段性目标等。</w:t>
      </w:r>
    </w:p>
    <w:p>
      <w:pPr>
        <w:pStyle w:val="5"/>
        <w:numPr>
          <w:ilvl w:val="2"/>
          <w:numId w:val="29"/>
        </w:numPr>
        <w:spacing w:before="163"/>
        <w:jc w:val="both"/>
      </w:pPr>
      <w:r>
        <w:rPr>
          <w:rFonts w:hint="eastAsia"/>
        </w:rPr>
        <w:t>应结合相关规划预测城市污水量，确定截污规模；科学计算初雨水量，合理确定重现期和径流系数。</w:t>
      </w:r>
    </w:p>
    <w:p>
      <w:pPr>
        <w:widowControl/>
        <w:spacing w:line="240" w:lineRule="auto"/>
        <w:ind w:firstLine="0" w:firstLineChars="0"/>
        <w:jc w:val="left"/>
      </w:pPr>
      <w:r>
        <w:br w:type="page"/>
      </w:r>
    </w:p>
    <w:bookmarkEnd w:id="121"/>
    <w:p>
      <w:pPr>
        <w:pStyle w:val="2"/>
        <w:spacing w:before="163" w:beforeLines="50" w:after="489" w:afterLines="150"/>
      </w:pPr>
      <w:bookmarkStart w:id="122" w:name="_Toc33185709"/>
      <w:bookmarkStart w:id="123" w:name="_Toc24029628"/>
      <w:r>
        <w:rPr>
          <w:rFonts w:hint="eastAsia"/>
        </w:rPr>
        <w:t>投资估算</w:t>
      </w:r>
      <w:bookmarkEnd w:id="122"/>
      <w:bookmarkEnd w:id="123"/>
    </w:p>
    <w:p>
      <w:pPr>
        <w:pStyle w:val="5"/>
        <w:numPr>
          <w:ilvl w:val="2"/>
          <w:numId w:val="30"/>
        </w:numPr>
        <w:spacing w:before="163"/>
        <w:jc w:val="both"/>
      </w:pPr>
      <w:r>
        <w:rPr>
          <w:rFonts w:hint="eastAsia"/>
        </w:rPr>
        <w:t>应对规划的治理方案进行投资估算，并编制估算成果。</w:t>
      </w:r>
    </w:p>
    <w:p>
      <w:pPr>
        <w:pStyle w:val="5"/>
        <w:numPr>
          <w:ilvl w:val="2"/>
          <w:numId w:val="30"/>
        </w:numPr>
        <w:spacing w:before="163"/>
        <w:jc w:val="both"/>
      </w:pPr>
      <w:r>
        <w:rPr>
          <w:rFonts w:hint="eastAsia"/>
        </w:rPr>
        <w:t>应说明投资估算的编制依据、方案及采用的价格水平年等。</w:t>
      </w:r>
    </w:p>
    <w:p>
      <w:pPr>
        <w:pStyle w:val="5"/>
        <w:numPr>
          <w:ilvl w:val="2"/>
          <w:numId w:val="30"/>
        </w:numPr>
        <w:spacing w:before="163"/>
        <w:jc w:val="both"/>
      </w:pPr>
      <w:r>
        <w:rPr>
          <w:rFonts w:hint="eastAsia"/>
        </w:rPr>
        <w:t>应根据总体规划治理工程的规模、主要工程量、施工总工期等指标，按照指标使用说明对实物工程量进行投资估算。</w:t>
      </w:r>
    </w:p>
    <w:p>
      <w:pPr>
        <w:pStyle w:val="5"/>
        <w:numPr>
          <w:ilvl w:val="2"/>
          <w:numId w:val="30"/>
        </w:numPr>
        <w:spacing w:before="163"/>
        <w:jc w:val="both"/>
      </w:pPr>
      <w:r>
        <w:rPr>
          <w:rFonts w:hint="eastAsia"/>
        </w:rPr>
        <w:t>必要时可对资金筹措做出安排。</w:t>
      </w:r>
    </w:p>
    <w:p>
      <w:pPr>
        <w:pStyle w:val="5"/>
        <w:numPr>
          <w:ilvl w:val="2"/>
          <w:numId w:val="30"/>
        </w:numPr>
        <w:spacing w:before="163"/>
        <w:jc w:val="both"/>
      </w:pPr>
      <w:r>
        <w:rPr>
          <w:rFonts w:hint="eastAsia"/>
        </w:rPr>
        <w:t>投资估算成果应包括投资估算编制说明和相应的投资估算表格。</w:t>
      </w:r>
    </w:p>
    <w:p>
      <w:pPr>
        <w:ind w:firstLine="480"/>
      </w:pPr>
    </w:p>
    <w:p>
      <w:pPr>
        <w:widowControl/>
        <w:spacing w:line="240" w:lineRule="auto"/>
        <w:ind w:firstLine="0" w:firstLineChars="0"/>
        <w:jc w:val="left"/>
        <w:rPr>
          <w:rFonts w:eastAsia="黑体"/>
          <w:b/>
          <w:kern w:val="0"/>
          <w:sz w:val="36"/>
        </w:rPr>
      </w:pPr>
      <w:r>
        <w:br w:type="page"/>
      </w:r>
    </w:p>
    <w:p>
      <w:pPr>
        <w:pStyle w:val="2"/>
        <w:spacing w:before="163" w:beforeLines="50" w:after="326" w:afterLines="100"/>
      </w:pPr>
      <w:bookmarkStart w:id="124" w:name="_Toc33185710"/>
      <w:bookmarkStart w:id="125" w:name="_Toc24029629"/>
      <w:r>
        <w:rPr>
          <w:rFonts w:hint="eastAsia"/>
        </w:rPr>
        <w:t>非工程治理措施方案</w:t>
      </w:r>
      <w:bookmarkEnd w:id="124"/>
      <w:bookmarkEnd w:id="125"/>
    </w:p>
    <w:p>
      <w:pPr>
        <w:pStyle w:val="4"/>
      </w:pPr>
      <w:bookmarkStart w:id="126" w:name="_Toc24029630"/>
      <w:bookmarkStart w:id="127" w:name="_Toc33185711"/>
      <w:r>
        <w:rPr>
          <w:rFonts w:hint="eastAsia"/>
        </w:rPr>
        <w:t>综合管理</w:t>
      </w:r>
      <w:bookmarkEnd w:id="126"/>
      <w:r>
        <w:rPr>
          <w:rFonts w:hint="eastAsia"/>
        </w:rPr>
        <w:t>系统建设方案</w:t>
      </w:r>
      <w:bookmarkEnd w:id="127"/>
    </w:p>
    <w:p>
      <w:pPr>
        <w:pStyle w:val="5"/>
        <w:spacing w:before="163"/>
        <w:jc w:val="both"/>
      </w:pPr>
      <w:bookmarkStart w:id="128" w:name="_Toc5174806"/>
      <w:r>
        <w:t>综合管理</w:t>
      </w:r>
      <w:r>
        <w:rPr>
          <w:rFonts w:hint="eastAsia"/>
        </w:rPr>
        <w:t>系统建设可</w:t>
      </w:r>
      <w:r>
        <w:t>包含制度建设、监督管理体制与机制建设、</w:t>
      </w:r>
      <w:r>
        <w:rPr>
          <w:rFonts w:hint="eastAsia"/>
        </w:rPr>
        <w:t>跨流域评价与合作体制与机制建设、</w:t>
      </w:r>
      <w:r>
        <w:t>监控和应急能力建设、综合管理能力建设等。</w:t>
      </w:r>
    </w:p>
    <w:p>
      <w:pPr>
        <w:pStyle w:val="5"/>
        <w:spacing w:before="163"/>
        <w:jc w:val="both"/>
      </w:pPr>
      <w:r>
        <w:rPr>
          <w:rFonts w:hint="eastAsia"/>
        </w:rPr>
        <w:t>制度建设可包括长效管理体制、分级管理制度、工程措施管理制度、日常检查制度等的建设。</w:t>
      </w:r>
    </w:p>
    <w:p>
      <w:pPr>
        <w:pStyle w:val="5"/>
        <w:spacing w:before="163"/>
        <w:jc w:val="both"/>
      </w:pPr>
      <w:r>
        <w:t>监督管理体制与机制</w:t>
      </w:r>
      <w:r>
        <w:rPr>
          <w:rFonts w:hint="eastAsia"/>
        </w:rPr>
        <w:t>建设可</w:t>
      </w:r>
      <w:r>
        <w:t>包括完善监督管理体制</w:t>
      </w:r>
      <w:r>
        <w:rPr>
          <w:rFonts w:hint="eastAsia"/>
        </w:rPr>
        <w:t>、</w:t>
      </w:r>
      <w:r>
        <w:t>机制</w:t>
      </w:r>
      <w:r>
        <w:rPr>
          <w:rFonts w:hint="eastAsia"/>
        </w:rPr>
        <w:t>，</w:t>
      </w:r>
      <w:r>
        <w:t>建立水环境改善、水生态保护与修复、水安全保障、水资源可持续利用</w:t>
      </w:r>
      <w:r>
        <w:rPr>
          <w:rFonts w:hint="eastAsia"/>
        </w:rPr>
        <w:t>等</w:t>
      </w:r>
      <w:r>
        <w:t>的协调机制，</w:t>
      </w:r>
      <w:r>
        <w:rPr>
          <w:rFonts w:hint="eastAsia"/>
        </w:rPr>
        <w:t>建立生物多样性保护体制与机制，</w:t>
      </w:r>
      <w:r>
        <w:t>建立和完善公众参与和媒体监督机制等。</w:t>
      </w:r>
    </w:p>
    <w:p>
      <w:pPr>
        <w:pStyle w:val="5"/>
        <w:spacing w:before="163"/>
        <w:jc w:val="both"/>
      </w:pPr>
      <w:r>
        <w:rPr>
          <w:rFonts w:hint="eastAsia"/>
        </w:rPr>
        <w:t>根据需要可建立跨流域评价体制与机制，加强跨区域的协同合作，建立治污合作机制和突发污染事故区域联动应急机制。</w:t>
      </w:r>
    </w:p>
    <w:p>
      <w:pPr>
        <w:pStyle w:val="5"/>
        <w:spacing w:before="163"/>
        <w:jc w:val="both"/>
      </w:pPr>
      <w:r>
        <w:t>监控和应急能力建设</w:t>
      </w:r>
      <w:r>
        <w:rPr>
          <w:rFonts w:hint="eastAsia"/>
        </w:rPr>
        <w:t>可包括黑臭水体污染监测-分析-预警-响应机制系统建设，配备相应的软件、硬件，包括前端数据采集系统、数据及视频传输系统、数据分析系统、预警与响应系统，还可包括应急队伍和应急设备的建设。</w:t>
      </w:r>
    </w:p>
    <w:p>
      <w:pPr>
        <w:pStyle w:val="5"/>
        <w:spacing w:before="163"/>
        <w:jc w:val="both"/>
      </w:pPr>
      <w:r>
        <w:t>综合管理能力建设应包括机构设置</w:t>
      </w:r>
      <w:r>
        <w:rPr>
          <w:rFonts w:hint="eastAsia"/>
        </w:rPr>
        <w:t>、</w:t>
      </w:r>
      <w:r>
        <w:t>人员队伍建设、设施与设备建设、宣传教育及信息管控</w:t>
      </w:r>
      <w:r>
        <w:rPr>
          <w:rFonts w:hint="eastAsia"/>
        </w:rPr>
        <w:t>、落实制度建设与实施</w:t>
      </w:r>
      <w:r>
        <w:t>等。</w:t>
      </w:r>
    </w:p>
    <w:p>
      <w:pPr>
        <w:pStyle w:val="4"/>
      </w:pPr>
      <w:bookmarkStart w:id="129" w:name="_Toc24029631"/>
      <w:bookmarkStart w:id="130" w:name="_Toc33185712"/>
      <w:r>
        <w:rPr>
          <w:rFonts w:hint="eastAsia"/>
        </w:rPr>
        <w:t>信息管控系统建设方案</w:t>
      </w:r>
      <w:bookmarkEnd w:id="129"/>
      <w:bookmarkEnd w:id="130"/>
    </w:p>
    <w:p>
      <w:pPr>
        <w:pStyle w:val="5"/>
        <w:numPr>
          <w:ilvl w:val="2"/>
          <w:numId w:val="31"/>
        </w:numPr>
        <w:spacing w:before="163"/>
        <w:jc w:val="both"/>
      </w:pPr>
      <w:r>
        <w:rPr>
          <w:rFonts w:hint="eastAsia"/>
        </w:rPr>
        <w:t>应</w:t>
      </w:r>
      <w:r>
        <w:t>结合区域内</w:t>
      </w:r>
      <w:r>
        <w:rPr>
          <w:rFonts w:hint="eastAsia"/>
        </w:rPr>
        <w:t>现有、在建和待建</w:t>
      </w:r>
      <w:r>
        <w:t>的</w:t>
      </w:r>
      <w:r>
        <w:rPr>
          <w:rFonts w:hint="eastAsia"/>
        </w:rPr>
        <w:t>相关信息系统，包括地理信息系统、气候气象信息系统、</w:t>
      </w:r>
      <w:r>
        <w:t>水文信息系统、水质信息系统</w:t>
      </w:r>
      <w:r>
        <w:rPr>
          <w:rFonts w:hint="eastAsia"/>
        </w:rPr>
        <w:t>、雨水</w:t>
      </w:r>
      <w:r>
        <w:t>管网信息系统</w:t>
      </w:r>
      <w:r>
        <w:rPr>
          <w:rFonts w:hint="eastAsia"/>
        </w:rPr>
        <w:t>、污水</w:t>
      </w:r>
      <w:r>
        <w:t>管网信息系统</w:t>
      </w:r>
      <w:r>
        <w:rPr>
          <w:rFonts w:hint="eastAsia"/>
        </w:rPr>
        <w:t>、合流制管网信息系统、经济及产业信息系统等，</w:t>
      </w:r>
      <w:r>
        <w:t>拟定规划区域内水环境信息管控</w:t>
      </w:r>
      <w:r>
        <w:rPr>
          <w:rFonts w:hint="eastAsia"/>
        </w:rPr>
        <w:t>系统建设</w:t>
      </w:r>
      <w:r>
        <w:t>方案。</w:t>
      </w:r>
    </w:p>
    <w:p>
      <w:pPr>
        <w:pStyle w:val="5"/>
        <w:numPr>
          <w:ilvl w:val="2"/>
          <w:numId w:val="31"/>
        </w:numPr>
        <w:spacing w:before="163"/>
        <w:jc w:val="both"/>
      </w:pPr>
      <w:r>
        <w:rPr>
          <w:rFonts w:hint="eastAsia"/>
        </w:rPr>
        <w:t>总体方案</w:t>
      </w:r>
      <w:r>
        <w:t>应包括</w:t>
      </w:r>
      <w:r>
        <w:rPr>
          <w:rFonts w:hint="eastAsia"/>
        </w:rPr>
        <w:t>监测系统建设、数据中心建设、运行维护管理系统建设、应急响应系统建设、监控</w:t>
      </w:r>
      <w:r>
        <w:t>和应急安全能力建设</w:t>
      </w:r>
      <w:r>
        <w:rPr>
          <w:rFonts w:hint="eastAsia"/>
        </w:rPr>
        <w:t>。</w:t>
      </w:r>
    </w:p>
    <w:p>
      <w:pPr>
        <w:pStyle w:val="5"/>
        <w:numPr>
          <w:ilvl w:val="2"/>
          <w:numId w:val="31"/>
        </w:numPr>
        <w:spacing w:before="163"/>
        <w:jc w:val="both"/>
      </w:pPr>
      <w:r>
        <w:rPr>
          <w:rFonts w:hint="eastAsia"/>
        </w:rPr>
        <w:t>监测系统宜包括</w:t>
      </w:r>
      <w:r>
        <w:t>水文信息监测系统、水质信息监测系统</w:t>
      </w:r>
      <w:r>
        <w:rPr>
          <w:rFonts w:hint="eastAsia"/>
        </w:rPr>
        <w:t>、</w:t>
      </w:r>
      <w:r>
        <w:t>排水管网信息监测系统</w:t>
      </w:r>
      <w:r>
        <w:rPr>
          <w:rFonts w:hint="eastAsia"/>
        </w:rPr>
        <w:t>等，应布局合理、功能完备、稳定可靠，形成对重点区域的全面覆盖。</w:t>
      </w:r>
    </w:p>
    <w:p>
      <w:pPr>
        <w:pStyle w:val="5"/>
        <w:numPr>
          <w:ilvl w:val="2"/>
          <w:numId w:val="31"/>
        </w:numPr>
        <w:spacing w:before="163"/>
        <w:jc w:val="both"/>
      </w:pPr>
      <w:r>
        <w:rPr>
          <w:rFonts w:hint="eastAsia"/>
        </w:rPr>
        <w:t>数据中心应包括数据存储、数据管理、数据共享与决策支持等功能，可采用大数据、云计算、可视化技术。</w:t>
      </w:r>
    </w:p>
    <w:p>
      <w:pPr>
        <w:pStyle w:val="5"/>
        <w:numPr>
          <w:ilvl w:val="2"/>
          <w:numId w:val="31"/>
        </w:numPr>
        <w:spacing w:before="163"/>
        <w:jc w:val="both"/>
      </w:pPr>
      <w:r>
        <w:rPr>
          <w:rFonts w:hint="eastAsia"/>
        </w:rPr>
        <w:t>应建立信息数据库运行维护制度，包括日常管理制度、应急管理制度、系统维护制度等。</w:t>
      </w:r>
    </w:p>
    <w:p>
      <w:pPr>
        <w:pStyle w:val="5"/>
        <w:numPr>
          <w:ilvl w:val="2"/>
          <w:numId w:val="31"/>
        </w:numPr>
        <w:spacing w:before="163"/>
        <w:jc w:val="both"/>
      </w:pPr>
      <w:r>
        <w:rPr>
          <w:rFonts w:hint="eastAsia"/>
        </w:rPr>
        <w:t>应制定</w:t>
      </w:r>
      <w:r>
        <w:t>规划区域内</w:t>
      </w:r>
      <w:r>
        <w:rPr>
          <w:rFonts w:hint="eastAsia"/>
        </w:rPr>
        <w:t>水安全事故、</w:t>
      </w:r>
      <w:r>
        <w:t>水污染事故</w:t>
      </w:r>
      <w:r>
        <w:rPr>
          <w:rFonts w:hint="eastAsia"/>
        </w:rPr>
        <w:t>、环境公害事故</w:t>
      </w:r>
      <w:r>
        <w:t>等可能发生危害事件的应急响应总体方案</w:t>
      </w:r>
      <w:r>
        <w:rPr>
          <w:rFonts w:hint="eastAsia"/>
        </w:rPr>
        <w:t>，明确事故责任制，形成事故调查与追责制度</w:t>
      </w:r>
      <w:r>
        <w:t>。有较大危险源的</w:t>
      </w:r>
      <w:r>
        <w:rPr>
          <w:rFonts w:hint="eastAsia"/>
        </w:rPr>
        <w:t>应</w:t>
      </w:r>
      <w:r>
        <w:t>制定专项应急安全响应方案</w:t>
      </w:r>
      <w:r>
        <w:rPr>
          <w:rFonts w:hint="eastAsia"/>
        </w:rPr>
        <w:t>，并形成多区域、多部门联动体制和机制</w:t>
      </w:r>
      <w:r>
        <w:t>。</w:t>
      </w:r>
    </w:p>
    <w:p>
      <w:pPr>
        <w:pStyle w:val="5"/>
        <w:numPr>
          <w:ilvl w:val="2"/>
          <w:numId w:val="31"/>
        </w:numPr>
        <w:spacing w:before="163"/>
        <w:jc w:val="both"/>
      </w:pPr>
      <w:r>
        <w:t>应</w:t>
      </w:r>
      <w:r>
        <w:rPr>
          <w:rFonts w:hint="eastAsia"/>
        </w:rPr>
        <w:t>制定</w:t>
      </w:r>
      <w:r>
        <w:t>包括监控方案、应急</w:t>
      </w:r>
      <w:r>
        <w:rPr>
          <w:rFonts w:hint="eastAsia"/>
        </w:rPr>
        <w:t>安全</w:t>
      </w:r>
      <w:r>
        <w:t>预案、应急能力建设等</w:t>
      </w:r>
      <w:r>
        <w:rPr>
          <w:rFonts w:hint="eastAsia"/>
        </w:rPr>
        <w:t>在内的监控</w:t>
      </w:r>
      <w:r>
        <w:t>和应急安全能力建设</w:t>
      </w:r>
      <w:r>
        <w:rPr>
          <w:rFonts w:hint="eastAsia"/>
        </w:rPr>
        <w:t>方案。应急安全预案应包括应急组织机构及职责、应急预案体系、保障措施等内容。</w:t>
      </w:r>
      <w:r>
        <w:br w:type="page"/>
      </w:r>
    </w:p>
    <w:bookmarkEnd w:id="128"/>
    <w:p>
      <w:pPr>
        <w:pStyle w:val="2"/>
        <w:spacing w:before="163" w:beforeLines="50" w:after="489" w:afterLines="150"/>
      </w:pPr>
      <w:bookmarkStart w:id="131" w:name="_Toc24029632"/>
      <w:bookmarkStart w:id="132" w:name="_Toc33185713"/>
      <w:r>
        <w:rPr>
          <w:rFonts w:hint="eastAsia"/>
        </w:rPr>
        <w:t>规划环境影响评价</w:t>
      </w:r>
      <w:bookmarkEnd w:id="131"/>
      <w:bookmarkEnd w:id="132"/>
    </w:p>
    <w:p>
      <w:pPr>
        <w:pStyle w:val="5"/>
        <w:spacing w:before="163"/>
        <w:jc w:val="both"/>
      </w:pPr>
      <w:r>
        <w:rPr>
          <w:rFonts w:hint="eastAsia"/>
        </w:rPr>
        <w:t>环境影响评价是规划方案比选的重要依据。规划方案可能产生的环境影响如果超出可承受的范围与程度，则需要另选方案或者对方案做出相应的调整。</w:t>
      </w:r>
    </w:p>
    <w:p>
      <w:pPr>
        <w:pStyle w:val="5"/>
        <w:spacing w:before="163"/>
        <w:jc w:val="both"/>
      </w:pPr>
      <w:r>
        <w:rPr>
          <w:rFonts w:hint="eastAsia"/>
        </w:rPr>
        <w:t>应对治理规划进行环境影响评价，分析治理方案实施可能带来的环境影响，确定需要采取的环境保护措施，并考虑规划实施过程和实施后的跟踪评价等，主要内容包括环境现状调查与分析、环境影响预测与评价、减缓措施、环境监测及跟踪评价等。</w:t>
      </w:r>
    </w:p>
    <w:p>
      <w:pPr>
        <w:pStyle w:val="5"/>
        <w:spacing w:before="163"/>
        <w:jc w:val="both"/>
      </w:pPr>
      <w:r>
        <w:rPr>
          <w:rFonts w:hint="eastAsia"/>
        </w:rPr>
        <w:t>规划环境影响评价内容及深度应符合现行行业标准《规划环境影响评价技术导则总纲》HJ 130的规定。</w:t>
      </w:r>
    </w:p>
    <w:p>
      <w:pPr>
        <w:pStyle w:val="5"/>
        <w:spacing w:before="163"/>
        <w:jc w:val="both"/>
      </w:pPr>
      <w:r>
        <w:rPr>
          <w:rFonts w:hint="eastAsia"/>
        </w:rPr>
        <w:t>应分析规划总体布局、主要规划方案、重要设施选址及规模等与国家和地区环境保护法律法规和政策、省级主体功能区规划、生态功能规划、水功能区规划等相关功能区划的符合性，与同层位相关规划的协调性。</w:t>
      </w:r>
    </w:p>
    <w:p>
      <w:pPr>
        <w:pStyle w:val="5"/>
        <w:spacing w:before="163"/>
        <w:jc w:val="both"/>
      </w:pPr>
      <w:r>
        <w:rPr>
          <w:rFonts w:hint="eastAsia"/>
        </w:rPr>
        <w:t>应明确规划设计实施的环境制约因素，重点关注与自然保护区、湿地等环境敏感区可能存在冲突的规划内容。</w:t>
      </w:r>
      <w:bookmarkStart w:id="133" w:name="_Toc24029634"/>
    </w:p>
    <w:bookmarkEnd w:id="133"/>
    <w:p>
      <w:pPr>
        <w:pStyle w:val="5"/>
        <w:spacing w:before="163"/>
        <w:jc w:val="both"/>
      </w:pPr>
      <w:r>
        <w:rPr>
          <w:rFonts w:hint="eastAsia"/>
        </w:rPr>
        <w:t>环境现状调查与分析主要应包括水环境、水生态、陆生生态和环境敏感区等的现状及其主要问题与成因分析。环境敏感对象主要应包括自然保护区、生态脆弱区及社会关注区等。</w:t>
      </w:r>
    </w:p>
    <w:p>
      <w:pPr>
        <w:pStyle w:val="5"/>
        <w:spacing w:before="163"/>
        <w:jc w:val="both"/>
      </w:pPr>
      <w:r>
        <w:rPr>
          <w:rFonts w:hint="eastAsia"/>
        </w:rPr>
        <w:t>环境影响预测与评价的主要内容应包含水环境影响预则与评价、生态影响预测与评价、水文水资源影响预测与评价、环境敏感区影响预测与评价、社会环境影响预测与评价和环境风险预测与评价、施工期影响预测与评价、洪水影响预测与评价等。</w:t>
      </w:r>
    </w:p>
    <w:p>
      <w:pPr>
        <w:pStyle w:val="5"/>
        <w:spacing w:before="163"/>
        <w:jc w:val="both"/>
        <w:rPr>
          <w:rFonts w:eastAsia="黑体"/>
          <w:b/>
          <w:kern w:val="0"/>
          <w:sz w:val="36"/>
        </w:rPr>
      </w:pPr>
      <w:r>
        <w:rPr>
          <w:rFonts w:hint="eastAsia"/>
        </w:rPr>
        <w:t>应根据规划设计方案的合理性，结合社会经济与环境协调发展的要求，对规划设计方案的布局、规模和实施时序等提出优化调整建议和减缓不利影响的对策措施。环境影响减缓对策措施应遵循预防为主、不利影响最小化与减量化原则；减缓对策与措施应具有可操作性，在规定的期限内能够实现环境保护目标。</w:t>
      </w:r>
      <w:bookmarkStart w:id="134" w:name="_Toc14097918"/>
      <w:bookmarkStart w:id="135" w:name="_Toc24029637"/>
      <w:r>
        <w:br w:type="page"/>
      </w:r>
    </w:p>
    <w:p>
      <w:pPr>
        <w:pStyle w:val="2"/>
        <w:spacing w:before="163" w:beforeLines="50" w:after="489" w:afterLines="150"/>
      </w:pPr>
      <w:bookmarkStart w:id="136" w:name="_Toc33185714"/>
      <w:r>
        <w:rPr>
          <w:rFonts w:hint="eastAsia"/>
        </w:rPr>
        <w:t>保障措施</w:t>
      </w:r>
      <w:bookmarkEnd w:id="134"/>
      <w:bookmarkEnd w:id="135"/>
      <w:bookmarkEnd w:id="136"/>
    </w:p>
    <w:p>
      <w:pPr>
        <w:pStyle w:val="5"/>
        <w:spacing w:before="163"/>
        <w:jc w:val="both"/>
      </w:pPr>
      <w:r>
        <w:rPr>
          <w:rFonts w:hint="eastAsia"/>
        </w:rPr>
        <w:t>应提出规划实施的保障措施。保障措施应包括建设用地保障措施、资金筹措保障措施、组织与管理保障措施、应急与监督检查保障措施，以及其他有必要的保障措施。</w:t>
      </w:r>
    </w:p>
    <w:p>
      <w:pPr>
        <w:pStyle w:val="5"/>
        <w:spacing w:before="163"/>
      </w:pPr>
      <w:r>
        <w:rPr>
          <w:rFonts w:hint="eastAsia"/>
        </w:rPr>
        <w:t>应按下列原则确定保障措施：</w:t>
      </w:r>
    </w:p>
    <w:p>
      <w:pPr>
        <w:pStyle w:val="6"/>
        <w:numPr>
          <w:ilvl w:val="0"/>
          <w:numId w:val="32"/>
        </w:numPr>
        <w:spacing w:before="0"/>
        <w:ind w:left="0" w:firstLine="480" w:firstLineChars="200"/>
        <w:jc w:val="both"/>
      </w:pPr>
      <w:r>
        <w:rPr>
          <w:rFonts w:hint="eastAsia"/>
        </w:rPr>
        <w:t>应全面考虑城市发展与建设的全局，统筹安排，将保障措施纳入城市规划范围。</w:t>
      </w:r>
    </w:p>
    <w:p>
      <w:pPr>
        <w:pStyle w:val="6"/>
        <w:numPr>
          <w:ilvl w:val="0"/>
          <w:numId w:val="32"/>
        </w:numPr>
        <w:spacing w:before="0"/>
        <w:ind w:left="0" w:firstLine="480" w:firstLineChars="200"/>
        <w:jc w:val="both"/>
      </w:pPr>
      <w:r>
        <w:rPr>
          <w:rFonts w:hint="eastAsia"/>
        </w:rPr>
        <w:t>保障措施应尽量简单易行，并遵行节约的原则。</w:t>
      </w:r>
    </w:p>
    <w:p>
      <w:pPr>
        <w:pStyle w:val="6"/>
        <w:numPr>
          <w:ilvl w:val="0"/>
          <w:numId w:val="32"/>
        </w:numPr>
        <w:spacing w:before="0"/>
        <w:ind w:left="0" w:firstLine="480" w:firstLineChars="200"/>
        <w:jc w:val="both"/>
      </w:pPr>
      <w:r>
        <w:rPr>
          <w:rFonts w:hint="eastAsia"/>
        </w:rPr>
        <w:t>应强调监督检查保障措施的完善与落实。</w:t>
      </w:r>
    </w:p>
    <w:p>
      <w:pPr>
        <w:pStyle w:val="5"/>
        <w:spacing w:before="163"/>
        <w:jc w:val="both"/>
      </w:pPr>
      <w:bookmarkStart w:id="137" w:name="_Toc24029648"/>
      <w:r>
        <w:rPr>
          <w:rFonts w:hint="eastAsia"/>
        </w:rPr>
        <w:t>应根据规划拟定方案的总体布局和主要任务，进行治理措施的空间布局，制定工程建设用地计划，明确征地原则、范围、程序与方法。</w:t>
      </w:r>
    </w:p>
    <w:p>
      <w:pPr>
        <w:pStyle w:val="5"/>
        <w:spacing w:before="163"/>
        <w:jc w:val="both"/>
      </w:pPr>
      <w:r>
        <w:rPr>
          <w:rFonts w:hint="eastAsia"/>
        </w:rPr>
        <w:t>应提出规划实施所需要资金的资金筹措方案和融资方案，包括资金来源渠道，建设期贷款利息、利率等。</w:t>
      </w:r>
    </w:p>
    <w:p>
      <w:pPr>
        <w:pStyle w:val="5"/>
        <w:spacing w:before="163"/>
        <w:jc w:val="both"/>
      </w:pPr>
      <w:r>
        <w:rPr>
          <w:rFonts w:hint="eastAsia"/>
        </w:rPr>
        <w:t>应根据国家相关法律、法规、规定和地方政府的相关规定，提出相应的组织、管理等保障措施。</w:t>
      </w:r>
    </w:p>
    <w:p>
      <w:pPr>
        <w:pStyle w:val="5"/>
        <w:spacing w:before="163"/>
        <w:jc w:val="both"/>
      </w:pPr>
      <w:r>
        <w:rPr>
          <w:rFonts w:hint="eastAsia"/>
        </w:rPr>
        <w:t>应制定应急保障方案，构建水情预警系统并明确预警等级，健全水质监测系统，对重污染的流域进行重点监测，强化应急设施与装备建设，组建专项应急小组等。</w:t>
      </w:r>
    </w:p>
    <w:p>
      <w:pPr>
        <w:pStyle w:val="5"/>
        <w:spacing w:before="163"/>
        <w:jc w:val="both"/>
      </w:pPr>
      <w:r>
        <w:rPr>
          <w:rFonts w:hint="eastAsia"/>
        </w:rPr>
        <w:t>应提出完善的流域监控方案，进行监控能力建设、应急预案制定、应急能力建设等。</w:t>
      </w:r>
    </w:p>
    <w:p>
      <w:pPr>
        <w:pStyle w:val="5"/>
        <w:spacing w:before="163"/>
        <w:jc w:val="both"/>
      </w:pPr>
      <w:r>
        <w:rPr>
          <w:rFonts w:hint="eastAsia"/>
        </w:rPr>
        <w:t>应提出监督检查保障措施，加强公众参与和媒体监督，实行民主公开，落实信访举报制度等。</w:t>
      </w:r>
    </w:p>
    <w:p>
      <w:pPr>
        <w:pStyle w:val="5"/>
        <w:spacing w:before="163"/>
        <w:jc w:val="both"/>
      </w:pPr>
      <w:r>
        <w:rPr>
          <w:rFonts w:hint="eastAsia"/>
        </w:rPr>
        <w:t>应根据情况制定其他保障措施，比如管线保护与迁改、范围内既有管线保护等措施。</w:t>
      </w:r>
    </w:p>
    <w:p>
      <w:pPr>
        <w:widowControl/>
        <w:spacing w:line="240" w:lineRule="auto"/>
        <w:ind w:firstLine="0" w:firstLineChars="0"/>
        <w:jc w:val="left"/>
        <w:rPr>
          <w:bCs/>
          <w:szCs w:val="32"/>
        </w:rPr>
      </w:pPr>
      <w:r>
        <w:br w:type="page"/>
      </w:r>
    </w:p>
    <w:p>
      <w:pPr>
        <w:pStyle w:val="2"/>
        <w:spacing w:before="163" w:beforeLines="50" w:after="489" w:afterLines="150"/>
      </w:pPr>
      <w:bookmarkStart w:id="138" w:name="_Toc33185715"/>
      <w:r>
        <w:rPr>
          <w:rFonts w:hint="eastAsia"/>
        </w:rPr>
        <w:t>实施效果分析</w:t>
      </w:r>
      <w:bookmarkEnd w:id="138"/>
    </w:p>
    <w:p>
      <w:pPr>
        <w:pStyle w:val="5"/>
        <w:spacing w:before="163"/>
      </w:pPr>
      <w:r>
        <w:rPr>
          <w:rFonts w:hint="eastAsia"/>
        </w:rPr>
        <w:t>实施效果分析应包括对城市黑臭水体治理效果进行分析与预测，以及进行环境、社会、经济效益分析。</w:t>
      </w:r>
    </w:p>
    <w:p>
      <w:pPr>
        <w:pStyle w:val="5"/>
        <w:spacing w:before="163"/>
      </w:pPr>
      <w:r>
        <w:rPr>
          <w:rFonts w:hint="eastAsia"/>
        </w:rPr>
        <w:t>规划实施效果预测分析可建立水质水动力模型，预测污染削减程度，进行目标可达性分析。</w:t>
      </w:r>
    </w:p>
    <w:p>
      <w:pPr>
        <w:widowControl/>
        <w:spacing w:line="240" w:lineRule="auto"/>
        <w:ind w:firstLine="0" w:firstLineChars="0"/>
        <w:jc w:val="left"/>
        <w:rPr>
          <w:rFonts w:eastAsia="宋体"/>
          <w:b/>
          <w:kern w:val="0"/>
          <w:sz w:val="28"/>
        </w:rPr>
      </w:pPr>
      <w:r>
        <w:br w:type="page"/>
      </w:r>
    </w:p>
    <w:p>
      <w:pPr>
        <w:pStyle w:val="2"/>
        <w:spacing w:before="163" w:beforeLines="50" w:after="489" w:afterLines="150"/>
      </w:pPr>
      <w:bookmarkStart w:id="139" w:name="_Toc33185716"/>
      <w:r>
        <w:rPr>
          <w:rFonts w:hint="eastAsia"/>
        </w:rPr>
        <w:t>结论与建议</w:t>
      </w:r>
      <w:bookmarkEnd w:id="139"/>
    </w:p>
    <w:p>
      <w:pPr>
        <w:pStyle w:val="5"/>
        <w:spacing w:before="163"/>
      </w:pPr>
      <w:r>
        <w:rPr>
          <w:rFonts w:hint="eastAsia"/>
        </w:rPr>
        <w:t>编制城市黑臭水体治理规划</w:t>
      </w:r>
      <w:r>
        <w:t>应提出主要结论</w:t>
      </w:r>
      <w:r>
        <w:rPr>
          <w:rFonts w:hint="eastAsia"/>
        </w:rPr>
        <w:t>和建议。</w:t>
      </w:r>
    </w:p>
    <w:p>
      <w:pPr>
        <w:pStyle w:val="5"/>
        <w:spacing w:before="163"/>
      </w:pPr>
      <w:r>
        <w:rPr>
          <w:rFonts w:hint="eastAsia"/>
        </w:rPr>
        <w:t>结论与建议应包括以下三个方面的内容：</w:t>
      </w:r>
    </w:p>
    <w:p>
      <w:pPr>
        <w:ind w:firstLine="480"/>
      </w:pPr>
      <w:r>
        <w:rPr>
          <w:rFonts w:hint="eastAsia"/>
        </w:rPr>
        <w:t>1</w:t>
      </w:r>
      <w:r>
        <w:t xml:space="preserve"> </w:t>
      </w:r>
      <w:r>
        <w:rPr>
          <w:rFonts w:hint="eastAsia"/>
        </w:rPr>
        <w:t>应明确</w:t>
      </w:r>
      <w:r>
        <w:t>拟</w:t>
      </w:r>
      <w:r>
        <w:rPr>
          <w:rFonts w:hint="eastAsia"/>
        </w:rPr>
        <w:t>实施规划</w:t>
      </w:r>
      <w:r>
        <w:t>的重</w:t>
      </w:r>
      <w:r>
        <w:rPr>
          <w:rFonts w:hint="eastAsia"/>
        </w:rPr>
        <w:t>要</w:t>
      </w:r>
      <w:r>
        <w:t>区域和重点项目</w:t>
      </w:r>
      <w:r>
        <w:rPr>
          <w:rFonts w:hint="eastAsia"/>
        </w:rPr>
        <w:t>，以及优先</w:t>
      </w:r>
      <w:r>
        <w:t>顺序</w:t>
      </w:r>
      <w:r>
        <w:rPr>
          <w:rFonts w:hint="eastAsia"/>
        </w:rPr>
        <w:t>，明确</w:t>
      </w:r>
      <w:r>
        <w:t>重点</w:t>
      </w:r>
      <w:r>
        <w:rPr>
          <w:rFonts w:hint="eastAsia"/>
        </w:rPr>
        <w:t>工</w:t>
      </w:r>
      <w:r>
        <w:t>程的</w:t>
      </w:r>
      <w:r>
        <w:rPr>
          <w:rFonts w:hint="eastAsia"/>
        </w:rPr>
        <w:t>建设要求，</w:t>
      </w:r>
      <w:r>
        <w:t>提出工作进度</w:t>
      </w:r>
      <w:r>
        <w:rPr>
          <w:rFonts w:hint="eastAsia"/>
        </w:rPr>
        <w:t>安排</w:t>
      </w:r>
      <w:r>
        <w:t>及</w:t>
      </w:r>
      <w:r>
        <w:rPr>
          <w:rFonts w:hint="eastAsia"/>
        </w:rPr>
        <w:t>管理要求，</w:t>
      </w:r>
      <w:r>
        <w:t>并</w:t>
      </w:r>
      <w:r>
        <w:rPr>
          <w:rFonts w:hint="eastAsia"/>
        </w:rPr>
        <w:t>对中期、远期安排提出初步意见。</w:t>
      </w:r>
    </w:p>
    <w:p>
      <w:pPr>
        <w:ind w:firstLine="480"/>
      </w:pPr>
      <w:r>
        <w:rPr>
          <w:rFonts w:hint="eastAsia"/>
        </w:rPr>
        <w:t>2</w:t>
      </w:r>
      <w:r>
        <w:t xml:space="preserve"> 应简述规划</w:t>
      </w:r>
      <w:r>
        <w:rPr>
          <w:rFonts w:hint="eastAsia"/>
        </w:rPr>
        <w:t>实施</w:t>
      </w:r>
      <w:r>
        <w:t>过程中</w:t>
      </w:r>
      <w:r>
        <w:rPr>
          <w:rFonts w:hint="eastAsia"/>
        </w:rPr>
        <w:t>可能遇到的主要困难和问题以及</w:t>
      </w:r>
      <w:r>
        <w:t>解决</w:t>
      </w:r>
      <w:r>
        <w:rPr>
          <w:rFonts w:hint="eastAsia"/>
        </w:rPr>
        <w:t>建议。</w:t>
      </w:r>
    </w:p>
    <w:p>
      <w:pPr>
        <w:ind w:firstLine="480"/>
      </w:pPr>
      <w:r>
        <w:rPr>
          <w:rFonts w:hint="eastAsia"/>
        </w:rPr>
        <w:t>3</w:t>
      </w:r>
      <w:r>
        <w:t xml:space="preserve"> 应提出下一阶段的</w:t>
      </w:r>
      <w:r>
        <w:rPr>
          <w:rFonts w:hint="eastAsia"/>
        </w:rPr>
        <w:t>规划</w:t>
      </w:r>
      <w:r>
        <w:t>建议</w:t>
      </w:r>
      <w:r>
        <w:rPr>
          <w:rFonts w:hint="eastAsia"/>
        </w:rPr>
        <w:t>。</w:t>
      </w:r>
    </w:p>
    <w:p>
      <w:pPr>
        <w:widowControl/>
        <w:spacing w:line="240" w:lineRule="auto"/>
        <w:ind w:firstLine="0" w:firstLineChars="0"/>
        <w:jc w:val="left"/>
      </w:pPr>
      <w:r>
        <w:br w:type="page"/>
      </w:r>
    </w:p>
    <w:p>
      <w:pPr>
        <w:pStyle w:val="2"/>
        <w:spacing w:before="163" w:beforeLines="50" w:after="489" w:afterLines="150"/>
      </w:pPr>
      <w:bookmarkStart w:id="140" w:name="_Toc33185717"/>
      <w:r>
        <w:rPr>
          <w:rFonts w:hint="eastAsia"/>
        </w:rPr>
        <w:t>编制成果要求</w:t>
      </w:r>
      <w:bookmarkEnd w:id="140"/>
    </w:p>
    <w:p>
      <w:pPr>
        <w:pStyle w:val="5"/>
        <w:spacing w:before="163"/>
      </w:pPr>
      <w:r>
        <w:rPr>
          <w:rFonts w:hint="eastAsia"/>
        </w:rPr>
        <w:t>城市黑臭水体治理规划成果应包括规划文本、图纸和相关说明。成果的表达应当清晰、准确、规范，成果文件应当以书面和电子文件两种方式表达。</w:t>
      </w:r>
    </w:p>
    <w:p>
      <w:pPr>
        <w:pStyle w:val="5"/>
        <w:spacing w:before="163"/>
      </w:pPr>
      <w:r>
        <w:rPr>
          <w:rFonts w:hint="eastAsia"/>
        </w:rPr>
        <w:t>规划文本的章节安排可按附录A的提纲执行，不同类型和级别的城市黑臭水体治理规划可根据任务要求对章节内容适当取舍和调整。</w:t>
      </w:r>
    </w:p>
    <w:p>
      <w:pPr>
        <w:pStyle w:val="5"/>
        <w:spacing w:before="163"/>
      </w:pPr>
      <w:r>
        <w:rPr>
          <w:rFonts w:hint="eastAsia"/>
        </w:rPr>
        <w:t>应把附表、附图应作为规划成果的组成部分附入正文。</w:t>
      </w:r>
    </w:p>
    <w:p>
      <w:pPr>
        <w:ind w:firstLine="480"/>
      </w:pPr>
      <w:r>
        <w:rPr>
          <w:rFonts w:hint="eastAsia"/>
        </w:rPr>
        <w:t>1</w:t>
      </w:r>
      <w:r>
        <w:t xml:space="preserve"> </w:t>
      </w:r>
      <w:r>
        <w:rPr>
          <w:rFonts w:hint="eastAsia"/>
        </w:rPr>
        <w:t>附表应包括下列内容</w:t>
      </w:r>
    </w:p>
    <w:p>
      <w:pPr>
        <w:pStyle w:val="60"/>
        <w:numPr>
          <w:ilvl w:val="0"/>
          <w:numId w:val="33"/>
        </w:numPr>
        <w:jc w:val="both"/>
        <w:rPr>
          <w:rFonts w:cs="Times New Roman"/>
        </w:rPr>
      </w:pPr>
      <w:r>
        <w:rPr>
          <w:rFonts w:hint="eastAsia" w:cs="Times New Roman"/>
        </w:rPr>
        <w:t>水质状况汇总表</w:t>
      </w:r>
    </w:p>
    <w:p>
      <w:pPr>
        <w:pStyle w:val="60"/>
        <w:numPr>
          <w:ilvl w:val="0"/>
          <w:numId w:val="33"/>
        </w:numPr>
        <w:jc w:val="both"/>
        <w:rPr>
          <w:rFonts w:cs="Times New Roman"/>
        </w:rPr>
      </w:pPr>
      <w:r>
        <w:rPr>
          <w:rFonts w:cs="Times New Roman"/>
        </w:rPr>
        <w:t>污染源清单</w:t>
      </w:r>
    </w:p>
    <w:p>
      <w:pPr>
        <w:pStyle w:val="60"/>
        <w:numPr>
          <w:ilvl w:val="0"/>
          <w:numId w:val="33"/>
        </w:numPr>
        <w:jc w:val="both"/>
      </w:pPr>
      <w:r>
        <w:rPr>
          <w:rFonts w:hint="eastAsia"/>
        </w:rPr>
        <w:t>治理设施汇总表</w:t>
      </w:r>
    </w:p>
    <w:p>
      <w:pPr>
        <w:pStyle w:val="60"/>
        <w:numPr>
          <w:ilvl w:val="0"/>
          <w:numId w:val="33"/>
        </w:numPr>
        <w:jc w:val="both"/>
      </w:pPr>
      <w:r>
        <w:rPr>
          <w:rFonts w:hint="eastAsia"/>
        </w:rPr>
        <w:t>公众调查汇总表</w:t>
      </w:r>
    </w:p>
    <w:p>
      <w:pPr>
        <w:pStyle w:val="60"/>
        <w:numPr>
          <w:ilvl w:val="0"/>
          <w:numId w:val="33"/>
        </w:numPr>
        <w:jc w:val="both"/>
        <w:rPr>
          <w:rFonts w:cs="Times New Roman"/>
          <w:szCs w:val="28"/>
        </w:rPr>
      </w:pPr>
      <w:r>
        <w:rPr>
          <w:rFonts w:cs="Times New Roman"/>
        </w:rPr>
        <w:t>黑臭水体清单</w:t>
      </w:r>
    </w:p>
    <w:p>
      <w:pPr>
        <w:ind w:firstLine="480"/>
      </w:pPr>
      <w:r>
        <w:rPr>
          <w:rFonts w:hint="eastAsia"/>
        </w:rPr>
        <w:t>2</w:t>
      </w:r>
      <w:r>
        <w:t xml:space="preserve"> </w:t>
      </w:r>
      <w:r>
        <w:rPr>
          <w:rFonts w:hint="eastAsia"/>
        </w:rPr>
        <w:t>附图应包括下列内容，</w:t>
      </w:r>
      <w:r>
        <w:t>1)</w:t>
      </w:r>
      <w:r>
        <w:rPr>
          <w:rFonts w:cs="Times New Roman"/>
        </w:rPr>
        <w:t>~</w:t>
      </w:r>
      <w:r>
        <w:t>8</w:t>
      </w:r>
      <w:r>
        <w:rPr>
          <w:rFonts w:hint="eastAsia"/>
        </w:rPr>
        <w:t>)为应附附图，9)</w:t>
      </w:r>
      <w:r>
        <w:rPr>
          <w:rFonts w:cs="Times New Roman"/>
        </w:rPr>
        <w:t xml:space="preserve"> ~</w:t>
      </w:r>
      <w:r>
        <w:t>12</w:t>
      </w:r>
      <w:r>
        <w:rPr>
          <w:rFonts w:hint="eastAsia"/>
        </w:rPr>
        <w:t>)为宜附附图。</w:t>
      </w:r>
    </w:p>
    <w:bookmarkEnd w:id="137"/>
    <w:p>
      <w:pPr>
        <w:pStyle w:val="60"/>
        <w:numPr>
          <w:ilvl w:val="0"/>
          <w:numId w:val="34"/>
        </w:numPr>
        <w:jc w:val="both"/>
      </w:pPr>
      <w:r>
        <w:rPr>
          <w:rFonts w:hint="eastAsia"/>
        </w:rPr>
        <w:t>区位图。</w:t>
      </w:r>
    </w:p>
    <w:p>
      <w:pPr>
        <w:pStyle w:val="60"/>
        <w:numPr>
          <w:ilvl w:val="0"/>
          <w:numId w:val="34"/>
        </w:numPr>
        <w:jc w:val="both"/>
      </w:pPr>
      <w:r>
        <w:rPr>
          <w:rFonts w:hint="eastAsia"/>
        </w:rPr>
        <w:t>水系图。</w:t>
      </w:r>
    </w:p>
    <w:p>
      <w:pPr>
        <w:pStyle w:val="60"/>
        <w:numPr>
          <w:ilvl w:val="0"/>
          <w:numId w:val="34"/>
        </w:numPr>
        <w:jc w:val="both"/>
      </w:pPr>
      <w:r>
        <w:rPr>
          <w:rFonts w:hint="eastAsia"/>
        </w:rPr>
        <w:t>现状调查表、记录表、成果表。</w:t>
      </w:r>
    </w:p>
    <w:p>
      <w:pPr>
        <w:pStyle w:val="60"/>
        <w:numPr>
          <w:ilvl w:val="0"/>
          <w:numId w:val="34"/>
        </w:numPr>
        <w:jc w:val="both"/>
      </w:pPr>
      <w:r>
        <w:rPr>
          <w:rFonts w:hint="eastAsia"/>
        </w:rPr>
        <w:t>近期总体规划图。</w:t>
      </w:r>
    </w:p>
    <w:p>
      <w:pPr>
        <w:pStyle w:val="60"/>
        <w:numPr>
          <w:ilvl w:val="0"/>
          <w:numId w:val="34"/>
        </w:numPr>
        <w:jc w:val="both"/>
      </w:pPr>
      <w:r>
        <w:rPr>
          <w:rFonts w:hint="eastAsia"/>
        </w:rPr>
        <w:t>远期总体规划图（总体布局图）。</w:t>
      </w:r>
    </w:p>
    <w:p>
      <w:pPr>
        <w:pStyle w:val="60"/>
        <w:numPr>
          <w:ilvl w:val="0"/>
          <w:numId w:val="34"/>
        </w:numPr>
        <w:jc w:val="both"/>
      </w:pPr>
      <w:r>
        <w:rPr>
          <w:rFonts w:hint="eastAsia"/>
        </w:rPr>
        <w:t>各措施规划图，包括控源截污、内源治理、生态修复、活水保质措施规划图。</w:t>
      </w:r>
    </w:p>
    <w:p>
      <w:pPr>
        <w:pStyle w:val="60"/>
        <w:numPr>
          <w:ilvl w:val="0"/>
          <w:numId w:val="34"/>
        </w:numPr>
        <w:jc w:val="both"/>
      </w:pPr>
      <w:r>
        <w:rPr>
          <w:rFonts w:hint="eastAsia"/>
        </w:rPr>
        <w:t>规划实施时序图（作战图）。</w:t>
      </w:r>
    </w:p>
    <w:p>
      <w:pPr>
        <w:pStyle w:val="60"/>
        <w:numPr>
          <w:ilvl w:val="0"/>
          <w:numId w:val="34"/>
        </w:numPr>
        <w:jc w:val="both"/>
      </w:pPr>
      <w:r>
        <w:rPr>
          <w:rFonts w:hint="eastAsia"/>
        </w:rPr>
        <w:t>投资估算文件。</w:t>
      </w:r>
    </w:p>
    <w:p>
      <w:pPr>
        <w:pStyle w:val="60"/>
        <w:numPr>
          <w:ilvl w:val="0"/>
          <w:numId w:val="34"/>
        </w:numPr>
        <w:jc w:val="both"/>
      </w:pPr>
      <w:r>
        <w:rPr>
          <w:rFonts w:hint="eastAsia"/>
        </w:rPr>
        <w:t>污染源分布图，包括污水直排口分布、面源污染分布。</w:t>
      </w:r>
    </w:p>
    <w:p>
      <w:pPr>
        <w:pStyle w:val="60"/>
        <w:numPr>
          <w:ilvl w:val="0"/>
          <w:numId w:val="34"/>
        </w:numPr>
        <w:jc w:val="both"/>
      </w:pPr>
      <w:r>
        <w:rPr>
          <w:rFonts w:hint="eastAsia"/>
        </w:rPr>
        <w:t>污染区域分布图，包括生活污水、工业废水、农业污水、畜牧业污水等污染区域分布。</w:t>
      </w:r>
    </w:p>
    <w:p>
      <w:pPr>
        <w:pStyle w:val="60"/>
        <w:numPr>
          <w:ilvl w:val="0"/>
          <w:numId w:val="34"/>
        </w:numPr>
        <w:jc w:val="both"/>
      </w:pPr>
      <w:r>
        <w:rPr>
          <w:rFonts w:hint="eastAsia"/>
        </w:rPr>
        <w:t>污染程度示意图。</w:t>
      </w:r>
    </w:p>
    <w:p>
      <w:pPr>
        <w:pStyle w:val="60"/>
        <w:numPr>
          <w:ilvl w:val="0"/>
          <w:numId w:val="34"/>
        </w:numPr>
        <w:jc w:val="both"/>
      </w:pPr>
      <w:r>
        <w:rPr>
          <w:rFonts w:hint="eastAsia"/>
        </w:rPr>
        <w:t>现状污水处理系统图，包括在建或已建管网、处理设施图。</w:t>
      </w:r>
    </w:p>
    <w:p>
      <w:pPr>
        <w:pStyle w:val="5"/>
        <w:spacing w:before="163"/>
      </w:pPr>
      <w:r>
        <w:rPr>
          <w:rFonts w:hint="eastAsia"/>
        </w:rPr>
        <w:t>应整理专题调查报告、专题研究报告等，作为规划成果的组成部分，并可根据规划范围、任务与要求适当取舍和调整后附入正文</w:t>
      </w:r>
    </w:p>
    <w:p>
      <w:pPr>
        <w:widowControl/>
        <w:spacing w:line="240" w:lineRule="auto"/>
        <w:ind w:firstLine="0" w:firstLineChars="0"/>
        <w:jc w:val="left"/>
        <w:rPr>
          <w:rFonts w:eastAsia="黑体" w:cs="Times New Roman"/>
          <w:b/>
          <w:kern w:val="0"/>
          <w:sz w:val="32"/>
          <w:szCs w:val="32"/>
        </w:rPr>
      </w:pPr>
      <w:bookmarkStart w:id="141" w:name="_Toc493682215"/>
      <w:r>
        <w:rPr>
          <w:rFonts w:cs="Times New Roman"/>
          <w:sz w:val="32"/>
          <w:szCs w:val="32"/>
        </w:rPr>
        <w:br w:type="page"/>
      </w:r>
    </w:p>
    <w:p>
      <w:pPr>
        <w:pStyle w:val="2"/>
        <w:numPr>
          <w:ilvl w:val="0"/>
          <w:numId w:val="0"/>
        </w:numPr>
        <w:spacing w:before="163" w:beforeLines="50" w:after="489" w:afterLines="150"/>
        <w:jc w:val="both"/>
      </w:pPr>
      <w:bookmarkStart w:id="142" w:name="_Toc33185718"/>
      <w:bookmarkStart w:id="143" w:name="_Toc24029651"/>
      <w:r>
        <w:t>附录</w:t>
      </w:r>
      <w:r>
        <w:rPr>
          <w:rFonts w:hint="eastAsia"/>
        </w:rPr>
        <w:t>A</w:t>
      </w:r>
      <w:r>
        <w:t xml:space="preserve"> </w:t>
      </w:r>
      <w:r>
        <w:rPr>
          <w:rFonts w:hint="eastAsia"/>
        </w:rPr>
        <w:t>城市黑臭水体治理规划编写提纲及要求</w:t>
      </w:r>
      <w:bookmarkEnd w:id="142"/>
    </w:p>
    <w:p>
      <w:pPr>
        <w:ind w:firstLine="480"/>
      </w:pPr>
      <w:r>
        <w:rPr>
          <w:rFonts w:hint="eastAsia"/>
        </w:rPr>
        <w:t>前言</w:t>
      </w:r>
    </w:p>
    <w:p>
      <w:pPr>
        <w:pStyle w:val="60"/>
        <w:numPr>
          <w:ilvl w:val="0"/>
          <w:numId w:val="35"/>
        </w:numPr>
        <w:jc w:val="both"/>
      </w:pPr>
      <w:r>
        <w:rPr>
          <w:rFonts w:hint="eastAsia"/>
        </w:rPr>
        <w:t>概述</w:t>
      </w:r>
    </w:p>
    <w:p>
      <w:pPr>
        <w:ind w:firstLine="480"/>
      </w:pPr>
      <w:r>
        <w:rPr>
          <w:rFonts w:hint="eastAsia"/>
        </w:rPr>
        <w:t>概述规划的主要内容和结论。应对城市概况、规划范围、规划期限/水平年、规划治理目标，现状调查与评价、规划实施方案、投资估算等内容作概括性描述。</w:t>
      </w:r>
    </w:p>
    <w:p>
      <w:pPr>
        <w:ind w:firstLine="480"/>
      </w:pPr>
      <w:r>
        <w:rPr>
          <w:rFonts w:hint="eastAsia"/>
        </w:rPr>
        <w:t>城市概况应简述规划区域所在省份、地市、人口经济等概况。</w:t>
      </w:r>
    </w:p>
    <w:p>
      <w:pPr>
        <w:ind w:firstLine="480"/>
      </w:pPr>
      <w:r>
        <w:rPr>
          <w:rFonts w:hint="eastAsia"/>
        </w:rPr>
        <w:t>规划范围应简述规划区域面积，规划区域主要干流与支流名称与长度等。</w:t>
      </w:r>
    </w:p>
    <w:p>
      <w:pPr>
        <w:ind w:firstLine="480"/>
      </w:pPr>
      <w:r>
        <w:rPr>
          <w:rFonts w:hint="eastAsia"/>
        </w:rPr>
        <w:t>规划治理目标应简述规划区域主要干流与支流达到的水质标准、控制指标等。</w:t>
      </w:r>
    </w:p>
    <w:p>
      <w:pPr>
        <w:ind w:firstLine="480"/>
      </w:pPr>
      <w:r>
        <w:rPr>
          <w:rFonts w:hint="eastAsia"/>
        </w:rPr>
        <w:t>现状调查与评价应简述规划区域主要干流与支流水体现状水质、计算污染负荷和环境容量，分析黑臭成因。</w:t>
      </w:r>
    </w:p>
    <w:p>
      <w:pPr>
        <w:ind w:firstLine="480"/>
      </w:pPr>
      <w:r>
        <w:rPr>
          <w:rFonts w:hint="eastAsia"/>
        </w:rPr>
        <w:t>规划实施方案应简述规划总体布局、主要工程措施与工程规模等。</w:t>
      </w:r>
    </w:p>
    <w:p>
      <w:pPr>
        <w:ind w:firstLine="480"/>
      </w:pPr>
      <w:r>
        <w:rPr>
          <w:rFonts w:hint="eastAsia"/>
        </w:rPr>
        <w:t>投资估算应简述规划工程措施估算金额等。</w:t>
      </w:r>
    </w:p>
    <w:p>
      <w:pPr>
        <w:pStyle w:val="60"/>
        <w:numPr>
          <w:ilvl w:val="0"/>
          <w:numId w:val="35"/>
        </w:numPr>
        <w:ind w:left="0" w:firstLine="0"/>
        <w:jc w:val="both"/>
      </w:pPr>
      <w:r>
        <w:rPr>
          <w:rFonts w:hint="eastAsia"/>
        </w:rPr>
        <w:t>规划背景与必要性</w:t>
      </w:r>
    </w:p>
    <w:p>
      <w:pPr>
        <w:pStyle w:val="60"/>
        <w:numPr>
          <w:ilvl w:val="1"/>
          <w:numId w:val="35"/>
        </w:numPr>
        <w:ind w:left="0" w:firstLine="480" w:firstLineChars="200"/>
        <w:jc w:val="both"/>
      </w:pPr>
      <w:r>
        <w:rPr>
          <w:rFonts w:hint="eastAsia"/>
        </w:rPr>
        <w:t>规划背景</w:t>
      </w:r>
    </w:p>
    <w:p>
      <w:pPr>
        <w:pStyle w:val="60"/>
        <w:ind w:firstLine="480" w:firstLineChars="200"/>
        <w:jc w:val="both"/>
      </w:pPr>
      <w:r>
        <w:rPr>
          <w:rFonts w:hint="eastAsia"/>
        </w:rPr>
        <w:t>说明规划编制背景、任务来源、区域范围、规划水平年、依据以及规划编制情况。</w:t>
      </w:r>
    </w:p>
    <w:p>
      <w:pPr>
        <w:pStyle w:val="60"/>
        <w:numPr>
          <w:ilvl w:val="1"/>
          <w:numId w:val="35"/>
        </w:numPr>
        <w:ind w:left="0" w:firstLine="480" w:firstLineChars="200"/>
        <w:jc w:val="both"/>
      </w:pPr>
      <w:r>
        <w:rPr>
          <w:rFonts w:hint="eastAsia"/>
        </w:rPr>
        <w:t>规划必要性</w:t>
      </w:r>
    </w:p>
    <w:p>
      <w:pPr>
        <w:ind w:firstLine="480"/>
      </w:pPr>
      <w:r>
        <w:rPr>
          <w:rFonts w:hint="eastAsia"/>
        </w:rPr>
        <w:t>说明规划编制工作的必要性和意义。</w:t>
      </w:r>
    </w:p>
    <w:p>
      <w:pPr>
        <w:pStyle w:val="60"/>
        <w:numPr>
          <w:ilvl w:val="0"/>
          <w:numId w:val="35"/>
        </w:numPr>
        <w:ind w:left="0" w:firstLine="0"/>
        <w:jc w:val="both"/>
      </w:pPr>
      <w:r>
        <w:rPr>
          <w:rFonts w:hint="eastAsia"/>
        </w:rPr>
        <w:t>规划编制技术路线</w:t>
      </w:r>
    </w:p>
    <w:p>
      <w:pPr>
        <w:ind w:firstLine="480"/>
      </w:pPr>
      <w:r>
        <w:rPr>
          <w:rFonts w:hint="eastAsia"/>
        </w:rPr>
        <w:t>简述规划编制技术路线。</w:t>
      </w:r>
    </w:p>
    <w:p>
      <w:pPr>
        <w:pStyle w:val="60"/>
        <w:numPr>
          <w:ilvl w:val="0"/>
          <w:numId w:val="35"/>
        </w:numPr>
        <w:ind w:left="0" w:firstLine="0"/>
        <w:jc w:val="both"/>
      </w:pPr>
      <w:r>
        <w:rPr>
          <w:rFonts w:hint="eastAsia"/>
        </w:rPr>
        <w:t>区域概况</w:t>
      </w:r>
    </w:p>
    <w:p>
      <w:pPr>
        <w:ind w:firstLine="480"/>
      </w:pPr>
      <w:r>
        <w:rPr>
          <w:rFonts w:hint="eastAsia"/>
        </w:rPr>
        <w:t>说明规划区域的自然条件、社会经济与相关规划与计划等情况。</w:t>
      </w:r>
    </w:p>
    <w:p>
      <w:pPr>
        <w:pStyle w:val="60"/>
        <w:numPr>
          <w:ilvl w:val="1"/>
          <w:numId w:val="35"/>
        </w:numPr>
        <w:ind w:left="0" w:firstLine="480" w:firstLineChars="200"/>
        <w:jc w:val="both"/>
      </w:pPr>
      <w:r>
        <w:rPr>
          <w:rFonts w:hint="eastAsia"/>
        </w:rPr>
        <w:t>城市概况</w:t>
      </w:r>
    </w:p>
    <w:p>
      <w:pPr>
        <w:ind w:firstLine="480"/>
      </w:pPr>
      <w:r>
        <w:rPr>
          <w:rFonts w:hint="eastAsia"/>
        </w:rPr>
        <w:t>说明规划水体所在城市的地理位置、历史沿革和城市定位、行政区划分、交通条件等。</w:t>
      </w:r>
    </w:p>
    <w:p>
      <w:pPr>
        <w:pStyle w:val="60"/>
        <w:numPr>
          <w:ilvl w:val="1"/>
          <w:numId w:val="35"/>
        </w:numPr>
        <w:ind w:left="0" w:firstLine="480" w:firstLineChars="200"/>
        <w:jc w:val="both"/>
      </w:pPr>
      <w:r>
        <w:rPr>
          <w:rFonts w:hint="eastAsia"/>
        </w:rPr>
        <w:t>自然地理概况</w:t>
      </w:r>
    </w:p>
    <w:p>
      <w:pPr>
        <w:ind w:firstLine="480"/>
      </w:pPr>
      <w:r>
        <w:rPr>
          <w:rFonts w:hint="eastAsia"/>
        </w:rPr>
        <w:t>对规划水体所在区域地形、地貌及地质特征、地震防护等级、区域土壤类型与特性、土壤分布与区划、植被类型与区划、区域生态现状、土地利用现状和水土流失现状等作以说明。</w:t>
      </w:r>
    </w:p>
    <w:p>
      <w:pPr>
        <w:pStyle w:val="60"/>
        <w:numPr>
          <w:ilvl w:val="1"/>
          <w:numId w:val="35"/>
        </w:numPr>
        <w:ind w:left="0" w:firstLine="480" w:firstLineChars="200"/>
        <w:jc w:val="both"/>
      </w:pPr>
      <w:r>
        <w:rPr>
          <w:rFonts w:hint="eastAsia"/>
        </w:rPr>
        <w:t>水文气象概况</w:t>
      </w:r>
    </w:p>
    <w:p>
      <w:pPr>
        <w:ind w:firstLine="480"/>
      </w:pPr>
      <w:r>
        <w:rPr>
          <w:rFonts w:hint="eastAsia"/>
        </w:rPr>
        <w:t>对规划水体所在区域河湖水系基本情况、主要干流支流名、长度与流域面积等水系特征，区域河湖水系径流、洪水（潮水）、泥沙等水文要素特征，水利工程建设情况和降雨、蒸发、气温、日照时数等气象要素特征作以说明。</w:t>
      </w:r>
    </w:p>
    <w:p>
      <w:pPr>
        <w:pStyle w:val="60"/>
        <w:numPr>
          <w:ilvl w:val="1"/>
          <w:numId w:val="35"/>
        </w:numPr>
        <w:ind w:left="0" w:firstLine="480" w:firstLineChars="200"/>
        <w:jc w:val="both"/>
      </w:pPr>
      <w:r>
        <w:rPr>
          <w:rFonts w:hint="eastAsia"/>
        </w:rPr>
        <w:t>社会经济概况</w:t>
      </w:r>
    </w:p>
    <w:p>
      <w:pPr>
        <w:ind w:firstLine="480"/>
      </w:pPr>
      <w:r>
        <w:rPr>
          <w:rFonts w:hint="eastAsia"/>
        </w:rPr>
        <w:t>说明规划水体所在区域社会发展现状、经济发展现状、社会经济发展规划、文化特色等基本情况。</w:t>
      </w:r>
    </w:p>
    <w:p>
      <w:pPr>
        <w:pStyle w:val="60"/>
        <w:numPr>
          <w:ilvl w:val="1"/>
          <w:numId w:val="35"/>
        </w:numPr>
        <w:ind w:left="0" w:firstLine="480" w:firstLineChars="200"/>
        <w:jc w:val="both"/>
      </w:pPr>
      <w:r>
        <w:rPr>
          <w:rFonts w:hint="eastAsia"/>
        </w:rPr>
        <w:t>相关规划与计划</w:t>
      </w:r>
    </w:p>
    <w:p>
      <w:pPr>
        <w:pStyle w:val="60"/>
        <w:numPr>
          <w:ilvl w:val="0"/>
          <w:numId w:val="35"/>
        </w:numPr>
        <w:ind w:left="0" w:firstLine="0"/>
        <w:jc w:val="both"/>
      </w:pPr>
      <w:r>
        <w:rPr>
          <w:rFonts w:hint="eastAsia"/>
        </w:rPr>
        <w:t>现状调查与评价</w:t>
      </w:r>
    </w:p>
    <w:p>
      <w:pPr>
        <w:ind w:firstLine="480"/>
      </w:pPr>
      <w:r>
        <w:rPr>
          <w:rFonts w:hint="eastAsia"/>
        </w:rPr>
        <w:t>说明对规划区域开展水环境现状调查与污染评价和成因分析的情况。</w:t>
      </w:r>
    </w:p>
    <w:p>
      <w:pPr>
        <w:pStyle w:val="60"/>
        <w:numPr>
          <w:ilvl w:val="1"/>
          <w:numId w:val="35"/>
        </w:numPr>
        <w:ind w:left="0" w:firstLine="480" w:firstLineChars="200"/>
        <w:jc w:val="both"/>
      </w:pPr>
      <w:r>
        <w:rPr>
          <w:rFonts w:hint="eastAsia"/>
        </w:rPr>
        <w:t>流域概况调查</w:t>
      </w:r>
    </w:p>
    <w:p>
      <w:pPr>
        <w:ind w:firstLine="480"/>
      </w:pPr>
      <w:r>
        <w:rPr>
          <w:rFonts w:hint="eastAsia"/>
        </w:rPr>
        <w:t>对规划水体所在流域的水系概况、水资源概况、防洪排涝概况、水文概况等调查情况进行说明。</w:t>
      </w:r>
    </w:p>
    <w:p>
      <w:pPr>
        <w:pStyle w:val="60"/>
        <w:numPr>
          <w:ilvl w:val="1"/>
          <w:numId w:val="35"/>
        </w:numPr>
        <w:ind w:left="0" w:firstLine="480" w:firstLineChars="200"/>
        <w:jc w:val="both"/>
      </w:pPr>
      <w:r>
        <w:rPr>
          <w:rFonts w:hint="eastAsia"/>
        </w:rPr>
        <w:t>水质状况调查</w:t>
      </w:r>
    </w:p>
    <w:p>
      <w:pPr>
        <w:ind w:firstLine="480"/>
      </w:pPr>
      <w:r>
        <w:rPr>
          <w:rFonts w:hint="eastAsia"/>
        </w:rPr>
        <w:t>对规划范围内水环境质量的历史和现状的调查情况进行说明，包括调查方法、调查指标、调查成果、成果说明等。</w:t>
      </w:r>
    </w:p>
    <w:p>
      <w:pPr>
        <w:pStyle w:val="60"/>
        <w:numPr>
          <w:ilvl w:val="1"/>
          <w:numId w:val="35"/>
        </w:numPr>
        <w:ind w:left="0" w:firstLine="480" w:firstLineChars="200"/>
        <w:jc w:val="both"/>
      </w:pPr>
      <w:r>
        <w:rPr>
          <w:rFonts w:hint="eastAsia"/>
        </w:rPr>
        <w:t>污染源调查</w:t>
      </w:r>
    </w:p>
    <w:p>
      <w:pPr>
        <w:ind w:firstLine="480"/>
      </w:pPr>
      <w:r>
        <w:rPr>
          <w:rFonts w:hint="eastAsia"/>
        </w:rPr>
        <w:t>说明对规划范围内的点源、面源和内源等污染源的调查情况和成果。</w:t>
      </w:r>
    </w:p>
    <w:p>
      <w:pPr>
        <w:pStyle w:val="60"/>
        <w:numPr>
          <w:ilvl w:val="1"/>
          <w:numId w:val="35"/>
        </w:numPr>
        <w:ind w:left="0" w:firstLine="480" w:firstLineChars="200"/>
        <w:jc w:val="both"/>
      </w:pPr>
      <w:r>
        <w:rPr>
          <w:rFonts w:hint="eastAsia"/>
        </w:rPr>
        <w:t>水生态调查</w:t>
      </w:r>
    </w:p>
    <w:p>
      <w:pPr>
        <w:ind w:firstLine="480"/>
      </w:pPr>
      <w:r>
        <w:rPr>
          <w:rFonts w:hint="eastAsia"/>
        </w:rPr>
        <w:t>说明对规划范围内</w:t>
      </w:r>
      <w:r>
        <w:t>水生生物和河滨带植被的群落结构与分布</w:t>
      </w:r>
      <w:r>
        <w:rPr>
          <w:rFonts w:hint="eastAsia"/>
        </w:rPr>
        <w:t>的调查情况和成果。</w:t>
      </w:r>
    </w:p>
    <w:p>
      <w:pPr>
        <w:pStyle w:val="60"/>
        <w:numPr>
          <w:ilvl w:val="1"/>
          <w:numId w:val="35"/>
        </w:numPr>
        <w:ind w:left="0" w:firstLine="480" w:firstLineChars="200"/>
        <w:jc w:val="both"/>
      </w:pPr>
      <w:r>
        <w:rPr>
          <w:rFonts w:hint="eastAsia"/>
        </w:rPr>
        <w:t>排水管网调查</w:t>
      </w:r>
    </w:p>
    <w:p>
      <w:pPr>
        <w:ind w:firstLine="480"/>
      </w:pPr>
      <w:r>
        <w:rPr>
          <w:rFonts w:hint="eastAsia"/>
        </w:rPr>
        <w:t>说明对规划范围内的</w:t>
      </w:r>
      <w:r>
        <w:t>排水体制、管网现状、管网规划、现状排水管道缺陷、排水口及拍门、雨污混接、污水收集率、污水处理率等</w:t>
      </w:r>
      <w:r>
        <w:rPr>
          <w:rFonts w:hint="eastAsia"/>
        </w:rPr>
        <w:t>调查情况</w:t>
      </w:r>
      <w:r>
        <w:t>。</w:t>
      </w:r>
    </w:p>
    <w:p>
      <w:pPr>
        <w:pStyle w:val="60"/>
        <w:numPr>
          <w:ilvl w:val="1"/>
          <w:numId w:val="35"/>
        </w:numPr>
        <w:ind w:left="0" w:firstLine="480" w:firstLineChars="200"/>
        <w:jc w:val="both"/>
      </w:pPr>
      <w:r>
        <w:rPr>
          <w:rFonts w:hint="eastAsia"/>
        </w:rPr>
        <w:t>治理设施调查</w:t>
      </w:r>
    </w:p>
    <w:p>
      <w:pPr>
        <w:ind w:firstLine="480"/>
      </w:pPr>
      <w:r>
        <w:rPr>
          <w:rFonts w:hint="eastAsia"/>
        </w:rPr>
        <w:t>说明调查规划水体已有或拟建的控源截污、内源治理、活水补水、生态修复、景观提升以及其</w:t>
      </w:r>
      <w:r>
        <w:t>他治理</w:t>
      </w:r>
      <w:r>
        <w:rPr>
          <w:rFonts w:hint="eastAsia"/>
        </w:rPr>
        <w:t>措施</w:t>
      </w:r>
      <w:r>
        <w:t>等</w:t>
      </w:r>
      <w:r>
        <w:rPr>
          <w:rFonts w:hint="eastAsia"/>
        </w:rPr>
        <w:t>的调查情况。</w:t>
      </w:r>
    </w:p>
    <w:p>
      <w:pPr>
        <w:pStyle w:val="60"/>
        <w:numPr>
          <w:ilvl w:val="1"/>
          <w:numId w:val="35"/>
        </w:numPr>
        <w:ind w:left="0" w:firstLine="480" w:firstLineChars="200"/>
        <w:jc w:val="both"/>
      </w:pPr>
      <w:r>
        <w:rPr>
          <w:rFonts w:hint="eastAsia"/>
        </w:rPr>
        <w:t>岸线管理与利用调查</w:t>
      </w:r>
    </w:p>
    <w:p>
      <w:pPr>
        <w:ind w:firstLine="480"/>
      </w:pPr>
      <w:r>
        <w:rPr>
          <w:rFonts w:hint="eastAsia"/>
        </w:rPr>
        <w:t>说明调查规划范围内码头、供排水设施、沿河建筑物、堤防、沿河道路及其他设施等的管理与利用的情况。</w:t>
      </w:r>
    </w:p>
    <w:p>
      <w:pPr>
        <w:pStyle w:val="60"/>
        <w:numPr>
          <w:ilvl w:val="1"/>
          <w:numId w:val="35"/>
        </w:numPr>
        <w:ind w:left="0" w:firstLine="480" w:firstLineChars="200"/>
        <w:jc w:val="both"/>
      </w:pPr>
      <w:r>
        <w:rPr>
          <w:rFonts w:hint="eastAsia"/>
        </w:rPr>
        <w:t>信息管控调查</w:t>
      </w:r>
    </w:p>
    <w:p>
      <w:pPr>
        <w:ind w:firstLine="480"/>
      </w:pPr>
      <w:r>
        <w:rPr>
          <w:rFonts w:hint="eastAsia"/>
        </w:rPr>
        <w:t>说明对规划范围内水体综合管理及信息化建设的调查情况。</w:t>
      </w:r>
    </w:p>
    <w:p>
      <w:pPr>
        <w:pStyle w:val="60"/>
        <w:numPr>
          <w:ilvl w:val="1"/>
          <w:numId w:val="35"/>
        </w:numPr>
        <w:ind w:left="0" w:firstLine="480" w:firstLineChars="200"/>
        <w:jc w:val="both"/>
      </w:pPr>
      <w:r>
        <w:rPr>
          <w:rFonts w:hint="eastAsia"/>
        </w:rPr>
        <w:t>公众调查</w:t>
      </w:r>
    </w:p>
    <w:p>
      <w:pPr>
        <w:ind w:firstLine="480"/>
      </w:pPr>
      <w:r>
        <w:rPr>
          <w:rFonts w:hint="eastAsia"/>
        </w:rPr>
        <w:t>说明对公众对水体的感管评价的调查情况与成果。</w:t>
      </w:r>
    </w:p>
    <w:p>
      <w:pPr>
        <w:pStyle w:val="60"/>
        <w:numPr>
          <w:ilvl w:val="1"/>
          <w:numId w:val="36"/>
        </w:numPr>
        <w:ind w:left="0" w:firstLine="480" w:firstLineChars="200"/>
        <w:jc w:val="both"/>
      </w:pPr>
      <w:r>
        <w:rPr>
          <w:rFonts w:hint="eastAsia"/>
        </w:rPr>
        <w:t>水体污染评价与成因分析</w:t>
      </w:r>
    </w:p>
    <w:p>
      <w:pPr>
        <w:ind w:firstLine="480"/>
      </w:pPr>
      <w:r>
        <w:rPr>
          <w:rFonts w:hint="eastAsia"/>
        </w:rPr>
        <w:t>说明水体污染评价、污染负荷分析、环境容量分析、主要污染因子识别及成因分析等的方法、过程和结论。</w:t>
      </w:r>
    </w:p>
    <w:p>
      <w:pPr>
        <w:pStyle w:val="60"/>
        <w:numPr>
          <w:ilvl w:val="0"/>
          <w:numId w:val="35"/>
        </w:numPr>
        <w:ind w:left="0" w:firstLine="0"/>
        <w:jc w:val="both"/>
      </w:pPr>
      <w:r>
        <w:rPr>
          <w:rFonts w:hint="eastAsia"/>
        </w:rPr>
        <w:t>总体规划</w:t>
      </w:r>
    </w:p>
    <w:p>
      <w:pPr>
        <w:ind w:firstLine="480"/>
      </w:pPr>
      <w:r>
        <w:rPr>
          <w:rFonts w:hint="eastAsia"/>
        </w:rPr>
        <w:t>说明城市黑臭水体的治理指导思想与原则和任务，明确治理目标和总体规划与布局。</w:t>
      </w:r>
    </w:p>
    <w:p>
      <w:pPr>
        <w:pStyle w:val="60"/>
        <w:numPr>
          <w:ilvl w:val="1"/>
          <w:numId w:val="35"/>
        </w:numPr>
        <w:ind w:left="0" w:firstLine="480" w:firstLineChars="200"/>
        <w:jc w:val="both"/>
      </w:pPr>
      <w:r>
        <w:rPr>
          <w:rFonts w:hint="eastAsia"/>
        </w:rPr>
        <w:t>规划指导思想与原则</w:t>
      </w:r>
    </w:p>
    <w:p>
      <w:pPr>
        <w:ind w:firstLine="480"/>
      </w:pPr>
      <w:r>
        <w:rPr>
          <w:rFonts w:hint="eastAsia"/>
        </w:rPr>
        <w:t>说明规划编制的指导思想与原则。</w:t>
      </w:r>
    </w:p>
    <w:p>
      <w:pPr>
        <w:pStyle w:val="60"/>
        <w:numPr>
          <w:ilvl w:val="1"/>
          <w:numId w:val="35"/>
        </w:numPr>
        <w:ind w:left="0" w:firstLine="480" w:firstLineChars="200"/>
        <w:jc w:val="both"/>
      </w:pPr>
      <w:r>
        <w:rPr>
          <w:rFonts w:hint="eastAsia"/>
        </w:rPr>
        <w:t>规划范围与期限</w:t>
      </w:r>
    </w:p>
    <w:p>
      <w:pPr>
        <w:pStyle w:val="60"/>
        <w:ind w:left="480"/>
        <w:jc w:val="both"/>
      </w:pPr>
      <w:r>
        <w:rPr>
          <w:rFonts w:hint="eastAsia"/>
        </w:rPr>
        <w:t>说明规划的范围与期限。</w:t>
      </w:r>
    </w:p>
    <w:p>
      <w:pPr>
        <w:pStyle w:val="60"/>
        <w:numPr>
          <w:ilvl w:val="1"/>
          <w:numId w:val="35"/>
        </w:numPr>
        <w:ind w:left="0" w:firstLine="480" w:firstLineChars="200"/>
        <w:jc w:val="both"/>
      </w:pPr>
      <w:r>
        <w:rPr>
          <w:rFonts w:hint="eastAsia"/>
        </w:rPr>
        <w:t>规划目标与任务</w:t>
      </w:r>
    </w:p>
    <w:p>
      <w:pPr>
        <w:pStyle w:val="60"/>
        <w:ind w:left="480"/>
        <w:jc w:val="both"/>
      </w:pPr>
      <w:r>
        <w:rPr>
          <w:rFonts w:hint="eastAsia"/>
        </w:rPr>
        <w:t>说明规划的目标与任务、控制指标。</w:t>
      </w:r>
    </w:p>
    <w:p>
      <w:pPr>
        <w:pStyle w:val="60"/>
        <w:numPr>
          <w:ilvl w:val="1"/>
          <w:numId w:val="35"/>
        </w:numPr>
        <w:ind w:left="0" w:firstLine="480" w:firstLineChars="200"/>
        <w:jc w:val="both"/>
      </w:pPr>
      <w:r>
        <w:rPr>
          <w:rFonts w:hint="eastAsia"/>
        </w:rPr>
        <w:t>总体规划与布局</w:t>
      </w:r>
    </w:p>
    <w:p>
      <w:pPr>
        <w:ind w:firstLine="480"/>
      </w:pPr>
      <w:r>
        <w:rPr>
          <w:rFonts w:hint="eastAsia"/>
        </w:rPr>
        <w:t>说明规划的总体规划与布局，包括主要治理措施、主要治理措施布局等。</w:t>
      </w:r>
    </w:p>
    <w:p>
      <w:pPr>
        <w:pStyle w:val="60"/>
        <w:numPr>
          <w:ilvl w:val="0"/>
          <w:numId w:val="35"/>
        </w:numPr>
        <w:ind w:left="0" w:firstLine="0"/>
        <w:jc w:val="both"/>
      </w:pPr>
      <w:r>
        <w:rPr>
          <w:rFonts w:hint="eastAsia"/>
        </w:rPr>
        <w:t>治理方案</w:t>
      </w:r>
    </w:p>
    <w:p>
      <w:pPr>
        <w:ind w:firstLine="480"/>
      </w:pPr>
      <w:r>
        <w:rPr>
          <w:rFonts w:hint="eastAsia"/>
        </w:rPr>
        <w:t>说明治理规划工程设计的总体方案和方案的实施计划，并根据控制截污、内源治理、生态修复、活水提质和其他等专项措施开说明，并根据实际需要对专项内容做取舍和调整。</w:t>
      </w:r>
    </w:p>
    <w:p>
      <w:pPr>
        <w:pStyle w:val="60"/>
        <w:numPr>
          <w:ilvl w:val="1"/>
          <w:numId w:val="35"/>
        </w:numPr>
        <w:ind w:left="0" w:firstLine="480" w:firstLineChars="200"/>
        <w:jc w:val="both"/>
      </w:pPr>
      <w:r>
        <w:rPr>
          <w:rFonts w:hint="eastAsia"/>
        </w:rPr>
        <w:t>控源截污方案</w:t>
      </w:r>
    </w:p>
    <w:p>
      <w:pPr>
        <w:ind w:firstLine="480"/>
      </w:pPr>
      <w:r>
        <w:rPr>
          <w:rFonts w:hint="eastAsia"/>
        </w:rPr>
        <w:t>对规划的包括污、废水收集系统建设、面源污染源头管控、正本清源等的源头污染控制措施和包括沿岸污水直排口、分流制雨水口（初期雨水）、混流排放口、合流制排放口等的截污与污水处理措施进行说明。</w:t>
      </w:r>
    </w:p>
    <w:p>
      <w:pPr>
        <w:pStyle w:val="60"/>
        <w:numPr>
          <w:ilvl w:val="1"/>
          <w:numId w:val="35"/>
        </w:numPr>
        <w:ind w:left="0" w:firstLine="480" w:firstLineChars="200"/>
        <w:jc w:val="both"/>
      </w:pPr>
      <w:r>
        <w:rPr>
          <w:rFonts w:hint="eastAsia"/>
        </w:rPr>
        <w:t>内源治理方案</w:t>
      </w:r>
    </w:p>
    <w:p>
      <w:pPr>
        <w:ind w:firstLine="480"/>
      </w:pPr>
      <w:r>
        <w:rPr>
          <w:rFonts w:hint="eastAsia"/>
        </w:rPr>
        <w:t>对规划的水体底泥污染治理、河道垃圾清理、生物残体及漂浮物清理等治理措施进行说明。</w:t>
      </w:r>
    </w:p>
    <w:p>
      <w:pPr>
        <w:pStyle w:val="60"/>
        <w:numPr>
          <w:ilvl w:val="1"/>
          <w:numId w:val="35"/>
        </w:numPr>
        <w:ind w:left="0" w:firstLine="480" w:firstLineChars="200"/>
        <w:jc w:val="both"/>
      </w:pPr>
      <w:r>
        <w:rPr>
          <w:rFonts w:hint="eastAsia"/>
        </w:rPr>
        <w:t>生态修复方案</w:t>
      </w:r>
    </w:p>
    <w:p>
      <w:pPr>
        <w:ind w:firstLine="480"/>
      </w:pPr>
      <w:r>
        <w:rPr>
          <w:rFonts w:hint="eastAsia"/>
        </w:rPr>
        <w:t>说明规划的水体和河滨生态修复措施。</w:t>
      </w:r>
    </w:p>
    <w:p>
      <w:pPr>
        <w:pStyle w:val="60"/>
        <w:numPr>
          <w:ilvl w:val="1"/>
          <w:numId w:val="35"/>
        </w:numPr>
        <w:ind w:left="0" w:firstLine="480" w:firstLineChars="200"/>
        <w:jc w:val="both"/>
      </w:pPr>
      <w:r>
        <w:rPr>
          <w:rFonts w:hint="eastAsia"/>
        </w:rPr>
        <w:t>活水提质方案</w:t>
      </w:r>
    </w:p>
    <w:p>
      <w:pPr>
        <w:pStyle w:val="60"/>
        <w:ind w:left="480"/>
        <w:jc w:val="both"/>
      </w:pPr>
      <w:r>
        <w:rPr>
          <w:rFonts w:hint="eastAsia"/>
        </w:rPr>
        <w:t>对规划的水系连通与活水补给措施进行说明。</w:t>
      </w:r>
    </w:p>
    <w:p>
      <w:pPr>
        <w:pStyle w:val="60"/>
        <w:numPr>
          <w:ilvl w:val="1"/>
          <w:numId w:val="35"/>
        </w:numPr>
        <w:ind w:left="0" w:firstLine="480" w:firstLineChars="200"/>
        <w:jc w:val="both"/>
      </w:pPr>
      <w:r>
        <w:rPr>
          <w:rFonts w:hint="eastAsia"/>
        </w:rPr>
        <w:t>其他工程措施</w:t>
      </w:r>
    </w:p>
    <w:p>
      <w:pPr>
        <w:pStyle w:val="60"/>
        <w:ind w:left="480"/>
        <w:jc w:val="both"/>
      </w:pPr>
      <w:r>
        <w:rPr>
          <w:rFonts w:hint="eastAsia"/>
        </w:rPr>
        <w:t>对规划的岸线水土保持等其他工程措施进行说明。</w:t>
      </w:r>
    </w:p>
    <w:p>
      <w:pPr>
        <w:pStyle w:val="60"/>
        <w:numPr>
          <w:ilvl w:val="1"/>
          <w:numId w:val="35"/>
        </w:numPr>
        <w:ind w:left="0" w:firstLine="480" w:firstLineChars="200"/>
        <w:jc w:val="both"/>
      </w:pPr>
      <w:r>
        <w:rPr>
          <w:rFonts w:hint="eastAsia"/>
        </w:rPr>
        <w:t>方案实施计划与安排</w:t>
      </w:r>
    </w:p>
    <w:p>
      <w:pPr>
        <w:pStyle w:val="60"/>
        <w:ind w:left="480"/>
        <w:jc w:val="both"/>
      </w:pPr>
      <w:r>
        <w:rPr>
          <w:rFonts w:hint="eastAsia"/>
        </w:rPr>
        <w:t>简述规划实施时间、实施内容、阶段性目标等实施计划与安排。</w:t>
      </w:r>
    </w:p>
    <w:p>
      <w:pPr>
        <w:pStyle w:val="60"/>
        <w:numPr>
          <w:ilvl w:val="0"/>
          <w:numId w:val="35"/>
        </w:numPr>
        <w:ind w:left="0" w:firstLine="0"/>
        <w:jc w:val="both"/>
      </w:pPr>
      <w:r>
        <w:rPr>
          <w:rFonts w:hint="eastAsia"/>
        </w:rPr>
        <w:t>投资估算</w:t>
      </w:r>
    </w:p>
    <w:p>
      <w:pPr>
        <w:ind w:firstLine="480"/>
      </w:pPr>
      <w:r>
        <w:rPr>
          <w:rFonts w:hint="eastAsia"/>
        </w:rPr>
        <w:t>说明针对治理方案工程措施的投资估算及估算成果。</w:t>
      </w:r>
    </w:p>
    <w:p>
      <w:pPr>
        <w:pStyle w:val="60"/>
        <w:numPr>
          <w:ilvl w:val="0"/>
          <w:numId w:val="35"/>
        </w:numPr>
        <w:ind w:left="0" w:firstLine="0"/>
        <w:jc w:val="both"/>
      </w:pPr>
      <w:r>
        <w:rPr>
          <w:rFonts w:hint="eastAsia"/>
        </w:rPr>
        <w:t>非工程治理措施规划</w:t>
      </w:r>
    </w:p>
    <w:p>
      <w:pPr>
        <w:ind w:firstLine="480"/>
      </w:pPr>
      <w:r>
        <w:rPr>
          <w:rFonts w:hint="eastAsia"/>
        </w:rPr>
        <w:t>说明非工程措施方案内容，包括</w:t>
      </w:r>
      <w:r>
        <w:t>综合管理</w:t>
      </w:r>
      <w:r>
        <w:rPr>
          <w:rFonts w:hint="eastAsia"/>
        </w:rPr>
        <w:t>系统建设和信息管控系统建设。</w:t>
      </w:r>
    </w:p>
    <w:p>
      <w:pPr>
        <w:pStyle w:val="60"/>
        <w:numPr>
          <w:ilvl w:val="1"/>
          <w:numId w:val="35"/>
        </w:numPr>
        <w:ind w:left="0" w:firstLine="480" w:firstLineChars="200"/>
        <w:jc w:val="both"/>
      </w:pPr>
      <w:r>
        <w:rPr>
          <w:rFonts w:hint="eastAsia"/>
        </w:rPr>
        <w:t>综合管理系统建设</w:t>
      </w:r>
    </w:p>
    <w:p>
      <w:pPr>
        <w:ind w:firstLine="480"/>
      </w:pPr>
      <w:r>
        <w:rPr>
          <w:rFonts w:hint="eastAsia"/>
        </w:rPr>
        <w:t>说明</w:t>
      </w:r>
      <w:r>
        <w:t>包含制度、监督管理体制与机制、</w:t>
      </w:r>
      <w:r>
        <w:rPr>
          <w:rFonts w:hint="eastAsia"/>
        </w:rPr>
        <w:t>跨流域评价与合作体制与机制、</w:t>
      </w:r>
      <w:r>
        <w:t>监控和应急能力、综合管理能力等</w:t>
      </w:r>
      <w:r>
        <w:rPr>
          <w:rFonts w:hint="eastAsia"/>
        </w:rPr>
        <w:t>综合管理系统建设的方案。</w:t>
      </w:r>
    </w:p>
    <w:p>
      <w:pPr>
        <w:pStyle w:val="60"/>
        <w:numPr>
          <w:ilvl w:val="1"/>
          <w:numId w:val="35"/>
        </w:numPr>
        <w:ind w:left="0" w:firstLine="480" w:firstLineChars="200"/>
        <w:jc w:val="both"/>
      </w:pPr>
      <w:r>
        <w:rPr>
          <w:rFonts w:hint="eastAsia"/>
        </w:rPr>
        <w:t>信息管控系统建设</w:t>
      </w:r>
    </w:p>
    <w:p>
      <w:pPr>
        <w:ind w:firstLine="480"/>
      </w:pPr>
      <w:r>
        <w:rPr>
          <w:rFonts w:hint="eastAsia"/>
        </w:rPr>
        <w:t>说明信息管控系统建设方案，包括监测系统、数据中心、运行维护管理系统、应急响应系统、监控</w:t>
      </w:r>
      <w:r>
        <w:t>和应急安全能力</w:t>
      </w:r>
      <w:r>
        <w:rPr>
          <w:rFonts w:hint="eastAsia"/>
        </w:rPr>
        <w:t>等的</w:t>
      </w:r>
      <w:r>
        <w:t>建设</w:t>
      </w:r>
      <w:r>
        <w:rPr>
          <w:rFonts w:hint="eastAsia"/>
        </w:rPr>
        <w:t>。</w:t>
      </w:r>
    </w:p>
    <w:p>
      <w:pPr>
        <w:pStyle w:val="60"/>
        <w:numPr>
          <w:ilvl w:val="0"/>
          <w:numId w:val="35"/>
        </w:numPr>
        <w:ind w:left="0" w:firstLine="0"/>
        <w:jc w:val="both"/>
      </w:pPr>
      <w:r>
        <w:rPr>
          <w:rFonts w:hint="eastAsia"/>
        </w:rPr>
        <w:t>环境影响评价</w:t>
      </w:r>
    </w:p>
    <w:p>
      <w:pPr>
        <w:ind w:firstLine="480"/>
      </w:pPr>
      <w:r>
        <w:rPr>
          <w:rFonts w:hint="eastAsia"/>
        </w:rPr>
        <w:t>说明治理方案实施可能带来的环境影响、需要采取的环境保护措施以及实施过程和实施后的跟踪评价等内容。</w:t>
      </w:r>
    </w:p>
    <w:p>
      <w:pPr>
        <w:pStyle w:val="60"/>
        <w:numPr>
          <w:ilvl w:val="0"/>
          <w:numId w:val="35"/>
        </w:numPr>
        <w:ind w:left="0" w:firstLine="0"/>
        <w:jc w:val="both"/>
      </w:pPr>
      <w:r>
        <w:rPr>
          <w:rFonts w:hint="eastAsia"/>
        </w:rPr>
        <w:t>保障措施</w:t>
      </w:r>
    </w:p>
    <w:p>
      <w:pPr>
        <w:ind w:firstLine="480"/>
      </w:pPr>
      <w:r>
        <w:rPr>
          <w:rFonts w:hint="eastAsia"/>
        </w:rPr>
        <w:t>说明为保障方案实施所需要的建设用地、资金筹措、组织与管理、应急与监督检查等有必要的保障措施。</w:t>
      </w:r>
    </w:p>
    <w:p>
      <w:pPr>
        <w:pStyle w:val="60"/>
        <w:numPr>
          <w:ilvl w:val="1"/>
          <w:numId w:val="35"/>
        </w:numPr>
        <w:ind w:left="0" w:firstLine="480" w:firstLineChars="200"/>
        <w:jc w:val="both"/>
      </w:pPr>
      <w:r>
        <w:rPr>
          <w:rFonts w:hint="eastAsia"/>
        </w:rPr>
        <w:t>建设用地</w:t>
      </w:r>
    </w:p>
    <w:p>
      <w:pPr>
        <w:ind w:firstLine="480"/>
      </w:pPr>
      <w:r>
        <w:rPr>
          <w:rFonts w:hint="eastAsia"/>
        </w:rPr>
        <w:t>说明工程建设用地计划，明确征地原则、范围、程序与方法。</w:t>
      </w:r>
    </w:p>
    <w:p>
      <w:pPr>
        <w:pStyle w:val="60"/>
        <w:numPr>
          <w:ilvl w:val="1"/>
          <w:numId w:val="35"/>
        </w:numPr>
        <w:ind w:left="0" w:firstLine="480" w:firstLineChars="200"/>
        <w:jc w:val="both"/>
      </w:pPr>
      <w:r>
        <w:rPr>
          <w:rFonts w:hint="eastAsia"/>
        </w:rPr>
        <w:t>资金筹措</w:t>
      </w:r>
    </w:p>
    <w:p>
      <w:pPr>
        <w:ind w:firstLine="480"/>
      </w:pPr>
      <w:r>
        <w:rPr>
          <w:rFonts w:hint="eastAsia"/>
        </w:rPr>
        <w:t>说明规划实施所需要资金的资金筹措方案和融资方案，包括资金来源渠道，建设期贷款利息、利率等。</w:t>
      </w:r>
    </w:p>
    <w:p>
      <w:pPr>
        <w:pStyle w:val="60"/>
        <w:numPr>
          <w:ilvl w:val="1"/>
          <w:numId w:val="35"/>
        </w:numPr>
        <w:ind w:left="0" w:firstLine="480" w:firstLineChars="200"/>
        <w:jc w:val="both"/>
      </w:pPr>
      <w:r>
        <w:rPr>
          <w:rFonts w:hint="eastAsia"/>
        </w:rPr>
        <w:t>实施保障措施</w:t>
      </w:r>
    </w:p>
    <w:p>
      <w:pPr>
        <w:ind w:firstLine="480"/>
      </w:pPr>
      <w:r>
        <w:rPr>
          <w:rFonts w:hint="eastAsia"/>
        </w:rPr>
        <w:t>说明规划的组织、管理等保障措施。</w:t>
      </w:r>
    </w:p>
    <w:p>
      <w:pPr>
        <w:pStyle w:val="60"/>
        <w:numPr>
          <w:ilvl w:val="1"/>
          <w:numId w:val="35"/>
        </w:numPr>
        <w:ind w:left="0" w:firstLine="480" w:firstLineChars="200"/>
        <w:jc w:val="both"/>
      </w:pPr>
      <w:r>
        <w:rPr>
          <w:rFonts w:hint="eastAsia"/>
        </w:rPr>
        <w:t>应急措施与监督检查保障措施</w:t>
      </w:r>
    </w:p>
    <w:p>
      <w:pPr>
        <w:ind w:firstLine="480"/>
      </w:pPr>
      <w:r>
        <w:rPr>
          <w:rFonts w:hint="eastAsia"/>
        </w:rPr>
        <w:t>说明应急保障方案，包括构建水情预警系统并明确预警等级，健全水质监测系统，强化应急设施与装备建设，组建专项应急小组等。</w:t>
      </w:r>
    </w:p>
    <w:p>
      <w:pPr>
        <w:pStyle w:val="60"/>
        <w:numPr>
          <w:ilvl w:val="0"/>
          <w:numId w:val="35"/>
        </w:numPr>
        <w:ind w:left="0" w:firstLine="0"/>
        <w:jc w:val="both"/>
      </w:pPr>
      <w:r>
        <w:rPr>
          <w:rFonts w:hint="eastAsia"/>
        </w:rPr>
        <w:t>实施效果分析</w:t>
      </w:r>
    </w:p>
    <w:p>
      <w:pPr>
        <w:ind w:firstLine="480"/>
      </w:pPr>
      <w:r>
        <w:rPr>
          <w:rFonts w:hint="eastAsia"/>
        </w:rPr>
        <w:t>说明治理规划方案的实施效果进行分析与预测的相关内容。</w:t>
      </w:r>
    </w:p>
    <w:p>
      <w:pPr>
        <w:pStyle w:val="60"/>
        <w:numPr>
          <w:ilvl w:val="0"/>
          <w:numId w:val="35"/>
        </w:numPr>
        <w:ind w:left="0" w:firstLine="0"/>
        <w:jc w:val="both"/>
      </w:pPr>
      <w:r>
        <w:rPr>
          <w:rFonts w:hint="eastAsia"/>
        </w:rPr>
        <w:t>结论与建议</w:t>
      </w:r>
    </w:p>
    <w:p>
      <w:pPr>
        <w:ind w:firstLine="480"/>
      </w:pPr>
      <w:r>
        <w:rPr>
          <w:rFonts w:hint="eastAsia"/>
        </w:rPr>
        <w:t>简述规划的结论与相关建议。</w:t>
      </w:r>
    </w:p>
    <w:p>
      <w:pPr>
        <w:pStyle w:val="60"/>
        <w:numPr>
          <w:ilvl w:val="0"/>
          <w:numId w:val="35"/>
        </w:numPr>
        <w:ind w:left="0" w:firstLine="0"/>
        <w:jc w:val="both"/>
      </w:pPr>
      <w:r>
        <w:rPr>
          <w:rFonts w:hint="eastAsia"/>
        </w:rPr>
        <w:t>附件</w:t>
      </w:r>
    </w:p>
    <w:p>
      <w:pPr>
        <w:ind w:firstLine="480"/>
      </w:pPr>
      <w:r>
        <w:rPr>
          <w:rFonts w:hint="eastAsia"/>
        </w:rPr>
        <w:t>附件应符合本规范1</w:t>
      </w:r>
      <w:r>
        <w:t>5.0.5</w:t>
      </w:r>
      <w:r>
        <w:rPr>
          <w:rFonts w:hint="eastAsia"/>
        </w:rPr>
        <w:t>的规定。</w:t>
      </w:r>
    </w:p>
    <w:p>
      <w:pPr>
        <w:widowControl/>
        <w:spacing w:line="240" w:lineRule="auto"/>
        <w:ind w:firstLine="0" w:firstLineChars="0"/>
        <w:jc w:val="left"/>
        <w:rPr>
          <w:rFonts w:eastAsia="宋体"/>
          <w:b/>
          <w:kern w:val="0"/>
          <w:sz w:val="28"/>
        </w:rPr>
      </w:pPr>
      <w:r>
        <w:br w:type="page"/>
      </w:r>
    </w:p>
    <w:p>
      <w:pPr>
        <w:pStyle w:val="2"/>
        <w:numPr>
          <w:ilvl w:val="0"/>
          <w:numId w:val="0"/>
        </w:numPr>
        <w:spacing w:before="163" w:beforeLines="50" w:after="489" w:afterLines="150"/>
        <w:jc w:val="both"/>
      </w:pPr>
      <w:bookmarkStart w:id="144" w:name="_Toc33185719"/>
      <w:r>
        <w:t>附录B 现状调查表、记录表、成果表等</w:t>
      </w:r>
      <w:bookmarkEnd w:id="141"/>
      <w:bookmarkEnd w:id="143"/>
      <w:bookmarkEnd w:id="144"/>
    </w:p>
    <w:p>
      <w:pPr>
        <w:ind w:firstLine="480"/>
        <w:rPr>
          <w:rFonts w:cs="Times New Roman"/>
        </w:rPr>
      </w:pPr>
      <w:r>
        <w:rPr>
          <w:rFonts w:cs="Times New Roman"/>
        </w:rPr>
        <w:t xml:space="preserve">表B.0.1  </w:t>
      </w:r>
      <w:r>
        <w:rPr>
          <w:rFonts w:hint="eastAsia" w:cs="Times New Roman"/>
        </w:rPr>
        <w:t>流域水质状况汇总表</w:t>
      </w:r>
    </w:p>
    <w:p>
      <w:pPr>
        <w:ind w:firstLine="480"/>
        <w:rPr>
          <w:rFonts w:cs="Times New Roman"/>
        </w:rPr>
      </w:pPr>
      <w:r>
        <w:rPr>
          <w:rFonts w:cs="Times New Roman"/>
        </w:rPr>
        <w:t>表B.0.2  污染源清单</w:t>
      </w:r>
    </w:p>
    <w:p>
      <w:pPr>
        <w:ind w:firstLine="480"/>
      </w:pPr>
      <w:r>
        <w:rPr>
          <w:rFonts w:cs="Times New Roman"/>
        </w:rPr>
        <w:t>表B.0.</w:t>
      </w:r>
      <w:r>
        <w:rPr>
          <w:rFonts w:hint="eastAsia" w:cs="Times New Roman"/>
        </w:rPr>
        <w:t>3</w:t>
      </w:r>
      <w:r>
        <w:rPr>
          <w:rFonts w:cs="Times New Roman"/>
        </w:rPr>
        <w:t xml:space="preserve">  </w:t>
      </w:r>
      <w:r>
        <w:rPr>
          <w:rFonts w:hint="eastAsia"/>
        </w:rPr>
        <w:t>治理设施汇总表</w:t>
      </w:r>
    </w:p>
    <w:p>
      <w:pPr>
        <w:ind w:firstLine="480"/>
      </w:pPr>
      <w:r>
        <w:rPr>
          <w:rFonts w:cs="Times New Roman"/>
        </w:rPr>
        <w:t>表B.0.</w:t>
      </w:r>
      <w:r>
        <w:rPr>
          <w:rFonts w:hint="eastAsia" w:cs="Times New Roman"/>
        </w:rPr>
        <w:t>4</w:t>
      </w:r>
      <w:r>
        <w:rPr>
          <w:rFonts w:cs="Times New Roman"/>
        </w:rPr>
        <w:t xml:space="preserve">  </w:t>
      </w:r>
      <w:r>
        <w:rPr>
          <w:rFonts w:hint="eastAsia"/>
        </w:rPr>
        <w:t>公众调查汇总表</w:t>
      </w:r>
    </w:p>
    <w:p>
      <w:pPr>
        <w:ind w:firstLine="480"/>
        <w:rPr>
          <w:rFonts w:cs="Times New Roman"/>
          <w:szCs w:val="28"/>
        </w:rPr>
      </w:pPr>
      <w:r>
        <w:rPr>
          <w:rFonts w:cs="Times New Roman"/>
          <w:szCs w:val="28"/>
        </w:rPr>
        <w:t>表B.0.</w:t>
      </w:r>
      <w:r>
        <w:rPr>
          <w:rFonts w:hint="eastAsia" w:cs="Times New Roman"/>
          <w:szCs w:val="28"/>
        </w:rPr>
        <w:t>5</w:t>
      </w:r>
      <w:r>
        <w:rPr>
          <w:rFonts w:cs="Times New Roman"/>
          <w:szCs w:val="28"/>
        </w:rPr>
        <w:t xml:space="preserve">  </w:t>
      </w:r>
      <w:r>
        <w:rPr>
          <w:rFonts w:cs="Times New Roman"/>
        </w:rPr>
        <w:t>黑臭水体清单</w:t>
      </w:r>
    </w:p>
    <w:p>
      <w:pPr>
        <w:widowControl/>
        <w:spacing w:line="240" w:lineRule="auto"/>
        <w:ind w:firstLine="0" w:firstLineChars="0"/>
        <w:jc w:val="left"/>
        <w:rPr>
          <w:rFonts w:eastAsia="黑体"/>
          <w:b/>
          <w:kern w:val="0"/>
          <w:sz w:val="36"/>
        </w:rPr>
        <w:sectPr>
          <w:pgSz w:w="11906" w:h="16838"/>
          <w:pgMar w:top="1440" w:right="1800" w:bottom="1440" w:left="1800" w:header="851" w:footer="992" w:gutter="0"/>
          <w:pgNumType w:start="1"/>
          <w:cols w:space="425" w:num="1"/>
          <w:docGrid w:type="lines" w:linePitch="326" w:charSpace="0"/>
        </w:sectPr>
      </w:pPr>
      <w:r>
        <w:rPr>
          <w:rFonts w:eastAsia="黑体"/>
          <w:b/>
          <w:kern w:val="0"/>
          <w:sz w:val="36"/>
        </w:rPr>
        <w:br w:type="page"/>
      </w:r>
    </w:p>
    <w:p>
      <w:pPr>
        <w:widowControl/>
        <w:spacing w:before="163" w:beforeLines="50"/>
        <w:ind w:firstLine="0" w:firstLineChars="0"/>
        <w:jc w:val="center"/>
        <w:rPr>
          <w:rFonts w:eastAsia="黑体"/>
          <w:b/>
          <w:bCs/>
          <w:kern w:val="0"/>
          <w:sz w:val="36"/>
        </w:rPr>
      </w:pPr>
      <w:r>
        <w:rPr>
          <w:rFonts w:cs="Times New Roman"/>
          <w:b/>
          <w:bCs/>
          <w:szCs w:val="28"/>
        </w:rPr>
        <w:t>表B.0.</w:t>
      </w:r>
      <w:r>
        <w:rPr>
          <w:rFonts w:hint="eastAsia" w:cs="Times New Roman"/>
          <w:b/>
          <w:bCs/>
          <w:szCs w:val="28"/>
        </w:rPr>
        <w:t>1</w:t>
      </w:r>
      <w:r>
        <w:rPr>
          <w:rFonts w:cs="Times New Roman"/>
          <w:b/>
          <w:bCs/>
          <w:szCs w:val="28"/>
        </w:rPr>
        <w:t xml:space="preserve">  </w:t>
      </w:r>
      <w:r>
        <w:rPr>
          <w:rFonts w:hint="eastAsia" w:cs="Times New Roman"/>
          <w:b/>
          <w:bCs/>
          <w:szCs w:val="28"/>
        </w:rPr>
        <w:t>流域水质状况汇总表</w:t>
      </w:r>
    </w:p>
    <w:tbl>
      <w:tblPr>
        <w:tblStyle w:val="39"/>
        <w:tblW w:w="1385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61"/>
        <w:gridCol w:w="2501"/>
        <w:gridCol w:w="1681"/>
        <w:gridCol w:w="1507"/>
        <w:gridCol w:w="1151"/>
        <w:gridCol w:w="796"/>
        <w:gridCol w:w="355"/>
        <w:gridCol w:w="1151"/>
        <w:gridCol w:w="1151"/>
        <w:gridCol w:w="1151"/>
        <w:gridCol w:w="11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atLeast"/>
          <w:jc w:val="center"/>
        </w:trPr>
        <w:tc>
          <w:tcPr>
            <w:tcW w:w="6950" w:type="dxa"/>
            <w:gridSpan w:val="4"/>
            <w:vMerge w:val="restart"/>
          </w:tcPr>
          <w:p>
            <w:pPr>
              <w:spacing w:line="380" w:lineRule="exact"/>
              <w:ind w:firstLine="0" w:firstLineChars="0"/>
              <w:rPr>
                <w:rFonts w:cs="Times New Roman"/>
              </w:rPr>
            </w:pPr>
            <w:r>
              <w:rPr>
                <w:rFonts w:cs="Times New Roman"/>
              </w:rPr>
              <w:t>流域编号（或名称）：</w:t>
            </w:r>
          </w:p>
        </w:tc>
        <w:tc>
          <w:tcPr>
            <w:tcW w:w="6909" w:type="dxa"/>
            <w:gridSpan w:val="7"/>
            <w:vAlign w:val="center"/>
          </w:tcPr>
          <w:p>
            <w:pPr>
              <w:spacing w:line="380" w:lineRule="exact"/>
              <w:ind w:firstLine="0" w:firstLineChars="0"/>
              <w:jc w:val="left"/>
              <w:rPr>
                <w:rFonts w:cs="Times New Roman"/>
              </w:rPr>
            </w:pPr>
            <w:r>
              <w:rPr>
                <w:rFonts w:cs="Times New Roman"/>
              </w:rPr>
              <w:t>调查单位（可选）：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atLeast"/>
          <w:jc w:val="center"/>
        </w:trPr>
        <w:tc>
          <w:tcPr>
            <w:tcW w:w="6950" w:type="dxa"/>
            <w:gridSpan w:val="4"/>
            <w:vMerge w:val="continue"/>
            <w:vAlign w:val="center"/>
          </w:tcPr>
          <w:p>
            <w:pPr>
              <w:spacing w:line="380" w:lineRule="exact"/>
              <w:ind w:firstLine="0" w:firstLineChars="0"/>
              <w:jc w:val="left"/>
              <w:rPr>
                <w:rFonts w:cs="Times New Roman"/>
              </w:rPr>
            </w:pPr>
          </w:p>
        </w:tc>
        <w:tc>
          <w:tcPr>
            <w:tcW w:w="6909" w:type="dxa"/>
            <w:gridSpan w:val="7"/>
            <w:vAlign w:val="center"/>
          </w:tcPr>
          <w:p>
            <w:pPr>
              <w:spacing w:line="380" w:lineRule="exact"/>
              <w:ind w:firstLine="0" w:firstLineChars="0"/>
              <w:jc w:val="left"/>
              <w:rPr>
                <w:rFonts w:cs="Times New Roman"/>
              </w:rPr>
            </w:pPr>
            <w:r>
              <w:rPr>
                <w:rFonts w:hint="eastAsia" w:cs="Times New Roman"/>
              </w:rPr>
              <w:t>汇总时间：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jc w:val="center"/>
        </w:trPr>
        <w:tc>
          <w:tcPr>
            <w:tcW w:w="1261" w:type="dxa"/>
            <w:vAlign w:val="center"/>
          </w:tcPr>
          <w:p>
            <w:pPr>
              <w:spacing w:line="380" w:lineRule="exact"/>
              <w:ind w:firstLine="0" w:firstLineChars="0"/>
              <w:jc w:val="center"/>
              <w:rPr>
                <w:rFonts w:cs="Times New Roman"/>
              </w:rPr>
            </w:pPr>
            <w:r>
              <w:rPr>
                <w:rFonts w:cs="Times New Roman"/>
              </w:rPr>
              <w:t>编号</w:t>
            </w:r>
          </w:p>
        </w:tc>
        <w:tc>
          <w:tcPr>
            <w:tcW w:w="2501" w:type="dxa"/>
            <w:vAlign w:val="center"/>
          </w:tcPr>
          <w:p>
            <w:pPr>
              <w:spacing w:line="380" w:lineRule="exact"/>
              <w:ind w:firstLine="0" w:firstLineChars="0"/>
              <w:jc w:val="center"/>
              <w:rPr>
                <w:rFonts w:cs="Times New Roman"/>
              </w:rPr>
            </w:pPr>
            <w:r>
              <w:rPr>
                <w:rFonts w:hint="eastAsia" w:cs="Times New Roman"/>
              </w:rPr>
              <w:t>黑臭水体名称</w:t>
            </w:r>
          </w:p>
        </w:tc>
        <w:tc>
          <w:tcPr>
            <w:tcW w:w="1681" w:type="dxa"/>
            <w:vAlign w:val="center"/>
          </w:tcPr>
          <w:p>
            <w:pPr>
              <w:spacing w:line="440" w:lineRule="exact"/>
              <w:ind w:firstLine="0" w:firstLineChars="0"/>
              <w:jc w:val="center"/>
              <w:rPr>
                <w:rFonts w:cs="Times New Roman"/>
              </w:rPr>
            </w:pPr>
            <w:r>
              <w:rPr>
                <w:rFonts w:hint="eastAsia" w:cs="Times New Roman"/>
              </w:rPr>
              <w:t>调查时间</w:t>
            </w:r>
          </w:p>
        </w:tc>
        <w:tc>
          <w:tcPr>
            <w:tcW w:w="1507" w:type="dxa"/>
            <w:vAlign w:val="center"/>
          </w:tcPr>
          <w:p>
            <w:pPr>
              <w:spacing w:line="440" w:lineRule="exact"/>
              <w:ind w:firstLine="0" w:firstLineChars="0"/>
              <w:jc w:val="center"/>
              <w:rPr>
                <w:rFonts w:cs="Times New Roman"/>
              </w:rPr>
            </w:pPr>
            <w:r>
              <w:rPr>
                <w:rFonts w:hint="eastAsia" w:cs="Times New Roman"/>
              </w:rPr>
              <w:t>水色</w:t>
            </w:r>
          </w:p>
        </w:tc>
        <w:tc>
          <w:tcPr>
            <w:tcW w:w="1151" w:type="dxa"/>
            <w:vAlign w:val="center"/>
          </w:tcPr>
          <w:p>
            <w:pPr>
              <w:spacing w:line="440" w:lineRule="exact"/>
              <w:ind w:firstLine="0" w:firstLineChars="0"/>
              <w:jc w:val="center"/>
              <w:rPr>
                <w:rFonts w:cs="Times New Roman"/>
              </w:rPr>
            </w:pPr>
            <w:r>
              <w:rPr>
                <w:rFonts w:hint="eastAsia" w:cs="Times New Roman"/>
              </w:rPr>
              <w:t>pH</w:t>
            </w:r>
          </w:p>
        </w:tc>
        <w:tc>
          <w:tcPr>
            <w:tcW w:w="1151" w:type="dxa"/>
            <w:gridSpan w:val="2"/>
            <w:vAlign w:val="center"/>
          </w:tcPr>
          <w:p>
            <w:pPr>
              <w:spacing w:line="440" w:lineRule="exact"/>
              <w:ind w:firstLine="0" w:firstLineChars="0"/>
              <w:jc w:val="center"/>
              <w:rPr>
                <w:rFonts w:cs="Times New Roman"/>
              </w:rPr>
            </w:pPr>
            <w:r>
              <w:rPr>
                <w:rFonts w:hint="eastAsia" w:cs="Times New Roman"/>
              </w:rPr>
              <w:t>ORP</w:t>
            </w:r>
          </w:p>
        </w:tc>
        <w:tc>
          <w:tcPr>
            <w:tcW w:w="1151" w:type="dxa"/>
            <w:vAlign w:val="center"/>
          </w:tcPr>
          <w:p>
            <w:pPr>
              <w:spacing w:line="440" w:lineRule="exact"/>
              <w:ind w:firstLine="0" w:firstLineChars="0"/>
              <w:jc w:val="center"/>
              <w:rPr>
                <w:rFonts w:cs="Times New Roman"/>
              </w:rPr>
            </w:pPr>
            <w:r>
              <w:rPr>
                <w:rFonts w:hint="eastAsia" w:cs="Times New Roman"/>
              </w:rPr>
              <w:t>DO</w:t>
            </w:r>
          </w:p>
        </w:tc>
        <w:tc>
          <w:tcPr>
            <w:tcW w:w="1151" w:type="dxa"/>
            <w:vAlign w:val="center"/>
          </w:tcPr>
          <w:p>
            <w:pPr>
              <w:spacing w:line="440" w:lineRule="exact"/>
              <w:ind w:firstLine="0" w:firstLineChars="0"/>
              <w:jc w:val="center"/>
              <w:rPr>
                <w:rFonts w:cs="Times New Roman"/>
              </w:rPr>
            </w:pPr>
            <w:r>
              <w:rPr>
                <w:rFonts w:hint="eastAsia" w:cs="Times New Roman"/>
              </w:rPr>
              <w:t>COD</w:t>
            </w:r>
            <w:r>
              <w:rPr>
                <w:rFonts w:hint="eastAsia" w:cs="Times New Roman"/>
                <w:vertAlign w:val="subscript"/>
              </w:rPr>
              <w:t>cr</w:t>
            </w:r>
          </w:p>
        </w:tc>
        <w:tc>
          <w:tcPr>
            <w:tcW w:w="1151" w:type="dxa"/>
            <w:vAlign w:val="center"/>
          </w:tcPr>
          <w:p>
            <w:pPr>
              <w:spacing w:line="440" w:lineRule="exact"/>
              <w:ind w:firstLine="0" w:firstLineChars="0"/>
              <w:jc w:val="center"/>
              <w:rPr>
                <w:rFonts w:cs="Times New Roman"/>
              </w:rPr>
            </w:pPr>
            <w:r>
              <w:rPr>
                <w:rFonts w:hint="eastAsia" w:cs="Times New Roman"/>
              </w:rPr>
              <w:t>NH</w:t>
            </w:r>
            <w:r>
              <w:rPr>
                <w:rFonts w:hint="eastAsia" w:cs="Times New Roman"/>
                <w:vertAlign w:val="subscript"/>
              </w:rPr>
              <w:t>3</w:t>
            </w:r>
            <w:r>
              <w:rPr>
                <w:rFonts w:hint="eastAsia" w:cs="Times New Roman"/>
              </w:rPr>
              <w:t>-N</w:t>
            </w:r>
          </w:p>
        </w:tc>
        <w:tc>
          <w:tcPr>
            <w:tcW w:w="1154" w:type="dxa"/>
            <w:vAlign w:val="center"/>
          </w:tcPr>
          <w:p>
            <w:pPr>
              <w:spacing w:line="440" w:lineRule="exact"/>
              <w:ind w:firstLine="0" w:firstLineChars="0"/>
              <w:jc w:val="center"/>
              <w:rPr>
                <w:rFonts w:cs="Times New Roman"/>
              </w:rPr>
            </w:pPr>
            <w:r>
              <w:rPr>
                <w:rFonts w:hint="eastAsia" w:cs="Times New Roman"/>
              </w:rPr>
              <w:t>TP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5" w:hRule="atLeast"/>
          <w:jc w:val="center"/>
        </w:trPr>
        <w:tc>
          <w:tcPr>
            <w:tcW w:w="1261" w:type="dxa"/>
            <w:vAlign w:val="center"/>
          </w:tcPr>
          <w:p>
            <w:pPr>
              <w:spacing w:line="440" w:lineRule="exact"/>
              <w:ind w:firstLine="0" w:firstLineChars="0"/>
              <w:jc w:val="center"/>
              <w:rPr>
                <w:rFonts w:cs="Times New Roman"/>
              </w:rPr>
            </w:pPr>
          </w:p>
        </w:tc>
        <w:tc>
          <w:tcPr>
            <w:tcW w:w="2501" w:type="dxa"/>
            <w:vAlign w:val="center"/>
          </w:tcPr>
          <w:p>
            <w:pPr>
              <w:spacing w:line="440" w:lineRule="exact"/>
              <w:ind w:firstLine="0" w:firstLineChars="0"/>
              <w:jc w:val="center"/>
              <w:rPr>
                <w:rFonts w:cs="Times New Roman"/>
              </w:rPr>
            </w:pPr>
          </w:p>
        </w:tc>
        <w:tc>
          <w:tcPr>
            <w:tcW w:w="1681" w:type="dxa"/>
            <w:vAlign w:val="center"/>
          </w:tcPr>
          <w:p>
            <w:pPr>
              <w:spacing w:line="440" w:lineRule="exact"/>
              <w:ind w:firstLine="0" w:firstLineChars="0"/>
              <w:jc w:val="center"/>
              <w:rPr>
                <w:rFonts w:cs="Times New Roman"/>
              </w:rPr>
            </w:pPr>
          </w:p>
        </w:tc>
        <w:tc>
          <w:tcPr>
            <w:tcW w:w="1507"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gridSpan w:val="2"/>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4"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5" w:hRule="atLeast"/>
          <w:jc w:val="center"/>
        </w:trPr>
        <w:tc>
          <w:tcPr>
            <w:tcW w:w="1261" w:type="dxa"/>
            <w:vAlign w:val="center"/>
          </w:tcPr>
          <w:p>
            <w:pPr>
              <w:spacing w:line="440" w:lineRule="exact"/>
              <w:ind w:firstLine="0" w:firstLineChars="0"/>
              <w:jc w:val="center"/>
              <w:rPr>
                <w:rFonts w:cs="Times New Roman"/>
              </w:rPr>
            </w:pPr>
          </w:p>
        </w:tc>
        <w:tc>
          <w:tcPr>
            <w:tcW w:w="2501" w:type="dxa"/>
            <w:vAlign w:val="center"/>
          </w:tcPr>
          <w:p>
            <w:pPr>
              <w:spacing w:line="440" w:lineRule="exact"/>
              <w:ind w:firstLine="0" w:firstLineChars="0"/>
              <w:jc w:val="center"/>
              <w:rPr>
                <w:rFonts w:cs="Times New Roman"/>
              </w:rPr>
            </w:pPr>
          </w:p>
        </w:tc>
        <w:tc>
          <w:tcPr>
            <w:tcW w:w="1681" w:type="dxa"/>
            <w:vAlign w:val="center"/>
          </w:tcPr>
          <w:p>
            <w:pPr>
              <w:spacing w:line="440" w:lineRule="exact"/>
              <w:ind w:firstLine="0" w:firstLineChars="0"/>
              <w:jc w:val="center"/>
              <w:rPr>
                <w:rFonts w:cs="Times New Roman"/>
              </w:rPr>
            </w:pPr>
          </w:p>
        </w:tc>
        <w:tc>
          <w:tcPr>
            <w:tcW w:w="1507"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gridSpan w:val="2"/>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4"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5" w:hRule="atLeast"/>
          <w:jc w:val="center"/>
        </w:trPr>
        <w:tc>
          <w:tcPr>
            <w:tcW w:w="1261" w:type="dxa"/>
            <w:vAlign w:val="center"/>
          </w:tcPr>
          <w:p>
            <w:pPr>
              <w:spacing w:line="440" w:lineRule="exact"/>
              <w:ind w:firstLine="0" w:firstLineChars="0"/>
              <w:jc w:val="center"/>
              <w:rPr>
                <w:rFonts w:cs="Times New Roman"/>
              </w:rPr>
            </w:pPr>
          </w:p>
        </w:tc>
        <w:tc>
          <w:tcPr>
            <w:tcW w:w="2501" w:type="dxa"/>
            <w:vAlign w:val="center"/>
          </w:tcPr>
          <w:p>
            <w:pPr>
              <w:spacing w:line="440" w:lineRule="exact"/>
              <w:ind w:firstLine="0" w:firstLineChars="0"/>
              <w:jc w:val="center"/>
              <w:rPr>
                <w:rFonts w:cs="Times New Roman"/>
              </w:rPr>
            </w:pPr>
          </w:p>
        </w:tc>
        <w:tc>
          <w:tcPr>
            <w:tcW w:w="1681" w:type="dxa"/>
            <w:vAlign w:val="center"/>
          </w:tcPr>
          <w:p>
            <w:pPr>
              <w:spacing w:line="440" w:lineRule="exact"/>
              <w:ind w:firstLine="0" w:firstLineChars="0"/>
              <w:jc w:val="center"/>
              <w:rPr>
                <w:rFonts w:cs="Times New Roman"/>
              </w:rPr>
            </w:pPr>
          </w:p>
        </w:tc>
        <w:tc>
          <w:tcPr>
            <w:tcW w:w="1507"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gridSpan w:val="2"/>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4"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5" w:hRule="atLeast"/>
          <w:jc w:val="center"/>
        </w:trPr>
        <w:tc>
          <w:tcPr>
            <w:tcW w:w="1261" w:type="dxa"/>
            <w:vAlign w:val="center"/>
          </w:tcPr>
          <w:p>
            <w:pPr>
              <w:spacing w:line="440" w:lineRule="exact"/>
              <w:ind w:firstLine="0" w:firstLineChars="0"/>
              <w:jc w:val="center"/>
              <w:rPr>
                <w:rFonts w:cs="Times New Roman"/>
              </w:rPr>
            </w:pPr>
          </w:p>
        </w:tc>
        <w:tc>
          <w:tcPr>
            <w:tcW w:w="2501" w:type="dxa"/>
            <w:vAlign w:val="center"/>
          </w:tcPr>
          <w:p>
            <w:pPr>
              <w:spacing w:line="440" w:lineRule="exact"/>
              <w:ind w:firstLine="0" w:firstLineChars="0"/>
              <w:jc w:val="center"/>
              <w:rPr>
                <w:rFonts w:cs="Times New Roman"/>
              </w:rPr>
            </w:pPr>
          </w:p>
        </w:tc>
        <w:tc>
          <w:tcPr>
            <w:tcW w:w="1681" w:type="dxa"/>
            <w:vAlign w:val="center"/>
          </w:tcPr>
          <w:p>
            <w:pPr>
              <w:spacing w:line="440" w:lineRule="exact"/>
              <w:ind w:firstLine="0" w:firstLineChars="0"/>
              <w:jc w:val="center"/>
              <w:rPr>
                <w:rFonts w:cs="Times New Roman"/>
              </w:rPr>
            </w:pPr>
          </w:p>
        </w:tc>
        <w:tc>
          <w:tcPr>
            <w:tcW w:w="1507"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gridSpan w:val="2"/>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4"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5" w:hRule="atLeast"/>
          <w:jc w:val="center"/>
        </w:trPr>
        <w:tc>
          <w:tcPr>
            <w:tcW w:w="1261" w:type="dxa"/>
            <w:vAlign w:val="center"/>
          </w:tcPr>
          <w:p>
            <w:pPr>
              <w:spacing w:line="440" w:lineRule="exact"/>
              <w:ind w:firstLine="0" w:firstLineChars="0"/>
              <w:jc w:val="center"/>
              <w:rPr>
                <w:rFonts w:cs="Times New Roman"/>
              </w:rPr>
            </w:pPr>
          </w:p>
        </w:tc>
        <w:tc>
          <w:tcPr>
            <w:tcW w:w="2501" w:type="dxa"/>
            <w:vAlign w:val="center"/>
          </w:tcPr>
          <w:p>
            <w:pPr>
              <w:spacing w:line="440" w:lineRule="exact"/>
              <w:ind w:firstLine="0" w:firstLineChars="0"/>
              <w:jc w:val="center"/>
              <w:rPr>
                <w:rFonts w:cs="Times New Roman"/>
              </w:rPr>
            </w:pPr>
          </w:p>
        </w:tc>
        <w:tc>
          <w:tcPr>
            <w:tcW w:w="1681" w:type="dxa"/>
            <w:vAlign w:val="center"/>
          </w:tcPr>
          <w:p>
            <w:pPr>
              <w:spacing w:line="440" w:lineRule="exact"/>
              <w:ind w:firstLine="0" w:firstLineChars="0"/>
              <w:jc w:val="center"/>
              <w:rPr>
                <w:rFonts w:cs="Times New Roman"/>
              </w:rPr>
            </w:pPr>
          </w:p>
        </w:tc>
        <w:tc>
          <w:tcPr>
            <w:tcW w:w="1507"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gridSpan w:val="2"/>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1" w:type="dxa"/>
            <w:vAlign w:val="center"/>
          </w:tcPr>
          <w:p>
            <w:pPr>
              <w:spacing w:line="440" w:lineRule="exact"/>
              <w:ind w:firstLine="0" w:firstLineChars="0"/>
              <w:jc w:val="center"/>
              <w:rPr>
                <w:rFonts w:cs="Times New Roman"/>
              </w:rPr>
            </w:pPr>
          </w:p>
        </w:tc>
        <w:tc>
          <w:tcPr>
            <w:tcW w:w="1154"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jc w:val="center"/>
        </w:trPr>
        <w:tc>
          <w:tcPr>
            <w:tcW w:w="8897" w:type="dxa"/>
            <w:gridSpan w:val="6"/>
            <w:tcBorders>
              <w:bottom w:val="single" w:color="auto" w:sz="4" w:space="0"/>
            </w:tcBorders>
          </w:tcPr>
          <w:p>
            <w:pPr>
              <w:spacing w:line="440" w:lineRule="exact"/>
              <w:ind w:firstLine="0" w:firstLineChars="0"/>
              <w:rPr>
                <w:rFonts w:cs="Times New Roman"/>
              </w:rPr>
            </w:pPr>
            <w:r>
              <w:rPr>
                <w:rFonts w:cs="Times New Roman"/>
              </w:rPr>
              <w:t>填表</w:t>
            </w:r>
          </w:p>
        </w:tc>
        <w:tc>
          <w:tcPr>
            <w:tcW w:w="4962" w:type="dxa"/>
            <w:gridSpan w:val="5"/>
          </w:tcPr>
          <w:p>
            <w:pPr>
              <w:spacing w:line="440" w:lineRule="exact"/>
              <w:ind w:firstLine="0" w:firstLineChars="0"/>
              <w:rPr>
                <w:rFonts w:cs="Times New Roman"/>
              </w:rPr>
            </w:pPr>
            <w:r>
              <w:rPr>
                <w:rFonts w:cs="Times New Roman"/>
              </w:rPr>
              <w:t>校核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91" w:hRule="atLeast"/>
          <w:jc w:val="center"/>
        </w:trPr>
        <w:tc>
          <w:tcPr>
            <w:tcW w:w="8897" w:type="dxa"/>
            <w:gridSpan w:val="6"/>
            <w:tcBorders>
              <w:top w:val="single" w:color="auto" w:sz="4" w:space="0"/>
            </w:tcBorders>
          </w:tcPr>
          <w:p>
            <w:pPr>
              <w:spacing w:line="440" w:lineRule="exact"/>
              <w:ind w:firstLine="0" w:firstLineChars="0"/>
              <w:rPr>
                <w:rFonts w:cs="Times New Roman"/>
              </w:rPr>
            </w:pPr>
            <w:r>
              <w:rPr>
                <w:rFonts w:cs="Times New Roman"/>
              </w:rPr>
              <w:t>日期</w:t>
            </w:r>
          </w:p>
        </w:tc>
        <w:tc>
          <w:tcPr>
            <w:tcW w:w="4962" w:type="dxa"/>
            <w:gridSpan w:val="5"/>
          </w:tcPr>
          <w:p>
            <w:pPr>
              <w:spacing w:line="440" w:lineRule="exact"/>
              <w:ind w:firstLine="0" w:firstLineChars="0"/>
              <w:rPr>
                <w:rFonts w:cs="Times New Roman"/>
              </w:rPr>
            </w:pPr>
            <w:r>
              <w:rPr>
                <w:rFonts w:cs="Times New Roman"/>
              </w:rPr>
              <w:t>日期</w:t>
            </w:r>
          </w:p>
        </w:tc>
      </w:tr>
    </w:tbl>
    <w:p>
      <w:pPr>
        <w:ind w:firstLine="480"/>
        <w:rPr>
          <w:rFonts w:cs="Times New Roman"/>
          <w:szCs w:val="28"/>
        </w:rPr>
        <w:sectPr>
          <w:pgSz w:w="16838" w:h="11906" w:orient="landscape"/>
          <w:pgMar w:top="1797" w:right="1440" w:bottom="1797" w:left="1440" w:header="851" w:footer="992" w:gutter="0"/>
          <w:cols w:space="425" w:num="1"/>
          <w:docGrid w:type="linesAndChars" w:linePitch="326" w:charSpace="0"/>
        </w:sectPr>
      </w:pPr>
    </w:p>
    <w:p>
      <w:pPr>
        <w:widowControl/>
        <w:spacing w:before="156" w:beforeLines="50"/>
        <w:ind w:firstLine="0" w:firstLineChars="0"/>
        <w:jc w:val="center"/>
        <w:rPr>
          <w:rFonts w:cs="Times New Roman"/>
          <w:b/>
          <w:bCs/>
          <w:szCs w:val="28"/>
        </w:rPr>
      </w:pPr>
      <w:r>
        <w:rPr>
          <w:rFonts w:cs="Times New Roman"/>
          <w:b/>
          <w:bCs/>
          <w:szCs w:val="28"/>
        </w:rPr>
        <w:t>表B.0.</w:t>
      </w:r>
      <w:r>
        <w:rPr>
          <w:rFonts w:hint="eastAsia" w:cs="Times New Roman"/>
          <w:b/>
          <w:bCs/>
          <w:szCs w:val="28"/>
        </w:rPr>
        <w:t>2</w:t>
      </w:r>
      <w:r>
        <w:rPr>
          <w:rFonts w:cs="Times New Roman"/>
          <w:b/>
          <w:bCs/>
          <w:szCs w:val="28"/>
        </w:rPr>
        <w:t xml:space="preserve">  污染源清单</w:t>
      </w:r>
    </w:p>
    <w:tbl>
      <w:tblPr>
        <w:tblStyle w:val="39"/>
        <w:tblW w:w="92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3"/>
        <w:gridCol w:w="2464"/>
        <w:gridCol w:w="1333"/>
        <w:gridCol w:w="1300"/>
        <w:gridCol w:w="1281"/>
        <w:gridCol w:w="2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4640" w:type="dxa"/>
            <w:gridSpan w:val="3"/>
            <w:vMerge w:val="restart"/>
          </w:tcPr>
          <w:p>
            <w:pPr>
              <w:spacing w:line="380" w:lineRule="exact"/>
              <w:ind w:firstLine="0" w:firstLineChars="0"/>
              <w:rPr>
                <w:rFonts w:cs="Times New Roman"/>
              </w:rPr>
            </w:pPr>
            <w:r>
              <w:rPr>
                <w:rFonts w:cs="Times New Roman"/>
              </w:rPr>
              <w:t>流域编号（或名称）：</w:t>
            </w:r>
          </w:p>
        </w:tc>
        <w:tc>
          <w:tcPr>
            <w:tcW w:w="4613" w:type="dxa"/>
            <w:gridSpan w:val="3"/>
            <w:vAlign w:val="center"/>
          </w:tcPr>
          <w:p>
            <w:pPr>
              <w:spacing w:line="380" w:lineRule="exact"/>
              <w:ind w:firstLine="0" w:firstLineChars="0"/>
              <w:jc w:val="left"/>
              <w:rPr>
                <w:rFonts w:cs="Times New Roman"/>
              </w:rPr>
            </w:pPr>
            <w:r>
              <w:rPr>
                <w:rFonts w:cs="Times New Roman"/>
              </w:rPr>
              <w:t>图幅编号：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4640" w:type="dxa"/>
            <w:gridSpan w:val="3"/>
            <w:vMerge w:val="continue"/>
            <w:vAlign w:val="center"/>
          </w:tcPr>
          <w:p>
            <w:pPr>
              <w:spacing w:line="380" w:lineRule="exact"/>
              <w:ind w:firstLine="0" w:firstLineChars="0"/>
              <w:jc w:val="left"/>
              <w:rPr>
                <w:rFonts w:cs="Times New Roman"/>
              </w:rPr>
            </w:pPr>
          </w:p>
        </w:tc>
        <w:tc>
          <w:tcPr>
            <w:tcW w:w="4613" w:type="dxa"/>
            <w:gridSpan w:val="3"/>
            <w:vAlign w:val="center"/>
          </w:tcPr>
          <w:p>
            <w:pPr>
              <w:spacing w:line="380" w:lineRule="exact"/>
              <w:ind w:firstLine="0" w:firstLineChars="0"/>
              <w:jc w:val="left"/>
              <w:rPr>
                <w:rFonts w:cs="Times New Roman"/>
              </w:rPr>
            </w:pPr>
            <w:r>
              <w:rPr>
                <w:rFonts w:cs="Times New Roman"/>
              </w:rPr>
              <w:t>调查单位（可选）：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843" w:type="dxa"/>
            <w:vAlign w:val="center"/>
          </w:tcPr>
          <w:p>
            <w:pPr>
              <w:spacing w:line="380" w:lineRule="exact"/>
              <w:ind w:firstLine="0" w:firstLineChars="0"/>
              <w:jc w:val="center"/>
              <w:rPr>
                <w:rFonts w:cs="Times New Roman"/>
              </w:rPr>
            </w:pPr>
            <w:r>
              <w:rPr>
                <w:rFonts w:cs="Times New Roman"/>
              </w:rPr>
              <w:t>编号</w:t>
            </w:r>
          </w:p>
        </w:tc>
        <w:tc>
          <w:tcPr>
            <w:tcW w:w="2464" w:type="dxa"/>
            <w:vAlign w:val="center"/>
          </w:tcPr>
          <w:p>
            <w:pPr>
              <w:spacing w:line="380" w:lineRule="exact"/>
              <w:ind w:firstLine="0" w:firstLineChars="0"/>
              <w:jc w:val="center"/>
              <w:rPr>
                <w:rFonts w:cs="Times New Roman"/>
              </w:rPr>
            </w:pPr>
            <w:r>
              <w:rPr>
                <w:rFonts w:cs="Times New Roman"/>
              </w:rPr>
              <w:t>排污口名称</w:t>
            </w:r>
          </w:p>
        </w:tc>
        <w:tc>
          <w:tcPr>
            <w:tcW w:w="1333" w:type="dxa"/>
            <w:vAlign w:val="center"/>
          </w:tcPr>
          <w:p>
            <w:pPr>
              <w:spacing w:line="380" w:lineRule="exact"/>
              <w:ind w:firstLine="0" w:firstLineChars="0"/>
              <w:jc w:val="center"/>
              <w:rPr>
                <w:rFonts w:cs="Times New Roman"/>
              </w:rPr>
            </w:pPr>
            <w:r>
              <w:rPr>
                <w:rFonts w:cs="Times New Roman"/>
              </w:rPr>
              <w:t>位置</w:t>
            </w:r>
          </w:p>
        </w:tc>
        <w:tc>
          <w:tcPr>
            <w:tcW w:w="1300" w:type="dxa"/>
            <w:vAlign w:val="center"/>
          </w:tcPr>
          <w:p>
            <w:pPr>
              <w:spacing w:line="380" w:lineRule="exact"/>
              <w:ind w:firstLine="0" w:firstLineChars="0"/>
              <w:jc w:val="center"/>
              <w:rPr>
                <w:rFonts w:cs="Times New Roman"/>
              </w:rPr>
            </w:pPr>
            <w:r>
              <w:rPr>
                <w:rFonts w:cs="Times New Roman"/>
              </w:rPr>
              <w:t>排放方式</w:t>
            </w:r>
          </w:p>
        </w:tc>
        <w:tc>
          <w:tcPr>
            <w:tcW w:w="1281" w:type="dxa"/>
            <w:vAlign w:val="center"/>
          </w:tcPr>
          <w:p>
            <w:pPr>
              <w:spacing w:line="380" w:lineRule="exact"/>
              <w:ind w:firstLine="0" w:firstLineChars="0"/>
              <w:jc w:val="center"/>
              <w:rPr>
                <w:rFonts w:cs="Times New Roman"/>
              </w:rPr>
            </w:pPr>
            <w:r>
              <w:rPr>
                <w:rFonts w:cs="Times New Roman"/>
              </w:rPr>
              <w:t>排放量</w:t>
            </w:r>
          </w:p>
        </w:tc>
        <w:tc>
          <w:tcPr>
            <w:tcW w:w="2032" w:type="dxa"/>
            <w:vAlign w:val="center"/>
          </w:tcPr>
          <w:p>
            <w:pPr>
              <w:spacing w:line="380" w:lineRule="exact"/>
              <w:ind w:firstLine="0" w:firstLineChars="0"/>
              <w:rPr>
                <w:rFonts w:cs="Times New Roman"/>
              </w:rPr>
            </w:pPr>
            <w:r>
              <w:rPr>
                <w:rFonts w:cs="Times New Roman"/>
              </w:rPr>
              <w:t>治理现状和规划</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2464"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2464"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2464"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2464"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2464"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2464"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7" w:hRule="atLeast"/>
          <w:jc w:val="center"/>
        </w:trPr>
        <w:tc>
          <w:tcPr>
            <w:tcW w:w="5940" w:type="dxa"/>
            <w:gridSpan w:val="4"/>
            <w:tcBorders>
              <w:bottom w:val="single" w:color="auto" w:sz="4" w:space="0"/>
            </w:tcBorders>
          </w:tcPr>
          <w:p>
            <w:pPr>
              <w:spacing w:line="440" w:lineRule="exact"/>
              <w:ind w:firstLine="0" w:firstLineChars="0"/>
              <w:rPr>
                <w:rFonts w:cs="Times New Roman"/>
              </w:rPr>
            </w:pPr>
            <w:r>
              <w:rPr>
                <w:rFonts w:cs="Times New Roman"/>
              </w:rPr>
              <w:t>填表</w:t>
            </w:r>
          </w:p>
        </w:tc>
        <w:tc>
          <w:tcPr>
            <w:tcW w:w="3313" w:type="dxa"/>
            <w:gridSpan w:val="2"/>
          </w:tcPr>
          <w:p>
            <w:pPr>
              <w:spacing w:line="440" w:lineRule="exact"/>
              <w:ind w:firstLine="0" w:firstLineChars="0"/>
              <w:rPr>
                <w:rFonts w:cs="Times New Roman"/>
              </w:rPr>
            </w:pPr>
            <w:r>
              <w:rPr>
                <w:rFonts w:cs="Times New Roman"/>
              </w:rPr>
              <w:t>校核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31" w:hRule="atLeast"/>
          <w:jc w:val="center"/>
        </w:trPr>
        <w:tc>
          <w:tcPr>
            <w:tcW w:w="5940" w:type="dxa"/>
            <w:gridSpan w:val="4"/>
            <w:tcBorders>
              <w:top w:val="single" w:color="auto" w:sz="4" w:space="0"/>
            </w:tcBorders>
          </w:tcPr>
          <w:p>
            <w:pPr>
              <w:spacing w:line="440" w:lineRule="exact"/>
              <w:ind w:firstLine="0" w:firstLineChars="0"/>
              <w:rPr>
                <w:rFonts w:cs="Times New Roman"/>
              </w:rPr>
            </w:pPr>
            <w:r>
              <w:rPr>
                <w:rFonts w:cs="Times New Roman"/>
              </w:rPr>
              <w:t>日期</w:t>
            </w:r>
          </w:p>
        </w:tc>
        <w:tc>
          <w:tcPr>
            <w:tcW w:w="3313" w:type="dxa"/>
            <w:gridSpan w:val="2"/>
          </w:tcPr>
          <w:p>
            <w:pPr>
              <w:spacing w:line="440" w:lineRule="exact"/>
              <w:ind w:firstLine="0" w:firstLineChars="0"/>
              <w:rPr>
                <w:rFonts w:cs="Times New Roman"/>
              </w:rPr>
            </w:pPr>
            <w:r>
              <w:rPr>
                <w:rFonts w:cs="Times New Roman"/>
              </w:rPr>
              <w:t>日期</w:t>
            </w:r>
          </w:p>
        </w:tc>
      </w:tr>
    </w:tbl>
    <w:p>
      <w:pPr>
        <w:widowControl/>
        <w:ind w:firstLine="480"/>
        <w:jc w:val="left"/>
        <w:rPr>
          <w:rFonts w:eastAsia="仿宋" w:cs="Times New Roman"/>
          <w:kern w:val="0"/>
          <w:szCs w:val="24"/>
          <w:lang w:bidi="ar"/>
        </w:rPr>
      </w:pPr>
      <w:r>
        <w:rPr>
          <w:rFonts w:eastAsia="仿宋" w:cs="Times New Roman"/>
          <w:kern w:val="0"/>
          <w:szCs w:val="24"/>
          <w:lang w:bidi="ar"/>
        </w:rPr>
        <w:t>注：各污染源应以重要性顺序排序；</w:t>
      </w:r>
    </w:p>
    <w:p>
      <w:pPr>
        <w:widowControl/>
        <w:ind w:firstLine="0" w:firstLineChars="0"/>
        <w:jc w:val="left"/>
        <w:rPr>
          <w:rFonts w:eastAsia="仿宋" w:cs="Times New Roman"/>
          <w:kern w:val="0"/>
          <w:szCs w:val="24"/>
          <w:lang w:bidi="ar"/>
        </w:rPr>
      </w:pPr>
    </w:p>
    <w:p>
      <w:pPr>
        <w:widowControl/>
        <w:ind w:firstLine="0" w:firstLineChars="0"/>
        <w:jc w:val="left"/>
        <w:rPr>
          <w:rFonts w:eastAsia="仿宋" w:cs="Times New Roman"/>
          <w:kern w:val="0"/>
          <w:szCs w:val="24"/>
          <w:lang w:bidi="ar"/>
        </w:rPr>
        <w:sectPr>
          <w:pgSz w:w="11906" w:h="16838"/>
          <w:pgMar w:top="1440" w:right="1800" w:bottom="1440" w:left="1800" w:header="851" w:footer="992" w:gutter="0"/>
          <w:cols w:space="425" w:num="1"/>
          <w:docGrid w:type="lines" w:linePitch="312" w:charSpace="0"/>
        </w:sectPr>
      </w:pPr>
    </w:p>
    <w:p>
      <w:pPr>
        <w:widowControl/>
        <w:spacing w:before="156" w:beforeLines="50"/>
        <w:ind w:firstLine="0" w:firstLineChars="0"/>
        <w:jc w:val="center"/>
        <w:rPr>
          <w:rFonts w:cs="Times New Roman"/>
          <w:b/>
          <w:bCs/>
          <w:szCs w:val="28"/>
        </w:rPr>
      </w:pPr>
      <w:r>
        <w:rPr>
          <w:rFonts w:cs="Times New Roman"/>
          <w:b/>
          <w:bCs/>
          <w:szCs w:val="28"/>
        </w:rPr>
        <w:t>表</w:t>
      </w:r>
      <w:r>
        <w:rPr>
          <w:rFonts w:hint="eastAsia" w:cs="Times New Roman"/>
          <w:b/>
          <w:bCs/>
          <w:szCs w:val="28"/>
        </w:rPr>
        <w:t>B</w:t>
      </w:r>
      <w:r>
        <w:rPr>
          <w:rFonts w:cs="Times New Roman"/>
          <w:b/>
          <w:bCs/>
          <w:szCs w:val="28"/>
        </w:rPr>
        <w:t>.0.</w:t>
      </w:r>
      <w:r>
        <w:rPr>
          <w:rFonts w:hint="eastAsia" w:cs="Times New Roman"/>
          <w:b/>
          <w:bCs/>
          <w:szCs w:val="28"/>
        </w:rPr>
        <w:t>3</w:t>
      </w:r>
      <w:r>
        <w:rPr>
          <w:rFonts w:cs="Times New Roman"/>
          <w:b/>
          <w:bCs/>
          <w:szCs w:val="28"/>
        </w:rPr>
        <w:t xml:space="preserve">  </w:t>
      </w:r>
      <w:r>
        <w:rPr>
          <w:rFonts w:hint="eastAsia" w:cs="Times New Roman"/>
          <w:b/>
          <w:bCs/>
          <w:szCs w:val="28"/>
        </w:rPr>
        <w:t>治理设施汇总表</w:t>
      </w:r>
    </w:p>
    <w:tbl>
      <w:tblPr>
        <w:tblStyle w:val="39"/>
        <w:tblW w:w="92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3"/>
        <w:gridCol w:w="1670"/>
        <w:gridCol w:w="2127"/>
        <w:gridCol w:w="1300"/>
        <w:gridCol w:w="1281"/>
        <w:gridCol w:w="2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4640" w:type="dxa"/>
            <w:gridSpan w:val="3"/>
            <w:vMerge w:val="restart"/>
          </w:tcPr>
          <w:p>
            <w:pPr>
              <w:spacing w:line="380" w:lineRule="exact"/>
              <w:ind w:firstLine="0" w:firstLineChars="0"/>
              <w:rPr>
                <w:rFonts w:cs="Times New Roman"/>
              </w:rPr>
            </w:pPr>
            <w:r>
              <w:rPr>
                <w:rFonts w:cs="Times New Roman"/>
              </w:rPr>
              <w:t>流域编号（或名称）：</w:t>
            </w:r>
          </w:p>
        </w:tc>
        <w:tc>
          <w:tcPr>
            <w:tcW w:w="4613" w:type="dxa"/>
            <w:gridSpan w:val="3"/>
            <w:vAlign w:val="center"/>
          </w:tcPr>
          <w:p>
            <w:pPr>
              <w:spacing w:line="380" w:lineRule="exact"/>
              <w:ind w:firstLine="0" w:firstLineChars="0"/>
              <w:jc w:val="left"/>
              <w:rPr>
                <w:rFonts w:cs="Times New Roman"/>
              </w:rPr>
            </w:pPr>
            <w:r>
              <w:rPr>
                <w:rFonts w:cs="Times New Roman"/>
              </w:rPr>
              <w:t>图幅编号：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4640" w:type="dxa"/>
            <w:gridSpan w:val="3"/>
            <w:vMerge w:val="continue"/>
            <w:vAlign w:val="center"/>
          </w:tcPr>
          <w:p>
            <w:pPr>
              <w:spacing w:line="380" w:lineRule="exact"/>
              <w:ind w:firstLine="0" w:firstLineChars="0"/>
              <w:jc w:val="left"/>
              <w:rPr>
                <w:rFonts w:cs="Times New Roman"/>
              </w:rPr>
            </w:pPr>
          </w:p>
        </w:tc>
        <w:tc>
          <w:tcPr>
            <w:tcW w:w="4613" w:type="dxa"/>
            <w:gridSpan w:val="3"/>
            <w:vAlign w:val="center"/>
          </w:tcPr>
          <w:p>
            <w:pPr>
              <w:spacing w:line="380" w:lineRule="exact"/>
              <w:ind w:firstLine="0" w:firstLineChars="0"/>
              <w:jc w:val="left"/>
              <w:rPr>
                <w:rFonts w:cs="Times New Roman"/>
              </w:rPr>
            </w:pPr>
            <w:r>
              <w:rPr>
                <w:rFonts w:cs="Times New Roman"/>
              </w:rPr>
              <w:t>调查单位（可选）：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83" w:hRule="atLeast"/>
          <w:jc w:val="center"/>
        </w:trPr>
        <w:tc>
          <w:tcPr>
            <w:tcW w:w="843" w:type="dxa"/>
            <w:vAlign w:val="center"/>
          </w:tcPr>
          <w:p>
            <w:pPr>
              <w:spacing w:line="380" w:lineRule="exact"/>
              <w:ind w:firstLine="0" w:firstLineChars="0"/>
              <w:jc w:val="center"/>
              <w:rPr>
                <w:rFonts w:cs="Times New Roman"/>
              </w:rPr>
            </w:pPr>
            <w:r>
              <w:rPr>
                <w:rFonts w:cs="Times New Roman"/>
              </w:rPr>
              <w:t>编号</w:t>
            </w:r>
          </w:p>
        </w:tc>
        <w:tc>
          <w:tcPr>
            <w:tcW w:w="1670" w:type="dxa"/>
            <w:vAlign w:val="center"/>
          </w:tcPr>
          <w:p>
            <w:pPr>
              <w:spacing w:line="380" w:lineRule="exact"/>
              <w:ind w:firstLine="0" w:firstLineChars="0"/>
              <w:jc w:val="center"/>
              <w:rPr>
                <w:rFonts w:cs="Times New Roman"/>
              </w:rPr>
            </w:pPr>
            <w:r>
              <w:rPr>
                <w:rFonts w:hint="eastAsia" w:cs="Times New Roman"/>
              </w:rPr>
              <w:t>治理设施类型</w:t>
            </w:r>
          </w:p>
        </w:tc>
        <w:tc>
          <w:tcPr>
            <w:tcW w:w="2127" w:type="dxa"/>
            <w:vAlign w:val="center"/>
          </w:tcPr>
          <w:p>
            <w:pPr>
              <w:spacing w:line="380" w:lineRule="exact"/>
              <w:ind w:firstLine="0" w:firstLineChars="0"/>
              <w:jc w:val="center"/>
              <w:rPr>
                <w:rFonts w:cs="Times New Roman"/>
              </w:rPr>
            </w:pPr>
            <w:r>
              <w:rPr>
                <w:rFonts w:cs="Times New Roman"/>
              </w:rPr>
              <w:t>名称</w:t>
            </w:r>
          </w:p>
        </w:tc>
        <w:tc>
          <w:tcPr>
            <w:tcW w:w="1300" w:type="dxa"/>
            <w:vAlign w:val="center"/>
          </w:tcPr>
          <w:p>
            <w:pPr>
              <w:spacing w:line="380" w:lineRule="exact"/>
              <w:ind w:firstLine="0" w:firstLineChars="0"/>
              <w:jc w:val="center"/>
              <w:rPr>
                <w:rFonts w:cs="Times New Roman"/>
              </w:rPr>
            </w:pPr>
            <w:r>
              <w:rPr>
                <w:rFonts w:cs="Times New Roman"/>
              </w:rPr>
              <w:t>位置</w:t>
            </w:r>
          </w:p>
        </w:tc>
        <w:tc>
          <w:tcPr>
            <w:tcW w:w="1281" w:type="dxa"/>
            <w:vAlign w:val="center"/>
          </w:tcPr>
          <w:p>
            <w:pPr>
              <w:spacing w:line="380" w:lineRule="exact"/>
              <w:ind w:firstLine="0" w:firstLineChars="0"/>
              <w:jc w:val="center"/>
              <w:rPr>
                <w:rFonts w:cs="Times New Roman"/>
              </w:rPr>
            </w:pPr>
            <w:r>
              <w:rPr>
                <w:rFonts w:hint="eastAsia" w:cs="Times New Roman"/>
              </w:rPr>
              <w:t>建设情况</w:t>
            </w:r>
          </w:p>
        </w:tc>
        <w:tc>
          <w:tcPr>
            <w:tcW w:w="2032" w:type="dxa"/>
            <w:vAlign w:val="center"/>
          </w:tcPr>
          <w:p>
            <w:pPr>
              <w:spacing w:line="380" w:lineRule="exact"/>
              <w:ind w:firstLine="0" w:firstLineChars="0"/>
              <w:jc w:val="center"/>
              <w:rPr>
                <w:rFonts w:cs="Times New Roman"/>
              </w:rPr>
            </w:pPr>
            <w:r>
              <w:rPr>
                <w:rFonts w:hint="eastAsia" w:cs="Times New Roman"/>
              </w:rPr>
              <w:t>运行情况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2127"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2127"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2127"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2127"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2127"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2127"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2032"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7" w:hRule="atLeast"/>
          <w:jc w:val="center"/>
        </w:trPr>
        <w:tc>
          <w:tcPr>
            <w:tcW w:w="5940" w:type="dxa"/>
            <w:gridSpan w:val="4"/>
            <w:tcBorders>
              <w:bottom w:val="single" w:color="auto" w:sz="4" w:space="0"/>
            </w:tcBorders>
          </w:tcPr>
          <w:p>
            <w:pPr>
              <w:spacing w:line="440" w:lineRule="exact"/>
              <w:ind w:firstLine="0" w:firstLineChars="0"/>
              <w:rPr>
                <w:rFonts w:cs="Times New Roman"/>
              </w:rPr>
            </w:pPr>
            <w:r>
              <w:rPr>
                <w:rFonts w:cs="Times New Roman"/>
              </w:rPr>
              <w:t>填表</w:t>
            </w:r>
          </w:p>
        </w:tc>
        <w:tc>
          <w:tcPr>
            <w:tcW w:w="3313" w:type="dxa"/>
            <w:gridSpan w:val="2"/>
          </w:tcPr>
          <w:p>
            <w:pPr>
              <w:spacing w:line="440" w:lineRule="exact"/>
              <w:ind w:firstLine="0" w:firstLineChars="0"/>
              <w:rPr>
                <w:rFonts w:cs="Times New Roman"/>
              </w:rPr>
            </w:pPr>
            <w:r>
              <w:rPr>
                <w:rFonts w:cs="Times New Roman"/>
              </w:rPr>
              <w:t>校核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9" w:hRule="atLeast"/>
          <w:jc w:val="center"/>
        </w:trPr>
        <w:tc>
          <w:tcPr>
            <w:tcW w:w="5940" w:type="dxa"/>
            <w:gridSpan w:val="4"/>
            <w:tcBorders>
              <w:top w:val="single" w:color="auto" w:sz="4" w:space="0"/>
            </w:tcBorders>
          </w:tcPr>
          <w:p>
            <w:pPr>
              <w:spacing w:line="440" w:lineRule="exact"/>
              <w:ind w:firstLine="0" w:firstLineChars="0"/>
              <w:rPr>
                <w:rFonts w:cs="Times New Roman"/>
              </w:rPr>
            </w:pPr>
            <w:r>
              <w:rPr>
                <w:rFonts w:cs="Times New Roman"/>
              </w:rPr>
              <w:t>日期</w:t>
            </w:r>
          </w:p>
        </w:tc>
        <w:tc>
          <w:tcPr>
            <w:tcW w:w="3313" w:type="dxa"/>
            <w:gridSpan w:val="2"/>
          </w:tcPr>
          <w:p>
            <w:pPr>
              <w:spacing w:line="440" w:lineRule="exact"/>
              <w:ind w:firstLine="0" w:firstLineChars="0"/>
              <w:rPr>
                <w:rFonts w:cs="Times New Roman"/>
              </w:rPr>
            </w:pPr>
            <w:r>
              <w:rPr>
                <w:rFonts w:cs="Times New Roman"/>
              </w:rPr>
              <w:t>日期</w:t>
            </w:r>
          </w:p>
        </w:tc>
      </w:tr>
    </w:tbl>
    <w:p>
      <w:pPr>
        <w:ind w:firstLine="480"/>
        <w:rPr>
          <w:rFonts w:eastAsia="仿宋" w:cs="Times New Roman"/>
          <w:kern w:val="0"/>
          <w:szCs w:val="24"/>
          <w:lang w:bidi="ar"/>
        </w:rPr>
      </w:pPr>
      <w:r>
        <w:rPr>
          <w:rFonts w:eastAsia="仿宋" w:cs="Times New Roman"/>
          <w:kern w:val="0"/>
          <w:szCs w:val="24"/>
          <w:lang w:bidi="ar"/>
        </w:rPr>
        <w:t>注：</w:t>
      </w:r>
    </w:p>
    <w:p>
      <w:pPr>
        <w:numPr>
          <w:ilvl w:val="0"/>
          <w:numId w:val="37"/>
        </w:numPr>
        <w:ind w:left="0" w:firstLine="480"/>
        <w:rPr>
          <w:rFonts w:eastAsia="仿宋" w:cs="Times New Roman"/>
          <w:kern w:val="0"/>
          <w:szCs w:val="24"/>
          <w:lang w:bidi="ar"/>
        </w:rPr>
      </w:pPr>
      <w:r>
        <w:rPr>
          <w:rFonts w:hint="eastAsia" w:eastAsia="仿宋" w:cs="Times New Roman"/>
          <w:kern w:val="0"/>
          <w:szCs w:val="24"/>
          <w:lang w:bidi="ar"/>
        </w:rPr>
        <w:t>治理设施类型指截污管网、污水集中处理设施、污水临时处理设施、污泥处理设施或监控设施等。</w:t>
      </w:r>
    </w:p>
    <w:p>
      <w:pPr>
        <w:numPr>
          <w:ilvl w:val="0"/>
          <w:numId w:val="37"/>
        </w:numPr>
        <w:ind w:left="0" w:firstLine="480"/>
        <w:rPr>
          <w:rFonts w:eastAsia="仿宋" w:cs="Times New Roman"/>
          <w:kern w:val="0"/>
          <w:szCs w:val="24"/>
          <w:lang w:bidi="ar"/>
        </w:rPr>
      </w:pPr>
      <w:r>
        <w:rPr>
          <w:rFonts w:hint="eastAsia" w:eastAsia="仿宋" w:cs="Times New Roman"/>
          <w:kern w:val="0"/>
          <w:szCs w:val="24"/>
          <w:lang w:bidi="ar"/>
        </w:rPr>
        <w:t>建设情况指已建、在建或拟建。</w:t>
      </w:r>
    </w:p>
    <w:p>
      <w:pPr>
        <w:numPr>
          <w:ilvl w:val="0"/>
          <w:numId w:val="37"/>
        </w:numPr>
        <w:ind w:left="0" w:firstLine="480"/>
        <w:rPr>
          <w:rFonts w:eastAsia="仿宋" w:cs="Times New Roman"/>
          <w:kern w:val="0"/>
          <w:szCs w:val="24"/>
          <w:lang w:bidi="ar"/>
        </w:rPr>
        <w:sectPr>
          <w:pgSz w:w="11906" w:h="16838"/>
          <w:pgMar w:top="1440" w:right="1800" w:bottom="1440" w:left="1800" w:header="851" w:footer="992" w:gutter="0"/>
          <w:cols w:space="425" w:num="1"/>
          <w:docGrid w:type="lines" w:linePitch="312" w:charSpace="0"/>
        </w:sectPr>
      </w:pPr>
      <w:r>
        <w:rPr>
          <w:rFonts w:hint="eastAsia" w:eastAsia="仿宋" w:cs="Times New Roman"/>
          <w:kern w:val="0"/>
          <w:szCs w:val="24"/>
          <w:lang w:bidi="ar"/>
        </w:rPr>
        <w:t>运行情况应简述</w:t>
      </w:r>
    </w:p>
    <w:p>
      <w:pPr>
        <w:widowControl/>
        <w:spacing w:before="156" w:beforeLines="50"/>
        <w:ind w:firstLine="0" w:firstLineChars="0"/>
        <w:jc w:val="center"/>
        <w:rPr>
          <w:rFonts w:cs="Times New Roman"/>
          <w:b/>
          <w:bCs/>
          <w:szCs w:val="28"/>
        </w:rPr>
      </w:pPr>
      <w:r>
        <w:rPr>
          <w:rFonts w:cs="Times New Roman"/>
          <w:b/>
          <w:bCs/>
          <w:szCs w:val="28"/>
        </w:rPr>
        <w:t>表B.0.</w:t>
      </w:r>
      <w:r>
        <w:rPr>
          <w:rFonts w:hint="eastAsia" w:cs="Times New Roman"/>
          <w:b/>
          <w:bCs/>
          <w:szCs w:val="28"/>
        </w:rPr>
        <w:t>4</w:t>
      </w:r>
      <w:r>
        <w:rPr>
          <w:rFonts w:cs="Times New Roman"/>
          <w:b/>
          <w:bCs/>
          <w:szCs w:val="28"/>
        </w:rPr>
        <w:t xml:space="preserve">  </w:t>
      </w:r>
      <w:r>
        <w:rPr>
          <w:rFonts w:hint="eastAsia" w:cs="Times New Roman"/>
          <w:b/>
          <w:bCs/>
          <w:szCs w:val="28"/>
        </w:rPr>
        <w:t>公众调查汇总表</w:t>
      </w:r>
    </w:p>
    <w:tbl>
      <w:tblPr>
        <w:tblStyle w:val="39"/>
        <w:tblW w:w="92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3"/>
        <w:gridCol w:w="1670"/>
        <w:gridCol w:w="1123"/>
        <w:gridCol w:w="1004"/>
        <w:gridCol w:w="119"/>
        <w:gridCol w:w="1123"/>
        <w:gridCol w:w="58"/>
        <w:gridCol w:w="1065"/>
        <w:gridCol w:w="1123"/>
        <w:gridCol w:w="11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4640" w:type="dxa"/>
            <w:gridSpan w:val="4"/>
            <w:vMerge w:val="restart"/>
          </w:tcPr>
          <w:p>
            <w:pPr>
              <w:spacing w:line="380" w:lineRule="exact"/>
              <w:ind w:firstLine="0" w:firstLineChars="0"/>
              <w:rPr>
                <w:rFonts w:cs="Times New Roman"/>
              </w:rPr>
            </w:pPr>
            <w:r>
              <w:rPr>
                <w:rFonts w:cs="Times New Roman"/>
              </w:rPr>
              <w:t>流域编号（或名称）：</w:t>
            </w:r>
          </w:p>
        </w:tc>
        <w:tc>
          <w:tcPr>
            <w:tcW w:w="4613" w:type="dxa"/>
            <w:gridSpan w:val="6"/>
            <w:vAlign w:val="center"/>
          </w:tcPr>
          <w:p>
            <w:pPr>
              <w:spacing w:line="380" w:lineRule="exact"/>
              <w:ind w:firstLine="0" w:firstLineChars="0"/>
              <w:jc w:val="left"/>
              <w:rPr>
                <w:rFonts w:cs="Times New Roman"/>
              </w:rPr>
            </w:pPr>
            <w:r>
              <w:rPr>
                <w:rFonts w:cs="Times New Roman"/>
              </w:rPr>
              <w:t>调查单位（可选）：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4640" w:type="dxa"/>
            <w:gridSpan w:val="4"/>
            <w:vMerge w:val="continue"/>
            <w:vAlign w:val="center"/>
          </w:tcPr>
          <w:p>
            <w:pPr>
              <w:spacing w:line="380" w:lineRule="exact"/>
              <w:ind w:firstLine="0" w:firstLineChars="0"/>
              <w:jc w:val="left"/>
              <w:rPr>
                <w:rFonts w:cs="Times New Roman"/>
              </w:rPr>
            </w:pPr>
          </w:p>
        </w:tc>
        <w:tc>
          <w:tcPr>
            <w:tcW w:w="4613" w:type="dxa"/>
            <w:gridSpan w:val="6"/>
            <w:vAlign w:val="center"/>
          </w:tcPr>
          <w:p>
            <w:pPr>
              <w:spacing w:line="380" w:lineRule="exact"/>
              <w:ind w:firstLine="0" w:firstLineChars="0"/>
              <w:jc w:val="left"/>
              <w:rPr>
                <w:rFonts w:cs="Times New Roman"/>
              </w:rPr>
            </w:pPr>
            <w:r>
              <w:rPr>
                <w:rFonts w:hint="eastAsia" w:cs="Times New Roman"/>
              </w:rPr>
              <w:t>汇总时间：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83" w:hRule="atLeast"/>
          <w:jc w:val="center"/>
        </w:trPr>
        <w:tc>
          <w:tcPr>
            <w:tcW w:w="843" w:type="dxa"/>
            <w:vMerge w:val="restart"/>
            <w:vAlign w:val="center"/>
          </w:tcPr>
          <w:p>
            <w:pPr>
              <w:spacing w:line="380" w:lineRule="exact"/>
              <w:ind w:firstLine="0" w:firstLineChars="0"/>
              <w:jc w:val="center"/>
              <w:rPr>
                <w:rFonts w:cs="Times New Roman"/>
              </w:rPr>
            </w:pPr>
            <w:r>
              <w:rPr>
                <w:rFonts w:cs="Times New Roman"/>
              </w:rPr>
              <w:t>编号</w:t>
            </w:r>
          </w:p>
        </w:tc>
        <w:tc>
          <w:tcPr>
            <w:tcW w:w="1670" w:type="dxa"/>
            <w:vMerge w:val="restart"/>
            <w:vAlign w:val="center"/>
          </w:tcPr>
          <w:p>
            <w:pPr>
              <w:spacing w:line="380" w:lineRule="exact"/>
              <w:ind w:firstLine="0" w:firstLineChars="0"/>
              <w:jc w:val="center"/>
              <w:rPr>
                <w:rFonts w:cs="Times New Roman"/>
              </w:rPr>
            </w:pPr>
            <w:r>
              <w:rPr>
                <w:rFonts w:hint="eastAsia" w:cs="Times New Roman"/>
              </w:rPr>
              <w:t>黑臭水体名称</w:t>
            </w:r>
          </w:p>
        </w:tc>
        <w:tc>
          <w:tcPr>
            <w:tcW w:w="3369" w:type="dxa"/>
            <w:gridSpan w:val="4"/>
            <w:vAlign w:val="center"/>
          </w:tcPr>
          <w:p>
            <w:pPr>
              <w:spacing w:line="380" w:lineRule="exact"/>
              <w:ind w:firstLine="0" w:firstLineChars="0"/>
              <w:jc w:val="center"/>
              <w:rPr>
                <w:rFonts w:cs="Times New Roman"/>
              </w:rPr>
            </w:pPr>
            <w:r>
              <w:rPr>
                <w:rFonts w:hint="eastAsia" w:cs="Times New Roman"/>
              </w:rPr>
              <w:t>水体臭味</w:t>
            </w:r>
          </w:p>
        </w:tc>
        <w:tc>
          <w:tcPr>
            <w:tcW w:w="3371" w:type="dxa"/>
            <w:gridSpan w:val="4"/>
            <w:vAlign w:val="center"/>
          </w:tcPr>
          <w:p>
            <w:pPr>
              <w:spacing w:line="380" w:lineRule="exact"/>
              <w:ind w:firstLine="0" w:firstLineChars="0"/>
              <w:jc w:val="center"/>
              <w:rPr>
                <w:rFonts w:cs="Times New Roman"/>
              </w:rPr>
            </w:pPr>
            <w:r>
              <w:rPr>
                <w:rFonts w:hint="eastAsia" w:cs="Times New Roman"/>
              </w:rPr>
              <w:t>水体颜色异常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Merge w:val="continue"/>
            <w:vAlign w:val="center"/>
          </w:tcPr>
          <w:p>
            <w:pPr>
              <w:spacing w:line="440" w:lineRule="exact"/>
              <w:ind w:firstLine="0" w:firstLineChars="0"/>
              <w:jc w:val="center"/>
              <w:rPr>
                <w:rFonts w:cs="Times New Roman"/>
              </w:rPr>
            </w:pPr>
          </w:p>
        </w:tc>
        <w:tc>
          <w:tcPr>
            <w:tcW w:w="1670" w:type="dxa"/>
            <w:vMerge w:val="continue"/>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r>
              <w:rPr>
                <w:rFonts w:hint="eastAsia" w:cs="Times New Roman"/>
              </w:rPr>
              <w:t>有，%</w:t>
            </w:r>
          </w:p>
        </w:tc>
        <w:tc>
          <w:tcPr>
            <w:tcW w:w="1123" w:type="dxa"/>
            <w:gridSpan w:val="2"/>
            <w:vAlign w:val="center"/>
          </w:tcPr>
          <w:p>
            <w:pPr>
              <w:spacing w:line="440" w:lineRule="exact"/>
              <w:ind w:firstLine="0" w:firstLineChars="0"/>
              <w:jc w:val="center"/>
              <w:rPr>
                <w:rFonts w:cs="Times New Roman"/>
              </w:rPr>
            </w:pPr>
            <w:r>
              <w:rPr>
                <w:rFonts w:hint="eastAsia" w:cs="Times New Roman"/>
              </w:rPr>
              <w:t>轻度，%</w:t>
            </w:r>
          </w:p>
        </w:tc>
        <w:tc>
          <w:tcPr>
            <w:tcW w:w="1123" w:type="dxa"/>
            <w:vAlign w:val="center"/>
          </w:tcPr>
          <w:p>
            <w:pPr>
              <w:spacing w:line="440" w:lineRule="exact"/>
              <w:ind w:firstLine="0" w:firstLineChars="0"/>
              <w:jc w:val="center"/>
              <w:rPr>
                <w:rFonts w:cs="Times New Roman"/>
              </w:rPr>
            </w:pPr>
            <w:r>
              <w:rPr>
                <w:rFonts w:hint="eastAsia" w:cs="Times New Roman"/>
              </w:rPr>
              <w:t>重度，%</w:t>
            </w:r>
          </w:p>
        </w:tc>
        <w:tc>
          <w:tcPr>
            <w:tcW w:w="1123" w:type="dxa"/>
            <w:gridSpan w:val="2"/>
            <w:vAlign w:val="center"/>
          </w:tcPr>
          <w:p>
            <w:pPr>
              <w:spacing w:line="440" w:lineRule="exact"/>
              <w:ind w:firstLine="0" w:firstLineChars="0"/>
              <w:jc w:val="center"/>
              <w:rPr>
                <w:rFonts w:cs="Times New Roman"/>
              </w:rPr>
            </w:pPr>
            <w:r>
              <w:rPr>
                <w:rFonts w:hint="eastAsia" w:cs="Times New Roman"/>
              </w:rPr>
              <w:t>有，%</w:t>
            </w:r>
          </w:p>
        </w:tc>
        <w:tc>
          <w:tcPr>
            <w:tcW w:w="1123" w:type="dxa"/>
            <w:vAlign w:val="center"/>
          </w:tcPr>
          <w:p>
            <w:pPr>
              <w:spacing w:line="440" w:lineRule="exact"/>
              <w:ind w:firstLine="0" w:firstLineChars="0"/>
              <w:jc w:val="center"/>
              <w:rPr>
                <w:rFonts w:cs="Times New Roman"/>
              </w:rPr>
            </w:pPr>
            <w:r>
              <w:rPr>
                <w:rFonts w:hint="eastAsia" w:cs="Times New Roman"/>
              </w:rPr>
              <w:t>轻度，%</w:t>
            </w:r>
          </w:p>
        </w:tc>
        <w:tc>
          <w:tcPr>
            <w:tcW w:w="1125" w:type="dxa"/>
            <w:vAlign w:val="center"/>
          </w:tcPr>
          <w:p>
            <w:pPr>
              <w:spacing w:line="440" w:lineRule="exact"/>
              <w:ind w:firstLine="0" w:firstLineChars="0"/>
              <w:jc w:val="center"/>
              <w:rPr>
                <w:rFonts w:cs="Times New Roman"/>
              </w:rPr>
            </w:pPr>
            <w:r>
              <w:rPr>
                <w:rFonts w:hint="eastAsia" w:cs="Times New Roman"/>
              </w:rPr>
              <w:t>重度，%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670" w:type="dxa"/>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3" w:type="dxa"/>
            <w:gridSpan w:val="2"/>
            <w:vAlign w:val="center"/>
          </w:tcPr>
          <w:p>
            <w:pPr>
              <w:spacing w:line="440" w:lineRule="exact"/>
              <w:ind w:firstLine="0" w:firstLineChars="0"/>
              <w:jc w:val="center"/>
              <w:rPr>
                <w:rFonts w:cs="Times New Roman"/>
              </w:rPr>
            </w:pPr>
          </w:p>
        </w:tc>
        <w:tc>
          <w:tcPr>
            <w:tcW w:w="1123" w:type="dxa"/>
            <w:vAlign w:val="center"/>
          </w:tcPr>
          <w:p>
            <w:pPr>
              <w:spacing w:line="440" w:lineRule="exact"/>
              <w:ind w:firstLine="0" w:firstLineChars="0"/>
              <w:jc w:val="center"/>
              <w:rPr>
                <w:rFonts w:cs="Times New Roman"/>
              </w:rPr>
            </w:pPr>
          </w:p>
        </w:tc>
        <w:tc>
          <w:tcPr>
            <w:tcW w:w="112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7" w:hRule="atLeast"/>
          <w:jc w:val="center"/>
        </w:trPr>
        <w:tc>
          <w:tcPr>
            <w:tcW w:w="5940" w:type="dxa"/>
            <w:gridSpan w:val="7"/>
            <w:tcBorders>
              <w:bottom w:val="single" w:color="auto" w:sz="4" w:space="0"/>
            </w:tcBorders>
          </w:tcPr>
          <w:p>
            <w:pPr>
              <w:spacing w:line="440" w:lineRule="exact"/>
              <w:ind w:firstLine="0" w:firstLineChars="0"/>
              <w:rPr>
                <w:rFonts w:cs="Times New Roman"/>
              </w:rPr>
            </w:pPr>
            <w:r>
              <w:rPr>
                <w:rFonts w:cs="Times New Roman"/>
              </w:rPr>
              <w:t>填表</w:t>
            </w:r>
          </w:p>
        </w:tc>
        <w:tc>
          <w:tcPr>
            <w:tcW w:w="3313" w:type="dxa"/>
            <w:gridSpan w:val="3"/>
          </w:tcPr>
          <w:p>
            <w:pPr>
              <w:spacing w:line="440" w:lineRule="exact"/>
              <w:ind w:firstLine="0" w:firstLineChars="0"/>
              <w:rPr>
                <w:rFonts w:cs="Times New Roman"/>
              </w:rPr>
            </w:pPr>
            <w:r>
              <w:rPr>
                <w:rFonts w:cs="Times New Roman"/>
              </w:rPr>
              <w:t>校核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9" w:hRule="atLeast"/>
          <w:jc w:val="center"/>
        </w:trPr>
        <w:tc>
          <w:tcPr>
            <w:tcW w:w="5940" w:type="dxa"/>
            <w:gridSpan w:val="7"/>
            <w:tcBorders>
              <w:top w:val="single" w:color="auto" w:sz="4" w:space="0"/>
            </w:tcBorders>
          </w:tcPr>
          <w:p>
            <w:pPr>
              <w:spacing w:line="440" w:lineRule="exact"/>
              <w:ind w:firstLine="0" w:firstLineChars="0"/>
              <w:rPr>
                <w:rFonts w:cs="Times New Roman"/>
              </w:rPr>
            </w:pPr>
            <w:r>
              <w:rPr>
                <w:rFonts w:cs="Times New Roman"/>
              </w:rPr>
              <w:t>日期</w:t>
            </w:r>
          </w:p>
        </w:tc>
        <w:tc>
          <w:tcPr>
            <w:tcW w:w="3313" w:type="dxa"/>
            <w:gridSpan w:val="3"/>
          </w:tcPr>
          <w:p>
            <w:pPr>
              <w:spacing w:line="440" w:lineRule="exact"/>
              <w:ind w:firstLine="0" w:firstLineChars="0"/>
              <w:rPr>
                <w:rFonts w:cs="Times New Roman"/>
              </w:rPr>
            </w:pPr>
            <w:r>
              <w:rPr>
                <w:rFonts w:cs="Times New Roman"/>
              </w:rPr>
              <w:t>日期</w:t>
            </w:r>
          </w:p>
        </w:tc>
      </w:tr>
    </w:tbl>
    <w:p>
      <w:pPr>
        <w:ind w:firstLine="480"/>
        <w:rPr>
          <w:rFonts w:cs="Times New Roman"/>
          <w:szCs w:val="28"/>
        </w:rPr>
        <w:sectPr>
          <w:headerReference r:id="rId10" w:type="default"/>
          <w:footerReference r:id="rId11" w:type="default"/>
          <w:pgSz w:w="11906" w:h="16838"/>
          <w:pgMar w:top="1440" w:right="1800" w:bottom="1440" w:left="1800" w:header="851" w:footer="992" w:gutter="0"/>
          <w:cols w:space="425" w:num="1"/>
          <w:docGrid w:type="lines" w:linePitch="312" w:charSpace="0"/>
        </w:sectPr>
      </w:pPr>
    </w:p>
    <w:p>
      <w:pPr>
        <w:widowControl/>
        <w:spacing w:before="156" w:beforeLines="50"/>
        <w:ind w:firstLine="0" w:firstLineChars="0"/>
        <w:jc w:val="center"/>
        <w:rPr>
          <w:rFonts w:cs="Times New Roman"/>
          <w:b/>
          <w:bCs/>
          <w:szCs w:val="28"/>
        </w:rPr>
      </w:pPr>
      <w:r>
        <w:rPr>
          <w:rFonts w:cs="Times New Roman"/>
          <w:b/>
          <w:bCs/>
          <w:szCs w:val="28"/>
        </w:rPr>
        <w:t>表B.0.</w:t>
      </w:r>
      <w:r>
        <w:rPr>
          <w:rFonts w:hint="eastAsia" w:cs="Times New Roman"/>
          <w:b/>
          <w:bCs/>
          <w:szCs w:val="28"/>
        </w:rPr>
        <w:t>5</w:t>
      </w:r>
      <w:r>
        <w:rPr>
          <w:rFonts w:cs="Times New Roman"/>
          <w:b/>
          <w:bCs/>
          <w:szCs w:val="28"/>
        </w:rPr>
        <w:t xml:space="preserve">  黑臭水体清单</w:t>
      </w:r>
    </w:p>
    <w:tbl>
      <w:tblPr>
        <w:tblStyle w:val="39"/>
        <w:tblW w:w="993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3"/>
        <w:gridCol w:w="1770"/>
        <w:gridCol w:w="1333"/>
        <w:gridCol w:w="1300"/>
        <w:gridCol w:w="1281"/>
        <w:gridCol w:w="1281"/>
        <w:gridCol w:w="1182"/>
        <w:gridCol w:w="9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5246" w:type="dxa"/>
            <w:gridSpan w:val="4"/>
            <w:vMerge w:val="restart"/>
          </w:tcPr>
          <w:p>
            <w:pPr>
              <w:spacing w:line="380" w:lineRule="exact"/>
              <w:ind w:firstLine="0" w:firstLineChars="0"/>
              <w:rPr>
                <w:rFonts w:cs="Times New Roman"/>
              </w:rPr>
            </w:pPr>
            <w:r>
              <w:rPr>
                <w:rFonts w:cs="Times New Roman"/>
              </w:rPr>
              <w:t>流域编号（或名称）：</w:t>
            </w:r>
          </w:p>
          <w:p>
            <w:pPr>
              <w:spacing w:line="380" w:lineRule="exact"/>
              <w:ind w:firstLine="0" w:firstLineChars="0"/>
              <w:jc w:val="center"/>
              <w:rPr>
                <w:rFonts w:cs="Times New Roman"/>
              </w:rPr>
            </w:pPr>
          </w:p>
        </w:tc>
        <w:tc>
          <w:tcPr>
            <w:tcW w:w="4689" w:type="dxa"/>
            <w:gridSpan w:val="4"/>
            <w:vAlign w:val="center"/>
          </w:tcPr>
          <w:p>
            <w:pPr>
              <w:spacing w:line="380" w:lineRule="exact"/>
              <w:ind w:firstLine="0" w:firstLineChars="0"/>
              <w:jc w:val="left"/>
              <w:rPr>
                <w:rFonts w:cs="Times New Roman"/>
              </w:rPr>
            </w:pPr>
            <w:r>
              <w:rPr>
                <w:rFonts w:cs="Times New Roman"/>
              </w:rPr>
              <w:t>图幅编号：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5246" w:type="dxa"/>
            <w:gridSpan w:val="4"/>
            <w:vMerge w:val="continue"/>
            <w:vAlign w:val="center"/>
          </w:tcPr>
          <w:p>
            <w:pPr>
              <w:spacing w:line="380" w:lineRule="exact"/>
              <w:ind w:firstLine="0" w:firstLineChars="0"/>
              <w:jc w:val="center"/>
              <w:rPr>
                <w:rFonts w:cs="Times New Roman"/>
              </w:rPr>
            </w:pPr>
          </w:p>
        </w:tc>
        <w:tc>
          <w:tcPr>
            <w:tcW w:w="4689" w:type="dxa"/>
            <w:gridSpan w:val="4"/>
            <w:vAlign w:val="center"/>
          </w:tcPr>
          <w:p>
            <w:pPr>
              <w:spacing w:line="380" w:lineRule="exact"/>
              <w:ind w:firstLine="0" w:firstLineChars="0"/>
              <w:jc w:val="left"/>
              <w:rPr>
                <w:rFonts w:cs="Times New Roman"/>
              </w:rPr>
            </w:pPr>
            <w:r>
              <w:rPr>
                <w:rFonts w:cs="Times New Roman"/>
              </w:rPr>
              <w:t>调查单位（可选）：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843" w:type="dxa"/>
            <w:vAlign w:val="center"/>
          </w:tcPr>
          <w:p>
            <w:pPr>
              <w:spacing w:line="380" w:lineRule="exact"/>
              <w:ind w:firstLine="0" w:firstLineChars="0"/>
              <w:jc w:val="center"/>
              <w:rPr>
                <w:rFonts w:cs="Times New Roman"/>
              </w:rPr>
            </w:pPr>
            <w:r>
              <w:rPr>
                <w:rFonts w:cs="Times New Roman"/>
              </w:rPr>
              <w:t>编号</w:t>
            </w:r>
          </w:p>
        </w:tc>
        <w:tc>
          <w:tcPr>
            <w:tcW w:w="1770" w:type="dxa"/>
            <w:vAlign w:val="center"/>
          </w:tcPr>
          <w:p>
            <w:pPr>
              <w:spacing w:line="380" w:lineRule="exact"/>
              <w:ind w:firstLine="0" w:firstLineChars="0"/>
              <w:jc w:val="center"/>
              <w:rPr>
                <w:rFonts w:cs="Times New Roman"/>
              </w:rPr>
            </w:pPr>
            <w:r>
              <w:rPr>
                <w:rFonts w:cs="Times New Roman"/>
              </w:rPr>
              <w:t>黑臭水体名称（起始边界）</w:t>
            </w:r>
          </w:p>
        </w:tc>
        <w:tc>
          <w:tcPr>
            <w:tcW w:w="1333" w:type="dxa"/>
            <w:vAlign w:val="center"/>
          </w:tcPr>
          <w:p>
            <w:pPr>
              <w:spacing w:line="380" w:lineRule="exact"/>
              <w:ind w:firstLine="0" w:firstLineChars="0"/>
              <w:jc w:val="center"/>
              <w:rPr>
                <w:rFonts w:cs="Times New Roman"/>
              </w:rPr>
            </w:pPr>
            <w:r>
              <w:rPr>
                <w:rFonts w:cs="Times New Roman"/>
              </w:rPr>
              <w:t>水体类型</w:t>
            </w:r>
          </w:p>
        </w:tc>
        <w:tc>
          <w:tcPr>
            <w:tcW w:w="1300" w:type="dxa"/>
            <w:vAlign w:val="center"/>
          </w:tcPr>
          <w:p>
            <w:pPr>
              <w:spacing w:line="380" w:lineRule="exact"/>
              <w:ind w:firstLine="0" w:firstLineChars="0"/>
              <w:jc w:val="center"/>
              <w:rPr>
                <w:rFonts w:cs="Times New Roman"/>
              </w:rPr>
            </w:pPr>
            <w:r>
              <w:rPr>
                <w:rFonts w:cs="Times New Roman"/>
              </w:rPr>
              <w:t>面积/长度</w:t>
            </w:r>
          </w:p>
        </w:tc>
        <w:tc>
          <w:tcPr>
            <w:tcW w:w="1281" w:type="dxa"/>
            <w:vAlign w:val="center"/>
          </w:tcPr>
          <w:p>
            <w:pPr>
              <w:spacing w:line="380" w:lineRule="exact"/>
              <w:ind w:firstLine="0" w:firstLineChars="0"/>
              <w:jc w:val="center"/>
              <w:rPr>
                <w:rFonts w:cs="Times New Roman"/>
              </w:rPr>
            </w:pPr>
            <w:r>
              <w:rPr>
                <w:rFonts w:cs="Times New Roman"/>
              </w:rPr>
              <w:t>所在区域</w:t>
            </w:r>
          </w:p>
        </w:tc>
        <w:tc>
          <w:tcPr>
            <w:tcW w:w="1281" w:type="dxa"/>
            <w:vAlign w:val="center"/>
          </w:tcPr>
          <w:p>
            <w:pPr>
              <w:spacing w:line="380" w:lineRule="exact"/>
              <w:ind w:firstLine="0" w:firstLineChars="0"/>
              <w:jc w:val="center"/>
              <w:rPr>
                <w:rFonts w:cs="Times New Roman"/>
              </w:rPr>
            </w:pPr>
            <w:r>
              <w:rPr>
                <w:rFonts w:cs="Times New Roman"/>
              </w:rPr>
              <w:t>黑臭级别</w:t>
            </w:r>
          </w:p>
        </w:tc>
        <w:tc>
          <w:tcPr>
            <w:tcW w:w="1182" w:type="dxa"/>
            <w:vAlign w:val="center"/>
          </w:tcPr>
          <w:p>
            <w:pPr>
              <w:spacing w:line="380" w:lineRule="exact"/>
              <w:ind w:firstLine="0" w:firstLineChars="0"/>
              <w:jc w:val="center"/>
              <w:rPr>
                <w:rFonts w:cs="Times New Roman"/>
              </w:rPr>
            </w:pPr>
            <w:r>
              <w:rPr>
                <w:rFonts w:cs="Times New Roman"/>
              </w:rPr>
              <w:t>水质现状</w:t>
            </w:r>
          </w:p>
        </w:tc>
        <w:tc>
          <w:tcPr>
            <w:tcW w:w="945" w:type="dxa"/>
            <w:vAlign w:val="center"/>
          </w:tcPr>
          <w:p>
            <w:pPr>
              <w:spacing w:line="380" w:lineRule="exact"/>
              <w:ind w:firstLine="0" w:firstLineChars="0"/>
              <w:jc w:val="center"/>
              <w:rPr>
                <w:rFonts w:cs="Times New Roman"/>
              </w:rPr>
            </w:pPr>
            <w:r>
              <w:rPr>
                <w:rFonts w:cs="Times New Roman"/>
              </w:rPr>
              <w:t>责任人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770"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182" w:type="dxa"/>
          </w:tcPr>
          <w:p>
            <w:pPr>
              <w:spacing w:line="440" w:lineRule="exact"/>
              <w:ind w:firstLine="0" w:firstLineChars="0"/>
              <w:jc w:val="center"/>
              <w:rPr>
                <w:rFonts w:cs="Times New Roman"/>
              </w:rPr>
            </w:pPr>
          </w:p>
        </w:tc>
        <w:tc>
          <w:tcPr>
            <w:tcW w:w="94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770"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182" w:type="dxa"/>
          </w:tcPr>
          <w:p>
            <w:pPr>
              <w:spacing w:line="440" w:lineRule="exact"/>
              <w:ind w:firstLine="0" w:firstLineChars="0"/>
              <w:jc w:val="center"/>
              <w:rPr>
                <w:rFonts w:cs="Times New Roman"/>
              </w:rPr>
            </w:pPr>
          </w:p>
        </w:tc>
        <w:tc>
          <w:tcPr>
            <w:tcW w:w="94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770"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182" w:type="dxa"/>
          </w:tcPr>
          <w:p>
            <w:pPr>
              <w:spacing w:line="440" w:lineRule="exact"/>
              <w:ind w:firstLine="0" w:firstLineChars="0"/>
              <w:jc w:val="center"/>
              <w:rPr>
                <w:rFonts w:cs="Times New Roman"/>
              </w:rPr>
            </w:pPr>
          </w:p>
        </w:tc>
        <w:tc>
          <w:tcPr>
            <w:tcW w:w="94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770"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182" w:type="dxa"/>
          </w:tcPr>
          <w:p>
            <w:pPr>
              <w:spacing w:line="440" w:lineRule="exact"/>
              <w:ind w:firstLine="0" w:firstLineChars="0"/>
              <w:jc w:val="center"/>
              <w:rPr>
                <w:rFonts w:cs="Times New Roman"/>
              </w:rPr>
            </w:pPr>
          </w:p>
        </w:tc>
        <w:tc>
          <w:tcPr>
            <w:tcW w:w="94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770"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182" w:type="dxa"/>
          </w:tcPr>
          <w:p>
            <w:pPr>
              <w:spacing w:line="440" w:lineRule="exact"/>
              <w:ind w:firstLine="0" w:firstLineChars="0"/>
              <w:jc w:val="center"/>
              <w:rPr>
                <w:rFonts w:cs="Times New Roman"/>
              </w:rPr>
            </w:pPr>
          </w:p>
        </w:tc>
        <w:tc>
          <w:tcPr>
            <w:tcW w:w="94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43" w:type="dxa"/>
            <w:vAlign w:val="center"/>
          </w:tcPr>
          <w:p>
            <w:pPr>
              <w:spacing w:line="440" w:lineRule="exact"/>
              <w:ind w:firstLine="0" w:firstLineChars="0"/>
              <w:jc w:val="center"/>
              <w:rPr>
                <w:rFonts w:cs="Times New Roman"/>
              </w:rPr>
            </w:pPr>
          </w:p>
        </w:tc>
        <w:tc>
          <w:tcPr>
            <w:tcW w:w="1770" w:type="dxa"/>
            <w:vAlign w:val="center"/>
          </w:tcPr>
          <w:p>
            <w:pPr>
              <w:spacing w:line="440" w:lineRule="exact"/>
              <w:ind w:firstLine="0" w:firstLineChars="0"/>
              <w:jc w:val="center"/>
              <w:rPr>
                <w:rFonts w:cs="Times New Roman"/>
              </w:rPr>
            </w:pPr>
          </w:p>
        </w:tc>
        <w:tc>
          <w:tcPr>
            <w:tcW w:w="1333" w:type="dxa"/>
            <w:vAlign w:val="center"/>
          </w:tcPr>
          <w:p>
            <w:pPr>
              <w:spacing w:line="440" w:lineRule="exact"/>
              <w:ind w:firstLine="0" w:firstLineChars="0"/>
              <w:jc w:val="center"/>
              <w:rPr>
                <w:rFonts w:cs="Times New Roman"/>
              </w:rPr>
            </w:pPr>
          </w:p>
        </w:tc>
        <w:tc>
          <w:tcPr>
            <w:tcW w:w="1300"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281" w:type="dxa"/>
            <w:vAlign w:val="center"/>
          </w:tcPr>
          <w:p>
            <w:pPr>
              <w:spacing w:line="440" w:lineRule="exact"/>
              <w:ind w:firstLine="0" w:firstLineChars="0"/>
              <w:jc w:val="center"/>
              <w:rPr>
                <w:rFonts w:cs="Times New Roman"/>
              </w:rPr>
            </w:pPr>
          </w:p>
        </w:tc>
        <w:tc>
          <w:tcPr>
            <w:tcW w:w="1182" w:type="dxa"/>
          </w:tcPr>
          <w:p>
            <w:pPr>
              <w:spacing w:line="440" w:lineRule="exact"/>
              <w:ind w:firstLine="0" w:firstLineChars="0"/>
              <w:jc w:val="center"/>
              <w:rPr>
                <w:rFonts w:cs="Times New Roman"/>
              </w:rPr>
            </w:pPr>
          </w:p>
        </w:tc>
        <w:tc>
          <w:tcPr>
            <w:tcW w:w="945" w:type="dxa"/>
            <w:vAlign w:val="center"/>
          </w:tcPr>
          <w:p>
            <w:pPr>
              <w:spacing w:line="440" w:lineRule="exact"/>
              <w:ind w:firstLine="0" w:firstLineChars="0"/>
              <w:jc w:val="center"/>
              <w:rPr>
                <w:rFonts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7" w:hRule="atLeast"/>
          <w:jc w:val="center"/>
        </w:trPr>
        <w:tc>
          <w:tcPr>
            <w:tcW w:w="5246" w:type="dxa"/>
            <w:gridSpan w:val="4"/>
            <w:tcBorders>
              <w:bottom w:val="single" w:color="auto" w:sz="4" w:space="0"/>
            </w:tcBorders>
          </w:tcPr>
          <w:p>
            <w:pPr>
              <w:spacing w:line="440" w:lineRule="exact"/>
              <w:ind w:firstLine="0" w:firstLineChars="0"/>
              <w:rPr>
                <w:rFonts w:cs="Times New Roman"/>
              </w:rPr>
            </w:pPr>
            <w:r>
              <w:rPr>
                <w:rFonts w:cs="Times New Roman"/>
              </w:rPr>
              <w:t>填表</w:t>
            </w:r>
          </w:p>
        </w:tc>
        <w:tc>
          <w:tcPr>
            <w:tcW w:w="4689" w:type="dxa"/>
            <w:gridSpan w:val="4"/>
          </w:tcPr>
          <w:p>
            <w:pPr>
              <w:spacing w:line="440" w:lineRule="exact"/>
              <w:ind w:firstLine="0" w:firstLineChars="0"/>
              <w:rPr>
                <w:rFonts w:cs="Times New Roman"/>
              </w:rPr>
            </w:pPr>
            <w:r>
              <w:rPr>
                <w:rFonts w:cs="Times New Roman"/>
              </w:rPr>
              <w:t>校核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31" w:hRule="atLeast"/>
          <w:jc w:val="center"/>
        </w:trPr>
        <w:tc>
          <w:tcPr>
            <w:tcW w:w="5246" w:type="dxa"/>
            <w:gridSpan w:val="4"/>
            <w:tcBorders>
              <w:top w:val="single" w:color="auto" w:sz="4" w:space="0"/>
            </w:tcBorders>
          </w:tcPr>
          <w:p>
            <w:pPr>
              <w:spacing w:line="440" w:lineRule="exact"/>
              <w:ind w:firstLine="0" w:firstLineChars="0"/>
              <w:rPr>
                <w:rFonts w:cs="Times New Roman"/>
              </w:rPr>
            </w:pPr>
            <w:r>
              <w:rPr>
                <w:rFonts w:cs="Times New Roman"/>
              </w:rPr>
              <w:t>日期</w:t>
            </w:r>
          </w:p>
        </w:tc>
        <w:tc>
          <w:tcPr>
            <w:tcW w:w="4689" w:type="dxa"/>
            <w:gridSpan w:val="4"/>
          </w:tcPr>
          <w:p>
            <w:pPr>
              <w:spacing w:line="440" w:lineRule="exact"/>
              <w:ind w:firstLine="0" w:firstLineChars="0"/>
              <w:rPr>
                <w:rFonts w:cs="Times New Roman"/>
              </w:rPr>
            </w:pPr>
            <w:r>
              <w:rPr>
                <w:rFonts w:cs="Times New Roman"/>
              </w:rPr>
              <w:t>日期</w:t>
            </w:r>
          </w:p>
        </w:tc>
      </w:tr>
    </w:tbl>
    <w:p>
      <w:pPr>
        <w:widowControl/>
        <w:ind w:firstLine="480"/>
        <w:jc w:val="left"/>
        <w:rPr>
          <w:rFonts w:cs="Times New Roman" w:asciiTheme="minorEastAsia" w:hAnsiTheme="minorEastAsia"/>
          <w:kern w:val="0"/>
          <w:szCs w:val="24"/>
          <w:lang w:bidi="ar"/>
        </w:rPr>
      </w:pPr>
      <w:r>
        <w:rPr>
          <w:rFonts w:cs="Times New Roman" w:asciiTheme="minorEastAsia" w:hAnsiTheme="minorEastAsia"/>
          <w:kern w:val="0"/>
          <w:szCs w:val="24"/>
          <w:lang w:bidi="ar"/>
        </w:rPr>
        <w:t>注：</w:t>
      </w:r>
    </w:p>
    <w:p>
      <w:pPr>
        <w:widowControl/>
        <w:numPr>
          <w:ilvl w:val="0"/>
          <w:numId w:val="38"/>
        </w:numPr>
        <w:ind w:firstLine="480"/>
        <w:jc w:val="left"/>
        <w:rPr>
          <w:rFonts w:cs="Times New Roman" w:asciiTheme="minorEastAsia" w:hAnsiTheme="minorEastAsia"/>
          <w:kern w:val="0"/>
          <w:szCs w:val="24"/>
          <w:lang w:bidi="ar"/>
        </w:rPr>
      </w:pPr>
      <w:r>
        <w:rPr>
          <w:rFonts w:cs="Times New Roman" w:asciiTheme="minorEastAsia" w:hAnsiTheme="minorEastAsia"/>
          <w:kern w:val="0"/>
          <w:szCs w:val="24"/>
          <w:lang w:bidi="ar"/>
        </w:rPr>
        <w:t>编号与表 1 一致，一个水体多个河段或湖面黑臭级别不同时，可设置二级编号“a、b、c……”来区分，分多行分别列出，但黑臭水体编号为同一个，以便统计；</w:t>
      </w:r>
    </w:p>
    <w:p>
      <w:pPr>
        <w:widowControl/>
        <w:numPr>
          <w:ilvl w:val="0"/>
          <w:numId w:val="38"/>
        </w:numPr>
        <w:ind w:firstLine="480"/>
        <w:jc w:val="left"/>
        <w:rPr>
          <w:rFonts w:cs="Times New Roman" w:asciiTheme="minorEastAsia" w:hAnsiTheme="minorEastAsia"/>
        </w:rPr>
      </w:pPr>
      <w:r>
        <w:rPr>
          <w:rFonts w:cs="Times New Roman" w:asciiTheme="minorEastAsia" w:hAnsiTheme="minorEastAsia"/>
          <w:kern w:val="0"/>
          <w:szCs w:val="24"/>
          <w:lang w:bidi="ar"/>
        </w:rPr>
        <w:t>黑臭水体起始边界宜采用地名、路名等描述，并标注起始边界地理坐标（经纬度）；</w:t>
      </w:r>
    </w:p>
    <w:p>
      <w:pPr>
        <w:widowControl/>
        <w:numPr>
          <w:ilvl w:val="0"/>
          <w:numId w:val="38"/>
        </w:numPr>
        <w:ind w:firstLine="480"/>
        <w:jc w:val="left"/>
        <w:rPr>
          <w:rFonts w:cs="Times New Roman" w:asciiTheme="minorEastAsia" w:hAnsiTheme="minorEastAsia"/>
        </w:rPr>
      </w:pPr>
      <w:r>
        <w:rPr>
          <w:rFonts w:cs="Times New Roman" w:asciiTheme="minorEastAsia" w:hAnsiTheme="minorEastAsia"/>
          <w:kern w:val="0"/>
          <w:szCs w:val="24"/>
          <w:lang w:bidi="ar"/>
        </w:rPr>
        <w:t>水体类型是指“河流、湖塘”等；</w:t>
      </w:r>
    </w:p>
    <w:p>
      <w:pPr>
        <w:widowControl/>
        <w:numPr>
          <w:ilvl w:val="0"/>
          <w:numId w:val="38"/>
        </w:numPr>
        <w:ind w:firstLine="480"/>
        <w:jc w:val="left"/>
        <w:rPr>
          <w:rFonts w:cs="Times New Roman" w:asciiTheme="minorEastAsia" w:hAnsiTheme="minorEastAsia"/>
        </w:rPr>
      </w:pPr>
      <w:r>
        <w:rPr>
          <w:rFonts w:cs="Times New Roman" w:asciiTheme="minorEastAsia" w:hAnsiTheme="minorEastAsia"/>
          <w:kern w:val="0"/>
          <w:szCs w:val="24"/>
          <w:lang w:bidi="ar"/>
        </w:rPr>
        <w:t xml:space="preserve">所在区域是指黑臭水体所在行政区域； </w:t>
      </w:r>
    </w:p>
    <w:p>
      <w:pPr>
        <w:widowControl/>
        <w:numPr>
          <w:ilvl w:val="0"/>
          <w:numId w:val="38"/>
        </w:numPr>
        <w:ind w:firstLine="480"/>
        <w:jc w:val="left"/>
        <w:rPr>
          <w:rFonts w:cs="Times New Roman" w:asciiTheme="minorEastAsia" w:hAnsiTheme="minorEastAsia"/>
        </w:rPr>
      </w:pPr>
      <w:r>
        <w:rPr>
          <w:rFonts w:cs="Times New Roman" w:asciiTheme="minorEastAsia" w:hAnsiTheme="minorEastAsia"/>
          <w:kern w:val="0"/>
          <w:szCs w:val="24"/>
          <w:lang w:bidi="ar"/>
        </w:rPr>
        <w:t xml:space="preserve">黑臭级别是指“轻度”或“重度”； </w:t>
      </w:r>
    </w:p>
    <w:p>
      <w:pPr>
        <w:widowControl/>
        <w:numPr>
          <w:ilvl w:val="0"/>
          <w:numId w:val="38"/>
        </w:numPr>
        <w:ind w:firstLine="480"/>
        <w:jc w:val="left"/>
        <w:rPr>
          <w:rFonts w:cs="Times New Roman" w:asciiTheme="minorEastAsia" w:hAnsiTheme="minorEastAsia"/>
        </w:rPr>
      </w:pPr>
      <w:r>
        <w:rPr>
          <w:rFonts w:cs="Times New Roman" w:asciiTheme="minorEastAsia" w:hAnsiTheme="minorEastAsia"/>
          <w:kern w:val="0"/>
          <w:szCs w:val="24"/>
          <w:lang w:bidi="ar"/>
        </w:rPr>
        <w:t xml:space="preserve">水质现状是指主要水质指标（如透明度、溶解氧、氧化还原电位、氨氮和其他能反映水质现状的指标等）的监测结果，可用平均值表示； </w:t>
      </w:r>
    </w:p>
    <w:p>
      <w:pPr>
        <w:ind w:firstLine="480"/>
        <w:rPr>
          <w:rFonts w:cs="Times New Roman" w:asciiTheme="minorEastAsia" w:hAnsiTheme="minorEastAsia"/>
          <w:kern w:val="0"/>
          <w:szCs w:val="24"/>
          <w:lang w:bidi="ar"/>
        </w:rPr>
      </w:pPr>
      <w:r>
        <w:rPr>
          <w:rFonts w:cs="Times New Roman" w:asciiTheme="minorEastAsia" w:hAnsiTheme="minorEastAsia"/>
          <w:kern w:val="0"/>
          <w:szCs w:val="24"/>
          <w:lang w:bidi="ar"/>
        </w:rPr>
        <w:t>责任人填写相应河湖长姓名，并注明单位及职务</w:t>
      </w:r>
      <w:r>
        <w:rPr>
          <w:rFonts w:hint="eastAsia" w:cs="Times New Roman" w:asciiTheme="minorEastAsia" w:hAnsiTheme="minorEastAsia"/>
          <w:kern w:val="0"/>
          <w:szCs w:val="24"/>
          <w:lang w:bidi="ar"/>
        </w:rPr>
        <w:t>。</w:t>
      </w:r>
    </w:p>
    <w:p>
      <w:pPr>
        <w:ind w:firstLine="199" w:firstLineChars="83"/>
        <w:rPr>
          <w:rFonts w:eastAsia="仿宋" w:cs="Times New Roman"/>
          <w:kern w:val="0"/>
          <w:szCs w:val="24"/>
          <w:lang w:bidi="ar"/>
        </w:rPr>
        <w:sectPr>
          <w:pgSz w:w="11906" w:h="16838"/>
          <w:pgMar w:top="1440" w:right="1800" w:bottom="1440" w:left="1800" w:header="851" w:footer="992" w:gutter="0"/>
          <w:cols w:space="425" w:num="1"/>
          <w:docGrid w:type="lines" w:linePitch="312" w:charSpace="0"/>
        </w:sectPr>
      </w:pPr>
    </w:p>
    <w:p>
      <w:pPr>
        <w:pStyle w:val="81"/>
        <w:spacing w:after="156"/>
        <w:jc w:val="center"/>
      </w:pPr>
      <w:bookmarkStart w:id="145" w:name="_Toc33185720"/>
      <w:r>
        <w:rPr>
          <w:rFonts w:hint="eastAsia"/>
        </w:rPr>
        <w:t>标准用词说明</w:t>
      </w:r>
      <w:bookmarkEnd w:id="145"/>
    </w:p>
    <w:tbl>
      <w:tblPr>
        <w:tblStyle w:val="40"/>
        <w:tblW w:w="84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4253"/>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vAlign w:val="center"/>
          </w:tcPr>
          <w:p>
            <w:pPr>
              <w:ind w:firstLine="0" w:firstLineChars="0"/>
              <w:jc w:val="center"/>
              <w:rPr>
                <w:rFonts w:asciiTheme="minorEastAsia" w:hAnsiTheme="minorEastAsia"/>
                <w:szCs w:val="24"/>
              </w:rPr>
            </w:pPr>
            <w:r>
              <w:rPr>
                <w:rFonts w:hint="eastAsia" w:asciiTheme="minorEastAsia" w:hAnsiTheme="minorEastAsia"/>
                <w:szCs w:val="24"/>
              </w:rPr>
              <w:t>标准用词</w:t>
            </w:r>
          </w:p>
        </w:tc>
        <w:tc>
          <w:tcPr>
            <w:tcW w:w="4253" w:type="dxa"/>
            <w:vAlign w:val="center"/>
          </w:tcPr>
          <w:p>
            <w:pPr>
              <w:ind w:firstLine="0" w:firstLineChars="0"/>
              <w:jc w:val="center"/>
              <w:rPr>
                <w:rFonts w:asciiTheme="minorEastAsia" w:hAnsiTheme="minorEastAsia"/>
                <w:szCs w:val="24"/>
              </w:rPr>
            </w:pPr>
            <w:r>
              <w:rPr>
                <w:rFonts w:hint="eastAsia" w:asciiTheme="minorEastAsia" w:hAnsiTheme="minorEastAsia"/>
                <w:szCs w:val="24"/>
              </w:rPr>
              <w:t>在特殊情况下的等效表述</w:t>
            </w:r>
          </w:p>
        </w:tc>
        <w:tc>
          <w:tcPr>
            <w:tcW w:w="2340" w:type="dxa"/>
            <w:vAlign w:val="center"/>
          </w:tcPr>
          <w:p>
            <w:pPr>
              <w:ind w:firstLine="0" w:firstLineChars="0"/>
              <w:jc w:val="center"/>
              <w:rPr>
                <w:rFonts w:asciiTheme="minorEastAsia" w:hAnsiTheme="minorEastAsia"/>
                <w:szCs w:val="24"/>
              </w:rPr>
            </w:pPr>
            <w:r>
              <w:rPr>
                <w:rFonts w:hint="eastAsia" w:asciiTheme="minorEastAsia" w:hAnsiTheme="minorEastAsia"/>
                <w:szCs w:val="24"/>
              </w:rPr>
              <w:t>要求严格程度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vAlign w:val="center"/>
          </w:tcPr>
          <w:p>
            <w:pPr>
              <w:ind w:firstLine="0" w:firstLineChars="0"/>
              <w:jc w:val="center"/>
              <w:rPr>
                <w:rFonts w:asciiTheme="minorEastAsia" w:hAnsiTheme="minorEastAsia"/>
                <w:szCs w:val="24"/>
              </w:rPr>
            </w:pPr>
            <w:r>
              <w:rPr>
                <w:rFonts w:hint="eastAsia" w:asciiTheme="minorEastAsia" w:hAnsiTheme="minorEastAsia"/>
                <w:szCs w:val="24"/>
              </w:rPr>
              <w:t>应</w:t>
            </w:r>
          </w:p>
        </w:tc>
        <w:tc>
          <w:tcPr>
            <w:tcW w:w="4253" w:type="dxa"/>
            <w:vAlign w:val="center"/>
          </w:tcPr>
          <w:p>
            <w:pPr>
              <w:ind w:firstLine="0" w:firstLineChars="0"/>
              <w:jc w:val="center"/>
              <w:rPr>
                <w:rFonts w:asciiTheme="minorEastAsia" w:hAnsiTheme="minorEastAsia"/>
                <w:szCs w:val="24"/>
              </w:rPr>
            </w:pPr>
            <w:r>
              <w:rPr>
                <w:rFonts w:hint="eastAsia" w:asciiTheme="minorEastAsia" w:hAnsiTheme="minorEastAsia"/>
                <w:szCs w:val="24"/>
              </w:rPr>
              <w:t>有必要、要求、要、只有</w:t>
            </w:r>
            <w:r>
              <w:rPr>
                <w:rFonts w:asciiTheme="minorEastAsia" w:hAnsiTheme="minorEastAsia"/>
                <w:szCs w:val="24"/>
              </w:rPr>
              <w:t>…...</w:t>
            </w:r>
            <w:r>
              <w:rPr>
                <w:rFonts w:hint="eastAsia" w:asciiTheme="minorEastAsia" w:hAnsiTheme="minorEastAsia"/>
                <w:szCs w:val="24"/>
              </w:rPr>
              <w:t>才允许</w:t>
            </w:r>
          </w:p>
        </w:tc>
        <w:tc>
          <w:tcPr>
            <w:tcW w:w="2340" w:type="dxa"/>
            <w:vMerge w:val="restart"/>
            <w:vAlign w:val="center"/>
          </w:tcPr>
          <w:p>
            <w:pPr>
              <w:ind w:firstLine="0" w:firstLineChars="0"/>
              <w:jc w:val="center"/>
              <w:rPr>
                <w:rFonts w:asciiTheme="minorEastAsia" w:hAnsiTheme="minorEastAsia"/>
                <w:szCs w:val="24"/>
              </w:rPr>
            </w:pPr>
            <w:r>
              <w:rPr>
                <w:rFonts w:hint="eastAsia" w:asciiTheme="minorEastAsia" w:hAnsiTheme="minorEastAsia"/>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vAlign w:val="center"/>
          </w:tcPr>
          <w:p>
            <w:pPr>
              <w:ind w:firstLine="0" w:firstLineChars="0"/>
              <w:jc w:val="center"/>
              <w:rPr>
                <w:rFonts w:asciiTheme="minorEastAsia" w:hAnsiTheme="minorEastAsia"/>
                <w:szCs w:val="24"/>
              </w:rPr>
            </w:pPr>
            <w:r>
              <w:rPr>
                <w:rFonts w:hint="eastAsia" w:asciiTheme="minorEastAsia" w:hAnsiTheme="minorEastAsia"/>
                <w:szCs w:val="24"/>
              </w:rPr>
              <w:t>不应</w:t>
            </w:r>
          </w:p>
        </w:tc>
        <w:tc>
          <w:tcPr>
            <w:tcW w:w="4253" w:type="dxa"/>
            <w:vAlign w:val="center"/>
          </w:tcPr>
          <w:p>
            <w:pPr>
              <w:ind w:firstLine="0" w:firstLineChars="0"/>
              <w:jc w:val="center"/>
              <w:rPr>
                <w:rFonts w:asciiTheme="minorEastAsia" w:hAnsiTheme="minorEastAsia"/>
                <w:szCs w:val="24"/>
              </w:rPr>
            </w:pPr>
            <w:r>
              <w:rPr>
                <w:rFonts w:hint="eastAsia" w:asciiTheme="minorEastAsia" w:hAnsiTheme="minorEastAsia"/>
                <w:szCs w:val="24"/>
              </w:rPr>
              <w:t>不允许、不许可、不要</w:t>
            </w:r>
          </w:p>
        </w:tc>
        <w:tc>
          <w:tcPr>
            <w:tcW w:w="2340" w:type="dxa"/>
            <w:vMerge w:val="continue"/>
            <w:vAlign w:val="center"/>
          </w:tcPr>
          <w:p>
            <w:pPr>
              <w:ind w:firstLine="480"/>
              <w:jc w:val="center"/>
              <w:rPr>
                <w:rFonts w:asciiTheme="minorEastAsia" w:hAnsi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vAlign w:val="center"/>
          </w:tcPr>
          <w:p>
            <w:pPr>
              <w:ind w:firstLine="0" w:firstLineChars="0"/>
              <w:jc w:val="center"/>
              <w:rPr>
                <w:rFonts w:asciiTheme="minorEastAsia" w:hAnsiTheme="minorEastAsia"/>
                <w:szCs w:val="24"/>
              </w:rPr>
            </w:pPr>
            <w:r>
              <w:rPr>
                <w:rFonts w:hint="eastAsia" w:asciiTheme="minorEastAsia" w:hAnsiTheme="minorEastAsia"/>
                <w:szCs w:val="24"/>
              </w:rPr>
              <w:t>宜</w:t>
            </w:r>
          </w:p>
        </w:tc>
        <w:tc>
          <w:tcPr>
            <w:tcW w:w="4253" w:type="dxa"/>
            <w:vAlign w:val="center"/>
          </w:tcPr>
          <w:p>
            <w:pPr>
              <w:ind w:firstLine="0" w:firstLineChars="0"/>
              <w:jc w:val="center"/>
              <w:rPr>
                <w:rFonts w:asciiTheme="minorEastAsia" w:hAnsiTheme="minorEastAsia"/>
                <w:szCs w:val="24"/>
              </w:rPr>
            </w:pPr>
            <w:r>
              <w:rPr>
                <w:rFonts w:hint="eastAsia" w:asciiTheme="minorEastAsia" w:hAnsiTheme="minorEastAsia"/>
                <w:szCs w:val="24"/>
              </w:rPr>
              <w:t>推荐、建议</w:t>
            </w:r>
          </w:p>
        </w:tc>
        <w:tc>
          <w:tcPr>
            <w:tcW w:w="2340" w:type="dxa"/>
            <w:vMerge w:val="restart"/>
            <w:vAlign w:val="center"/>
          </w:tcPr>
          <w:p>
            <w:pPr>
              <w:ind w:firstLine="0" w:firstLineChars="0"/>
              <w:jc w:val="center"/>
              <w:rPr>
                <w:rFonts w:asciiTheme="minorEastAsia" w:hAnsiTheme="minorEastAsia"/>
                <w:szCs w:val="24"/>
              </w:rPr>
            </w:pPr>
            <w:r>
              <w:rPr>
                <w:rFonts w:hint="eastAsia" w:asciiTheme="minorEastAsia" w:hAnsiTheme="minorEastAsia"/>
                <w:szCs w:val="24"/>
              </w:rPr>
              <w:t>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vAlign w:val="center"/>
          </w:tcPr>
          <w:p>
            <w:pPr>
              <w:ind w:firstLine="0" w:firstLineChars="0"/>
              <w:jc w:val="center"/>
              <w:rPr>
                <w:rFonts w:asciiTheme="minorEastAsia" w:hAnsiTheme="minorEastAsia"/>
                <w:szCs w:val="24"/>
              </w:rPr>
            </w:pPr>
            <w:r>
              <w:rPr>
                <w:rFonts w:hint="eastAsia" w:asciiTheme="minorEastAsia" w:hAnsiTheme="minorEastAsia"/>
                <w:szCs w:val="24"/>
              </w:rPr>
              <w:t>不宜</w:t>
            </w:r>
          </w:p>
        </w:tc>
        <w:tc>
          <w:tcPr>
            <w:tcW w:w="4253" w:type="dxa"/>
            <w:vAlign w:val="center"/>
          </w:tcPr>
          <w:p>
            <w:pPr>
              <w:ind w:firstLine="0" w:firstLineChars="0"/>
              <w:jc w:val="center"/>
              <w:rPr>
                <w:rFonts w:asciiTheme="minorEastAsia" w:hAnsiTheme="minorEastAsia"/>
                <w:szCs w:val="24"/>
              </w:rPr>
            </w:pPr>
            <w:r>
              <w:rPr>
                <w:rFonts w:hint="eastAsia" w:asciiTheme="minorEastAsia" w:hAnsiTheme="minorEastAsia"/>
                <w:szCs w:val="24"/>
              </w:rPr>
              <w:t>不推荐、不建议</w:t>
            </w:r>
          </w:p>
        </w:tc>
        <w:tc>
          <w:tcPr>
            <w:tcW w:w="2340" w:type="dxa"/>
            <w:vMerge w:val="continue"/>
            <w:vAlign w:val="center"/>
          </w:tcPr>
          <w:p>
            <w:pPr>
              <w:ind w:firstLine="480"/>
              <w:jc w:val="center"/>
              <w:rPr>
                <w:rFonts w:asciiTheme="minorEastAsia" w:hAnsi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vAlign w:val="center"/>
          </w:tcPr>
          <w:p>
            <w:pPr>
              <w:ind w:firstLine="0" w:firstLineChars="0"/>
              <w:jc w:val="center"/>
              <w:rPr>
                <w:rFonts w:asciiTheme="minorEastAsia" w:hAnsiTheme="minorEastAsia"/>
                <w:szCs w:val="24"/>
              </w:rPr>
            </w:pPr>
            <w:r>
              <w:rPr>
                <w:rFonts w:hint="eastAsia" w:asciiTheme="minorEastAsia" w:hAnsiTheme="minorEastAsia"/>
                <w:szCs w:val="24"/>
              </w:rPr>
              <w:t>可</w:t>
            </w:r>
          </w:p>
        </w:tc>
        <w:tc>
          <w:tcPr>
            <w:tcW w:w="4253" w:type="dxa"/>
            <w:vAlign w:val="center"/>
          </w:tcPr>
          <w:p>
            <w:pPr>
              <w:ind w:firstLine="0" w:firstLineChars="0"/>
              <w:jc w:val="center"/>
              <w:rPr>
                <w:rFonts w:asciiTheme="minorEastAsia" w:hAnsiTheme="minorEastAsia"/>
                <w:szCs w:val="24"/>
              </w:rPr>
            </w:pPr>
            <w:r>
              <w:rPr>
                <w:rFonts w:hint="eastAsia" w:asciiTheme="minorEastAsia" w:hAnsiTheme="minorEastAsia"/>
                <w:szCs w:val="24"/>
              </w:rPr>
              <w:t>允许、许可、准许</w:t>
            </w:r>
          </w:p>
        </w:tc>
        <w:tc>
          <w:tcPr>
            <w:tcW w:w="2340" w:type="dxa"/>
            <w:vMerge w:val="restart"/>
            <w:vAlign w:val="center"/>
          </w:tcPr>
          <w:p>
            <w:pPr>
              <w:ind w:firstLine="0" w:firstLineChars="0"/>
              <w:jc w:val="center"/>
              <w:rPr>
                <w:rFonts w:asciiTheme="minorEastAsia" w:hAnsiTheme="minorEastAsia"/>
                <w:szCs w:val="24"/>
              </w:rPr>
            </w:pPr>
            <w:r>
              <w:rPr>
                <w:rFonts w:hint="eastAsia" w:asciiTheme="minorEastAsia" w:hAnsiTheme="minorEastAsia"/>
                <w:szCs w:val="24"/>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vAlign w:val="center"/>
          </w:tcPr>
          <w:p>
            <w:pPr>
              <w:ind w:firstLine="0" w:firstLineChars="0"/>
              <w:jc w:val="center"/>
              <w:rPr>
                <w:rFonts w:asciiTheme="minorEastAsia" w:hAnsiTheme="minorEastAsia"/>
                <w:szCs w:val="24"/>
              </w:rPr>
            </w:pPr>
            <w:r>
              <w:rPr>
                <w:rFonts w:hint="eastAsia" w:asciiTheme="minorEastAsia" w:hAnsiTheme="minorEastAsia"/>
                <w:szCs w:val="24"/>
              </w:rPr>
              <w:t>不必</w:t>
            </w:r>
          </w:p>
        </w:tc>
        <w:tc>
          <w:tcPr>
            <w:tcW w:w="4253" w:type="dxa"/>
            <w:vAlign w:val="center"/>
          </w:tcPr>
          <w:p>
            <w:pPr>
              <w:ind w:firstLine="0" w:firstLineChars="0"/>
              <w:jc w:val="center"/>
              <w:rPr>
                <w:rFonts w:asciiTheme="minorEastAsia" w:hAnsiTheme="minorEastAsia"/>
                <w:szCs w:val="24"/>
              </w:rPr>
            </w:pPr>
            <w:r>
              <w:rPr>
                <w:rFonts w:hint="eastAsia" w:asciiTheme="minorEastAsia" w:hAnsiTheme="minorEastAsia"/>
                <w:szCs w:val="24"/>
              </w:rPr>
              <w:t>不需要、不要求</w:t>
            </w:r>
          </w:p>
        </w:tc>
        <w:tc>
          <w:tcPr>
            <w:tcW w:w="2340" w:type="dxa"/>
            <w:vMerge w:val="continue"/>
            <w:vAlign w:val="center"/>
          </w:tcPr>
          <w:p>
            <w:pPr>
              <w:ind w:firstLine="480"/>
              <w:jc w:val="center"/>
              <w:rPr>
                <w:rFonts w:asciiTheme="minorEastAsia" w:hAnsiTheme="minorEastAsia"/>
                <w:szCs w:val="24"/>
              </w:rPr>
            </w:pPr>
          </w:p>
        </w:tc>
      </w:tr>
    </w:tbl>
    <w:p>
      <w:pPr>
        <w:ind w:firstLine="480"/>
        <w:jc w:val="center"/>
        <w:rPr>
          <w:rFonts w:asciiTheme="minorEastAsia" w:hAnsiTheme="minorEastAsia"/>
          <w:kern w:val="0"/>
          <w:szCs w:val="24"/>
        </w:rPr>
      </w:pPr>
      <w:r>
        <w:rPr>
          <w:rFonts w:asciiTheme="minorEastAsia" w:hAnsiTheme="minorEastAsia"/>
          <w:szCs w:val="24"/>
        </w:rPr>
        <w:br w:type="page"/>
      </w:r>
    </w:p>
    <w:p>
      <w:pPr>
        <w:pStyle w:val="81"/>
        <w:spacing w:after="156"/>
        <w:jc w:val="center"/>
      </w:pPr>
      <w:bookmarkStart w:id="146" w:name="_Toc33185721"/>
      <w:r>
        <w:rPr>
          <w:rFonts w:hint="eastAsia"/>
        </w:rPr>
        <w:t>引用标准名录</w:t>
      </w:r>
      <w:bookmarkEnd w:id="146"/>
    </w:p>
    <w:p>
      <w:pPr>
        <w:ind w:firstLine="480"/>
        <w:rPr>
          <w:rFonts w:cs="Times New Roman"/>
        </w:rPr>
      </w:pPr>
      <w:bookmarkStart w:id="147" w:name="_Toc24029652"/>
      <w:r>
        <w:rPr>
          <w:rFonts w:hint="eastAsia" w:cs="Times New Roman"/>
        </w:rPr>
        <w:t>《</w:t>
      </w:r>
      <w:r>
        <w:rPr>
          <w:rFonts w:cs="Times New Roman"/>
        </w:rPr>
        <w:t>地表水环境质量标准</w:t>
      </w:r>
      <w:r>
        <w:rPr>
          <w:rFonts w:hint="eastAsia" w:cs="Times New Roman"/>
        </w:rPr>
        <w:t>》</w:t>
      </w:r>
      <w:r>
        <w:rPr>
          <w:rFonts w:cs="Times New Roman"/>
        </w:rPr>
        <w:t>GB3838</w:t>
      </w:r>
    </w:p>
    <w:p>
      <w:pPr>
        <w:ind w:firstLine="480"/>
        <w:rPr>
          <w:rFonts w:cs="Times New Roman"/>
        </w:rPr>
      </w:pPr>
      <w:r>
        <w:rPr>
          <w:rFonts w:hint="eastAsia" w:cs="Times New Roman"/>
        </w:rPr>
        <w:t>《</w:t>
      </w:r>
      <w:r>
        <w:rPr>
          <w:rFonts w:cs="Times New Roman"/>
        </w:rPr>
        <w:t>土壤环境质量标准</w:t>
      </w:r>
      <w:r>
        <w:rPr>
          <w:rFonts w:hint="eastAsia" w:cs="Times New Roman"/>
        </w:rPr>
        <w:t>》</w:t>
      </w:r>
      <w:r>
        <w:rPr>
          <w:rFonts w:cs="Times New Roman"/>
        </w:rPr>
        <w:t>GB15618</w:t>
      </w:r>
    </w:p>
    <w:p>
      <w:pPr>
        <w:ind w:firstLine="480"/>
        <w:rPr>
          <w:rFonts w:cs="Times New Roman"/>
        </w:rPr>
      </w:pPr>
      <w:r>
        <w:rPr>
          <w:rFonts w:hint="eastAsia" w:cs="Times New Roman"/>
        </w:rPr>
        <w:t>《</w:t>
      </w:r>
      <w:r>
        <w:rPr>
          <w:rFonts w:cs="Times New Roman"/>
        </w:rPr>
        <w:t>水域纳污能力计算规程</w:t>
      </w:r>
      <w:r>
        <w:rPr>
          <w:rFonts w:hint="eastAsia" w:cs="Times New Roman"/>
        </w:rPr>
        <w:t>》</w:t>
      </w:r>
      <w:r>
        <w:rPr>
          <w:rFonts w:cs="Times New Roman"/>
        </w:rPr>
        <w:t>GB/T 25173</w:t>
      </w:r>
    </w:p>
    <w:p>
      <w:pPr>
        <w:ind w:firstLine="480"/>
      </w:pPr>
      <w:r>
        <w:rPr>
          <w:rFonts w:hint="eastAsia"/>
        </w:rPr>
        <w:t>《城市排水工程规划规范》GB 50318</w:t>
      </w:r>
    </w:p>
    <w:p>
      <w:pPr>
        <w:ind w:firstLine="480"/>
      </w:pPr>
      <w:r>
        <w:rPr>
          <w:rFonts w:hint="eastAsia"/>
        </w:rPr>
        <w:t>《水土保持综合治理 规划通则》GB/T 15772</w:t>
      </w:r>
    </w:p>
    <w:p>
      <w:pPr>
        <w:ind w:firstLine="480"/>
      </w:pPr>
      <w:r>
        <w:rPr>
          <w:rFonts w:hint="eastAsia"/>
        </w:rPr>
        <w:t>《室外排水设计规范》GB 50014</w:t>
      </w:r>
    </w:p>
    <w:p>
      <w:pPr>
        <w:ind w:firstLine="480"/>
      </w:pPr>
      <w:r>
        <w:rPr>
          <w:rFonts w:hint="eastAsia"/>
        </w:rPr>
        <w:t>《海绵城市建设评价标准》GB/T 51345</w:t>
      </w:r>
    </w:p>
    <w:p>
      <w:pPr>
        <w:ind w:firstLine="480"/>
      </w:pPr>
      <w:r>
        <w:rPr>
          <w:rFonts w:hint="eastAsia"/>
        </w:rPr>
        <w:t>《污水综合排放标准》GB8978</w:t>
      </w:r>
    </w:p>
    <w:p>
      <w:pPr>
        <w:ind w:firstLine="480"/>
      </w:pPr>
      <w:r>
        <w:rPr>
          <w:rFonts w:hint="eastAsia"/>
        </w:rPr>
        <w:t>《危险废物鉴别标准.浸出毒性鉴别》GB5085.3</w:t>
      </w:r>
    </w:p>
    <w:p>
      <w:pPr>
        <w:ind w:firstLine="480"/>
      </w:pPr>
      <w:r>
        <w:rPr>
          <w:rFonts w:hint="eastAsia"/>
        </w:rPr>
        <w:t>《河湖生态修复与保护规划编制导则》SL 709</w:t>
      </w:r>
    </w:p>
    <w:p>
      <w:pPr>
        <w:ind w:firstLine="480"/>
      </w:pPr>
      <w:r>
        <w:rPr>
          <w:rFonts w:hint="eastAsia"/>
        </w:rPr>
        <w:t>《城市水系规划导则》SL 431</w:t>
      </w:r>
    </w:p>
    <w:p>
      <w:pPr>
        <w:ind w:firstLine="480"/>
        <w:rPr>
          <w:rFonts w:cs="Times New Roman"/>
        </w:rPr>
      </w:pPr>
      <w:r>
        <w:rPr>
          <w:rFonts w:hint="eastAsia" w:cs="Times New Roman"/>
        </w:rPr>
        <w:t>《</w:t>
      </w:r>
      <w:r>
        <w:rPr>
          <w:rFonts w:cs="Times New Roman"/>
        </w:rPr>
        <w:t>地表水资源质量评价技术规程</w:t>
      </w:r>
      <w:r>
        <w:rPr>
          <w:rFonts w:hint="eastAsia" w:cs="Times New Roman"/>
        </w:rPr>
        <w:t>》</w:t>
      </w:r>
      <w:r>
        <w:rPr>
          <w:rFonts w:cs="Times New Roman"/>
        </w:rPr>
        <w:t>SL395</w:t>
      </w:r>
    </w:p>
    <w:p>
      <w:pPr>
        <w:ind w:firstLine="480"/>
        <w:rPr>
          <w:rFonts w:cs="Times New Roman"/>
        </w:rPr>
      </w:pPr>
      <w:r>
        <w:rPr>
          <w:rFonts w:hint="eastAsia" w:cs="Times New Roman"/>
        </w:rPr>
        <w:t>《</w:t>
      </w:r>
      <w:r>
        <w:rPr>
          <w:rFonts w:cs="Times New Roman"/>
        </w:rPr>
        <w:t>水库渔业资源调查规范</w:t>
      </w:r>
      <w:r>
        <w:rPr>
          <w:rFonts w:hint="eastAsia" w:cs="Times New Roman"/>
        </w:rPr>
        <w:t>》</w:t>
      </w:r>
      <w:r>
        <w:rPr>
          <w:rFonts w:cs="Times New Roman"/>
        </w:rPr>
        <w:t>SL167</w:t>
      </w:r>
    </w:p>
    <w:p>
      <w:pPr>
        <w:ind w:firstLine="480"/>
        <w:rPr>
          <w:rFonts w:cs="Times New Roman"/>
        </w:rPr>
      </w:pPr>
      <w:r>
        <w:rPr>
          <w:rFonts w:hint="eastAsia" w:cs="Times New Roman"/>
        </w:rPr>
        <w:t>《</w:t>
      </w:r>
      <w:r>
        <w:rPr>
          <w:rFonts w:cs="Times New Roman"/>
        </w:rPr>
        <w:t>河湖生态保护与修复规划导则</w:t>
      </w:r>
      <w:r>
        <w:rPr>
          <w:rFonts w:hint="eastAsia" w:cs="Times New Roman"/>
        </w:rPr>
        <w:t>》</w:t>
      </w:r>
      <w:r>
        <w:rPr>
          <w:rFonts w:cs="Times New Roman"/>
        </w:rPr>
        <w:t>SL709</w:t>
      </w:r>
    </w:p>
    <w:p>
      <w:pPr>
        <w:ind w:firstLine="480"/>
        <w:rPr>
          <w:rFonts w:cs="Times New Roman"/>
        </w:rPr>
      </w:pPr>
      <w:r>
        <w:rPr>
          <w:rFonts w:hint="eastAsia" w:cs="Times New Roman"/>
        </w:rPr>
        <w:t>《</w:t>
      </w:r>
      <w:r>
        <w:rPr>
          <w:rFonts w:cs="Times New Roman"/>
        </w:rPr>
        <w:t>渔业生态环境监测规范</w:t>
      </w:r>
      <w:r>
        <w:rPr>
          <w:rFonts w:hint="eastAsia" w:cs="Times New Roman"/>
        </w:rPr>
        <w:t>》</w:t>
      </w:r>
      <w:r>
        <w:rPr>
          <w:rFonts w:cs="Times New Roman"/>
        </w:rPr>
        <w:t>SC/T 9102.2</w:t>
      </w:r>
    </w:p>
    <w:p>
      <w:pPr>
        <w:ind w:firstLine="480"/>
      </w:pPr>
      <w:r>
        <w:rPr>
          <w:rFonts w:hint="eastAsia"/>
        </w:rPr>
        <w:t>《河湖生态环境需水计算规范》SLZ712</w:t>
      </w:r>
    </w:p>
    <w:p>
      <w:pPr>
        <w:ind w:firstLine="480"/>
      </w:pPr>
      <w:r>
        <w:rPr>
          <w:rFonts w:hint="eastAsia"/>
        </w:rPr>
        <w:t>《生产建设项目水土保持技术标准》GB 50433</w:t>
      </w:r>
    </w:p>
    <w:p>
      <w:pPr>
        <w:ind w:firstLine="480"/>
      </w:pPr>
      <w:r>
        <w:rPr>
          <w:rFonts w:hint="eastAsia"/>
        </w:rPr>
        <w:t>《地表水和污水监测技术规范》HJ/T 91</w:t>
      </w:r>
    </w:p>
    <w:p>
      <w:pPr>
        <w:ind w:firstLine="480"/>
        <w:rPr>
          <w:rFonts w:cs="Times New Roman"/>
        </w:rPr>
      </w:pPr>
      <w:r>
        <w:rPr>
          <w:rFonts w:hint="eastAsia"/>
        </w:rPr>
        <w:t>《水污染物排放总量监测技术规范》HJ/T92</w:t>
      </w:r>
    </w:p>
    <w:p>
      <w:pPr>
        <w:ind w:firstLine="480"/>
        <w:rPr>
          <w:rFonts w:cs="Times New Roman"/>
        </w:rPr>
      </w:pPr>
      <w:r>
        <w:rPr>
          <w:rFonts w:hint="eastAsia"/>
        </w:rPr>
        <w:t>《河湖污泥处理厂产出物处置技术规范》</w:t>
      </w:r>
      <w:r>
        <w:t>SZDB/Z236</w:t>
      </w:r>
    </w:p>
    <w:p>
      <w:pPr>
        <w:ind w:firstLine="723"/>
        <w:jc w:val="center"/>
        <w:rPr>
          <w:rFonts w:ascii="黑体" w:hAnsi="黑体" w:eastAsia="黑体"/>
          <w:b/>
          <w:sz w:val="36"/>
          <w:szCs w:val="36"/>
        </w:rPr>
      </w:pPr>
    </w:p>
    <w:p>
      <w:pPr>
        <w:widowControl/>
        <w:spacing w:line="240" w:lineRule="auto"/>
        <w:ind w:firstLine="0" w:firstLineChars="0"/>
        <w:jc w:val="left"/>
        <w:rPr>
          <w:rFonts w:ascii="黑体" w:hAnsi="黑体" w:eastAsia="黑体"/>
          <w:b/>
          <w:sz w:val="36"/>
          <w:szCs w:val="36"/>
        </w:rPr>
      </w:pPr>
      <w:r>
        <w:rPr>
          <w:rFonts w:ascii="黑体" w:hAnsi="黑体" w:eastAsia="黑体"/>
          <w:b/>
          <w:sz w:val="36"/>
          <w:szCs w:val="36"/>
        </w:rPr>
        <w:br w:type="page"/>
      </w:r>
    </w:p>
    <w:p>
      <w:pPr>
        <w:widowControl/>
        <w:spacing w:line="240" w:lineRule="auto"/>
        <w:ind w:firstLine="0" w:firstLineChars="0"/>
        <w:jc w:val="left"/>
        <w:rPr>
          <w:rFonts w:ascii="黑体" w:hAnsi="黑体" w:eastAsia="黑体"/>
          <w:b/>
          <w:sz w:val="36"/>
          <w:szCs w:val="36"/>
        </w:rPr>
      </w:pPr>
    </w:p>
    <w:p>
      <w:pPr>
        <w:ind w:firstLine="723"/>
        <w:jc w:val="center"/>
        <w:rPr>
          <w:rFonts w:ascii="黑体" w:hAnsi="黑体" w:eastAsia="黑体"/>
          <w:b/>
          <w:sz w:val="36"/>
          <w:szCs w:val="36"/>
        </w:rPr>
      </w:pPr>
      <w:r>
        <w:rPr>
          <w:rFonts w:hint="eastAsia" w:ascii="黑体" w:hAnsi="黑体" w:eastAsia="黑体"/>
          <w:b/>
          <w:sz w:val="36"/>
          <w:szCs w:val="36"/>
        </w:rPr>
        <w:t>广东省地方标准</w:t>
      </w:r>
    </w:p>
    <w:p>
      <w:pPr>
        <w:ind w:firstLine="723"/>
        <w:jc w:val="center"/>
        <w:rPr>
          <w:rFonts w:ascii="黑体" w:hAnsi="黑体" w:eastAsia="黑体"/>
          <w:b/>
          <w:sz w:val="36"/>
          <w:szCs w:val="36"/>
        </w:rPr>
      </w:pPr>
    </w:p>
    <w:p>
      <w:pPr>
        <w:ind w:firstLine="723"/>
        <w:jc w:val="center"/>
        <w:rPr>
          <w:rFonts w:ascii="黑体" w:hAnsi="黑体" w:eastAsia="黑体"/>
          <w:b/>
          <w:sz w:val="36"/>
          <w:szCs w:val="36"/>
        </w:rPr>
      </w:pPr>
      <w:r>
        <w:rPr>
          <w:rFonts w:hint="eastAsia" w:ascii="黑体" w:hAnsi="黑体" w:eastAsia="黑体"/>
          <w:b/>
          <w:sz w:val="36"/>
          <w:szCs w:val="36"/>
        </w:rPr>
        <w:t>城市黑臭水体治理规划编制规范</w:t>
      </w:r>
    </w:p>
    <w:p>
      <w:pPr>
        <w:ind w:firstLine="723"/>
        <w:jc w:val="center"/>
        <w:rPr>
          <w:rFonts w:ascii="黑体" w:hAnsi="黑体" w:eastAsia="黑体"/>
          <w:b/>
          <w:sz w:val="36"/>
          <w:szCs w:val="36"/>
        </w:rPr>
      </w:pPr>
    </w:p>
    <w:p>
      <w:pPr>
        <w:ind w:firstLine="723"/>
        <w:jc w:val="center"/>
        <w:rPr>
          <w:rFonts w:ascii="黑体" w:hAnsi="黑体" w:eastAsia="黑体"/>
          <w:b/>
          <w:sz w:val="36"/>
          <w:szCs w:val="36"/>
        </w:rPr>
      </w:pPr>
      <w:r>
        <w:rPr>
          <w:rFonts w:ascii="黑体" w:hAnsi="黑体" w:eastAsia="黑体"/>
          <w:b/>
          <w:sz w:val="36"/>
          <w:szCs w:val="36"/>
        </w:rPr>
        <w:t>DBJ 15-XX-20</w:t>
      </w:r>
      <w:r>
        <w:rPr>
          <w:rFonts w:hint="eastAsia" w:ascii="黑体" w:hAnsi="黑体" w:eastAsia="黑体"/>
          <w:b/>
          <w:sz w:val="36"/>
          <w:szCs w:val="36"/>
          <w:lang w:val="en-US" w:eastAsia="zh-CN"/>
        </w:rPr>
        <w:t>X</w:t>
      </w:r>
      <w:bookmarkStart w:id="254" w:name="_GoBack"/>
      <w:bookmarkEnd w:id="254"/>
      <w:r>
        <w:rPr>
          <w:rFonts w:hint="eastAsia" w:ascii="黑体" w:hAnsi="黑体" w:eastAsia="黑体"/>
          <w:b/>
          <w:sz w:val="36"/>
          <w:szCs w:val="36"/>
        </w:rPr>
        <w:t>X</w:t>
      </w:r>
    </w:p>
    <w:p>
      <w:pPr>
        <w:pStyle w:val="81"/>
        <w:spacing w:after="156"/>
        <w:jc w:val="center"/>
      </w:pPr>
      <w:bookmarkStart w:id="148" w:name="_Toc33185722"/>
      <w:r>
        <w:rPr>
          <w:rFonts w:hint="eastAsia"/>
        </w:rPr>
        <w:t>条文说明</w:t>
      </w:r>
      <w:bookmarkEnd w:id="147"/>
      <w:bookmarkEnd w:id="148"/>
    </w:p>
    <w:bookmarkEnd w:id="8"/>
    <w:p>
      <w:pPr>
        <w:widowControl/>
        <w:spacing w:line="240" w:lineRule="auto"/>
        <w:ind w:firstLine="0" w:firstLineChars="0"/>
        <w:jc w:val="left"/>
        <w:rPr>
          <w:rFonts w:cs="Times New Roman"/>
        </w:rPr>
        <w:sectPr>
          <w:footerReference r:id="rId12" w:type="default"/>
          <w:pgSz w:w="11906" w:h="16838"/>
          <w:pgMar w:top="1440" w:right="1800" w:bottom="1440" w:left="1800" w:header="851" w:footer="992" w:gutter="0"/>
          <w:cols w:space="425" w:num="1"/>
          <w:docGrid w:type="lines" w:linePitch="312" w:charSpace="0"/>
        </w:sectPr>
      </w:pPr>
      <w:bookmarkStart w:id="149" w:name="_Toc24029653"/>
      <w:bookmarkStart w:id="150" w:name="_Toc24032045"/>
    </w:p>
    <w:p>
      <w:pPr>
        <w:pStyle w:val="63"/>
        <w:spacing w:after="156"/>
        <w:jc w:val="center"/>
        <w:rPr>
          <w:sz w:val="36"/>
        </w:rPr>
      </w:pPr>
      <w:r>
        <w:rPr>
          <w:rFonts w:hint="eastAsia"/>
          <w:sz w:val="36"/>
        </w:rPr>
        <w:t>目  次</w:t>
      </w:r>
    </w:p>
    <w:p>
      <w:pPr>
        <w:widowControl/>
        <w:spacing w:line="240" w:lineRule="auto"/>
        <w:ind w:firstLine="480" w:firstLineChars="0"/>
        <w:jc w:val="left"/>
        <w:rPr>
          <w:b/>
        </w:rPr>
      </w:pPr>
    </w:p>
    <w:p>
      <w:pPr>
        <w:pStyle w:val="26"/>
        <w:tabs>
          <w:tab w:val="right" w:leader="dot" w:pos="8296"/>
        </w:tabs>
        <w:rPr>
          <w:rFonts w:asciiTheme="minorHAnsi" w:hAnsiTheme="minorHAnsi"/>
          <w:sz w:val="21"/>
        </w:rPr>
      </w:pPr>
      <w:r>
        <w:fldChar w:fldCharType="begin"/>
      </w:r>
      <w:r>
        <w:instrText xml:space="preserve"> TOC \o "1</w:instrText>
      </w:r>
      <w:r>
        <w:rPr>
          <w:rFonts w:hint="eastAsia"/>
        </w:rPr>
        <w:instrText xml:space="preserve">-1</w:instrText>
      </w:r>
      <w:r>
        <w:instrText xml:space="preserve">" \h \z \u </w:instrText>
      </w:r>
      <w:r>
        <w:rPr>
          <w:rFonts w:hint="eastAsia"/>
        </w:rPr>
        <w:instrText xml:space="preserve">\b tiaowenshuoming</w:instrText>
      </w:r>
      <w:r>
        <w:fldChar w:fldCharType="separate"/>
      </w:r>
      <w:r>
        <w:fldChar w:fldCharType="begin"/>
      </w:r>
      <w:r>
        <w:instrText xml:space="preserve"> HYPERLINK \l "_Toc33204591" </w:instrText>
      </w:r>
      <w:r>
        <w:fldChar w:fldCharType="separate"/>
      </w:r>
      <w:r>
        <w:rPr>
          <w:rStyle w:val="37"/>
          <w:color w:val="auto"/>
        </w:rPr>
        <w:t>1 总则</w:t>
      </w:r>
      <w:r>
        <w:tab/>
      </w:r>
      <w:r>
        <w:fldChar w:fldCharType="begin"/>
      </w:r>
      <w:r>
        <w:instrText xml:space="preserve"> PAGEREF _Toc33204591 \h </w:instrText>
      </w:r>
      <w:r>
        <w:fldChar w:fldCharType="separate"/>
      </w:r>
      <w:r>
        <w:t>45</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"_Toc33204592" </w:instrText>
      </w:r>
      <w:r>
        <w:fldChar w:fldCharType="separate"/>
      </w:r>
      <w:r>
        <w:rPr>
          <w:rStyle w:val="37"/>
          <w:color w:val="auto"/>
        </w:rPr>
        <w:t>3 基本规定</w:t>
      </w:r>
      <w:r>
        <w:tab/>
      </w:r>
      <w:r>
        <w:fldChar w:fldCharType="begin"/>
      </w:r>
      <w:r>
        <w:instrText xml:space="preserve"> PAGEREF _Toc33204592 \h </w:instrText>
      </w:r>
      <w:r>
        <w:fldChar w:fldCharType="separate"/>
      </w:r>
      <w:r>
        <w:t>46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"_Toc33204593" </w:instrText>
      </w:r>
      <w:r>
        <w:fldChar w:fldCharType="separate"/>
      </w:r>
      <w:r>
        <w:rPr>
          <w:rStyle w:val="37"/>
          <w:color w:val="auto"/>
        </w:rPr>
        <w:t>5区域概况</w:t>
      </w:r>
      <w:r>
        <w:tab/>
      </w:r>
      <w:r>
        <w:fldChar w:fldCharType="begin"/>
      </w:r>
      <w:r>
        <w:instrText xml:space="preserve"> PAGEREF _Toc33204593 \h </w:instrText>
      </w:r>
      <w:r>
        <w:fldChar w:fldCharType="separate"/>
      </w:r>
      <w:r>
        <w:t>47</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"_Toc33204594" </w:instrText>
      </w:r>
      <w:r>
        <w:fldChar w:fldCharType="separate"/>
      </w:r>
      <w:r>
        <w:rPr>
          <w:rStyle w:val="37"/>
          <w:color w:val="auto"/>
        </w:rPr>
        <w:t>6 现状调查评价</w:t>
      </w:r>
      <w:r>
        <w:tab/>
      </w:r>
      <w:r>
        <w:fldChar w:fldCharType="begin"/>
      </w:r>
      <w:r>
        <w:instrText xml:space="preserve"> PAGEREF _Toc33204594 \h </w:instrText>
      </w:r>
      <w:r>
        <w:fldChar w:fldCharType="separate"/>
      </w:r>
      <w:r>
        <w:t>48</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"_Toc33204595" </w:instrText>
      </w:r>
      <w:r>
        <w:fldChar w:fldCharType="separate"/>
      </w:r>
      <w:r>
        <w:rPr>
          <w:rStyle w:val="37"/>
          <w:color w:val="auto"/>
        </w:rPr>
        <w:t>7 总体规划</w:t>
      </w:r>
      <w:r>
        <w:tab/>
      </w:r>
      <w:r>
        <w:fldChar w:fldCharType="begin"/>
      </w:r>
      <w:r>
        <w:instrText xml:space="preserve"> PAGEREF _Toc33204595 \h </w:instrText>
      </w:r>
      <w:r>
        <w:fldChar w:fldCharType="separate"/>
      </w:r>
      <w:r>
        <w:t>56</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"_Toc33204596" </w:instrText>
      </w:r>
      <w:r>
        <w:fldChar w:fldCharType="separate"/>
      </w:r>
      <w:r>
        <w:rPr>
          <w:rStyle w:val="37"/>
          <w:color w:val="auto"/>
        </w:rPr>
        <w:t>8 治理方案</w:t>
      </w:r>
      <w:r>
        <w:tab/>
      </w:r>
      <w:r>
        <w:fldChar w:fldCharType="begin"/>
      </w:r>
      <w:r>
        <w:instrText xml:space="preserve"> PAGEREF _Toc33204596 \h </w:instrText>
      </w:r>
      <w:r>
        <w:fldChar w:fldCharType="separate"/>
      </w:r>
      <w:r>
        <w:t>57</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"_Toc33204597" </w:instrText>
      </w:r>
      <w:r>
        <w:fldChar w:fldCharType="separate"/>
      </w:r>
      <w:r>
        <w:rPr>
          <w:rStyle w:val="37"/>
          <w:color w:val="auto"/>
        </w:rPr>
        <w:t>9 投资估算</w:t>
      </w:r>
      <w:r>
        <w:tab/>
      </w:r>
      <w:r>
        <w:fldChar w:fldCharType="begin"/>
      </w:r>
      <w:r>
        <w:instrText xml:space="preserve"> PAGEREF _Toc33204597 \h </w:instrText>
      </w:r>
      <w:r>
        <w:fldChar w:fldCharType="separate"/>
      </w:r>
      <w:r>
        <w:t>60</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"_Toc33204598" </w:instrText>
      </w:r>
      <w:r>
        <w:fldChar w:fldCharType="separate"/>
      </w:r>
      <w:r>
        <w:rPr>
          <w:rStyle w:val="37"/>
          <w:color w:val="auto"/>
        </w:rPr>
        <w:t>10 非工程治理措施方案</w:t>
      </w:r>
      <w:r>
        <w:tab/>
      </w:r>
      <w:r>
        <w:fldChar w:fldCharType="begin"/>
      </w:r>
      <w:r>
        <w:instrText xml:space="preserve"> PAGEREF _Toc33204598 \h </w:instrText>
      </w:r>
      <w:r>
        <w:fldChar w:fldCharType="separate"/>
      </w:r>
      <w:r>
        <w:t>61</w:t>
      </w:r>
      <w:r>
        <w:fldChar w:fldCharType="end"/>
      </w:r>
      <w:r>
        <w:fldChar w:fldCharType="end"/>
      </w:r>
    </w:p>
    <w:p>
      <w:pPr>
        <w:pStyle w:val="26"/>
        <w:tabs>
          <w:tab w:val="right" w:leader="dot" w:pos="8296"/>
        </w:tabs>
        <w:rPr>
          <w:rFonts w:asciiTheme="minorHAnsi" w:hAnsiTheme="minorHAnsi"/>
          <w:sz w:val="21"/>
        </w:rPr>
      </w:pPr>
      <w:r>
        <w:fldChar w:fldCharType="begin"/>
      </w:r>
      <w:r>
        <w:instrText xml:space="preserve"> HYPERLINK \l "_Toc33204599" </w:instrText>
      </w:r>
      <w:r>
        <w:fldChar w:fldCharType="separate"/>
      </w:r>
      <w:r>
        <w:rPr>
          <w:rStyle w:val="37"/>
          <w:color w:val="auto"/>
        </w:rPr>
        <w:t>11 规划环境影响评价</w:t>
      </w:r>
      <w:r>
        <w:tab/>
      </w:r>
      <w:r>
        <w:fldChar w:fldCharType="begin"/>
      </w:r>
      <w:r>
        <w:instrText xml:space="preserve"> PAGEREF _Toc33204599 \h </w:instrText>
      </w:r>
      <w:r>
        <w:fldChar w:fldCharType="separate"/>
      </w:r>
      <w:r>
        <w:t>63</w:t>
      </w:r>
      <w:r>
        <w:fldChar w:fldCharType="end"/>
      </w:r>
      <w:r>
        <w:fldChar w:fldCharType="end"/>
      </w:r>
    </w:p>
    <w:p>
      <w:pPr>
        <w:widowControl/>
        <w:spacing w:line="240" w:lineRule="auto"/>
        <w:ind w:firstLine="0" w:firstLineChars="0"/>
        <w:jc w:val="left"/>
        <w:rPr>
          <w:rFonts w:cs="Times New Roman"/>
        </w:rPr>
        <w:sectPr>
          <w:pgSz w:w="11906" w:h="16838"/>
          <w:pgMar w:top="1440" w:right="1800" w:bottom="1440" w:left="1800" w:header="851" w:footer="992" w:gutter="0"/>
          <w:cols w:space="425" w:num="1"/>
          <w:docGrid w:type="lines" w:linePitch="312" w:charSpace="0"/>
        </w:sectPr>
      </w:pPr>
      <w:r>
        <w:fldChar w:fldCharType="end"/>
      </w:r>
    </w:p>
    <w:p>
      <w:pPr>
        <w:pStyle w:val="2"/>
        <w:numPr>
          <w:ilvl w:val="0"/>
          <w:numId w:val="39"/>
        </w:numPr>
        <w:spacing w:after="156"/>
      </w:pPr>
      <w:bookmarkStart w:id="151" w:name="_Toc33204591"/>
      <w:bookmarkStart w:id="152" w:name="tiaowenshuoming"/>
      <w:r>
        <w:t>总则</w:t>
      </w:r>
      <w:bookmarkEnd w:id="149"/>
      <w:bookmarkEnd w:id="150"/>
      <w:bookmarkEnd w:id="151"/>
    </w:p>
    <w:p>
      <w:pPr>
        <w:pStyle w:val="65"/>
        <w:spacing w:before="156" w:beforeLines="50"/>
        <w:jc w:val="both"/>
      </w:pPr>
      <w:r>
        <w:rPr>
          <w:rFonts w:hint="eastAsia"/>
          <w:b/>
          <w:bCs/>
        </w:rPr>
        <w:t>1</w:t>
      </w:r>
      <w:r>
        <w:rPr>
          <w:b/>
          <w:bCs/>
        </w:rPr>
        <w:t xml:space="preserve">.0.1 </w:t>
      </w:r>
      <w:r>
        <w:rPr>
          <w:rFonts w:hint="eastAsia"/>
        </w:rPr>
        <w:t>本条提出本规范的适用范围。本规范除了适用于广东省城镇建成区内的城市黑臭水体治理规划编制，建成区内的非黑臭水体的治理规划也可根据其适应性部分或者全部参照本规范进行编制。</w:t>
      </w:r>
    </w:p>
    <w:p>
      <w:pPr>
        <w:ind w:firstLine="480"/>
        <w:rPr>
          <w:rFonts w:eastAsia="宋体"/>
          <w:szCs w:val="32"/>
        </w:rPr>
      </w:pPr>
      <w:r>
        <w:br w:type="page"/>
      </w:r>
    </w:p>
    <w:p>
      <w:pPr>
        <w:pStyle w:val="2"/>
        <w:numPr>
          <w:ilvl w:val="0"/>
          <w:numId w:val="40"/>
        </w:numPr>
        <w:spacing w:after="156"/>
      </w:pPr>
      <w:bookmarkStart w:id="153" w:name="_Toc24032046"/>
      <w:bookmarkStart w:id="154" w:name="_Toc33204592"/>
      <w:bookmarkStart w:id="155" w:name="_Toc24029654"/>
      <w:r>
        <w:t>基本规定</w:t>
      </w:r>
      <w:bookmarkEnd w:id="153"/>
      <w:bookmarkEnd w:id="154"/>
      <w:bookmarkEnd w:id="155"/>
    </w:p>
    <w:p>
      <w:pPr>
        <w:spacing w:before="156" w:beforeLines="50"/>
        <w:ind w:firstLine="0" w:firstLineChars="0"/>
      </w:pPr>
      <w:r>
        <w:rPr>
          <w:rFonts w:hint="eastAsia"/>
          <w:b/>
          <w:bCs/>
        </w:rPr>
        <w:t>3</w:t>
      </w:r>
      <w:r>
        <w:rPr>
          <w:b/>
          <w:bCs/>
        </w:rPr>
        <w:t>.0.1</w:t>
      </w:r>
      <w:r>
        <w:rPr>
          <w:rFonts w:cs="Times New Roman"/>
          <w:b/>
          <w:bCs/>
        </w:rPr>
        <w:t>~3.0.2</w:t>
      </w:r>
      <w:r>
        <w:rPr>
          <w:rFonts w:hint="eastAsia"/>
        </w:rPr>
        <w:t>规划编制的依据主要应包括下列内容。</w:t>
      </w:r>
    </w:p>
    <w:p>
      <w:pPr>
        <w:pStyle w:val="60"/>
        <w:numPr>
          <w:ilvl w:val="0"/>
          <w:numId w:val="41"/>
        </w:numPr>
        <w:spacing w:before="156" w:beforeLines="50"/>
        <w:ind w:left="0" w:firstLine="480" w:firstLineChars="200"/>
        <w:jc w:val="both"/>
      </w:pPr>
      <w:r>
        <w:rPr>
          <w:rFonts w:hint="eastAsia"/>
        </w:rPr>
        <w:t>国家及省市有关部门的相关政策、法律法规、批复意见。</w:t>
      </w:r>
    </w:p>
    <w:p>
      <w:pPr>
        <w:pStyle w:val="60"/>
        <w:numPr>
          <w:ilvl w:val="0"/>
          <w:numId w:val="41"/>
        </w:numPr>
        <w:spacing w:before="156" w:beforeLines="50"/>
        <w:ind w:left="0" w:firstLine="480" w:firstLineChars="200"/>
        <w:jc w:val="both"/>
      </w:pPr>
      <w:r>
        <w:rPr>
          <w:rFonts w:hint="eastAsia"/>
        </w:rPr>
        <w:t>城市总体发展规划或区域性主体发展规划。</w:t>
      </w:r>
    </w:p>
    <w:p>
      <w:pPr>
        <w:pStyle w:val="60"/>
        <w:numPr>
          <w:ilvl w:val="0"/>
          <w:numId w:val="41"/>
        </w:numPr>
        <w:spacing w:before="156" w:beforeLines="50"/>
        <w:ind w:left="0" w:firstLine="480" w:firstLineChars="200"/>
        <w:jc w:val="both"/>
      </w:pPr>
      <w:r>
        <w:rPr>
          <w:rFonts w:hint="eastAsia"/>
        </w:rPr>
        <w:t>相关现行的国家标准、行业标准等。</w:t>
      </w:r>
    </w:p>
    <w:p>
      <w:pPr>
        <w:pStyle w:val="60"/>
        <w:numPr>
          <w:ilvl w:val="0"/>
          <w:numId w:val="41"/>
        </w:numPr>
        <w:spacing w:before="156" w:beforeLines="50"/>
        <w:ind w:left="0" w:firstLine="480" w:firstLineChars="200"/>
        <w:jc w:val="both"/>
      </w:pPr>
      <w:r>
        <w:rPr>
          <w:rFonts w:hint="eastAsia"/>
        </w:rPr>
        <w:t>区域环境保护规划、水污染防治规划、流域水功能区划、生态功能区划、水利区划等定位要求。</w:t>
      </w:r>
    </w:p>
    <w:p>
      <w:pPr>
        <w:pStyle w:val="65"/>
        <w:spacing w:before="156" w:beforeLines="50"/>
        <w:jc w:val="both"/>
      </w:pPr>
      <w:r>
        <w:rPr>
          <w:rFonts w:hint="eastAsia"/>
          <w:b/>
          <w:bCs/>
        </w:rPr>
        <w:t>3</w:t>
      </w:r>
      <w:r>
        <w:rPr>
          <w:b/>
          <w:bCs/>
        </w:rPr>
        <w:t>.0.3</w:t>
      </w:r>
      <w:r>
        <w:rPr>
          <w:rFonts w:cs="Times New Roman"/>
          <w:b/>
          <w:bCs/>
        </w:rPr>
        <w:t>~3.0.4</w:t>
      </w:r>
      <w:r>
        <w:rPr>
          <w:rFonts w:hint="eastAsia"/>
        </w:rPr>
        <w:t>要以人为本，统筹协调社会和经济发展与环境保护之间的关系，体现可持续的科学治水理念。</w:t>
      </w:r>
    </w:p>
    <w:p>
      <w:pPr>
        <w:pStyle w:val="65"/>
        <w:spacing w:before="156" w:beforeLines="50"/>
      </w:pPr>
      <w:r>
        <w:rPr>
          <w:rFonts w:hint="eastAsia"/>
          <w:b/>
          <w:bCs/>
        </w:rPr>
        <w:t>3</w:t>
      </w:r>
      <w:r>
        <w:rPr>
          <w:b/>
          <w:bCs/>
        </w:rPr>
        <w:t>.0.7</w:t>
      </w:r>
      <w:r>
        <w:rPr>
          <w:rFonts w:cs="Times New Roman"/>
          <w:b/>
          <w:bCs/>
        </w:rPr>
        <w:t>~3.0.10</w:t>
      </w:r>
      <w:r>
        <w:rPr>
          <w:rFonts w:hint="eastAsia"/>
        </w:rPr>
        <w:t>规划编制原则可考虑几个方面：</w:t>
      </w:r>
    </w:p>
    <w:p>
      <w:pPr>
        <w:pStyle w:val="60"/>
        <w:numPr>
          <w:ilvl w:val="0"/>
          <w:numId w:val="42"/>
        </w:numPr>
        <w:spacing w:before="156" w:beforeLines="50"/>
        <w:ind w:left="0" w:firstLine="480" w:firstLineChars="200"/>
        <w:jc w:val="both"/>
      </w:pPr>
      <w:r>
        <w:rPr>
          <w:rFonts w:hint="eastAsia"/>
        </w:rPr>
        <w:t>源头治理与末端治理相结合；</w:t>
      </w:r>
    </w:p>
    <w:p>
      <w:pPr>
        <w:pStyle w:val="60"/>
        <w:numPr>
          <w:ilvl w:val="0"/>
          <w:numId w:val="42"/>
        </w:numPr>
        <w:spacing w:before="156" w:beforeLines="50"/>
        <w:ind w:left="0" w:firstLine="480" w:firstLineChars="200"/>
        <w:jc w:val="both"/>
      </w:pPr>
      <w:r>
        <w:rPr>
          <w:rFonts w:hint="eastAsia"/>
        </w:rPr>
        <w:t>目标导向与问题导向相结合；</w:t>
      </w:r>
    </w:p>
    <w:p>
      <w:pPr>
        <w:pStyle w:val="60"/>
        <w:numPr>
          <w:ilvl w:val="0"/>
          <w:numId w:val="42"/>
        </w:numPr>
        <w:spacing w:before="156" w:beforeLines="50"/>
        <w:ind w:left="0" w:firstLine="480" w:firstLineChars="200"/>
        <w:jc w:val="both"/>
      </w:pPr>
      <w:r>
        <w:rPr>
          <w:rFonts w:hint="eastAsia"/>
        </w:rPr>
        <w:t>建设与运营管理并重；</w:t>
      </w:r>
    </w:p>
    <w:p>
      <w:pPr>
        <w:pStyle w:val="60"/>
        <w:numPr>
          <w:ilvl w:val="0"/>
          <w:numId w:val="42"/>
        </w:numPr>
        <w:spacing w:before="156" w:beforeLines="50"/>
        <w:ind w:left="0" w:firstLine="480" w:firstLineChars="200"/>
        <w:jc w:val="both"/>
      </w:pPr>
      <w:r>
        <w:rPr>
          <w:rFonts w:hint="eastAsia"/>
        </w:rPr>
        <w:t>流域治理、综合治理原则；</w:t>
      </w:r>
    </w:p>
    <w:p>
      <w:pPr>
        <w:pStyle w:val="60"/>
        <w:numPr>
          <w:ilvl w:val="0"/>
          <w:numId w:val="42"/>
        </w:numPr>
        <w:spacing w:before="156" w:beforeLines="50"/>
        <w:ind w:left="0" w:firstLine="480" w:firstLineChars="200"/>
        <w:jc w:val="both"/>
      </w:pPr>
      <w:r>
        <w:rPr>
          <w:rFonts w:hint="eastAsia"/>
        </w:rPr>
        <w:t>全面规划，因地制宜原则；</w:t>
      </w:r>
    </w:p>
    <w:p>
      <w:pPr>
        <w:pStyle w:val="60"/>
        <w:numPr>
          <w:ilvl w:val="0"/>
          <w:numId w:val="42"/>
        </w:numPr>
        <w:spacing w:before="156" w:beforeLines="50"/>
        <w:ind w:left="0" w:firstLine="480" w:firstLineChars="200"/>
        <w:jc w:val="both"/>
      </w:pPr>
      <w:r>
        <w:rPr>
          <w:rFonts w:hint="eastAsia"/>
        </w:rPr>
        <w:t>工程措施、非工程方法与措施相结合等。</w:t>
      </w:r>
    </w:p>
    <w:p>
      <w:pPr>
        <w:ind w:firstLine="480"/>
      </w:pPr>
    </w:p>
    <w:p>
      <w:pPr>
        <w:ind w:firstLine="480"/>
        <w:rPr>
          <w:rFonts w:eastAsia="宋体"/>
          <w:szCs w:val="32"/>
        </w:rPr>
      </w:pPr>
      <w:r>
        <w:br w:type="page"/>
      </w:r>
    </w:p>
    <w:p>
      <w:pPr>
        <w:pStyle w:val="2"/>
        <w:numPr>
          <w:ilvl w:val="0"/>
          <w:numId w:val="0"/>
        </w:numPr>
        <w:spacing w:after="156"/>
      </w:pPr>
      <w:bookmarkStart w:id="156" w:name="_Toc33204593"/>
      <w:bookmarkStart w:id="157" w:name="_Toc24029657"/>
      <w:bookmarkStart w:id="158" w:name="_Toc24032049"/>
      <w:r>
        <w:rPr>
          <w:rFonts w:hint="eastAsia"/>
        </w:rPr>
        <w:t>5区域概况</w:t>
      </w:r>
      <w:bookmarkEnd w:id="156"/>
    </w:p>
    <w:p>
      <w:pPr>
        <w:pStyle w:val="5"/>
        <w:numPr>
          <w:ilvl w:val="0"/>
          <w:numId w:val="0"/>
        </w:numPr>
        <w:jc w:val="both"/>
      </w:pPr>
      <w:r>
        <w:rPr>
          <w:rFonts w:hint="eastAsia"/>
          <w:b/>
          <w:bCs w:val="0"/>
        </w:rPr>
        <w:t>5</w:t>
      </w:r>
      <w:r>
        <w:rPr>
          <w:b/>
          <w:bCs w:val="0"/>
        </w:rPr>
        <w:t>.0.3</w:t>
      </w:r>
      <w:r>
        <w:rPr>
          <w:rFonts w:hint="eastAsia"/>
        </w:rPr>
        <w:t>地理位置包括规划水体的地理位置、所在行政区，以及与周边重要敏感区，包括重要城市、自然保护区、种植资源保护区、著名风景区的方位关系。城市行政区划分包括所属行政区的名称、范围、面积、人口等。</w:t>
      </w:r>
    </w:p>
    <w:p>
      <w:pPr>
        <w:pStyle w:val="5"/>
        <w:numPr>
          <w:ilvl w:val="0"/>
          <w:numId w:val="0"/>
        </w:numPr>
        <w:jc w:val="both"/>
      </w:pPr>
      <w:r>
        <w:rPr>
          <w:rFonts w:hint="eastAsia"/>
          <w:b/>
          <w:bCs w:val="0"/>
        </w:rPr>
        <w:t>5</w:t>
      </w:r>
      <w:r>
        <w:rPr>
          <w:b/>
          <w:bCs w:val="0"/>
        </w:rPr>
        <w:t>.0.4</w:t>
      </w:r>
      <w:r>
        <w:rPr>
          <w:rFonts w:hint="eastAsia"/>
        </w:rPr>
        <w:t>自然条件包括地理地质、水文气象和其他方面。</w:t>
      </w:r>
    </w:p>
    <w:p>
      <w:pPr>
        <w:pStyle w:val="5"/>
        <w:numPr>
          <w:ilvl w:val="0"/>
          <w:numId w:val="0"/>
        </w:numPr>
        <w:ind w:firstLine="480" w:firstLineChars="200"/>
        <w:jc w:val="both"/>
      </w:pPr>
      <w:r>
        <w:rPr>
          <w:rFonts w:hint="eastAsia"/>
        </w:rPr>
        <w:t>1</w:t>
      </w:r>
      <w:r>
        <w:t xml:space="preserve"> </w:t>
      </w:r>
      <w:r>
        <w:rPr>
          <w:rFonts w:hint="eastAsia"/>
        </w:rPr>
        <w:t>地理地质包括以下方面：</w:t>
      </w:r>
    </w:p>
    <w:p>
      <w:pPr>
        <w:pStyle w:val="60"/>
        <w:numPr>
          <w:ilvl w:val="0"/>
          <w:numId w:val="43"/>
        </w:numPr>
        <w:spacing w:before="50"/>
        <w:jc w:val="both"/>
      </w:pPr>
      <w:r>
        <w:rPr>
          <w:rFonts w:hint="eastAsia"/>
        </w:rPr>
        <w:t>区域地形、地貌及地质特征、地震防护等级等。</w:t>
      </w:r>
    </w:p>
    <w:p>
      <w:pPr>
        <w:pStyle w:val="60"/>
        <w:numPr>
          <w:ilvl w:val="0"/>
          <w:numId w:val="43"/>
        </w:numPr>
        <w:spacing w:before="50"/>
        <w:jc w:val="both"/>
      </w:pPr>
      <w:r>
        <w:rPr>
          <w:rFonts w:hint="eastAsia"/>
        </w:rPr>
        <w:t>应包括区域土壤类型与特性、土壤分布与区划、植被类型与区划等。</w:t>
      </w:r>
    </w:p>
    <w:p>
      <w:pPr>
        <w:pStyle w:val="60"/>
        <w:numPr>
          <w:ilvl w:val="0"/>
          <w:numId w:val="43"/>
        </w:numPr>
        <w:spacing w:before="50"/>
        <w:jc w:val="both"/>
      </w:pPr>
      <w:r>
        <w:rPr>
          <w:rFonts w:hint="eastAsia"/>
        </w:rPr>
        <w:t>应包括区域生态现状、土地利用现状和水土流失现状等。</w:t>
      </w:r>
    </w:p>
    <w:p>
      <w:pPr>
        <w:pStyle w:val="5"/>
        <w:numPr>
          <w:ilvl w:val="0"/>
          <w:numId w:val="0"/>
        </w:numPr>
        <w:ind w:firstLine="480" w:firstLineChars="200"/>
      </w:pPr>
      <w:r>
        <w:rPr>
          <w:rFonts w:hint="eastAsia"/>
        </w:rPr>
        <w:t>2</w:t>
      </w:r>
      <w:r>
        <w:t xml:space="preserve"> </w:t>
      </w:r>
      <w:r>
        <w:rPr>
          <w:rFonts w:hint="eastAsia"/>
        </w:rPr>
        <w:t>水文气象包括以下方面：</w:t>
      </w:r>
    </w:p>
    <w:p>
      <w:pPr>
        <w:pStyle w:val="60"/>
        <w:numPr>
          <w:ilvl w:val="0"/>
          <w:numId w:val="44"/>
        </w:numPr>
        <w:spacing w:before="50"/>
        <w:jc w:val="both"/>
      </w:pPr>
      <w:r>
        <w:rPr>
          <w:rFonts w:hint="eastAsia"/>
        </w:rPr>
        <w:t>区域河湖水系基本情况、主要干流支流名、长度与流域面积等。</w:t>
      </w:r>
    </w:p>
    <w:p>
      <w:pPr>
        <w:pStyle w:val="60"/>
        <w:numPr>
          <w:ilvl w:val="0"/>
          <w:numId w:val="44"/>
        </w:numPr>
        <w:spacing w:before="50"/>
        <w:jc w:val="both"/>
      </w:pPr>
      <w:r>
        <w:rPr>
          <w:rFonts w:hint="eastAsia"/>
        </w:rPr>
        <w:t>应包括区域河湖水系径流、洪水（潮水）、泥沙等水文要素特征。</w:t>
      </w:r>
    </w:p>
    <w:p>
      <w:pPr>
        <w:pStyle w:val="60"/>
        <w:numPr>
          <w:ilvl w:val="0"/>
          <w:numId w:val="44"/>
        </w:numPr>
        <w:spacing w:before="50"/>
        <w:jc w:val="both"/>
      </w:pPr>
      <w:r>
        <w:rPr>
          <w:rFonts w:hint="eastAsia"/>
        </w:rPr>
        <w:t>应包括区域水利工程建设情况。</w:t>
      </w:r>
    </w:p>
    <w:p>
      <w:pPr>
        <w:pStyle w:val="60"/>
        <w:numPr>
          <w:ilvl w:val="0"/>
          <w:numId w:val="44"/>
        </w:numPr>
        <w:spacing w:before="50"/>
        <w:jc w:val="both"/>
      </w:pPr>
      <w:r>
        <w:rPr>
          <w:rFonts w:hint="eastAsia"/>
        </w:rPr>
        <w:t>应包括区域降雨、蒸发、气温、日照时数等气象要素特征。</w:t>
      </w:r>
    </w:p>
    <w:p>
      <w:pPr>
        <w:pStyle w:val="5"/>
        <w:numPr>
          <w:ilvl w:val="0"/>
          <w:numId w:val="0"/>
        </w:numPr>
        <w:jc w:val="both"/>
      </w:pPr>
      <w:r>
        <w:rPr>
          <w:rFonts w:hint="eastAsia"/>
          <w:b/>
          <w:bCs w:val="0"/>
        </w:rPr>
        <w:t>5</w:t>
      </w:r>
      <w:r>
        <w:rPr>
          <w:b/>
          <w:bCs w:val="0"/>
        </w:rPr>
        <w:t>.0.5</w:t>
      </w:r>
      <w:r>
        <w:rPr>
          <w:rFonts w:hint="eastAsia"/>
        </w:rPr>
        <w:t>社会经济概况包括以下内容。</w:t>
      </w:r>
    </w:p>
    <w:p>
      <w:pPr>
        <w:pStyle w:val="60"/>
        <w:numPr>
          <w:ilvl w:val="0"/>
          <w:numId w:val="45"/>
        </w:numPr>
        <w:spacing w:before="50"/>
        <w:ind w:left="0" w:firstLine="480" w:firstLineChars="200"/>
        <w:jc w:val="both"/>
      </w:pPr>
      <w:r>
        <w:rPr>
          <w:rFonts w:hint="eastAsia"/>
        </w:rPr>
        <w:t>城市社会发展现状，包括人口增长、城市化水平等。</w:t>
      </w:r>
    </w:p>
    <w:p>
      <w:pPr>
        <w:pStyle w:val="60"/>
        <w:numPr>
          <w:ilvl w:val="0"/>
          <w:numId w:val="45"/>
        </w:numPr>
        <w:spacing w:before="50"/>
        <w:ind w:left="0" w:firstLine="480" w:firstLineChars="200"/>
        <w:jc w:val="both"/>
      </w:pPr>
      <w:r>
        <w:rPr>
          <w:rFonts w:hint="eastAsia"/>
        </w:rPr>
        <w:t>应包括城市经济发展现状，包括国内生产总值、产业结构、公共财政收支等。</w:t>
      </w:r>
    </w:p>
    <w:p>
      <w:pPr>
        <w:pStyle w:val="60"/>
        <w:numPr>
          <w:ilvl w:val="0"/>
          <w:numId w:val="45"/>
        </w:numPr>
        <w:spacing w:before="50"/>
        <w:ind w:left="0" w:firstLine="480" w:firstLineChars="200"/>
        <w:jc w:val="both"/>
      </w:pPr>
      <w:r>
        <w:rPr>
          <w:rFonts w:hint="eastAsia"/>
        </w:rPr>
        <w:t>宜包括城市文化特色、自然和人文风景区、文物古迹、名优特产等。</w:t>
      </w:r>
    </w:p>
    <w:p>
      <w:pPr>
        <w:pStyle w:val="5"/>
        <w:numPr>
          <w:ilvl w:val="0"/>
          <w:numId w:val="0"/>
        </w:numPr>
        <w:jc w:val="both"/>
      </w:pPr>
      <w:r>
        <w:rPr>
          <w:rFonts w:hint="eastAsia"/>
          <w:b/>
          <w:bCs w:val="0"/>
        </w:rPr>
        <w:t>5</w:t>
      </w:r>
      <w:r>
        <w:rPr>
          <w:b/>
          <w:bCs w:val="0"/>
        </w:rPr>
        <w:t>.0.6</w:t>
      </w:r>
      <w:r>
        <w:rPr>
          <w:rFonts w:hint="eastAsia"/>
        </w:rPr>
        <w:t>相关规划与计划包括以下内容。</w:t>
      </w:r>
    </w:p>
    <w:p>
      <w:pPr>
        <w:pStyle w:val="60"/>
        <w:numPr>
          <w:ilvl w:val="0"/>
          <w:numId w:val="46"/>
        </w:numPr>
        <w:spacing w:before="50"/>
        <w:jc w:val="both"/>
      </w:pPr>
      <w:r>
        <w:rPr>
          <w:rFonts w:hint="eastAsia"/>
        </w:rPr>
        <w:t>现行相关制约性规划、国家级和流域级的上位规划。</w:t>
      </w:r>
    </w:p>
    <w:p>
      <w:pPr>
        <w:pStyle w:val="60"/>
        <w:numPr>
          <w:ilvl w:val="0"/>
          <w:numId w:val="46"/>
        </w:numPr>
        <w:spacing w:before="50"/>
        <w:ind w:left="0" w:firstLine="480" w:firstLineChars="200"/>
        <w:jc w:val="both"/>
      </w:pPr>
      <w:r>
        <w:rPr>
          <w:rFonts w:hint="eastAsia"/>
        </w:rPr>
        <w:t>应包括区域总体规划和城市蓝线保护规划</w:t>
      </w:r>
      <w:r>
        <w:t>等</w:t>
      </w:r>
      <w:r>
        <w:rPr>
          <w:rFonts w:hint="eastAsia"/>
        </w:rPr>
        <w:t>各类区域规划</w:t>
      </w:r>
      <w:r>
        <w:t>。</w:t>
      </w:r>
    </w:p>
    <w:p>
      <w:pPr>
        <w:pStyle w:val="60"/>
        <w:numPr>
          <w:ilvl w:val="0"/>
          <w:numId w:val="46"/>
        </w:numPr>
        <w:spacing w:before="50"/>
        <w:ind w:left="0" w:firstLine="480" w:firstLineChars="200"/>
        <w:jc w:val="both"/>
      </w:pPr>
      <w:r>
        <w:rPr>
          <w:rFonts w:hint="eastAsia"/>
        </w:rPr>
        <w:t>应包括城市的水系、防洪排涝、排水、海绵城市、生态修复、水污染防治和环境保护等方面的专项规划。</w:t>
      </w:r>
    </w:p>
    <w:p>
      <w:pPr>
        <w:pStyle w:val="60"/>
        <w:numPr>
          <w:ilvl w:val="0"/>
          <w:numId w:val="46"/>
        </w:numPr>
        <w:spacing w:before="50"/>
        <w:ind w:left="0" w:firstLine="480" w:firstLineChars="200"/>
        <w:jc w:val="both"/>
      </w:pPr>
      <w:r>
        <w:rPr>
          <w:rFonts w:hint="eastAsia"/>
        </w:rPr>
        <w:t>宜包括已有相关黑臭水体治理计划与方案，包括治理行动计划、治理实施方案和“一河一策”方案等。</w:t>
      </w:r>
    </w:p>
    <w:p>
      <w:pPr>
        <w:pStyle w:val="2"/>
        <w:numPr>
          <w:ilvl w:val="0"/>
          <w:numId w:val="47"/>
        </w:numPr>
        <w:spacing w:after="156"/>
      </w:pPr>
      <w:bookmarkStart w:id="159" w:name="_Toc33204594"/>
      <w:r>
        <w:t>现状调查评价</w:t>
      </w:r>
      <w:bookmarkEnd w:id="157"/>
      <w:bookmarkEnd w:id="158"/>
      <w:bookmarkEnd w:id="159"/>
      <w:bookmarkStart w:id="160" w:name="_Toc24032050"/>
      <w:bookmarkStart w:id="161" w:name="_Toc24029658"/>
    </w:p>
    <w:bookmarkEnd w:id="160"/>
    <w:bookmarkEnd w:id="161"/>
    <w:p>
      <w:pPr>
        <w:pStyle w:val="4"/>
        <w:spacing w:before="274" w:after="274"/>
      </w:pPr>
      <w:r>
        <w:rPr>
          <w:rFonts w:hint="eastAsia"/>
        </w:rPr>
        <w:t>一般</w:t>
      </w:r>
      <w:r>
        <w:t>规定</w:t>
      </w:r>
    </w:p>
    <w:p>
      <w:pPr>
        <w:spacing w:before="156" w:beforeLines="50"/>
        <w:ind w:firstLine="0" w:firstLineChars="0"/>
      </w:pPr>
      <w:r>
        <w:rPr>
          <w:rFonts w:hint="eastAsia"/>
          <w:b/>
        </w:rPr>
        <w:t>6.</w:t>
      </w:r>
      <w:r>
        <w:rPr>
          <w:b/>
        </w:rPr>
        <w:t>1</w:t>
      </w:r>
      <w:r>
        <w:rPr>
          <w:rFonts w:hint="eastAsia"/>
          <w:b/>
        </w:rPr>
        <w:t>.1~6.</w:t>
      </w:r>
      <w:r>
        <w:rPr>
          <w:b/>
        </w:rPr>
        <w:t>1.</w:t>
      </w:r>
      <w:r>
        <w:rPr>
          <w:rFonts w:hint="eastAsia"/>
          <w:b/>
        </w:rPr>
        <w:t>3</w:t>
      </w:r>
      <w:r>
        <w:rPr>
          <w:rFonts w:hint="eastAsia"/>
          <w:b/>
          <w:bCs/>
        </w:rPr>
        <w:t xml:space="preserve">  </w:t>
      </w:r>
      <w:r>
        <w:rPr>
          <w:rStyle w:val="44"/>
        </w:rPr>
        <w:t>现状调查评价是黑臭水体治理规划的基础工作。可以通过收集水利、</w:t>
      </w:r>
      <w:r>
        <w:rPr>
          <w:rStyle w:val="44"/>
          <w:rFonts w:hint="eastAsia"/>
        </w:rPr>
        <w:t>生态环境</w:t>
      </w:r>
      <w:r>
        <w:rPr>
          <w:rStyle w:val="44"/>
        </w:rPr>
        <w:t>、农业、林业等有关部门的监测资料技术报告获得调查资料，部分资料可以采用3S等技术方法获取。需明确所收集资料的来源，检验资料的正确性及相互协调性和一致性，分析数据的合理性和规律性。</w:t>
      </w:r>
    </w:p>
    <w:p>
      <w:pPr>
        <w:pStyle w:val="4"/>
        <w:spacing w:before="274" w:after="274"/>
      </w:pPr>
      <w:bookmarkStart w:id="162" w:name="_Toc24032051"/>
      <w:bookmarkStart w:id="163" w:name="_Toc24029659"/>
      <w:r>
        <w:t>流域概况调查</w:t>
      </w:r>
      <w:bookmarkEnd w:id="162"/>
      <w:bookmarkEnd w:id="163"/>
    </w:p>
    <w:p>
      <w:pPr>
        <w:spacing w:before="156" w:beforeLines="50"/>
        <w:ind w:firstLine="0" w:firstLineChars="0"/>
        <w:rPr>
          <w:rFonts w:cs="Times New Roman"/>
        </w:rPr>
      </w:pPr>
      <w:r>
        <w:rPr>
          <w:rFonts w:hint="eastAsia"/>
          <w:b/>
          <w:bCs/>
        </w:rPr>
        <w:t>6.2.4</w:t>
      </w:r>
      <w:r>
        <w:rPr>
          <w:rFonts w:hint="eastAsia"/>
          <w:b/>
        </w:rPr>
        <w:t xml:space="preserve">  </w:t>
      </w:r>
      <w:r>
        <w:t>本条说明城市防洪</w:t>
      </w:r>
      <w:r>
        <w:rPr>
          <w:rFonts w:hint="eastAsia"/>
        </w:rPr>
        <w:t>排涝现状</w:t>
      </w:r>
      <w:r>
        <w:t>及存在问题。初步评价按照现行国家标准《防洪标准》GB50201的来规定执行。防洪主要分析城市洪水来源及特点、历史洪水灾害、防洪现状等。治涝现状主要分析内涝待点、现状管道及建设标准等</w:t>
      </w:r>
      <w:r>
        <w:rPr>
          <w:rFonts w:hint="eastAsia"/>
        </w:rPr>
        <w:t>。</w:t>
      </w:r>
    </w:p>
    <w:p>
      <w:pPr>
        <w:pStyle w:val="4"/>
        <w:spacing w:before="274" w:after="274"/>
      </w:pPr>
      <w:bookmarkStart w:id="164" w:name="_Toc24032052"/>
      <w:bookmarkStart w:id="165" w:name="_Toc24029660"/>
      <w:r>
        <w:t>水质状况调查</w:t>
      </w:r>
      <w:bookmarkEnd w:id="164"/>
      <w:bookmarkEnd w:id="165"/>
    </w:p>
    <w:p>
      <w:pPr>
        <w:spacing w:before="156" w:beforeLines="50"/>
        <w:ind w:firstLine="0" w:firstLineChars="0"/>
      </w:pPr>
      <w:r>
        <w:rPr>
          <w:rFonts w:hint="eastAsia"/>
          <w:b/>
          <w:bCs/>
        </w:rPr>
        <w:t>6.3.5</w:t>
      </w:r>
      <w:r>
        <w:rPr>
          <w:rFonts w:hint="eastAsia"/>
          <w:b/>
        </w:rPr>
        <w:t xml:space="preserve">  </w:t>
      </w:r>
      <w:r>
        <w:rPr>
          <w:rFonts w:hint="eastAsia"/>
        </w:rPr>
        <w:t>特征污染指标包括重金属、持久性有机污染物等，应根据外源污水的调查情况，选择潜在的污染物进行针对性调查。</w:t>
      </w:r>
    </w:p>
    <w:p>
      <w:pPr>
        <w:pStyle w:val="4"/>
        <w:spacing w:before="274" w:after="274"/>
      </w:pPr>
      <w:bookmarkStart w:id="166" w:name="_Toc24029661"/>
      <w:bookmarkStart w:id="167" w:name="_Toc24032053"/>
      <w:r>
        <w:t>污染源调查</w:t>
      </w:r>
      <w:bookmarkEnd w:id="166"/>
      <w:bookmarkEnd w:id="167"/>
    </w:p>
    <w:p>
      <w:pPr>
        <w:spacing w:before="156" w:beforeLines="50"/>
        <w:ind w:firstLine="0" w:firstLineChars="0"/>
        <w:rPr>
          <w:bCs/>
          <w:szCs w:val="32"/>
        </w:rPr>
      </w:pPr>
      <w:r>
        <w:rPr>
          <w:rFonts w:cs="Times New Roman"/>
          <w:b/>
          <w:bCs/>
        </w:rPr>
        <w:t>6.</w:t>
      </w:r>
      <w:r>
        <w:rPr>
          <w:rFonts w:hint="eastAsia" w:cs="Times New Roman"/>
          <w:b/>
          <w:bCs/>
        </w:rPr>
        <w:t>4</w:t>
      </w:r>
      <w:r>
        <w:rPr>
          <w:rFonts w:cs="Times New Roman"/>
          <w:b/>
          <w:bCs/>
        </w:rPr>
        <w:t>.</w:t>
      </w:r>
      <w:r>
        <w:rPr>
          <w:rFonts w:hint="eastAsia" w:cs="Times New Roman"/>
          <w:b/>
          <w:bCs/>
        </w:rPr>
        <w:t>1</w:t>
      </w:r>
      <w:r>
        <w:rPr>
          <w:rFonts w:cs="Times New Roman"/>
          <w:b/>
          <w:bCs/>
        </w:rPr>
        <w:t>~6.</w:t>
      </w:r>
      <w:r>
        <w:rPr>
          <w:rFonts w:hint="eastAsia" w:cs="Times New Roman"/>
          <w:b/>
          <w:bCs/>
        </w:rPr>
        <w:t>4</w:t>
      </w:r>
      <w:r>
        <w:rPr>
          <w:rFonts w:cs="Times New Roman"/>
          <w:b/>
          <w:bCs/>
        </w:rPr>
        <w:t>.</w:t>
      </w:r>
      <w:r>
        <w:rPr>
          <w:rFonts w:hint="eastAsia" w:cs="Times New Roman"/>
          <w:b/>
          <w:bCs/>
        </w:rPr>
        <w:t>4</w:t>
      </w:r>
      <w:r>
        <w:rPr>
          <w:rFonts w:hint="eastAsia" w:cs="Times New Roman"/>
          <w:b/>
        </w:rPr>
        <w:t xml:space="preserve">  </w:t>
      </w:r>
      <w:r>
        <w:rPr>
          <w:rFonts w:hint="eastAsia"/>
          <w:bCs/>
          <w:szCs w:val="32"/>
        </w:rPr>
        <w:t>污染源调查一般分类进行，点源统计可采用实测法或估算法，面源统计可采用实测法、经验公式法等，内源污染可用实测法。</w:t>
      </w:r>
    </w:p>
    <w:p>
      <w:pPr>
        <w:pStyle w:val="4"/>
        <w:spacing w:before="274" w:after="274"/>
      </w:pPr>
      <w:bookmarkStart w:id="168" w:name="_Toc24032054"/>
      <w:bookmarkStart w:id="169" w:name="_Toc24029662"/>
      <w:r>
        <w:t>水生态现状调查评价</w:t>
      </w:r>
      <w:bookmarkEnd w:id="168"/>
      <w:bookmarkEnd w:id="169"/>
    </w:p>
    <w:p>
      <w:pPr>
        <w:pStyle w:val="5"/>
        <w:numPr>
          <w:ilvl w:val="0"/>
          <w:numId w:val="0"/>
        </w:numPr>
        <w:jc w:val="both"/>
      </w:pPr>
      <w:r>
        <w:rPr>
          <w:b/>
          <w:bCs w:val="0"/>
        </w:rPr>
        <w:t>6.5.2</w:t>
      </w:r>
      <w:r>
        <w:rPr>
          <w:rFonts w:hint="eastAsia"/>
        </w:rPr>
        <w:t xml:space="preserve"> </w:t>
      </w:r>
      <w:r>
        <w:t>说明城市黑臭水体和河岸带的水生动植物现状，</w:t>
      </w:r>
      <w:r>
        <w:rPr>
          <w:rFonts w:hint="eastAsia"/>
        </w:rPr>
        <w:t>分析影响水生态的主要因素。</w:t>
      </w:r>
    </w:p>
    <w:p>
      <w:pPr>
        <w:pStyle w:val="4"/>
        <w:numPr>
          <w:ilvl w:val="1"/>
          <w:numId w:val="48"/>
        </w:numPr>
        <w:spacing w:before="274" w:after="274"/>
      </w:pPr>
      <w:bookmarkStart w:id="170" w:name="_Toc24029663"/>
      <w:bookmarkStart w:id="171" w:name="_Toc24032055"/>
      <w:r>
        <w:rPr>
          <w:rFonts w:hint="eastAsia"/>
        </w:rPr>
        <w:t>治理设施调查</w:t>
      </w:r>
      <w:bookmarkEnd w:id="170"/>
      <w:bookmarkEnd w:id="171"/>
    </w:p>
    <w:p>
      <w:pPr>
        <w:spacing w:before="156" w:beforeLines="50"/>
        <w:ind w:firstLine="0" w:firstLineChars="0"/>
      </w:pPr>
      <w:r>
        <w:rPr>
          <w:rFonts w:hint="eastAsia"/>
          <w:b/>
        </w:rPr>
        <w:t>6.7.1</w:t>
      </w:r>
      <w:r>
        <w:rPr>
          <w:rFonts w:hint="eastAsia"/>
          <w:b/>
          <w:bCs/>
        </w:rPr>
        <w:t xml:space="preserve">  </w:t>
      </w:r>
      <w:r>
        <w:t>治理设施和治理系统包括管网布置情况、特性及排污能力，污水处理厂分布、</w:t>
      </w:r>
      <w:r>
        <w:rPr>
          <w:rFonts w:hint="eastAsia"/>
        </w:rPr>
        <w:t>处</w:t>
      </w:r>
      <w:r>
        <w:t>理能力及尾水排放</w:t>
      </w:r>
      <w:r>
        <w:rPr>
          <w:rFonts w:hint="eastAsia"/>
        </w:rPr>
        <w:t>标准</w:t>
      </w:r>
      <w:r>
        <w:t>等。</w:t>
      </w:r>
      <w:r>
        <w:rPr>
          <w:rFonts w:hint="eastAsia"/>
        </w:rPr>
        <w:t>排水系统调查以收集设计资料、现状设施资料、维护管理档案等资料为主，如需开展现场调查，建议对排水管道及检查井开展专项调查评估。</w:t>
      </w:r>
    </w:p>
    <w:p>
      <w:pPr>
        <w:pStyle w:val="4"/>
        <w:spacing w:before="274" w:after="274"/>
      </w:pPr>
      <w:bookmarkStart w:id="172" w:name="_Toc24029664"/>
      <w:bookmarkStart w:id="173" w:name="_Toc24032056"/>
      <w:r>
        <w:t>岸线管理与利用现状调查评价</w:t>
      </w:r>
      <w:bookmarkEnd w:id="172"/>
      <w:bookmarkEnd w:id="173"/>
    </w:p>
    <w:p>
      <w:pPr>
        <w:spacing w:before="156" w:beforeLines="50"/>
        <w:ind w:firstLine="0" w:firstLineChars="0"/>
        <w:rPr>
          <w:rFonts w:cs="Times New Roman"/>
        </w:rPr>
      </w:pPr>
      <w:r>
        <w:rPr>
          <w:rFonts w:cs="Times New Roman"/>
          <w:b/>
          <w:bCs/>
        </w:rPr>
        <w:t>6.</w:t>
      </w:r>
      <w:r>
        <w:rPr>
          <w:rFonts w:hint="eastAsia" w:cs="Times New Roman"/>
          <w:b/>
          <w:bCs/>
        </w:rPr>
        <w:t>8</w:t>
      </w:r>
      <w:r>
        <w:rPr>
          <w:rFonts w:cs="Times New Roman"/>
          <w:b/>
          <w:bCs/>
        </w:rPr>
        <w:t>.1~6.</w:t>
      </w:r>
      <w:r>
        <w:rPr>
          <w:rFonts w:hint="eastAsia" w:cs="Times New Roman"/>
          <w:b/>
          <w:bCs/>
        </w:rPr>
        <w:t>8</w:t>
      </w:r>
      <w:r>
        <w:rPr>
          <w:rFonts w:cs="Times New Roman"/>
          <w:b/>
          <w:bCs/>
        </w:rPr>
        <w:t>.</w:t>
      </w:r>
      <w:r>
        <w:rPr>
          <w:rFonts w:hint="eastAsia" w:cs="Times New Roman"/>
          <w:b/>
          <w:bCs/>
        </w:rPr>
        <w:t>2</w:t>
      </w:r>
      <w:r>
        <w:rPr>
          <w:rFonts w:cs="Times New Roman"/>
          <w:b/>
        </w:rPr>
        <w:t xml:space="preserve">  </w:t>
      </w:r>
      <w:r>
        <w:rPr>
          <w:rFonts w:cs="Times New Roman"/>
        </w:rPr>
        <w:t>重点说明岸线管理与利用现状，说确要利用规划的依据、原则与利用条件，以及需要考虑的问题。</w:t>
      </w:r>
    </w:p>
    <w:p>
      <w:pPr>
        <w:pStyle w:val="4"/>
        <w:spacing w:before="274" w:after="274"/>
      </w:pPr>
      <w:bookmarkStart w:id="174" w:name="_Toc24032057"/>
      <w:bookmarkStart w:id="175" w:name="_Toc24029665"/>
      <w:r>
        <w:t>信息管控现状调查评价</w:t>
      </w:r>
      <w:bookmarkEnd w:id="174"/>
      <w:bookmarkEnd w:id="175"/>
    </w:p>
    <w:p>
      <w:pPr>
        <w:spacing w:before="156" w:beforeLines="50"/>
        <w:ind w:firstLine="0" w:firstLineChars="0"/>
      </w:pPr>
      <w:r>
        <w:rPr>
          <w:rFonts w:hint="eastAsia"/>
          <w:b/>
        </w:rPr>
        <w:t>6.9.1</w:t>
      </w:r>
      <w:r>
        <w:rPr>
          <w:b/>
        </w:rPr>
        <w:t>~6.</w:t>
      </w:r>
      <w:r>
        <w:rPr>
          <w:rFonts w:hint="eastAsia"/>
          <w:b/>
        </w:rPr>
        <w:t>9</w:t>
      </w:r>
      <w:r>
        <w:rPr>
          <w:b/>
        </w:rPr>
        <w:t>.3</w:t>
      </w:r>
      <w:r>
        <w:rPr>
          <w:b/>
          <w:bCs/>
        </w:rPr>
        <w:t xml:space="preserve">  </w:t>
      </w:r>
      <w:r>
        <w:t>综合管理能力评价的主要内容包括监督管理机构和人员组成的现状及评价、资金保障的现状评价、监控中心体系建设的现状评价以及科技支撑体系建设的现状评价等;管理制度体系评价的主要内容包括法律法规体系建设、</w:t>
      </w:r>
      <w:r>
        <w:rPr>
          <w:rFonts w:hint="eastAsia"/>
        </w:rPr>
        <w:t>监督</w:t>
      </w:r>
      <w:r>
        <w:t>管理制度体系建设、考核评估体系建设、监督执法体系建设、应急预测预报体系及工作机制建设、经费保障体系建设等。</w:t>
      </w:r>
    </w:p>
    <w:p>
      <w:pPr>
        <w:pStyle w:val="4"/>
        <w:spacing w:before="274" w:after="274"/>
      </w:pPr>
      <w:bookmarkStart w:id="176" w:name="_Toc24032058"/>
      <w:bookmarkStart w:id="177" w:name="_Toc24029666"/>
      <w:r>
        <w:t>公众调查</w:t>
      </w:r>
      <w:bookmarkEnd w:id="176"/>
      <w:bookmarkEnd w:id="177"/>
    </w:p>
    <w:p>
      <w:pPr>
        <w:spacing w:before="156" w:beforeLines="50"/>
        <w:ind w:firstLine="0" w:firstLineChars="0"/>
      </w:pPr>
      <w:r>
        <w:rPr>
          <w:rFonts w:hint="eastAsia"/>
          <w:b/>
        </w:rPr>
        <w:t>6.10.1</w:t>
      </w:r>
      <w:r>
        <w:rPr>
          <w:b/>
        </w:rPr>
        <w:t>~6.</w:t>
      </w:r>
      <w:r>
        <w:rPr>
          <w:rFonts w:hint="eastAsia"/>
          <w:b/>
        </w:rPr>
        <w:t>10</w:t>
      </w:r>
      <w:r>
        <w:rPr>
          <w:b/>
        </w:rPr>
        <w:t>.2</w:t>
      </w:r>
      <w:r>
        <w:rPr>
          <w:b/>
          <w:bCs/>
        </w:rPr>
        <w:t xml:space="preserve">  </w:t>
      </w:r>
      <w:r>
        <w:t>公众满意度调查应坚持群众路线，提高参加调查群众的代表性</w:t>
      </w:r>
      <w:r>
        <w:rPr>
          <w:rFonts w:hint="eastAsia"/>
        </w:rPr>
        <w:t>；</w:t>
      </w:r>
      <w:r>
        <w:t>坚持规范操作，保证问卷过程客观。</w:t>
      </w:r>
    </w:p>
    <w:p>
      <w:pPr>
        <w:spacing w:before="156" w:beforeLines="50"/>
        <w:ind w:firstLine="480"/>
        <w:rPr>
          <w:rFonts w:cs="Times New Roman"/>
        </w:rPr>
      </w:pPr>
      <w:r>
        <w:rPr>
          <w:rFonts w:cs="Times New Roman"/>
        </w:rPr>
        <w:t>原则上每个水体的调查</w:t>
      </w:r>
      <w:r>
        <w:rPr>
          <w:rFonts w:hint="eastAsia" w:cs="Times New Roman"/>
        </w:rPr>
        <w:t>问卷</w:t>
      </w:r>
      <w:r>
        <w:rPr>
          <w:rFonts w:cs="Times New Roman"/>
        </w:rPr>
        <w:t>数量不少于100份，有条件的地区可通过</w:t>
      </w:r>
      <w:r>
        <w:rPr>
          <w:rFonts w:hint="eastAsia" w:cs="Times New Roman"/>
        </w:rPr>
        <w:t>网络在线</w:t>
      </w:r>
      <w:r>
        <w:rPr>
          <w:rFonts w:cs="Times New Roman"/>
        </w:rPr>
        <w:t>形式完成公众调查。</w:t>
      </w:r>
    </w:p>
    <w:p>
      <w:pPr>
        <w:spacing w:before="156" w:beforeLines="50"/>
        <w:ind w:firstLine="480"/>
        <w:rPr>
          <w:rFonts w:cs="Times New Roman"/>
        </w:rPr>
      </w:pPr>
      <w:r>
        <w:rPr>
          <w:rFonts w:cs="Times New Roman"/>
        </w:rPr>
        <w:t>公众调查的内容包括下列方面</w:t>
      </w:r>
      <w:r>
        <w:rPr>
          <w:rFonts w:hint="eastAsia" w:cs="Times New Roman"/>
        </w:rPr>
        <w:t>：</w:t>
      </w:r>
    </w:p>
    <w:p>
      <w:pPr>
        <w:pStyle w:val="6"/>
        <w:keepNext w:val="0"/>
        <w:keepLines w:val="0"/>
        <w:numPr>
          <w:ilvl w:val="0"/>
          <w:numId w:val="49"/>
        </w:numPr>
        <w:spacing w:before="156" w:beforeLines="50"/>
        <w:ind w:left="0" w:firstLine="480" w:firstLineChars="200"/>
        <w:jc w:val="both"/>
      </w:pPr>
      <w:r>
        <w:rPr>
          <w:rFonts w:hint="eastAsia"/>
        </w:rPr>
        <w:t xml:space="preserve"> </w:t>
      </w:r>
      <w:r>
        <w:t>将综合治理规划的概况、规划对环境可能造成影响、预防或者减轻不良影响对策和措施的主要结论通过媒体予以公示</w:t>
      </w:r>
      <w:r>
        <w:rPr>
          <w:rFonts w:hint="eastAsia"/>
        </w:rPr>
        <w:t>。</w:t>
      </w:r>
    </w:p>
    <w:p>
      <w:pPr>
        <w:pStyle w:val="6"/>
        <w:keepNext w:val="0"/>
        <w:keepLines w:val="0"/>
        <w:numPr>
          <w:ilvl w:val="0"/>
          <w:numId w:val="49"/>
        </w:numPr>
        <w:spacing w:before="156" w:beforeLines="50"/>
        <w:ind w:left="0" w:firstLine="480" w:firstLineChars="200"/>
        <w:jc w:val="both"/>
      </w:pPr>
      <w:r>
        <w:rPr>
          <w:rFonts w:hint="eastAsia"/>
        </w:rPr>
        <w:t xml:space="preserve"> </w:t>
      </w:r>
      <w:r>
        <w:t>公众调查的范围主要包括规划区域和规划可能影响区域。</w:t>
      </w:r>
    </w:p>
    <w:p>
      <w:pPr>
        <w:pStyle w:val="6"/>
        <w:keepNext w:val="0"/>
        <w:keepLines w:val="0"/>
        <w:numPr>
          <w:ilvl w:val="0"/>
          <w:numId w:val="49"/>
        </w:numPr>
        <w:spacing w:before="156" w:beforeLines="50"/>
        <w:ind w:left="0" w:firstLine="480" w:firstLineChars="200"/>
        <w:jc w:val="both"/>
      </w:pPr>
      <w:r>
        <w:rPr>
          <w:rFonts w:hint="eastAsia"/>
        </w:rPr>
        <w:t xml:space="preserve"> </w:t>
      </w:r>
      <w:r>
        <w:t>公众调查的内容包括公众对水体现状的意见与建议、河流水质变化的时间节点、河流水质变化的原因概述等。</w:t>
      </w:r>
    </w:p>
    <w:p>
      <w:pPr>
        <w:pStyle w:val="6"/>
        <w:keepNext w:val="0"/>
        <w:keepLines w:val="0"/>
        <w:numPr>
          <w:ilvl w:val="0"/>
          <w:numId w:val="49"/>
        </w:numPr>
        <w:spacing w:before="156" w:beforeLines="50"/>
        <w:ind w:left="0" w:firstLine="480" w:firstLineChars="200"/>
        <w:jc w:val="both"/>
      </w:pPr>
      <w:r>
        <w:rPr>
          <w:rFonts w:hint="eastAsia"/>
        </w:rPr>
        <w:t xml:space="preserve"> </w:t>
      </w:r>
      <w:r>
        <w:t>公众调查形式可以采取现场调查、周围住户访问调查、座谈会等多种形式公开征求公众意见。</w:t>
      </w:r>
    </w:p>
    <w:p>
      <w:pPr>
        <w:pStyle w:val="6"/>
        <w:keepNext w:val="0"/>
        <w:keepLines w:val="0"/>
        <w:numPr>
          <w:ilvl w:val="0"/>
          <w:numId w:val="49"/>
        </w:numPr>
        <w:spacing w:before="156" w:beforeLines="50"/>
        <w:ind w:left="0" w:firstLine="480" w:firstLineChars="200"/>
        <w:jc w:val="both"/>
      </w:pPr>
      <w:r>
        <w:rPr>
          <w:rFonts w:hint="eastAsia"/>
        </w:rPr>
        <w:t xml:space="preserve"> </w:t>
      </w:r>
      <w:r>
        <w:t>对调查对象的代表性实性</w:t>
      </w:r>
      <w:r>
        <w:rPr>
          <w:rFonts w:hint="eastAsia"/>
        </w:rPr>
        <w:t>做</w:t>
      </w:r>
      <w:r>
        <w:t>出说明</w:t>
      </w:r>
      <w:r>
        <w:rPr>
          <w:rFonts w:hint="eastAsia"/>
        </w:rPr>
        <w:t>。</w:t>
      </w:r>
    </w:p>
    <w:p>
      <w:pPr>
        <w:pStyle w:val="6"/>
        <w:keepNext w:val="0"/>
        <w:keepLines w:val="0"/>
        <w:numPr>
          <w:ilvl w:val="0"/>
          <w:numId w:val="49"/>
        </w:numPr>
        <w:spacing w:before="156" w:beforeLines="50"/>
        <w:ind w:left="0" w:firstLine="480" w:firstLineChars="200"/>
        <w:jc w:val="both"/>
      </w:pPr>
      <w:r>
        <w:rPr>
          <w:rFonts w:hint="eastAsia"/>
        </w:rPr>
        <w:t xml:space="preserve"> </w:t>
      </w:r>
      <w:r>
        <w:t>公众意见和建议</w:t>
      </w:r>
      <w:r>
        <w:rPr>
          <w:rFonts w:hint="eastAsia"/>
        </w:rPr>
        <w:t>性</w:t>
      </w:r>
      <w:r>
        <w:t>归纳分析并得出结论。</w:t>
      </w:r>
    </w:p>
    <w:p>
      <w:pPr>
        <w:pStyle w:val="4"/>
        <w:spacing w:before="274" w:after="274"/>
      </w:pPr>
      <w:bookmarkStart w:id="178" w:name="_Toc24029667"/>
      <w:bookmarkStart w:id="179" w:name="_Toc24032059"/>
      <w:r>
        <w:t>水体污染评价及成因分析</w:t>
      </w:r>
      <w:bookmarkEnd w:id="178"/>
      <w:bookmarkEnd w:id="179"/>
    </w:p>
    <w:p>
      <w:pPr>
        <w:spacing w:before="156" w:beforeLines="50"/>
        <w:ind w:firstLine="0" w:firstLineChars="0"/>
        <w:rPr>
          <w:bCs/>
        </w:rPr>
      </w:pPr>
      <w:r>
        <w:rPr>
          <w:rFonts w:hint="eastAsia"/>
          <w:b/>
        </w:rPr>
        <w:t>6.11.1~6.11.3</w:t>
      </w:r>
      <w:r>
        <w:rPr>
          <w:rFonts w:hint="eastAsia"/>
          <w:bCs/>
        </w:rPr>
        <w:t xml:space="preserve">  城市黑臭水体分级的评价指标包括透明度、溶解氧（DO）、氧化还原电位（ORP）和氨氮（NH3-N），分级标准见下表。</w:t>
      </w:r>
    </w:p>
    <w:p>
      <w:pPr>
        <w:ind w:firstLine="0" w:firstLineChars="0"/>
        <w:jc w:val="center"/>
        <w:rPr>
          <w:rFonts w:eastAsia="宋体"/>
          <w:szCs w:val="24"/>
        </w:rPr>
      </w:pPr>
      <w:r>
        <w:rPr>
          <w:rFonts w:hint="eastAsia" w:eastAsia="宋体"/>
          <w:szCs w:val="24"/>
        </w:rPr>
        <w:t>表1</w:t>
      </w:r>
      <w:r>
        <w:rPr>
          <w:rFonts w:eastAsia="宋体"/>
          <w:szCs w:val="24"/>
        </w:rPr>
        <w:t xml:space="preserve"> </w:t>
      </w:r>
      <w:r>
        <w:rPr>
          <w:rFonts w:hint="eastAsia" w:eastAsia="宋体"/>
          <w:szCs w:val="24"/>
        </w:rPr>
        <w:t>城市黑臭水体污染程度分级标准</w:t>
      </w:r>
    </w:p>
    <w:tbl>
      <w:tblPr>
        <w:tblStyle w:val="39"/>
        <w:tblW w:w="56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6"/>
        <w:gridCol w:w="1908"/>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86" w:type="dxa"/>
          </w:tcPr>
          <w:p>
            <w:pPr>
              <w:spacing w:line="240" w:lineRule="atLeast"/>
              <w:ind w:firstLine="0" w:firstLineChars="0"/>
              <w:rPr>
                <w:rFonts w:eastAsia="宋体"/>
                <w:sz w:val="21"/>
                <w:szCs w:val="21"/>
              </w:rPr>
            </w:pPr>
            <w:r>
              <w:rPr>
                <w:rFonts w:hint="eastAsia" w:eastAsia="宋体"/>
                <w:sz w:val="21"/>
                <w:szCs w:val="21"/>
              </w:rPr>
              <w:t>特征指标（单位）</w:t>
            </w:r>
          </w:p>
        </w:tc>
        <w:tc>
          <w:tcPr>
            <w:tcW w:w="1908" w:type="dxa"/>
          </w:tcPr>
          <w:p>
            <w:pPr>
              <w:spacing w:line="240" w:lineRule="atLeast"/>
              <w:ind w:firstLine="0" w:firstLineChars="0"/>
              <w:rPr>
                <w:rFonts w:eastAsia="宋体"/>
                <w:sz w:val="21"/>
                <w:szCs w:val="21"/>
              </w:rPr>
            </w:pPr>
            <w:r>
              <w:rPr>
                <w:rFonts w:hint="eastAsia" w:eastAsia="宋体"/>
                <w:sz w:val="21"/>
                <w:szCs w:val="21"/>
              </w:rPr>
              <w:t>轻度黑臭</w:t>
            </w:r>
          </w:p>
        </w:tc>
        <w:tc>
          <w:tcPr>
            <w:tcW w:w="1236" w:type="dxa"/>
          </w:tcPr>
          <w:p>
            <w:pPr>
              <w:spacing w:line="240" w:lineRule="atLeast"/>
              <w:ind w:firstLine="0" w:firstLineChars="0"/>
              <w:rPr>
                <w:rFonts w:eastAsia="宋体"/>
                <w:sz w:val="21"/>
                <w:szCs w:val="21"/>
              </w:rPr>
            </w:pPr>
            <w:r>
              <w:rPr>
                <w:rFonts w:hint="eastAsia" w:eastAsia="宋体"/>
                <w:sz w:val="21"/>
                <w:szCs w:val="21"/>
              </w:rPr>
              <w:t>重度黑臭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86" w:type="dxa"/>
          </w:tcPr>
          <w:p>
            <w:pPr>
              <w:spacing w:line="240" w:lineRule="atLeast"/>
              <w:ind w:firstLine="0" w:firstLineChars="0"/>
              <w:rPr>
                <w:rFonts w:eastAsia="宋体"/>
                <w:sz w:val="21"/>
                <w:szCs w:val="21"/>
              </w:rPr>
            </w:pPr>
            <w:r>
              <w:rPr>
                <w:rFonts w:hint="eastAsia" w:eastAsia="宋体"/>
                <w:sz w:val="21"/>
                <w:szCs w:val="21"/>
              </w:rPr>
              <w:t>透明度（cm）</w:t>
            </w:r>
          </w:p>
        </w:tc>
        <w:tc>
          <w:tcPr>
            <w:tcW w:w="1908" w:type="dxa"/>
          </w:tcPr>
          <w:p>
            <w:pPr>
              <w:spacing w:line="240" w:lineRule="atLeast"/>
              <w:ind w:firstLine="0" w:firstLineChars="0"/>
              <w:rPr>
                <w:rFonts w:eastAsia="宋体"/>
                <w:sz w:val="21"/>
                <w:szCs w:val="21"/>
              </w:rPr>
            </w:pPr>
            <w:r>
              <w:rPr>
                <w:rFonts w:hint="eastAsia" w:eastAsia="宋体"/>
                <w:sz w:val="21"/>
                <w:szCs w:val="21"/>
              </w:rPr>
              <w:t>25~10</w:t>
            </w:r>
            <w:r>
              <w:rPr>
                <w:rFonts w:eastAsia="宋体"/>
                <w:sz w:val="21"/>
                <w:szCs w:val="21"/>
                <w:vertAlign w:val="superscript"/>
              </w:rPr>
              <w:t>*</w:t>
            </w:r>
          </w:p>
        </w:tc>
        <w:tc>
          <w:tcPr>
            <w:tcW w:w="1236" w:type="dxa"/>
          </w:tcPr>
          <w:p>
            <w:pPr>
              <w:spacing w:line="240" w:lineRule="atLeast"/>
              <w:ind w:firstLine="0" w:firstLineChars="0"/>
              <w:rPr>
                <w:rFonts w:eastAsia="宋体"/>
                <w:sz w:val="21"/>
                <w:szCs w:val="21"/>
              </w:rPr>
            </w:pPr>
            <w:r>
              <w:rPr>
                <w:rFonts w:hint="eastAsia" w:eastAsia="宋体"/>
                <w:sz w:val="21"/>
                <w:szCs w:val="21"/>
              </w:rPr>
              <w:t>＜10</w:t>
            </w:r>
            <w:r>
              <w:rPr>
                <w:rFonts w:eastAsia="宋体"/>
                <w:sz w:val="21"/>
                <w:szCs w:val="21"/>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86" w:type="dxa"/>
          </w:tcPr>
          <w:p>
            <w:pPr>
              <w:spacing w:line="240" w:lineRule="atLeast"/>
              <w:ind w:firstLine="0" w:firstLineChars="0"/>
              <w:rPr>
                <w:rFonts w:eastAsia="宋体"/>
                <w:sz w:val="21"/>
                <w:szCs w:val="21"/>
              </w:rPr>
            </w:pPr>
            <w:r>
              <w:rPr>
                <w:rFonts w:hint="eastAsia" w:eastAsia="宋体"/>
                <w:sz w:val="21"/>
                <w:szCs w:val="21"/>
              </w:rPr>
              <w:t>溶解氧（mg/L）</w:t>
            </w:r>
          </w:p>
        </w:tc>
        <w:tc>
          <w:tcPr>
            <w:tcW w:w="1908" w:type="dxa"/>
          </w:tcPr>
          <w:p>
            <w:pPr>
              <w:spacing w:line="240" w:lineRule="atLeast"/>
              <w:ind w:firstLine="0" w:firstLineChars="0"/>
              <w:rPr>
                <w:rFonts w:eastAsia="宋体"/>
                <w:sz w:val="21"/>
                <w:szCs w:val="21"/>
              </w:rPr>
            </w:pPr>
            <w:r>
              <w:rPr>
                <w:rFonts w:hint="eastAsia" w:eastAsia="宋体"/>
                <w:sz w:val="21"/>
                <w:szCs w:val="21"/>
              </w:rPr>
              <w:t>0.2~2.0</w:t>
            </w:r>
          </w:p>
        </w:tc>
        <w:tc>
          <w:tcPr>
            <w:tcW w:w="1236" w:type="dxa"/>
          </w:tcPr>
          <w:p>
            <w:pPr>
              <w:spacing w:line="240" w:lineRule="atLeast"/>
              <w:ind w:firstLine="0" w:firstLineChars="0"/>
              <w:rPr>
                <w:rFonts w:eastAsia="宋体"/>
                <w:sz w:val="21"/>
                <w:szCs w:val="21"/>
              </w:rPr>
            </w:pPr>
            <w:r>
              <w:rPr>
                <w:rFonts w:hint="eastAsia" w:eastAsia="宋体"/>
                <w:sz w:val="21"/>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86" w:type="dxa"/>
          </w:tcPr>
          <w:p>
            <w:pPr>
              <w:spacing w:line="240" w:lineRule="atLeast"/>
              <w:ind w:firstLine="0" w:firstLineChars="0"/>
              <w:rPr>
                <w:rFonts w:eastAsia="宋体"/>
                <w:sz w:val="21"/>
                <w:szCs w:val="21"/>
              </w:rPr>
            </w:pPr>
            <w:r>
              <w:rPr>
                <w:rFonts w:hint="eastAsia" w:eastAsia="宋体"/>
                <w:sz w:val="21"/>
                <w:szCs w:val="21"/>
              </w:rPr>
              <w:t>氧化还原电位（mV）</w:t>
            </w:r>
          </w:p>
        </w:tc>
        <w:tc>
          <w:tcPr>
            <w:tcW w:w="1908" w:type="dxa"/>
          </w:tcPr>
          <w:p>
            <w:pPr>
              <w:spacing w:line="240" w:lineRule="atLeast"/>
              <w:ind w:firstLine="0" w:firstLineChars="0"/>
              <w:rPr>
                <w:rFonts w:eastAsia="宋体"/>
                <w:sz w:val="21"/>
                <w:szCs w:val="21"/>
              </w:rPr>
            </w:pPr>
            <w:r>
              <w:rPr>
                <w:rFonts w:hint="eastAsia" w:eastAsia="宋体"/>
                <w:sz w:val="21"/>
                <w:szCs w:val="21"/>
              </w:rPr>
              <w:t>-200~50</w:t>
            </w:r>
          </w:p>
        </w:tc>
        <w:tc>
          <w:tcPr>
            <w:tcW w:w="1236" w:type="dxa"/>
          </w:tcPr>
          <w:p>
            <w:pPr>
              <w:spacing w:line="240" w:lineRule="atLeast"/>
              <w:ind w:firstLine="0" w:firstLineChars="0"/>
              <w:rPr>
                <w:rFonts w:eastAsia="宋体"/>
                <w:sz w:val="21"/>
                <w:szCs w:val="21"/>
              </w:rPr>
            </w:pPr>
            <w:r>
              <w:rPr>
                <w:rFonts w:hint="eastAsia" w:eastAsia="宋体"/>
                <w:sz w:val="21"/>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86" w:type="dxa"/>
          </w:tcPr>
          <w:p>
            <w:pPr>
              <w:spacing w:line="240" w:lineRule="atLeast"/>
              <w:ind w:firstLine="0" w:firstLineChars="0"/>
              <w:rPr>
                <w:rFonts w:eastAsia="宋体"/>
                <w:sz w:val="21"/>
                <w:szCs w:val="21"/>
              </w:rPr>
            </w:pPr>
            <w:r>
              <w:rPr>
                <w:rFonts w:hint="eastAsia" w:eastAsia="宋体"/>
                <w:sz w:val="21"/>
                <w:szCs w:val="21"/>
              </w:rPr>
              <w:t>氨氮（mg/L）</w:t>
            </w:r>
          </w:p>
        </w:tc>
        <w:tc>
          <w:tcPr>
            <w:tcW w:w="1908" w:type="dxa"/>
          </w:tcPr>
          <w:p>
            <w:pPr>
              <w:spacing w:line="240" w:lineRule="atLeast"/>
              <w:ind w:firstLine="0" w:firstLineChars="0"/>
              <w:rPr>
                <w:rFonts w:eastAsia="宋体"/>
                <w:sz w:val="21"/>
                <w:szCs w:val="21"/>
              </w:rPr>
            </w:pPr>
            <w:r>
              <w:rPr>
                <w:rFonts w:hint="eastAsia" w:eastAsia="宋体"/>
                <w:sz w:val="21"/>
                <w:szCs w:val="21"/>
              </w:rPr>
              <w:t>8.0~15</w:t>
            </w:r>
          </w:p>
        </w:tc>
        <w:tc>
          <w:tcPr>
            <w:tcW w:w="1236" w:type="dxa"/>
          </w:tcPr>
          <w:p>
            <w:pPr>
              <w:spacing w:line="240" w:lineRule="atLeast"/>
              <w:ind w:firstLine="0" w:firstLineChars="0"/>
              <w:rPr>
                <w:rFonts w:eastAsia="宋体"/>
                <w:sz w:val="21"/>
                <w:szCs w:val="21"/>
              </w:rPr>
            </w:pPr>
            <w:r>
              <w:rPr>
                <w:rFonts w:hint="eastAsia" w:eastAsia="宋体"/>
                <w:sz w:val="21"/>
                <w:szCs w:val="21"/>
              </w:rPr>
              <w:t>＞15</w:t>
            </w:r>
          </w:p>
        </w:tc>
      </w:tr>
    </w:tbl>
    <w:p>
      <w:pPr>
        <w:ind w:firstLine="480"/>
        <w:rPr>
          <w:rFonts w:eastAsia="宋体"/>
          <w:szCs w:val="24"/>
        </w:rPr>
      </w:pPr>
      <w:r>
        <w:rPr>
          <w:rFonts w:hint="eastAsia" w:eastAsia="宋体"/>
          <w:szCs w:val="24"/>
        </w:rPr>
        <w:t>注：*水深不足25</w:t>
      </w:r>
      <w:r>
        <w:rPr>
          <w:rFonts w:eastAsia="宋体"/>
          <w:szCs w:val="24"/>
        </w:rPr>
        <w:t xml:space="preserve"> </w:t>
      </w:r>
      <w:r>
        <w:rPr>
          <w:rFonts w:hint="eastAsia" w:eastAsia="宋体"/>
          <w:szCs w:val="24"/>
        </w:rPr>
        <w:t>cm时，该指标按水深的40%取值</w:t>
      </w:r>
    </w:p>
    <w:p>
      <w:pPr>
        <w:spacing w:before="156" w:beforeLines="50"/>
        <w:ind w:firstLine="0" w:firstLineChars="0"/>
      </w:pPr>
      <w:r>
        <w:rPr>
          <w:rFonts w:hint="eastAsia"/>
          <w:b/>
        </w:rPr>
        <w:t>6.11.5~6.11.6</w:t>
      </w:r>
      <w:r>
        <w:rPr>
          <w:rFonts w:hint="eastAsia"/>
          <w:b/>
          <w:bCs/>
        </w:rPr>
        <w:t xml:space="preserve">  </w:t>
      </w:r>
      <w:r>
        <w:t>水环境容量计算方法有污染负荷计算法和数字模型法。污染负荷计算法是指根据影响水功能区水质的陆域范围内入河（湖）排污口、污染源和经济社会状况，计算污染物入河量，确定水环境容量的方法。数字模型法是指根据水域特性、水质状况、设计水文条件和水功能区水质目标值，应用数字模型计算水环境容量的方法。</w:t>
      </w:r>
    </w:p>
    <w:p>
      <w:pPr>
        <w:spacing w:before="156" w:beforeLines="50"/>
        <w:ind w:firstLine="480"/>
      </w:pPr>
      <w:r>
        <w:rPr>
          <w:rFonts w:hint="eastAsia"/>
        </w:rPr>
        <w:t>污染负荷可分为点源污染负荷和非点源污染负荷，其中点源包括生活污染源、工业污染源，非点源污染包括城市径流面源污染和内源污染。其计算方法可参考以下方法：</w:t>
      </w:r>
    </w:p>
    <w:p>
      <w:pPr>
        <w:pStyle w:val="60"/>
        <w:numPr>
          <w:ilvl w:val="0"/>
          <w:numId w:val="50"/>
        </w:numPr>
        <w:spacing w:before="156" w:beforeLines="50"/>
        <w:ind w:left="0" w:firstLine="480" w:firstLineChars="200"/>
        <w:jc w:val="both"/>
        <w:rPr>
          <w:rFonts w:cs="Times New Roman"/>
        </w:rPr>
      </w:pPr>
      <w:r>
        <w:rPr>
          <w:rFonts w:cs="Times New Roman"/>
        </w:rPr>
        <w:t>生活污染源负荷</w:t>
      </w:r>
    </w:p>
    <w:p>
      <w:pPr>
        <w:ind w:firstLine="480"/>
        <w:rPr>
          <w:rFonts w:eastAsia="宋体" w:cs="Times New Roman"/>
          <w:szCs w:val="24"/>
        </w:rPr>
      </w:pPr>
      <w:r>
        <w:rPr>
          <w:rFonts w:eastAsia="宋体" w:cs="Times New Roman"/>
          <w:szCs w:val="24"/>
        </w:rPr>
        <w:t>生活污染源负荷计算方法有实测法、经验系数法、单位负荷法。</w:t>
      </w:r>
    </w:p>
    <w:p>
      <w:pPr>
        <w:pStyle w:val="60"/>
        <w:numPr>
          <w:ilvl w:val="0"/>
          <w:numId w:val="51"/>
        </w:numPr>
        <w:ind w:left="0" w:firstLine="720" w:firstLineChars="300"/>
        <w:rPr>
          <w:rFonts w:cs="Times New Roman"/>
          <w:szCs w:val="24"/>
        </w:rPr>
      </w:pPr>
      <w:r>
        <w:rPr>
          <w:rFonts w:cs="Times New Roman"/>
          <w:szCs w:val="24"/>
        </w:rPr>
        <w:t>实测法</w:t>
      </w:r>
    </w:p>
    <w:p>
      <w:pPr>
        <w:ind w:left="960" w:leftChars="400" w:firstLine="0" w:firstLineChars="0"/>
        <w:rPr>
          <w:rFonts w:eastAsia="宋体" w:cs="Times New Roman"/>
          <w:szCs w:val="24"/>
        </w:rPr>
      </w:pPr>
      <w:r>
        <w:rPr>
          <w:rFonts w:eastAsia="宋体" w:cs="Times New Roman"/>
          <w:szCs w:val="24"/>
        </w:rPr>
        <w:t>实测法是通过实地测量污水中的污染物浓度及流量，然后计算出各污染物的绝对排放量。计算公式为：</w:t>
      </w:r>
    </w:p>
    <w:p>
      <w:pPr>
        <w:ind w:left="960" w:leftChars="400" w:firstLine="480"/>
        <w:rPr>
          <w:rFonts w:eastAsia="宋体" w:cs="Times New Roman"/>
          <w:szCs w:val="24"/>
        </w:rPr>
      </w:pPr>
      <m:oMathPara>
        <m:oMath>
          <m:sSub>
            <m:sSubPr>
              <m:ctrlPr>
                <w:rPr>
                  <w:rFonts w:ascii="Cambria Math" w:hAnsi="Cambria Math" w:eastAsia="宋体" w:cs="Times New Roman"/>
                  <w:szCs w:val="24"/>
                </w:rPr>
              </m:ctrlPr>
            </m:sSubPr>
            <m:e>
              <m:r>
                <w:rPr>
                  <w:rFonts w:ascii="Cambria Math" w:hAnsi="Cambria Math" w:eastAsia="宋体" w:cs="Times New Roman"/>
                  <w:szCs w:val="24"/>
                </w:rPr>
                <m:t>G</m:t>
              </m:r>
              <m:ctrlPr>
                <w:rPr>
                  <w:rFonts w:ascii="Cambria Math" w:hAnsi="Cambria Math" w:eastAsia="宋体" w:cs="Times New Roman"/>
                  <w:szCs w:val="24"/>
                </w:rPr>
              </m:ctrlPr>
            </m:e>
            <m:sub>
              <m:r>
                <w:rPr>
                  <w:rFonts w:ascii="Cambria Math" w:hAnsi="Cambria Math" w:eastAsia="宋体" w:cs="Times New Roman"/>
                  <w:szCs w:val="24"/>
                </w:rPr>
                <m:t>i</m:t>
              </m:r>
              <m:ctrlPr>
                <w:rPr>
                  <w:rFonts w:ascii="Cambria Math" w:hAnsi="Cambria Math" w:eastAsia="宋体" w:cs="Times New Roman"/>
                  <w:szCs w:val="24"/>
                </w:rPr>
              </m:ctrlPr>
            </m:sub>
          </m:sSub>
          <m:r>
            <w:rPr>
              <w:rFonts w:ascii="Cambria Math" w:hAnsi="Cambria Math" w:eastAsia="宋体" w:cs="Times New Roman"/>
              <w:szCs w:val="24"/>
            </w:rPr>
            <m:t>=Q·</m:t>
          </m:r>
          <m:sSub>
            <m:sSubPr>
              <m:ctrlPr>
                <w:rPr>
                  <w:rFonts w:ascii="Cambria Math" w:hAnsi="Cambria Math" w:eastAsia="宋体" w:cs="Times New Roman"/>
                  <w:i/>
                  <w:szCs w:val="24"/>
                </w:rPr>
              </m:ctrlPr>
            </m:sSubPr>
            <m:e>
              <m:r>
                <w:rPr>
                  <w:rFonts w:ascii="Cambria Math" w:hAnsi="Cambria Math" w:eastAsia="宋体" w:cs="Times New Roman"/>
                  <w:szCs w:val="24"/>
                </w:rPr>
                <m:t>C</m:t>
              </m:r>
              <m:ctrlPr>
                <w:rPr>
                  <w:rFonts w:ascii="Cambria Math" w:hAnsi="Cambria Math" w:eastAsia="宋体" w:cs="Times New Roman"/>
                  <w:i/>
                  <w:szCs w:val="24"/>
                </w:rPr>
              </m:ctrlPr>
            </m:e>
            <m:sub>
              <m:r>
                <w:rPr>
                  <w:rFonts w:ascii="Cambria Math" w:hAnsi="Cambria Math" w:eastAsia="宋体" w:cs="Times New Roman"/>
                  <w:szCs w:val="24"/>
                </w:rPr>
                <m:t>i</m:t>
              </m:r>
              <m:ctrlPr>
                <w:rPr>
                  <w:rFonts w:ascii="Cambria Math" w:hAnsi="Cambria Math" w:eastAsia="宋体" w:cs="Times New Roman"/>
                  <w:i/>
                  <w:szCs w:val="24"/>
                </w:rPr>
              </m:ctrlPr>
            </m:sub>
          </m:sSub>
          <m:r>
            <w:rPr>
              <w:rFonts w:ascii="Cambria Math" w:hAnsi="Cambria Math" w:eastAsia="宋体" w:cs="Times New Roman"/>
              <w:szCs w:val="24"/>
            </w:rPr>
            <m:t>×</m:t>
          </m:r>
          <m:sSup>
            <m:sSupPr>
              <m:ctrlPr>
                <w:rPr>
                  <w:rFonts w:ascii="Cambria Math" w:hAnsi="Cambria Math" w:eastAsia="宋体" w:cs="Times New Roman"/>
                  <w:i/>
                  <w:szCs w:val="24"/>
                </w:rPr>
              </m:ctrlPr>
            </m:sSupPr>
            <m:e>
              <m:r>
                <w:rPr>
                  <w:rFonts w:ascii="Cambria Math" w:hAnsi="Cambria Math" w:eastAsia="宋体" w:cs="Times New Roman"/>
                  <w:szCs w:val="24"/>
                </w:rPr>
                <m:t>10</m:t>
              </m:r>
              <m:ctrlPr>
                <w:rPr>
                  <w:rFonts w:ascii="Cambria Math" w:hAnsi="Cambria Math" w:eastAsia="宋体" w:cs="Times New Roman"/>
                  <w:i/>
                  <w:szCs w:val="24"/>
                </w:rPr>
              </m:ctrlPr>
            </m:e>
            <m:sup>
              <m:r>
                <w:rPr>
                  <w:rFonts w:ascii="Cambria Math" w:hAnsi="Cambria Math" w:eastAsia="宋体" w:cs="Times New Roman"/>
                  <w:szCs w:val="24"/>
                </w:rPr>
                <m:t>-6</m:t>
              </m:r>
              <m:ctrlPr>
                <w:rPr>
                  <w:rFonts w:ascii="Cambria Math" w:hAnsi="Cambria Math" w:eastAsia="宋体" w:cs="Times New Roman"/>
                  <w:i/>
                  <w:szCs w:val="24"/>
                </w:rPr>
              </m:ctrlPr>
            </m:sup>
          </m:sSup>
        </m:oMath>
      </m:oMathPara>
    </w:p>
    <w:p>
      <w:pPr>
        <w:ind w:left="960" w:leftChars="400" w:firstLine="480"/>
        <w:rPr>
          <w:rFonts w:eastAsia="宋体" w:cs="Times New Roman"/>
          <w:szCs w:val="24"/>
        </w:rPr>
      </w:pPr>
      <w:r>
        <w:rPr>
          <w:rFonts w:eastAsia="宋体" w:cs="Times New Roman"/>
          <w:szCs w:val="24"/>
        </w:rPr>
        <w:t>式中：G</w:t>
      </w:r>
      <w:r>
        <w:rPr>
          <w:rFonts w:eastAsia="宋体" w:cs="Times New Roman"/>
          <w:szCs w:val="24"/>
          <w:vertAlign w:val="subscript"/>
        </w:rPr>
        <w:t>i</w:t>
      </w:r>
      <w:r>
        <w:rPr>
          <w:rFonts w:eastAsia="宋体" w:cs="Times New Roman"/>
          <w:szCs w:val="24"/>
        </w:rPr>
        <w:t>——污水中某污染物的绝对排放量，t/a；</w:t>
      </w:r>
    </w:p>
    <w:p>
      <w:pPr>
        <w:ind w:left="960" w:leftChars="400" w:firstLine="720" w:firstLineChars="300"/>
        <w:rPr>
          <w:rFonts w:eastAsia="宋体" w:cs="Times New Roman"/>
          <w:szCs w:val="24"/>
        </w:rPr>
      </w:pPr>
      <w:r>
        <w:rPr>
          <w:rFonts w:eastAsia="宋体" w:cs="Times New Roman"/>
          <w:szCs w:val="24"/>
        </w:rPr>
        <w:t>Q ——污水总排放量，m</w:t>
      </w:r>
      <w:r>
        <w:rPr>
          <w:rFonts w:eastAsia="宋体" w:cs="Times New Roman"/>
          <w:szCs w:val="24"/>
          <w:vertAlign w:val="superscript"/>
        </w:rPr>
        <w:t>3</w:t>
      </w:r>
      <w:r>
        <w:rPr>
          <w:rFonts w:eastAsia="宋体" w:cs="Times New Roman"/>
          <w:szCs w:val="24"/>
        </w:rPr>
        <w:t>/a；</w:t>
      </w:r>
    </w:p>
    <w:p>
      <w:pPr>
        <w:ind w:left="960" w:leftChars="400" w:firstLine="720" w:firstLineChars="300"/>
        <w:rPr>
          <w:rFonts w:eastAsia="宋体" w:cs="Times New Roman"/>
          <w:szCs w:val="24"/>
        </w:rPr>
      </w:pPr>
      <w:r>
        <w:rPr>
          <w:rFonts w:eastAsia="宋体" w:cs="Times New Roman"/>
          <w:szCs w:val="24"/>
        </w:rPr>
        <w:t>C</w:t>
      </w:r>
      <w:r>
        <w:rPr>
          <w:rFonts w:eastAsia="宋体" w:cs="Times New Roman"/>
          <w:szCs w:val="24"/>
          <w:vertAlign w:val="subscript"/>
        </w:rPr>
        <w:t>i</w:t>
      </w:r>
      <w:bookmarkStart w:id="180" w:name="_Hlk17010628"/>
      <w:r>
        <w:rPr>
          <w:rFonts w:eastAsia="宋体" w:cs="Times New Roman"/>
          <w:szCs w:val="24"/>
        </w:rPr>
        <w:t>——</w:t>
      </w:r>
      <w:bookmarkEnd w:id="180"/>
      <w:r>
        <w:rPr>
          <w:rFonts w:eastAsia="宋体" w:cs="Times New Roman"/>
          <w:szCs w:val="24"/>
        </w:rPr>
        <w:t>污水中某污染物的实测浓度，mg/L。</w:t>
      </w:r>
    </w:p>
    <w:p>
      <w:pPr>
        <w:pStyle w:val="60"/>
        <w:numPr>
          <w:ilvl w:val="0"/>
          <w:numId w:val="51"/>
        </w:numPr>
        <w:ind w:left="0" w:firstLine="720" w:firstLineChars="300"/>
        <w:rPr>
          <w:rFonts w:cs="Times New Roman"/>
          <w:szCs w:val="24"/>
        </w:rPr>
      </w:pPr>
      <w:bookmarkStart w:id="181" w:name="_Toc515195704"/>
      <w:r>
        <w:rPr>
          <w:rFonts w:cs="Times New Roman"/>
          <w:szCs w:val="24"/>
        </w:rPr>
        <w:t>经验系数法</w:t>
      </w:r>
      <w:bookmarkEnd w:id="181"/>
    </w:p>
    <w:p>
      <w:pPr>
        <w:ind w:left="960" w:leftChars="400" w:firstLine="0" w:firstLineChars="0"/>
        <w:rPr>
          <w:rFonts w:eastAsia="宋体" w:cs="Times New Roman"/>
          <w:szCs w:val="24"/>
        </w:rPr>
      </w:pPr>
      <w:r>
        <w:rPr>
          <w:rFonts w:eastAsia="宋体" w:cs="Times New Roman"/>
          <w:szCs w:val="24"/>
        </w:rPr>
        <w:t>根据城镇生活源产排污系数核算体系的研究成果，结合第一次污染源普查数据库，城镇生活源水污染物负荷核算由居民生活和第三产业两部分统一形成了以</w:t>
      </w:r>
      <w:r>
        <w:rPr>
          <w:rFonts w:hint="eastAsia" w:eastAsia="宋体" w:cs="Times New Roman"/>
          <w:szCs w:val="24"/>
        </w:rPr>
        <w:t>“</w:t>
      </w:r>
      <w:r>
        <w:rPr>
          <w:rFonts w:eastAsia="宋体" w:cs="Times New Roman"/>
          <w:szCs w:val="24"/>
        </w:rPr>
        <w:t>城镇常住人口</w:t>
      </w:r>
      <w:r>
        <w:rPr>
          <w:rFonts w:hint="eastAsia" w:eastAsia="宋体" w:cs="Times New Roman"/>
          <w:szCs w:val="24"/>
        </w:rPr>
        <w:t>”</w:t>
      </w:r>
      <w:r>
        <w:rPr>
          <w:rFonts w:eastAsia="宋体" w:cs="Times New Roman"/>
          <w:szCs w:val="24"/>
        </w:rPr>
        <w:t>为主要统计基量的污染物负荷核算体系，其核算方法如下：</w:t>
      </w:r>
    </w:p>
    <w:p>
      <w:pPr>
        <w:ind w:left="960" w:leftChars="400" w:firstLine="0" w:firstLineChars="0"/>
        <w:rPr>
          <w:rFonts w:eastAsia="宋体" w:cs="Times New Roman"/>
          <w:szCs w:val="24"/>
        </w:rPr>
      </w:pPr>
      <w:r>
        <w:rPr>
          <w:rFonts w:eastAsia="宋体" w:cs="Times New Roman"/>
          <w:szCs w:val="24"/>
        </w:rPr>
        <w:object>
          <v:shape id="_x0000_i1025" o:spt="75" type="#_x0000_t75" style="height:21.75pt;width:127.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p>
    <w:p>
      <w:pPr>
        <w:ind w:left="960" w:leftChars="400" w:firstLine="0" w:firstLineChars="0"/>
        <w:rPr>
          <w:rFonts w:eastAsia="宋体" w:cs="Times New Roman"/>
          <w:szCs w:val="24"/>
        </w:rPr>
      </w:pPr>
      <w:r>
        <w:rPr>
          <w:rFonts w:eastAsia="宋体" w:cs="Times New Roman"/>
          <w:szCs w:val="24"/>
        </w:rPr>
        <w:t>式中：G——城镇生活源水污染物年产生量，单位：t/a；</w:t>
      </w:r>
    </w:p>
    <w:p>
      <w:pPr>
        <w:ind w:left="960" w:leftChars="400" w:firstLine="0" w:firstLineChars="0"/>
        <w:rPr>
          <w:rFonts w:eastAsia="宋体" w:cs="Times New Roman"/>
          <w:szCs w:val="24"/>
        </w:rPr>
      </w:pPr>
      <w:r>
        <w:rPr>
          <w:rFonts w:eastAsia="宋体" w:cs="Times New Roman"/>
          <w:szCs w:val="24"/>
        </w:rPr>
        <w:t>Nc——城镇常住人口，单位：万人；</w:t>
      </w:r>
    </w:p>
    <w:p>
      <w:pPr>
        <w:ind w:left="960" w:leftChars="400" w:firstLine="0" w:firstLineChars="0"/>
        <w:rPr>
          <w:rFonts w:eastAsia="宋体" w:cs="Times New Roman"/>
          <w:szCs w:val="24"/>
        </w:rPr>
      </w:pPr>
      <w:r>
        <w:rPr>
          <w:rFonts w:eastAsia="宋体" w:cs="Times New Roman"/>
          <w:szCs w:val="24"/>
        </w:rPr>
        <w:t>F——城镇生活源水污染物排放系数，单位：g/</w:t>
      </w:r>
      <w:r>
        <w:rPr>
          <w:rFonts w:hint="eastAsia" w:eastAsia="宋体" w:cs="Times New Roman"/>
          <w:szCs w:val="24"/>
        </w:rPr>
        <w:t>（</w:t>
      </w:r>
      <w:r>
        <w:rPr>
          <w:rFonts w:eastAsia="宋体" w:cs="Times New Roman"/>
          <w:szCs w:val="24"/>
        </w:rPr>
        <w:t>人·d</w:t>
      </w:r>
      <w:r>
        <w:rPr>
          <w:rFonts w:hint="eastAsia" w:eastAsia="宋体" w:cs="Times New Roman"/>
          <w:szCs w:val="24"/>
        </w:rPr>
        <w:t>）</w:t>
      </w:r>
      <w:r>
        <w:rPr>
          <w:rFonts w:eastAsia="宋体" w:cs="Times New Roman"/>
          <w:szCs w:val="24"/>
        </w:rPr>
        <w:t>，系数见《第一次全国污染源普查城镇生活源产排污系数手册》。</w:t>
      </w:r>
      <w:bookmarkStart w:id="182" w:name="_Toc515195705"/>
      <w:bookmarkEnd w:id="182"/>
    </w:p>
    <w:p>
      <w:pPr>
        <w:pStyle w:val="60"/>
        <w:numPr>
          <w:ilvl w:val="0"/>
          <w:numId w:val="51"/>
        </w:numPr>
        <w:rPr>
          <w:rFonts w:cs="Times New Roman"/>
          <w:szCs w:val="24"/>
        </w:rPr>
      </w:pPr>
      <w:r>
        <w:rPr>
          <w:rFonts w:cs="Times New Roman"/>
          <w:szCs w:val="24"/>
        </w:rPr>
        <w:t>单位负荷法</w:t>
      </w:r>
    </w:p>
    <w:p>
      <w:pPr>
        <w:ind w:left="960" w:leftChars="400" w:firstLine="0" w:firstLineChars="0"/>
        <w:rPr>
          <w:rFonts w:eastAsia="宋体" w:cs="Times New Roman"/>
          <w:szCs w:val="24"/>
        </w:rPr>
      </w:pPr>
      <w:r>
        <w:rPr>
          <w:rFonts w:eastAsia="宋体" w:cs="Times New Roman"/>
          <w:szCs w:val="24"/>
        </w:rPr>
        <w:t>当生活污水与其他污水混杂难以实测或不具备实测条件时，可采用单位负荷法。单位负荷法是通过对居住区人们生活及排水的抽样详细调查，认定每日每人排放的污染物量，再以此量乘以居住区对应人口总数可计算出污水的总负荷量。</w:t>
      </w:r>
    </w:p>
    <w:p>
      <w:pPr>
        <w:pStyle w:val="60"/>
        <w:numPr>
          <w:ilvl w:val="0"/>
          <w:numId w:val="50"/>
        </w:numPr>
        <w:spacing w:before="156" w:beforeLines="50"/>
        <w:ind w:left="0" w:firstLine="480" w:firstLineChars="200"/>
        <w:jc w:val="both"/>
        <w:rPr>
          <w:rFonts w:cs="Times New Roman"/>
        </w:rPr>
      </w:pPr>
      <w:r>
        <w:rPr>
          <w:rFonts w:cs="Times New Roman"/>
        </w:rPr>
        <w:t>工业污染源负荷</w:t>
      </w:r>
    </w:p>
    <w:p>
      <w:pPr>
        <w:pStyle w:val="60"/>
        <w:numPr>
          <w:ilvl w:val="0"/>
          <w:numId w:val="52"/>
        </w:numPr>
        <w:ind w:left="0" w:firstLine="720" w:firstLineChars="300"/>
        <w:rPr>
          <w:rFonts w:cs="Times New Roman"/>
          <w:szCs w:val="24"/>
        </w:rPr>
      </w:pPr>
      <w:r>
        <w:rPr>
          <w:rFonts w:cs="Times New Roman"/>
          <w:szCs w:val="24"/>
        </w:rPr>
        <w:t>实测法</w:t>
      </w:r>
    </w:p>
    <w:p>
      <w:pPr>
        <w:ind w:left="960" w:leftChars="400" w:firstLine="0" w:firstLineChars="0"/>
        <w:rPr>
          <w:rFonts w:eastAsia="宋体" w:cs="Times New Roman"/>
          <w:szCs w:val="24"/>
        </w:rPr>
      </w:pPr>
      <w:r>
        <w:rPr>
          <w:rFonts w:eastAsia="宋体" w:cs="Times New Roman"/>
          <w:szCs w:val="24"/>
        </w:rPr>
        <w:t>与生活污染源实测法相同。</w:t>
      </w:r>
    </w:p>
    <w:p>
      <w:pPr>
        <w:pStyle w:val="60"/>
        <w:numPr>
          <w:ilvl w:val="0"/>
          <w:numId w:val="52"/>
        </w:numPr>
        <w:ind w:left="0" w:firstLine="720" w:firstLineChars="300"/>
        <w:rPr>
          <w:rFonts w:cs="Times New Roman"/>
          <w:szCs w:val="24"/>
        </w:rPr>
      </w:pPr>
      <w:r>
        <w:rPr>
          <w:rFonts w:cs="Times New Roman"/>
          <w:szCs w:val="24"/>
        </w:rPr>
        <w:t>物料衡算法</w:t>
      </w:r>
    </w:p>
    <w:p>
      <w:pPr>
        <w:ind w:left="960" w:leftChars="400" w:firstLine="0" w:firstLineChars="0"/>
        <w:rPr>
          <w:rFonts w:eastAsia="宋体" w:cs="Times New Roman"/>
          <w:szCs w:val="24"/>
        </w:rPr>
      </w:pPr>
      <w:r>
        <w:rPr>
          <w:rFonts w:hint="eastAsia" w:eastAsia="宋体" w:cs="Times New Roman"/>
          <w:szCs w:val="24"/>
        </w:rPr>
        <w:t>根据物质守恒</w:t>
      </w:r>
      <w:r>
        <w:rPr>
          <w:rFonts w:eastAsia="宋体" w:cs="Times New Roman"/>
          <w:szCs w:val="24"/>
        </w:rPr>
        <w:t>，在生产过程中，投入的物料置等于产品量和物料流失量的总和。计算公式为：</w:t>
      </w:r>
    </w:p>
    <w:p>
      <w:pPr>
        <w:ind w:left="960" w:leftChars="400" w:firstLine="0" w:firstLineChars="0"/>
        <w:rPr>
          <w:rFonts w:eastAsia="宋体" w:cs="Times New Roman"/>
          <w:szCs w:val="24"/>
        </w:rPr>
      </w:pPr>
      <m:oMathPara>
        <m:oMath>
          <m:nary>
            <m:naryPr>
              <m:chr m:val="∑"/>
              <m:limLoc m:val="undOvr"/>
              <m:subHide m:val="1"/>
              <m:supHide m:val="1"/>
              <m:ctrlPr>
                <w:rPr>
                  <w:rFonts w:ascii="Cambria Math" w:hAnsi="Cambria Math" w:eastAsia="宋体" w:cs="Times New Roman"/>
                  <w:szCs w:val="24"/>
                </w:rPr>
              </m:ctrlPr>
            </m:naryPr>
            <m:sub>
              <m:ctrlPr>
                <w:rPr>
                  <w:rFonts w:ascii="Cambria Math" w:hAnsi="Cambria Math" w:eastAsia="宋体" w:cs="Times New Roman"/>
                  <w:szCs w:val="24"/>
                </w:rPr>
              </m:ctrlPr>
            </m:sub>
            <m:sup>
              <m:ctrlPr>
                <w:rPr>
                  <w:rFonts w:ascii="Cambria Math" w:hAnsi="Cambria Math" w:eastAsia="宋体" w:cs="Times New Roman"/>
                  <w:szCs w:val="24"/>
                </w:rPr>
              </m:ctrlPr>
            </m:sup>
            <m:e>
              <m:r>
                <m:rPr>
                  <m:sty m:val="p"/>
                </m:rPr>
                <w:rPr>
                  <w:rFonts w:ascii="Cambria Math" w:hAnsi="Cambria Math" w:eastAsia="宋体" w:cs="Times New Roman"/>
                  <w:szCs w:val="24"/>
                </w:rPr>
                <m:t>G</m:t>
              </m:r>
              <m:ctrlPr>
                <w:rPr>
                  <w:rFonts w:ascii="Cambria Math" w:hAnsi="Cambria Math" w:eastAsia="宋体" w:cs="Times New Roman"/>
                  <w:szCs w:val="24"/>
                </w:rPr>
              </m:ctrlPr>
            </m:e>
          </m:nary>
          <m:r>
            <m:rPr>
              <m:sty m:val="p"/>
            </m:rPr>
            <w:rPr>
              <w:rFonts w:ascii="Cambria Math" w:hAnsi="Cambria Math" w:eastAsia="宋体" w:cs="Times New Roman"/>
              <w:szCs w:val="24"/>
            </w:rPr>
            <m:t>=</m:t>
          </m:r>
          <m:nary>
            <m:naryPr>
              <m:chr m:val="∑"/>
              <m:limLoc m:val="undOvr"/>
              <m:subHide m:val="1"/>
              <m:supHide m:val="1"/>
              <m:ctrlPr>
                <w:rPr>
                  <w:rFonts w:ascii="Cambria Math" w:hAnsi="Cambria Math" w:eastAsia="宋体" w:cs="Times New Roman"/>
                  <w:szCs w:val="24"/>
                </w:rPr>
              </m:ctrlPr>
            </m:naryPr>
            <m:sub>
              <m:ctrlPr>
                <w:rPr>
                  <w:rFonts w:ascii="Cambria Math" w:hAnsi="Cambria Math" w:eastAsia="宋体" w:cs="Times New Roman"/>
                  <w:szCs w:val="24"/>
                </w:rPr>
              </m:ctrlPr>
            </m:sub>
            <m:sup>
              <m:ctrlPr>
                <w:rPr>
                  <w:rFonts w:ascii="Cambria Math" w:hAnsi="Cambria Math" w:eastAsia="宋体" w:cs="Times New Roman"/>
                  <w:szCs w:val="24"/>
                </w:rPr>
              </m:ctrlPr>
            </m:sup>
            <m:e>
              <m:sSub>
                <m:sSubPr>
                  <m:ctrlPr>
                    <w:rPr>
                      <w:rFonts w:ascii="Cambria Math" w:hAnsi="Cambria Math" w:eastAsia="宋体" w:cs="Times New Roman"/>
                      <w:szCs w:val="24"/>
                    </w:rPr>
                  </m:ctrlPr>
                </m:sSubPr>
                <m:e>
                  <m:r>
                    <m:rPr>
                      <m:sty m:val="p"/>
                    </m:rPr>
                    <w:rPr>
                      <w:rFonts w:ascii="Cambria Math" w:hAnsi="Cambria Math" w:eastAsia="宋体" w:cs="Times New Roman"/>
                      <w:szCs w:val="24"/>
                    </w:rPr>
                    <m:t>G</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ctrlPr>
                <w:rPr>
                  <w:rFonts w:ascii="Cambria Math" w:hAnsi="Cambria Math" w:eastAsia="宋体" w:cs="Times New Roman"/>
                  <w:szCs w:val="24"/>
                </w:rPr>
              </m:ctrlPr>
            </m:e>
          </m:nary>
          <m:r>
            <m:rPr>
              <m:sty m:val="p"/>
            </m:rPr>
            <w:rPr>
              <w:rFonts w:ascii="Cambria Math" w:hAnsi="Cambria Math" w:eastAsia="宋体" w:cs="Times New Roman"/>
              <w:szCs w:val="24"/>
            </w:rPr>
            <m:t>+</m:t>
          </m:r>
          <m:nary>
            <m:naryPr>
              <m:chr m:val="∑"/>
              <m:limLoc m:val="undOvr"/>
              <m:subHide m:val="1"/>
              <m:supHide m:val="1"/>
              <m:ctrlPr>
                <w:rPr>
                  <w:rFonts w:ascii="Cambria Math" w:hAnsi="Cambria Math" w:eastAsia="宋体" w:cs="Times New Roman"/>
                  <w:szCs w:val="24"/>
                </w:rPr>
              </m:ctrlPr>
            </m:naryPr>
            <m:sub>
              <m:ctrlPr>
                <w:rPr>
                  <w:rFonts w:ascii="Cambria Math" w:hAnsi="Cambria Math" w:eastAsia="宋体" w:cs="Times New Roman"/>
                  <w:szCs w:val="24"/>
                </w:rPr>
              </m:ctrlPr>
            </m:sub>
            <m:sup>
              <m:ctrlPr>
                <w:rPr>
                  <w:rFonts w:ascii="Cambria Math" w:hAnsi="Cambria Math" w:eastAsia="宋体" w:cs="Times New Roman"/>
                  <w:szCs w:val="24"/>
                </w:rPr>
              </m:ctrlPr>
            </m:sup>
            <m:e>
              <m:sSub>
                <m:sSubPr>
                  <m:ctrlPr>
                    <w:rPr>
                      <w:rFonts w:ascii="Cambria Math" w:hAnsi="Cambria Math" w:eastAsia="宋体" w:cs="Times New Roman"/>
                      <w:szCs w:val="24"/>
                    </w:rPr>
                  </m:ctrlPr>
                </m:sSubPr>
                <m:e>
                  <m:r>
                    <m:rPr>
                      <m:sty m:val="p"/>
                    </m:rPr>
                    <w:rPr>
                      <w:rFonts w:ascii="Cambria Math" w:hAnsi="Cambria Math" w:eastAsia="宋体" w:cs="Times New Roman"/>
                      <w:szCs w:val="24"/>
                    </w:rPr>
                    <m:t>G</m:t>
                  </m:r>
                  <m:ctrlPr>
                    <w:rPr>
                      <w:rFonts w:ascii="Cambria Math" w:hAnsi="Cambria Math" w:eastAsia="宋体" w:cs="Times New Roman"/>
                      <w:szCs w:val="24"/>
                    </w:rPr>
                  </m:ctrlPr>
                </m:e>
                <m:sub>
                  <m:r>
                    <m:rPr>
                      <m:sty m:val="p"/>
                    </m:rPr>
                    <w:rPr>
                      <w:rFonts w:ascii="Cambria Math" w:hAnsi="Cambria Math" w:eastAsia="宋体" w:cs="Times New Roman"/>
                      <w:szCs w:val="24"/>
                    </w:rPr>
                    <m:t>2</m:t>
                  </m:r>
                  <m:ctrlPr>
                    <w:rPr>
                      <w:rFonts w:ascii="Cambria Math" w:hAnsi="Cambria Math" w:eastAsia="宋体" w:cs="Times New Roman"/>
                      <w:szCs w:val="24"/>
                    </w:rPr>
                  </m:ctrlPr>
                </m:sub>
              </m:sSub>
              <m:ctrlPr>
                <w:rPr>
                  <w:rFonts w:ascii="Cambria Math" w:hAnsi="Cambria Math" w:eastAsia="宋体" w:cs="Times New Roman"/>
                  <w:szCs w:val="24"/>
                </w:rPr>
              </m:ctrlPr>
            </m:e>
          </m:nary>
        </m:oMath>
      </m:oMathPara>
    </w:p>
    <w:p>
      <w:pPr>
        <w:ind w:left="960" w:leftChars="400" w:firstLine="0" w:firstLineChars="0"/>
        <w:rPr>
          <w:rFonts w:eastAsia="宋体" w:cs="Times New Roman"/>
          <w:szCs w:val="24"/>
        </w:rPr>
      </w:pPr>
      <w:r>
        <w:rPr>
          <w:rFonts w:eastAsia="宋体" w:cs="Times New Roman"/>
          <w:szCs w:val="24"/>
        </w:rPr>
        <w:t>式中：∑G——投入物料量总和；</w:t>
      </w:r>
    </w:p>
    <w:p>
      <w:pPr>
        <w:ind w:left="960" w:leftChars="400" w:firstLine="0" w:firstLineChars="0"/>
        <w:rPr>
          <w:rFonts w:eastAsia="宋体" w:cs="Times New Roman"/>
          <w:szCs w:val="24"/>
        </w:rPr>
      </w:pPr>
      <w:r>
        <w:rPr>
          <w:rFonts w:eastAsia="宋体" w:cs="Times New Roman"/>
          <w:szCs w:val="24"/>
        </w:rPr>
        <w:t>∑G</w:t>
      </w:r>
      <w:r>
        <w:rPr>
          <w:rFonts w:eastAsia="宋体" w:cs="Times New Roman"/>
          <w:szCs w:val="24"/>
          <w:vertAlign w:val="subscript"/>
        </w:rPr>
        <w:t>i</w:t>
      </w:r>
      <w:r>
        <w:rPr>
          <w:rFonts w:eastAsia="宋体" w:cs="Times New Roman"/>
          <w:szCs w:val="24"/>
        </w:rPr>
        <w:t>——所得产品量总和；</w:t>
      </w:r>
    </w:p>
    <w:p>
      <w:pPr>
        <w:ind w:left="960" w:leftChars="400" w:firstLine="0" w:firstLineChars="0"/>
        <w:rPr>
          <w:rFonts w:eastAsia="宋体" w:cs="Times New Roman"/>
          <w:szCs w:val="24"/>
        </w:rPr>
      </w:pPr>
      <w:r>
        <w:rPr>
          <w:rFonts w:eastAsia="宋体" w:cs="Times New Roman"/>
          <w:szCs w:val="24"/>
        </w:rPr>
        <w:t>∑G</w:t>
      </w:r>
      <w:r>
        <w:rPr>
          <w:rFonts w:eastAsia="宋体" w:cs="Times New Roman"/>
          <w:szCs w:val="24"/>
          <w:vertAlign w:val="subscript"/>
        </w:rPr>
        <w:t>2</w:t>
      </w:r>
      <w:r>
        <w:rPr>
          <w:rFonts w:eastAsia="宋体" w:cs="Times New Roman"/>
          <w:szCs w:val="24"/>
        </w:rPr>
        <w:t>——物料或产品流失量总和，其表达式为：</w:t>
      </w:r>
    </w:p>
    <w:p>
      <w:pPr>
        <w:ind w:left="960" w:leftChars="400" w:firstLine="0" w:firstLineChars="0"/>
        <w:rPr>
          <w:rFonts w:eastAsia="宋体" w:cs="Times New Roman"/>
          <w:szCs w:val="24"/>
        </w:rPr>
      </w:pPr>
      <m:oMathPara>
        <m:oMath>
          <m:nary>
            <m:naryPr>
              <m:chr m:val="∑"/>
              <m:limLoc m:val="undOvr"/>
              <m:subHide m:val="1"/>
              <m:supHide m:val="1"/>
              <m:ctrlPr>
                <w:rPr>
                  <w:rFonts w:ascii="Cambria Math" w:hAnsi="Cambria Math" w:eastAsia="宋体" w:cs="Times New Roman"/>
                  <w:szCs w:val="24"/>
                </w:rPr>
              </m:ctrlPr>
            </m:naryPr>
            <m:sub>
              <m:ctrlPr>
                <w:rPr>
                  <w:rFonts w:ascii="Cambria Math" w:hAnsi="Cambria Math" w:eastAsia="宋体" w:cs="Times New Roman"/>
                  <w:szCs w:val="24"/>
                </w:rPr>
              </m:ctrlPr>
            </m:sub>
            <m:sup>
              <m:ctrlPr>
                <w:rPr>
                  <w:rFonts w:ascii="Cambria Math" w:hAnsi="Cambria Math" w:eastAsia="宋体" w:cs="Times New Roman"/>
                  <w:szCs w:val="24"/>
                </w:rPr>
              </m:ctrlPr>
            </m:sup>
            <m:e>
              <m:sSub>
                <m:sSubPr>
                  <m:ctrlPr>
                    <w:rPr>
                      <w:rFonts w:ascii="Cambria Math" w:hAnsi="Cambria Math" w:eastAsia="宋体" w:cs="Times New Roman"/>
                      <w:szCs w:val="24"/>
                    </w:rPr>
                  </m:ctrlPr>
                </m:sSubPr>
                <m:e>
                  <m:r>
                    <m:rPr>
                      <m:sty m:val="p"/>
                    </m:rPr>
                    <w:rPr>
                      <w:rFonts w:ascii="Cambria Math" w:hAnsi="Cambria Math" w:eastAsia="宋体" w:cs="Times New Roman"/>
                      <w:szCs w:val="24"/>
                    </w:rPr>
                    <m:t>G</m:t>
                  </m:r>
                  <m:ctrlPr>
                    <w:rPr>
                      <w:rFonts w:ascii="Cambria Math" w:hAnsi="Cambria Math" w:eastAsia="宋体" w:cs="Times New Roman"/>
                      <w:szCs w:val="24"/>
                    </w:rPr>
                  </m:ctrlPr>
                </m:e>
                <m:sub>
                  <m:r>
                    <m:rPr>
                      <m:sty m:val="p"/>
                    </m:rPr>
                    <w:rPr>
                      <w:rFonts w:ascii="Cambria Math" w:hAnsi="Cambria Math" w:eastAsia="宋体" w:cs="Times New Roman"/>
                      <w:szCs w:val="24"/>
                    </w:rPr>
                    <m:t>2</m:t>
                  </m:r>
                  <m:ctrlPr>
                    <w:rPr>
                      <w:rFonts w:ascii="Cambria Math" w:hAnsi="Cambria Math" w:eastAsia="宋体" w:cs="Times New Roman"/>
                      <w:szCs w:val="24"/>
                    </w:rPr>
                  </m:ctrlPr>
                </m:sub>
              </m:sSub>
              <m:ctrlPr>
                <w:rPr>
                  <w:rFonts w:ascii="Cambria Math" w:hAnsi="Cambria Math" w:eastAsia="宋体" w:cs="Times New Roman"/>
                  <w:szCs w:val="24"/>
                </w:rPr>
              </m:ctrlPr>
            </m:e>
          </m:nary>
          <m:r>
            <m:rPr>
              <m:sty m:val="p"/>
            </m:rPr>
            <w:rPr>
              <w:rFonts w:ascii="Cambria Math" w:hAnsi="Cambria Math" w:eastAsia="宋体" w:cs="Times New Roman"/>
              <w:szCs w:val="24"/>
            </w:rPr>
            <m:t>=</m:t>
          </m:r>
          <m:nary>
            <m:naryPr>
              <m:chr m:val="∑"/>
              <m:limLoc m:val="undOvr"/>
              <m:subHide m:val="1"/>
              <m:supHide m:val="1"/>
              <m:ctrlPr>
                <w:rPr>
                  <w:rFonts w:ascii="Cambria Math" w:hAnsi="Cambria Math" w:eastAsia="宋体" w:cs="Times New Roman"/>
                  <w:szCs w:val="24"/>
                </w:rPr>
              </m:ctrlPr>
            </m:naryPr>
            <m:sub>
              <m:ctrlPr>
                <w:rPr>
                  <w:rFonts w:ascii="Cambria Math" w:hAnsi="Cambria Math" w:eastAsia="宋体" w:cs="Times New Roman"/>
                  <w:szCs w:val="24"/>
                </w:rPr>
              </m:ctrlPr>
            </m:sub>
            <m:sup>
              <m:ctrlPr>
                <w:rPr>
                  <w:rFonts w:ascii="Cambria Math" w:hAnsi="Cambria Math" w:eastAsia="宋体" w:cs="Times New Roman"/>
                  <w:szCs w:val="24"/>
                </w:rPr>
              </m:ctrlPr>
            </m:sup>
            <m:e>
              <m:r>
                <m:rPr>
                  <m:sty m:val="p"/>
                </m:rPr>
                <w:rPr>
                  <w:rFonts w:ascii="Cambria Math" w:hAnsi="Cambria Math" w:eastAsia="宋体" w:cs="Times New Roman"/>
                  <w:szCs w:val="24"/>
                </w:rPr>
                <m:t>（G·</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M</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ctrlPr>
                <w:rPr>
                  <w:rFonts w:ascii="Cambria Math" w:hAnsi="Cambria Math" w:eastAsia="宋体" w:cs="Times New Roman"/>
                  <w:szCs w:val="24"/>
                </w:rPr>
              </m:ctrlPr>
            </m:e>
          </m:nary>
          <m:r>
            <m:rPr>
              <m:sty m:val="p"/>
            </m:rPr>
            <w:rPr>
              <w:rFonts w:ascii="Cambria Math" w:hAnsi="Cambria Math" w:eastAsia="宋体" w:cs="Times New Roman"/>
              <w:szCs w:val="24"/>
            </w:rPr>
            <m:t>-</m:t>
          </m:r>
          <m:nary>
            <m:naryPr>
              <m:chr m:val="∑"/>
              <m:limLoc m:val="undOvr"/>
              <m:subHide m:val="1"/>
              <m:supHide m:val="1"/>
              <m:ctrlPr>
                <w:rPr>
                  <w:rFonts w:ascii="Cambria Math" w:hAnsi="Cambria Math" w:eastAsia="宋体" w:cs="Times New Roman"/>
                  <w:szCs w:val="24"/>
                </w:rPr>
              </m:ctrlPr>
            </m:naryPr>
            <m:sub>
              <m:ctrlPr>
                <w:rPr>
                  <w:rFonts w:ascii="Cambria Math" w:hAnsi="Cambria Math" w:eastAsia="宋体" w:cs="Times New Roman"/>
                  <w:szCs w:val="24"/>
                </w:rPr>
              </m:ctrlPr>
            </m:sub>
            <m:sup>
              <m:ctrlPr>
                <w:rPr>
                  <w:rFonts w:ascii="Cambria Math" w:hAnsi="Cambria Math" w:eastAsia="宋体" w:cs="Times New Roman"/>
                  <w:szCs w:val="24"/>
                </w:rPr>
              </m:ctrlPr>
            </m:sup>
            <m:e>
              <m:r>
                <m:rPr>
                  <m:sty m:val="p"/>
                </m:rPr>
                <w:rPr>
                  <w:rFonts w:ascii="Cambria Math" w:hAnsi="Cambria Math" w:eastAsia="宋体" w:cs="Times New Roman"/>
                  <w:szCs w:val="24"/>
                </w:rPr>
                <m:t>（G·</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N</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ctrlPr>
                <w:rPr>
                  <w:rFonts w:ascii="Cambria Math" w:hAnsi="Cambria Math" w:eastAsia="宋体" w:cs="Times New Roman"/>
                  <w:szCs w:val="24"/>
                </w:rPr>
              </m:ctrlPr>
            </m:e>
          </m:nary>
        </m:oMath>
      </m:oMathPara>
    </w:p>
    <w:p>
      <w:pPr>
        <w:ind w:left="960" w:leftChars="400" w:firstLine="0" w:firstLineChars="0"/>
        <w:rPr>
          <w:rFonts w:eastAsia="宋体" w:cs="Times New Roman"/>
          <w:szCs w:val="24"/>
        </w:rPr>
      </w:pPr>
      <w:r>
        <w:rPr>
          <w:rFonts w:eastAsia="宋体" w:cs="Times New Roman"/>
          <w:szCs w:val="24"/>
        </w:rPr>
        <w:t>其中：M</w:t>
      </w:r>
      <w:r>
        <w:rPr>
          <w:rFonts w:eastAsia="宋体" w:cs="Times New Roman"/>
          <w:szCs w:val="24"/>
          <w:vertAlign w:val="subscript"/>
        </w:rPr>
        <w:t>i</w:t>
      </w:r>
      <w:r>
        <w:rPr>
          <w:rFonts w:eastAsia="宋体" w:cs="Times New Roman"/>
          <w:szCs w:val="24"/>
        </w:rPr>
        <w:t>——投入物料中某污染物的百分含量；</w:t>
      </w:r>
    </w:p>
    <w:p>
      <w:pPr>
        <w:ind w:left="960" w:leftChars="400" w:firstLine="0" w:firstLineChars="0"/>
        <w:rPr>
          <w:rFonts w:eastAsia="宋体" w:cs="Times New Roman"/>
          <w:szCs w:val="24"/>
        </w:rPr>
      </w:pPr>
      <w:r>
        <w:rPr>
          <w:rFonts w:eastAsia="宋体" w:cs="Times New Roman"/>
          <w:szCs w:val="24"/>
        </w:rPr>
        <w:t>N</w:t>
      </w:r>
      <w:r>
        <w:rPr>
          <w:rFonts w:eastAsia="宋体" w:cs="Times New Roman"/>
          <w:szCs w:val="24"/>
          <w:vertAlign w:val="subscript"/>
        </w:rPr>
        <w:t>i</w:t>
      </w:r>
      <w:r>
        <w:rPr>
          <w:rFonts w:eastAsia="宋体" w:cs="Times New Roman"/>
          <w:szCs w:val="24"/>
        </w:rPr>
        <w:t>——产品中某污染物的百分含量。</w:t>
      </w:r>
    </w:p>
    <w:p>
      <w:pPr>
        <w:pStyle w:val="60"/>
        <w:numPr>
          <w:ilvl w:val="0"/>
          <w:numId w:val="52"/>
        </w:numPr>
        <w:ind w:left="0" w:firstLine="720" w:firstLineChars="300"/>
        <w:rPr>
          <w:rFonts w:cs="Times New Roman"/>
          <w:szCs w:val="24"/>
        </w:rPr>
      </w:pPr>
      <w:r>
        <w:rPr>
          <w:rFonts w:cs="Times New Roman"/>
          <w:szCs w:val="24"/>
        </w:rPr>
        <w:t>排污系数法</w:t>
      </w:r>
    </w:p>
    <w:p>
      <w:pPr>
        <w:ind w:left="960" w:leftChars="400" w:firstLine="0" w:firstLineChars="0"/>
        <w:rPr>
          <w:rFonts w:eastAsia="宋体" w:cs="Times New Roman"/>
          <w:szCs w:val="24"/>
        </w:rPr>
      </w:pPr>
      <w:r>
        <w:rPr>
          <w:rFonts w:eastAsia="宋体" w:cs="Times New Roman"/>
          <w:szCs w:val="24"/>
        </w:rPr>
        <w:t>由生产实践中取得的经验数据，根据生产过程中单位产品的经验排放系数和产品产量计算污染物的排放量，其表达式为</w:t>
      </w:r>
    </w:p>
    <w:p>
      <w:pPr>
        <w:ind w:left="960" w:leftChars="400" w:firstLine="0" w:firstLineChars="0"/>
        <w:rPr>
          <w:rFonts w:eastAsia="宋体" w:cs="Times New Roman"/>
          <w:szCs w:val="24"/>
        </w:rPr>
      </w:pPr>
      <m:oMathPara>
        <m:oMath>
          <m:sSub>
            <m:sSubPr>
              <m:ctrlPr>
                <w:rPr>
                  <w:rFonts w:ascii="Cambria Math" w:hAnsi="Cambria Math" w:eastAsia="宋体" w:cs="Times New Roman"/>
                  <w:szCs w:val="24"/>
                </w:rPr>
              </m:ctrlPr>
            </m:sSubPr>
            <m:e>
              <m:r>
                <m:rPr>
                  <m:sty m:val="p"/>
                </m:rPr>
                <w:rPr>
                  <w:rFonts w:ascii="Cambria Math" w:hAnsi="Cambria Math" w:eastAsia="宋体" w:cs="Times New Roman"/>
                  <w:szCs w:val="24"/>
                </w:rPr>
                <m:t>G</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K</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·W/1000</m:t>
          </m:r>
        </m:oMath>
      </m:oMathPara>
    </w:p>
    <w:p>
      <w:pPr>
        <w:ind w:left="960" w:leftChars="400" w:firstLine="0" w:firstLineChars="0"/>
        <w:rPr>
          <w:rFonts w:eastAsia="宋体" w:cs="Times New Roman"/>
          <w:szCs w:val="24"/>
        </w:rPr>
      </w:pPr>
      <w:r>
        <w:rPr>
          <w:rFonts w:eastAsia="宋体" w:cs="Times New Roman"/>
          <w:szCs w:val="24"/>
        </w:rPr>
        <w:t>式中：G</w:t>
      </w:r>
      <w:r>
        <w:rPr>
          <w:rFonts w:eastAsia="宋体" w:cs="Times New Roman"/>
          <w:szCs w:val="24"/>
          <w:vertAlign w:val="subscript"/>
        </w:rPr>
        <w:t>i</w:t>
      </w:r>
      <w:r>
        <w:rPr>
          <w:rFonts w:eastAsia="宋体" w:cs="Times New Roman"/>
          <w:szCs w:val="24"/>
        </w:rPr>
        <w:t>——某污染物的排放量，t/a；</w:t>
      </w:r>
    </w:p>
    <w:p>
      <w:pPr>
        <w:ind w:left="960" w:leftChars="400" w:firstLine="0" w:firstLineChars="0"/>
        <w:rPr>
          <w:rFonts w:eastAsia="宋体" w:cs="Times New Roman"/>
          <w:szCs w:val="24"/>
        </w:rPr>
      </w:pPr>
      <w:r>
        <w:rPr>
          <w:rFonts w:eastAsia="宋体" w:cs="Times New Roman"/>
          <w:szCs w:val="24"/>
        </w:rPr>
        <w:t>K</w:t>
      </w:r>
      <w:r>
        <w:rPr>
          <w:rFonts w:eastAsia="宋体" w:cs="Times New Roman"/>
          <w:szCs w:val="24"/>
          <w:vertAlign w:val="subscript"/>
        </w:rPr>
        <w:t>i</w:t>
      </w:r>
      <w:r>
        <w:rPr>
          <w:rFonts w:eastAsia="宋体" w:cs="Times New Roman"/>
          <w:szCs w:val="24"/>
        </w:rPr>
        <w:t>——单位产品的经验排放系数，kg/t；</w:t>
      </w:r>
    </w:p>
    <w:p>
      <w:pPr>
        <w:ind w:left="960" w:leftChars="400" w:firstLine="0" w:firstLineChars="0"/>
        <w:rPr>
          <w:rFonts w:eastAsia="宋体" w:cs="Times New Roman"/>
          <w:szCs w:val="24"/>
        </w:rPr>
      </w:pPr>
      <w:r>
        <w:rPr>
          <w:rFonts w:eastAsia="宋体" w:cs="Times New Roman"/>
          <w:szCs w:val="24"/>
        </w:rPr>
        <w:t>W——某产品的年产量，t。</w:t>
      </w:r>
    </w:p>
    <w:p>
      <w:pPr>
        <w:pStyle w:val="60"/>
        <w:numPr>
          <w:ilvl w:val="0"/>
          <w:numId w:val="50"/>
        </w:numPr>
        <w:spacing w:before="156" w:beforeLines="50"/>
        <w:ind w:left="0" w:firstLine="480" w:firstLineChars="200"/>
        <w:jc w:val="both"/>
        <w:rPr>
          <w:rFonts w:cs="Times New Roman"/>
        </w:rPr>
      </w:pPr>
      <w:r>
        <w:rPr>
          <w:rFonts w:cs="Times New Roman"/>
        </w:rPr>
        <w:t>城市径流面源污染负荷</w:t>
      </w:r>
    </w:p>
    <w:p>
      <w:pPr>
        <w:pStyle w:val="60"/>
        <w:numPr>
          <w:ilvl w:val="0"/>
          <w:numId w:val="53"/>
        </w:numPr>
        <w:ind w:left="0" w:firstLine="720" w:firstLineChars="300"/>
        <w:rPr>
          <w:rFonts w:cs="Times New Roman"/>
          <w:szCs w:val="24"/>
        </w:rPr>
      </w:pPr>
      <w:r>
        <w:rPr>
          <w:rFonts w:cs="Times New Roman"/>
          <w:szCs w:val="24"/>
        </w:rPr>
        <w:t>实测法</w:t>
      </w:r>
    </w:p>
    <w:p>
      <w:pPr>
        <w:ind w:left="720" w:leftChars="300" w:firstLine="480"/>
        <w:rPr>
          <w:rFonts w:eastAsia="宋体" w:cs="Times New Roman"/>
          <w:szCs w:val="24"/>
        </w:rPr>
      </w:pPr>
      <w:r>
        <w:rPr>
          <w:rFonts w:eastAsia="宋体" w:cs="Times New Roman"/>
          <w:szCs w:val="24"/>
        </w:rPr>
        <w:t>在不同的城市土地利用类型选取2-3个雨水口，在雨水口处采集进入市政管道之前的雨水径流样品，从而获得能反映地表径流实际污染负荷及其出流特性的水样。对1年内，所有降雨进行监测，自降雨发生后地表产生径流开始采集第一个样品。采样间隔一般为5 min，根据降雨强度和历时变化进行必要调整：短时降雨强度大时，采样时间缩短至3 min；降雨历时长而强度小，采样间隔延长至10-15 min。径流样品用1 L水样瓶收集，同时记录两次采样间的降雨量，降雨量可由雨量站测得，也可由采样点临近排水泵站的自计雨量计获得。</w:t>
      </w:r>
    </w:p>
    <w:p>
      <w:pPr>
        <w:ind w:left="720" w:leftChars="300" w:firstLine="480"/>
        <w:rPr>
          <w:rFonts w:eastAsia="宋体" w:cs="Times New Roman"/>
          <w:szCs w:val="24"/>
        </w:rPr>
      </w:pPr>
      <w:r>
        <w:rPr>
          <w:rFonts w:eastAsia="宋体" w:cs="Times New Roman"/>
          <w:szCs w:val="24"/>
        </w:rPr>
        <w:t>对监测数据进行统计分析，计算得出地表径流污染负荷。计算公式如下：</w:t>
      </w:r>
    </w:p>
    <w:p>
      <w:pPr>
        <w:ind w:left="960" w:leftChars="400" w:firstLine="480"/>
        <w:jc w:val="center"/>
        <w:rPr>
          <w:rFonts w:eastAsia="宋体" w:cs="Times New Roman"/>
          <w:szCs w:val="24"/>
        </w:rPr>
      </w:pPr>
      <m:oMathPara>
        <m:oMath>
          <m:r>
            <m:rPr>
              <m:sty m:val="p"/>
            </m:rPr>
            <w:rPr>
              <w:rFonts w:ascii="Cambria Math" w:hAnsi="Cambria Math" w:eastAsia="宋体" w:cs="Times New Roman"/>
              <w:szCs w:val="24"/>
              <w:lang w:val="zh-CN"/>
            </w:rPr>
            <m:t>W=</m:t>
          </m:r>
          <m:nary>
            <m:naryPr>
              <m:chr m:val="∑"/>
              <m:limLoc m:val="undOvr"/>
              <m:ctrlPr>
                <w:rPr>
                  <w:rFonts w:ascii="Cambria Math" w:hAnsi="Cambria Math" w:eastAsia="宋体" w:cs="Times New Roman"/>
                  <w:szCs w:val="24"/>
                  <w:lang w:val="zh-CN"/>
                </w:rPr>
              </m:ctrlPr>
            </m:naryPr>
            <m:sub>
              <m:r>
                <m:rPr>
                  <m:sty m:val="p"/>
                </m:rPr>
                <w:rPr>
                  <w:rFonts w:ascii="Cambria Math" w:hAnsi="Cambria Math" w:eastAsia="宋体" w:cs="Times New Roman"/>
                  <w:szCs w:val="24"/>
                  <w:lang w:val="zh-CN"/>
                </w:rPr>
                <m:t>i=1, j=1</m:t>
              </m:r>
              <m:ctrlPr>
                <w:rPr>
                  <w:rFonts w:ascii="Cambria Math" w:hAnsi="Cambria Math" w:eastAsia="宋体" w:cs="Times New Roman"/>
                  <w:szCs w:val="24"/>
                  <w:lang w:val="zh-CN"/>
                </w:rPr>
              </m:ctrlPr>
            </m:sub>
            <m:sup>
              <m:r>
                <m:rPr>
                  <m:sty m:val="p"/>
                </m:rPr>
                <w:rPr>
                  <w:rFonts w:ascii="Cambria Math" w:hAnsi="Cambria Math" w:eastAsia="宋体" w:cs="Times New Roman"/>
                  <w:szCs w:val="24"/>
                  <w:lang w:val="zh-CN"/>
                </w:rPr>
                <m:t>m,n</m:t>
              </m:r>
              <m:ctrlPr>
                <w:rPr>
                  <w:rFonts w:ascii="Cambria Math" w:hAnsi="Cambria Math" w:eastAsia="宋体" w:cs="Times New Roman"/>
                  <w:szCs w:val="24"/>
                  <w:lang w:val="zh-CN"/>
                </w:rPr>
              </m:ctrlPr>
            </m:sup>
            <m:e>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c</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ij</m:t>
                  </m:r>
                  <m:ctrlPr>
                    <w:rPr>
                      <w:rFonts w:ascii="Cambria Math" w:hAnsi="Cambria Math" w:eastAsia="宋体" w:cs="Times New Roman"/>
                      <w:szCs w:val="24"/>
                      <w:lang w:val="zh-CN"/>
                    </w:rPr>
                  </m:ctrlPr>
                </m:sub>
              </m:sSub>
              <m:r>
                <m:rPr>
                  <m:sty m:val="p"/>
                </m:rPr>
                <w:rPr>
                  <w:rFonts w:ascii="Cambria Math" w:hAnsi="Cambria Math" w:eastAsia="宋体" w:cs="Times New Roman"/>
                  <w:szCs w:val="24"/>
                  <w:lang w:val="zh-CN"/>
                </w:rPr>
                <m:t>×</m:t>
              </m:r>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H</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ij</m:t>
                  </m:r>
                  <m:ctrlPr>
                    <w:rPr>
                      <w:rFonts w:ascii="Cambria Math" w:hAnsi="Cambria Math" w:eastAsia="宋体" w:cs="Times New Roman"/>
                      <w:szCs w:val="24"/>
                      <w:lang w:val="zh-CN"/>
                    </w:rPr>
                  </m:ctrlPr>
                </m:sub>
              </m:sSub>
              <m:r>
                <m:rPr>
                  <m:sty m:val="p"/>
                </m:rPr>
                <w:rPr>
                  <w:rFonts w:ascii="Cambria Math" w:hAnsi="Cambria Math" w:eastAsia="宋体" w:cs="Times New Roman"/>
                  <w:szCs w:val="24"/>
                  <w:lang w:val="zh-CN"/>
                </w:rPr>
                <m:t>×</m:t>
              </m:r>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A</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j</m:t>
                  </m:r>
                  <m:ctrlPr>
                    <w:rPr>
                      <w:rFonts w:ascii="Cambria Math" w:hAnsi="Cambria Math" w:eastAsia="宋体" w:cs="Times New Roman"/>
                      <w:szCs w:val="24"/>
                      <w:lang w:val="zh-CN"/>
                    </w:rPr>
                  </m:ctrlPr>
                </m:sub>
              </m:sSub>
              <m:r>
                <m:rPr>
                  <m:sty m:val="p"/>
                </m:rPr>
                <w:rPr>
                  <w:rFonts w:ascii="Cambria Math" w:hAnsi="Cambria Math" w:eastAsia="宋体" w:cs="Times New Roman"/>
                  <w:szCs w:val="24"/>
                  <w:lang w:val="zh-CN"/>
                </w:rPr>
                <m:t>×</m:t>
              </m:r>
              <m:sSup>
                <m:sSupPr>
                  <m:ctrlPr>
                    <w:rPr>
                      <w:rFonts w:ascii="Cambria Math" w:hAnsi="Cambria Math" w:eastAsia="宋体" w:cs="Times New Roman"/>
                      <w:szCs w:val="24"/>
                      <w:lang w:val="zh-CN"/>
                    </w:rPr>
                  </m:ctrlPr>
                </m:sSupPr>
                <m:e>
                  <m:r>
                    <m:rPr>
                      <m:sty m:val="p"/>
                    </m:rPr>
                    <w:rPr>
                      <w:rFonts w:ascii="Cambria Math" w:hAnsi="Cambria Math" w:eastAsia="宋体" w:cs="Times New Roman"/>
                      <w:szCs w:val="24"/>
                      <w:lang w:val="zh-CN"/>
                    </w:rPr>
                    <m:t>10</m:t>
                  </m:r>
                  <m:ctrlPr>
                    <w:rPr>
                      <w:rFonts w:ascii="Cambria Math" w:hAnsi="Cambria Math" w:eastAsia="宋体" w:cs="Times New Roman"/>
                      <w:szCs w:val="24"/>
                      <w:lang w:val="zh-CN"/>
                    </w:rPr>
                  </m:ctrlPr>
                </m:e>
                <m:sup>
                  <m:r>
                    <m:rPr>
                      <m:sty m:val="p"/>
                    </m:rPr>
                    <w:rPr>
                      <w:rFonts w:ascii="Cambria Math" w:hAnsi="Cambria Math" w:eastAsia="宋体" w:cs="Times New Roman"/>
                      <w:szCs w:val="24"/>
                      <w:lang w:val="zh-CN"/>
                    </w:rPr>
                    <m:t>-3</m:t>
                  </m:r>
                  <m:ctrlPr>
                    <w:rPr>
                      <w:rFonts w:ascii="Cambria Math" w:hAnsi="Cambria Math" w:eastAsia="宋体" w:cs="Times New Roman"/>
                      <w:szCs w:val="24"/>
                      <w:lang w:val="zh-CN"/>
                    </w:rPr>
                  </m:ctrlPr>
                </m:sup>
              </m:sSup>
              <m:ctrlPr>
                <w:rPr>
                  <w:rFonts w:ascii="Cambria Math" w:hAnsi="Cambria Math" w:eastAsia="宋体" w:cs="Times New Roman"/>
                  <w:szCs w:val="24"/>
                  <w:lang w:val="zh-CN"/>
                </w:rPr>
              </m:ctrlPr>
            </m:e>
          </m:nary>
        </m:oMath>
      </m:oMathPara>
    </w:p>
    <w:p>
      <w:pPr>
        <w:ind w:left="720" w:leftChars="300" w:firstLine="480"/>
        <w:rPr>
          <w:rFonts w:eastAsia="宋体" w:cs="Times New Roman"/>
          <w:szCs w:val="24"/>
        </w:rPr>
      </w:pPr>
      <w:r>
        <w:rPr>
          <w:rFonts w:eastAsia="宋体" w:cs="Times New Roman"/>
          <w:szCs w:val="24"/>
        </w:rPr>
        <w:t>式中：W——地表径流污染负荷，t/a；</w:t>
      </w:r>
    </w:p>
    <w:p>
      <w:pPr>
        <w:ind w:left="1200" w:leftChars="500" w:firstLine="720" w:firstLineChars="300"/>
        <w:rPr>
          <w:rFonts w:eastAsia="宋体" w:cs="Times New Roman"/>
          <w:szCs w:val="24"/>
        </w:rPr>
      </w:pPr>
      <w:r>
        <w:rPr>
          <w:rFonts w:eastAsia="宋体" w:cs="Times New Roman"/>
          <w:szCs w:val="24"/>
        </w:rPr>
        <w:t>c</w:t>
      </w:r>
      <w:r>
        <w:rPr>
          <w:rFonts w:eastAsia="宋体" w:cs="Times New Roman"/>
          <w:szCs w:val="24"/>
          <w:vertAlign w:val="subscript"/>
        </w:rPr>
        <w:t>ij</w:t>
      </w:r>
      <w:r>
        <w:rPr>
          <w:rFonts w:eastAsia="宋体" w:cs="Times New Roman"/>
          <w:szCs w:val="24"/>
        </w:rPr>
        <w:t>——第i场降雨第j种城市土地利用类型产生的地表径流的水质，mg/L；</w:t>
      </w:r>
    </w:p>
    <w:p>
      <w:pPr>
        <w:ind w:left="1200" w:leftChars="500" w:firstLine="720" w:firstLineChars="300"/>
        <w:rPr>
          <w:rFonts w:eastAsia="宋体" w:cs="Times New Roman"/>
          <w:szCs w:val="24"/>
        </w:rPr>
      </w:pPr>
      <w:r>
        <w:rPr>
          <w:rFonts w:eastAsia="宋体" w:cs="Times New Roman"/>
          <w:szCs w:val="24"/>
        </w:rPr>
        <w:t>H</w:t>
      </w:r>
      <w:r>
        <w:rPr>
          <w:rFonts w:eastAsia="宋体" w:cs="Times New Roman"/>
          <w:szCs w:val="24"/>
          <w:vertAlign w:val="subscript"/>
        </w:rPr>
        <w:t>ij</w:t>
      </w:r>
      <w:r>
        <w:rPr>
          <w:rFonts w:eastAsia="宋体" w:cs="Times New Roman"/>
          <w:szCs w:val="24"/>
        </w:rPr>
        <w:t>——第i场降雨第j种城市土地利用类型降雨量，mm；</w:t>
      </w:r>
    </w:p>
    <w:p>
      <w:pPr>
        <w:ind w:left="1200" w:leftChars="500" w:firstLine="720" w:firstLineChars="300"/>
        <w:rPr>
          <w:rFonts w:eastAsia="宋体" w:cs="Times New Roman"/>
          <w:szCs w:val="24"/>
        </w:rPr>
      </w:pPr>
      <w:r>
        <w:rPr>
          <w:rFonts w:eastAsia="宋体" w:cs="Times New Roman"/>
          <w:szCs w:val="24"/>
        </w:rPr>
        <w:t>A</w:t>
      </w:r>
      <w:r>
        <w:rPr>
          <w:rFonts w:eastAsia="宋体" w:cs="Times New Roman"/>
          <w:szCs w:val="24"/>
          <w:vertAlign w:val="subscript"/>
        </w:rPr>
        <w:t>j</w:t>
      </w:r>
      <w:r>
        <w:rPr>
          <w:rFonts w:eastAsia="宋体" w:cs="Times New Roman"/>
          <w:szCs w:val="24"/>
        </w:rPr>
        <w:t>——第j种城市土地利用类型面积，km</w:t>
      </w:r>
      <w:r>
        <w:rPr>
          <w:rFonts w:eastAsia="宋体" w:cs="Times New Roman"/>
          <w:szCs w:val="24"/>
          <w:vertAlign w:val="superscript"/>
        </w:rPr>
        <w:t>2</w:t>
      </w:r>
      <w:r>
        <w:rPr>
          <w:rFonts w:eastAsia="宋体" w:cs="Times New Roman"/>
          <w:szCs w:val="24"/>
        </w:rPr>
        <w:t>；</w:t>
      </w:r>
    </w:p>
    <w:p>
      <w:pPr>
        <w:ind w:left="1200" w:leftChars="500" w:firstLine="720" w:firstLineChars="300"/>
        <w:rPr>
          <w:rFonts w:eastAsia="宋体" w:cs="Times New Roman"/>
          <w:szCs w:val="24"/>
        </w:rPr>
      </w:pPr>
      <w:r>
        <w:rPr>
          <w:rFonts w:eastAsia="宋体" w:cs="Times New Roman"/>
          <w:szCs w:val="24"/>
        </w:rPr>
        <w:t>m——调查范围1年内降雨场数；</w:t>
      </w:r>
    </w:p>
    <w:p>
      <w:pPr>
        <w:ind w:left="1200" w:leftChars="500" w:firstLine="720" w:firstLineChars="300"/>
        <w:rPr>
          <w:rFonts w:eastAsia="宋体" w:cs="Times New Roman"/>
          <w:szCs w:val="24"/>
        </w:rPr>
      </w:pPr>
      <w:r>
        <w:rPr>
          <w:rFonts w:eastAsia="宋体" w:cs="Times New Roman"/>
          <w:szCs w:val="24"/>
        </w:rPr>
        <w:t>n——调查范围城市土地利用类型数。</w:t>
      </w:r>
    </w:p>
    <w:p>
      <w:pPr>
        <w:ind w:left="720" w:leftChars="300" w:firstLine="480"/>
        <w:rPr>
          <w:rFonts w:eastAsia="宋体" w:cs="Times New Roman"/>
          <w:szCs w:val="24"/>
        </w:rPr>
      </w:pPr>
      <w:r>
        <w:rPr>
          <w:rFonts w:eastAsia="宋体" w:cs="Times New Roman"/>
          <w:szCs w:val="24"/>
        </w:rPr>
        <w:t>其中，cij为同一城市土地利用类型多个监测点位的水质平均值。</w:t>
      </w:r>
    </w:p>
    <w:p>
      <w:pPr>
        <w:pStyle w:val="60"/>
        <w:numPr>
          <w:ilvl w:val="0"/>
          <w:numId w:val="53"/>
        </w:numPr>
        <w:ind w:left="0" w:firstLine="720" w:firstLineChars="300"/>
        <w:rPr>
          <w:rFonts w:cs="Times New Roman"/>
          <w:szCs w:val="24"/>
        </w:rPr>
      </w:pPr>
      <w:r>
        <w:rPr>
          <w:rFonts w:cs="Times New Roman"/>
          <w:szCs w:val="24"/>
        </w:rPr>
        <w:t>单位负荷法</w:t>
      </w:r>
    </w:p>
    <w:p>
      <w:pPr>
        <w:ind w:left="720" w:leftChars="300" w:firstLine="480"/>
        <w:rPr>
          <w:rFonts w:eastAsia="宋体" w:cs="Times New Roman"/>
          <w:szCs w:val="24"/>
        </w:rPr>
      </w:pPr>
      <w:r>
        <w:rPr>
          <w:rFonts w:eastAsia="宋体" w:cs="Times New Roman"/>
          <w:szCs w:val="24"/>
        </w:rPr>
        <w:t>按各种土地利用类型，分别计算单位面积、单位时间所产生的污染负荷，然后再求得总的污染负荷量。计算公式如下：</w:t>
      </w:r>
    </w:p>
    <w:p>
      <w:pPr>
        <w:ind w:left="960" w:leftChars="400" w:firstLine="480"/>
        <w:rPr>
          <w:rFonts w:eastAsia="宋体" w:cs="Times New Roman"/>
          <w:szCs w:val="24"/>
        </w:rPr>
      </w:pPr>
      <m:oMathPara>
        <m:oMath>
          <m:r>
            <m:rPr>
              <m:sty m:val="p"/>
            </m:rPr>
            <w:rPr>
              <w:rFonts w:ascii="Cambria Math" w:hAnsi="Cambria Math" w:eastAsia="宋体" w:cs="Times New Roman"/>
              <w:szCs w:val="24"/>
            </w:rPr>
            <m:t>W=</m:t>
          </m:r>
          <m:sSup>
            <m:sSupPr>
              <m:ctrlPr>
                <w:rPr>
                  <w:rFonts w:ascii="Cambria Math" w:hAnsi="Cambria Math" w:eastAsia="宋体" w:cs="Times New Roman"/>
                  <w:szCs w:val="24"/>
                </w:rPr>
              </m:ctrlPr>
            </m:sSupPr>
            <m:e>
              <m:r>
                <m:rPr>
                  <m:sty m:val="p"/>
                </m:rPr>
                <w:rPr>
                  <w:rFonts w:hint="eastAsia" w:ascii="Cambria Math" w:hAnsi="Cambria Math" w:eastAsia="宋体" w:cs="Times New Roman"/>
                  <w:szCs w:val="24"/>
                </w:rPr>
                <m:t>10</m:t>
              </m:r>
              <m:ctrlPr>
                <w:rPr>
                  <w:rFonts w:ascii="Cambria Math" w:hAnsi="Cambria Math" w:eastAsia="宋体" w:cs="Times New Roman"/>
                  <w:szCs w:val="24"/>
                </w:rPr>
              </m:ctrlPr>
            </m:e>
            <m:sup>
              <m:r>
                <m:rPr>
                  <m:sty m:val="p"/>
                </m:rPr>
                <w:rPr>
                  <w:rFonts w:hint="eastAsia" w:eastAsia="宋体" w:cs="Times New Roman"/>
                  <w:szCs w:val="24"/>
                </w:rPr>
                <m:t>-</m:t>
              </m:r>
              <m:r>
                <m:rPr>
                  <m:sty m:val="p"/>
                </m:rPr>
                <w:rPr>
                  <w:rFonts w:hint="eastAsia" w:ascii="Cambria Math" w:hAnsi="Cambria Math" w:eastAsia="宋体" w:cs="Times New Roman"/>
                  <w:szCs w:val="24"/>
                </w:rPr>
                <m:t>3</m:t>
              </m:r>
              <m:ctrlPr>
                <w:rPr>
                  <w:rFonts w:ascii="Cambria Math" w:hAnsi="Cambria Math" w:eastAsia="宋体" w:cs="Times New Roman"/>
                  <w:szCs w:val="24"/>
                </w:rPr>
              </m:ctrlPr>
            </m:sup>
          </m:sSup>
          <m:r>
            <m:rPr>
              <m:sty m:val="p"/>
            </m:rPr>
            <w:rPr>
              <w:rFonts w:ascii="Cambria Math" w:hAnsi="Cambria Math" w:eastAsia="宋体" w:cs="Times New Roman"/>
              <w:szCs w:val="24"/>
            </w:rPr>
            <m:t>×</m:t>
          </m:r>
          <m:nary>
            <m:naryPr>
              <m:chr m:val="∑"/>
              <m:limLoc m:val="undOvr"/>
              <m:ctrlPr>
                <w:rPr>
                  <w:rFonts w:ascii="Cambria Math" w:hAnsi="Cambria Math" w:eastAsia="宋体" w:cs="Times New Roman"/>
                  <w:szCs w:val="24"/>
                </w:rPr>
              </m:ctrlPr>
            </m:naryPr>
            <m:sub>
              <m:r>
                <m:rPr>
                  <m:sty m:val="p"/>
                </m:rPr>
                <w:rPr>
                  <w:rFonts w:ascii="Cambria Math" w:hAnsi="Cambria Math" w:eastAsia="宋体" w:cs="Times New Roman"/>
                  <w:szCs w:val="24"/>
                </w:rPr>
                <m:t>i=1</m:t>
              </m:r>
              <m:ctrlPr>
                <w:rPr>
                  <w:rFonts w:ascii="Cambria Math" w:hAnsi="Cambria Math" w:eastAsia="宋体" w:cs="Times New Roman"/>
                  <w:szCs w:val="24"/>
                </w:rPr>
              </m:ctrlPr>
            </m:sub>
            <m:sup>
              <m:r>
                <m:rPr>
                  <m:sty m:val="p"/>
                </m:rPr>
                <w:rPr>
                  <w:rFonts w:ascii="Cambria Math" w:hAnsi="Cambria Math" w:eastAsia="宋体" w:cs="Times New Roman"/>
                  <w:szCs w:val="24"/>
                </w:rPr>
                <m:t>n</m:t>
              </m:r>
              <m:ctrlPr>
                <w:rPr>
                  <w:rFonts w:ascii="Cambria Math" w:hAnsi="Cambria Math" w:eastAsia="宋体" w:cs="Times New Roman"/>
                  <w:szCs w:val="24"/>
                </w:rPr>
              </m:ctrlPr>
            </m:sup>
            <m:e>
              <m:sSub>
                <m:sSubPr>
                  <m:ctrlPr>
                    <w:rPr>
                      <w:rFonts w:ascii="Cambria Math" w:hAnsi="Cambria Math" w:eastAsia="宋体" w:cs="Times New Roman"/>
                      <w:szCs w:val="24"/>
                    </w:rPr>
                  </m:ctrlPr>
                </m:sSubPr>
                <m:e>
                  <m:r>
                    <m:rPr>
                      <m:sty m:val="p"/>
                    </m:rPr>
                    <w:rPr>
                      <w:rFonts w:ascii="Cambria Math" w:hAnsi="Cambria Math" w:eastAsia="宋体" w:cs="Times New Roman"/>
                      <w:szCs w:val="24"/>
                    </w:rPr>
                    <m:t>L</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ctrlPr>
                <w:rPr>
                  <w:rFonts w:ascii="Cambria Math" w:hAnsi="Cambria Math" w:eastAsia="宋体" w:cs="Times New Roman"/>
                  <w:szCs w:val="24"/>
                </w:rPr>
              </m:ctrlPr>
            </m:e>
          </m:nary>
          <m:r>
            <m:rPr>
              <m:sty m:val="p"/>
            </m:rPr>
            <w:rPr>
              <w:rFonts w:ascii="Cambria Math" w:hAnsi="Cambria Math" w:eastAsia="宋体" w:cs="Times New Roman"/>
              <w:szCs w:val="24"/>
            </w:rPr>
            <m:t>=</m:t>
          </m:r>
          <m:sSup>
            <m:sSupPr>
              <m:ctrlPr>
                <w:rPr>
                  <w:rFonts w:ascii="Cambria Math" w:hAnsi="Cambria Math" w:eastAsia="宋体" w:cs="Times New Roman"/>
                  <w:szCs w:val="24"/>
                </w:rPr>
              </m:ctrlPr>
            </m:sSupPr>
            <m:e>
              <m:r>
                <m:rPr>
                  <m:sty m:val="p"/>
                </m:rPr>
                <w:rPr>
                  <w:rFonts w:hint="eastAsia" w:ascii="Cambria Math" w:hAnsi="Cambria Math" w:eastAsia="宋体" w:cs="Times New Roman"/>
                  <w:szCs w:val="24"/>
                </w:rPr>
                <m:t>10</m:t>
              </m:r>
              <m:ctrlPr>
                <w:rPr>
                  <w:rFonts w:ascii="Cambria Math" w:hAnsi="Cambria Math" w:eastAsia="宋体" w:cs="Times New Roman"/>
                  <w:szCs w:val="24"/>
                </w:rPr>
              </m:ctrlPr>
            </m:e>
            <m:sup>
              <m:r>
                <m:rPr>
                  <m:sty m:val="p"/>
                </m:rPr>
                <w:rPr>
                  <w:rFonts w:hint="eastAsia" w:eastAsia="宋体" w:cs="Times New Roman"/>
                  <w:szCs w:val="24"/>
                </w:rPr>
                <m:t>-</m:t>
              </m:r>
              <m:r>
                <m:rPr>
                  <m:sty m:val="p"/>
                </m:rPr>
                <w:rPr>
                  <w:rFonts w:hint="eastAsia" w:ascii="Cambria Math" w:hAnsi="Cambria Math" w:eastAsia="宋体" w:cs="Times New Roman"/>
                  <w:szCs w:val="24"/>
                </w:rPr>
                <m:t>3</m:t>
              </m:r>
              <m:ctrlPr>
                <w:rPr>
                  <w:rFonts w:ascii="Cambria Math" w:hAnsi="Cambria Math" w:eastAsia="宋体" w:cs="Times New Roman"/>
                  <w:szCs w:val="24"/>
                </w:rPr>
              </m:ctrlPr>
            </m:sup>
          </m:sSup>
          <m:r>
            <m:rPr>
              <m:sty m:val="p"/>
            </m:rPr>
            <w:rPr>
              <w:rFonts w:ascii="Cambria Math" w:hAnsi="Cambria Math" w:eastAsia="宋体" w:cs="Times New Roman"/>
              <w:szCs w:val="24"/>
            </w:rPr>
            <m:t>×</m:t>
          </m:r>
          <m:nary>
            <m:naryPr>
              <m:chr m:val="∑"/>
              <m:limLoc m:val="undOvr"/>
              <m:ctrlPr>
                <w:rPr>
                  <w:rFonts w:ascii="Cambria Math" w:hAnsi="Cambria Math" w:eastAsia="宋体" w:cs="Times New Roman"/>
                  <w:szCs w:val="24"/>
                </w:rPr>
              </m:ctrlPr>
            </m:naryPr>
            <m:sub>
              <m:r>
                <m:rPr>
                  <m:sty m:val="p"/>
                </m:rPr>
                <w:rPr>
                  <w:rFonts w:ascii="Cambria Math" w:hAnsi="Cambria Math" w:eastAsia="宋体" w:cs="Times New Roman"/>
                  <w:szCs w:val="24"/>
                </w:rPr>
                <m:t>i=1</m:t>
              </m:r>
              <m:ctrlPr>
                <w:rPr>
                  <w:rFonts w:ascii="Cambria Math" w:hAnsi="Cambria Math" w:eastAsia="宋体" w:cs="Times New Roman"/>
                  <w:szCs w:val="24"/>
                </w:rPr>
              </m:ctrlPr>
            </m:sub>
            <m:sup>
              <m:r>
                <m:rPr>
                  <m:sty m:val="p"/>
                </m:rPr>
                <w:rPr>
                  <w:rFonts w:ascii="Cambria Math" w:hAnsi="Cambria Math" w:eastAsia="宋体" w:cs="Times New Roman"/>
                  <w:szCs w:val="24"/>
                </w:rPr>
                <m:t>n</m:t>
              </m:r>
              <m:ctrlPr>
                <w:rPr>
                  <w:rFonts w:ascii="Cambria Math" w:hAnsi="Cambria Math" w:eastAsia="宋体" w:cs="Times New Roman"/>
                  <w:szCs w:val="24"/>
                </w:rPr>
              </m:ctrlPr>
            </m:sup>
            <m:e>
              <m:sSub>
                <m:sSubPr>
                  <m:ctrlPr>
                    <w:rPr>
                      <w:rFonts w:ascii="Cambria Math" w:hAnsi="Cambria Math" w:eastAsia="宋体" w:cs="Times New Roman"/>
                      <w:szCs w:val="24"/>
                    </w:rPr>
                  </m:ctrlPr>
                </m:sSubPr>
                <m:e>
                  <m:r>
                    <m:rPr>
                      <m:sty m:val="p"/>
                    </m:rPr>
                    <w:rPr>
                      <w:rFonts w:ascii="Cambria Math" w:hAnsi="Cambria Math" w:eastAsia="宋体" w:cs="Times New Roman"/>
                      <w:szCs w:val="24"/>
                    </w:rPr>
                    <m:t>A</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X</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ctrlPr>
                <w:rPr>
                  <w:rFonts w:ascii="Cambria Math" w:hAnsi="Cambria Math" w:eastAsia="宋体" w:cs="Times New Roman"/>
                  <w:szCs w:val="24"/>
                </w:rPr>
              </m:ctrlPr>
            </m:e>
          </m:nary>
        </m:oMath>
      </m:oMathPara>
    </w:p>
    <w:p>
      <w:pPr>
        <w:ind w:left="720" w:leftChars="300" w:firstLine="480"/>
        <w:rPr>
          <w:rFonts w:eastAsia="宋体" w:cs="Times New Roman"/>
          <w:szCs w:val="24"/>
        </w:rPr>
      </w:pPr>
      <w:r>
        <w:rPr>
          <w:rFonts w:eastAsia="宋体" w:cs="Times New Roman"/>
          <w:szCs w:val="24"/>
        </w:rPr>
        <w:t>式中：W——城镇地表径流污染负荷，t/a；</w:t>
      </w:r>
    </w:p>
    <w:p>
      <w:pPr>
        <w:ind w:left="720" w:leftChars="300" w:firstLine="1200" w:firstLineChars="500"/>
        <w:rPr>
          <w:rFonts w:eastAsia="宋体" w:cs="Times New Roman"/>
          <w:szCs w:val="24"/>
        </w:rPr>
      </w:pPr>
      <w:r>
        <w:rPr>
          <w:rFonts w:eastAsia="宋体" w:cs="Times New Roman"/>
          <w:szCs w:val="24"/>
        </w:rPr>
        <w:t>L</w:t>
      </w:r>
      <w:r>
        <w:rPr>
          <w:rFonts w:eastAsia="宋体" w:cs="Times New Roman"/>
          <w:szCs w:val="24"/>
          <w:vertAlign w:val="subscript"/>
        </w:rPr>
        <w:t>i</w:t>
      </w:r>
      <w:r>
        <w:rPr>
          <w:rFonts w:eastAsia="宋体" w:cs="Times New Roman"/>
          <w:szCs w:val="24"/>
        </w:rPr>
        <w:t>——</w:t>
      </w:r>
      <w:r>
        <w:rPr>
          <w:rFonts w:hint="eastAsia" w:eastAsia="宋体" w:cs="Times New Roman"/>
          <w:szCs w:val="24"/>
        </w:rPr>
        <w:t>第</w:t>
      </w:r>
      <w:r>
        <w:rPr>
          <w:rFonts w:eastAsia="宋体" w:cs="Times New Roman"/>
          <w:szCs w:val="24"/>
        </w:rPr>
        <w:t>i种土地类型污染负荷量，kg/a；</w:t>
      </w:r>
    </w:p>
    <w:p>
      <w:pPr>
        <w:ind w:left="720" w:leftChars="300" w:firstLine="1200" w:firstLineChars="500"/>
        <w:rPr>
          <w:rFonts w:eastAsia="宋体" w:cs="Times New Roman"/>
          <w:szCs w:val="24"/>
        </w:rPr>
      </w:pPr>
      <w:r>
        <w:rPr>
          <w:rFonts w:eastAsia="宋体" w:cs="Times New Roman"/>
          <w:szCs w:val="24"/>
        </w:rPr>
        <w:t>A</w:t>
      </w:r>
      <w:r>
        <w:rPr>
          <w:rFonts w:eastAsia="宋体" w:cs="Times New Roman"/>
          <w:szCs w:val="24"/>
          <w:vertAlign w:val="subscript"/>
        </w:rPr>
        <w:t>i</w:t>
      </w:r>
      <w:r>
        <w:rPr>
          <w:rFonts w:eastAsia="宋体" w:cs="Times New Roman"/>
          <w:szCs w:val="24"/>
        </w:rPr>
        <w:t>——第i种土地类型的总面积，km2；</w:t>
      </w:r>
    </w:p>
    <w:p>
      <w:pPr>
        <w:ind w:left="720" w:leftChars="300" w:firstLine="1200" w:firstLineChars="500"/>
        <w:rPr>
          <w:rFonts w:eastAsia="宋体" w:cs="Times New Roman"/>
          <w:szCs w:val="24"/>
        </w:rPr>
      </w:pPr>
      <w:r>
        <w:rPr>
          <w:rFonts w:eastAsia="宋体" w:cs="Times New Roman"/>
          <w:szCs w:val="24"/>
        </w:rPr>
        <w:t>X</w:t>
      </w:r>
      <w:r>
        <w:rPr>
          <w:rFonts w:eastAsia="宋体" w:cs="Times New Roman"/>
          <w:szCs w:val="24"/>
          <w:vertAlign w:val="subscript"/>
        </w:rPr>
        <w:t>i</w:t>
      </w:r>
      <w:r>
        <w:rPr>
          <w:rFonts w:eastAsia="宋体" w:cs="Times New Roman"/>
          <w:szCs w:val="24"/>
        </w:rPr>
        <w:t>——第i种土地类型单位负荷，kg/(km2·a)；</w:t>
      </w:r>
    </w:p>
    <w:p>
      <w:pPr>
        <w:ind w:left="720" w:leftChars="300" w:firstLine="1200" w:firstLineChars="500"/>
        <w:rPr>
          <w:rFonts w:eastAsia="宋体" w:cs="Times New Roman"/>
          <w:szCs w:val="24"/>
        </w:rPr>
      </w:pPr>
      <w:r>
        <w:rPr>
          <w:rFonts w:eastAsia="宋体" w:cs="Times New Roman"/>
          <w:szCs w:val="24"/>
        </w:rPr>
        <w:t>n——土地类型个数。</w:t>
      </w:r>
    </w:p>
    <w:p>
      <w:pPr>
        <w:ind w:left="720" w:leftChars="300" w:firstLine="480"/>
        <w:rPr>
          <w:rFonts w:eastAsia="宋体" w:cs="Times New Roman"/>
          <w:szCs w:val="24"/>
        </w:rPr>
      </w:pPr>
      <w:r>
        <w:rPr>
          <w:rFonts w:eastAsia="宋体" w:cs="Times New Roman"/>
          <w:szCs w:val="24"/>
        </w:rPr>
        <w:t>其中，X</w:t>
      </w:r>
      <w:r>
        <w:rPr>
          <w:rFonts w:eastAsia="宋体" w:cs="Times New Roman"/>
          <w:szCs w:val="24"/>
          <w:vertAlign w:val="subscript"/>
        </w:rPr>
        <w:t>i</w:t>
      </w:r>
      <w:r>
        <w:rPr>
          <w:rFonts w:eastAsia="宋体" w:cs="Times New Roman"/>
          <w:szCs w:val="24"/>
        </w:rPr>
        <w:t>的计算公式为：</w:t>
      </w:r>
    </w:p>
    <w:p>
      <w:pPr>
        <w:ind w:left="960" w:leftChars="400" w:firstLine="480"/>
        <w:rPr>
          <w:rFonts w:eastAsia="宋体" w:cs="Times New Roman"/>
          <w:szCs w:val="24"/>
        </w:rPr>
      </w:pPr>
      <m:oMathPara>
        <m:oMath>
          <m:sSub>
            <m:sSubPr>
              <m:ctrlPr>
                <w:rPr>
                  <w:rFonts w:ascii="Cambria Math" w:hAnsi="Cambria Math" w:eastAsia="宋体" w:cs="Times New Roman"/>
                  <w:szCs w:val="24"/>
                </w:rPr>
              </m:ctrlPr>
            </m:sSubPr>
            <m:e>
              <m:r>
                <m:rPr>
                  <m:sty m:val="p"/>
                </m:rPr>
                <w:rPr>
                  <w:rFonts w:ascii="Cambria Math" w:hAnsi="Cambria Math" w:eastAsia="宋体" w:cs="Times New Roman"/>
                  <w:szCs w:val="24"/>
                </w:rPr>
                <m:t>X</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α</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F</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γ</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r>
            <m:rPr>
              <m:sty m:val="p"/>
            </m:rPr>
            <w:rPr>
              <w:rFonts w:ascii="Cambria Math" w:hAnsi="Cambria Math" w:eastAsia="宋体" w:cs="Times New Roman"/>
              <w:szCs w:val="24"/>
            </w:rPr>
            <m:t>×</m:t>
          </m:r>
          <m:sSub>
            <m:sSubPr>
              <m:ctrlPr>
                <w:rPr>
                  <w:rFonts w:ascii="Cambria Math" w:hAnsi="Cambria Math" w:eastAsia="宋体" w:cs="Times New Roman"/>
                  <w:szCs w:val="24"/>
                </w:rPr>
              </m:ctrlPr>
            </m:sSubPr>
            <m:e>
              <m:r>
                <m:rPr>
                  <m:sty m:val="p"/>
                </m:rPr>
                <w:rPr>
                  <w:rFonts w:ascii="Cambria Math" w:hAnsi="Cambria Math" w:eastAsia="宋体" w:cs="Times New Roman"/>
                  <w:szCs w:val="24"/>
                </w:rPr>
                <m:t>P</m:t>
              </m:r>
              <m:ctrlPr>
                <w:rPr>
                  <w:rFonts w:ascii="Cambria Math" w:hAnsi="Cambria Math" w:eastAsia="宋体" w:cs="Times New Roman"/>
                  <w:szCs w:val="24"/>
                </w:rPr>
              </m:ctrlPr>
            </m:e>
            <m:sub>
              <m:r>
                <m:rPr>
                  <m:sty m:val="p"/>
                </m:rPr>
                <w:rPr>
                  <w:rFonts w:ascii="Cambria Math" w:hAnsi="Cambria Math" w:eastAsia="宋体" w:cs="Times New Roman"/>
                  <w:szCs w:val="24"/>
                </w:rPr>
                <m:t>i</m:t>
              </m:r>
              <m:ctrlPr>
                <w:rPr>
                  <w:rFonts w:ascii="Cambria Math" w:hAnsi="Cambria Math" w:eastAsia="宋体" w:cs="Times New Roman"/>
                  <w:szCs w:val="24"/>
                </w:rPr>
              </m:ctrlPr>
            </m:sub>
          </m:sSub>
        </m:oMath>
      </m:oMathPara>
    </w:p>
    <w:p>
      <w:pPr>
        <w:ind w:left="720" w:leftChars="300" w:firstLine="480"/>
        <w:rPr>
          <w:rFonts w:eastAsia="宋体" w:cs="Times New Roman"/>
          <w:szCs w:val="24"/>
        </w:rPr>
      </w:pPr>
      <w:r>
        <w:rPr>
          <w:rFonts w:eastAsia="宋体" w:cs="Times New Roman"/>
          <w:szCs w:val="24"/>
        </w:rPr>
        <w:t>式中：α</w:t>
      </w:r>
      <w:r>
        <w:rPr>
          <w:rFonts w:eastAsia="宋体" w:cs="Times New Roman"/>
          <w:szCs w:val="24"/>
          <w:vertAlign w:val="subscript"/>
        </w:rPr>
        <w:t>i</w:t>
      </w:r>
      <w:r>
        <w:rPr>
          <w:rFonts w:eastAsia="宋体" w:cs="Times New Roman"/>
          <w:szCs w:val="24"/>
        </w:rPr>
        <w:t>——污染物浓度参数，kg/（cm·km2）；</w:t>
      </w:r>
    </w:p>
    <w:p>
      <w:pPr>
        <w:ind w:left="720" w:leftChars="300" w:firstLine="1200" w:firstLineChars="500"/>
        <w:rPr>
          <w:rFonts w:eastAsia="宋体" w:cs="Times New Roman"/>
          <w:szCs w:val="24"/>
        </w:rPr>
      </w:pPr>
      <w:r>
        <w:rPr>
          <w:rFonts w:eastAsia="宋体" w:cs="Times New Roman"/>
          <w:szCs w:val="24"/>
        </w:rPr>
        <w:t>F</w:t>
      </w:r>
      <w:r>
        <w:rPr>
          <w:rFonts w:eastAsia="宋体" w:cs="Times New Roman"/>
          <w:szCs w:val="24"/>
          <w:vertAlign w:val="subscript"/>
        </w:rPr>
        <w:t>i</w:t>
      </w:r>
      <w:r>
        <w:rPr>
          <w:rFonts w:eastAsia="宋体" w:cs="Times New Roman"/>
          <w:szCs w:val="24"/>
        </w:rPr>
        <w:t>——人口密度参数；</w:t>
      </w:r>
    </w:p>
    <w:p>
      <w:pPr>
        <w:ind w:left="720" w:leftChars="300" w:firstLine="1200" w:firstLineChars="500"/>
        <w:rPr>
          <w:rFonts w:eastAsia="宋体" w:cs="Times New Roman"/>
          <w:szCs w:val="24"/>
        </w:rPr>
      </w:pPr>
      <w:r>
        <w:rPr>
          <w:rFonts w:eastAsia="宋体" w:cs="Times New Roman"/>
          <w:szCs w:val="24"/>
        </w:rPr>
        <w:t>γ</w:t>
      </w:r>
      <w:r>
        <w:rPr>
          <w:rFonts w:eastAsia="宋体" w:cs="Times New Roman"/>
          <w:szCs w:val="24"/>
          <w:vertAlign w:val="subscript"/>
        </w:rPr>
        <w:t>i</w:t>
      </w:r>
      <w:r>
        <w:rPr>
          <w:rFonts w:eastAsia="宋体" w:cs="Times New Roman"/>
          <w:szCs w:val="24"/>
        </w:rPr>
        <w:t>——地面清扫频率参数；</w:t>
      </w:r>
    </w:p>
    <w:p>
      <w:pPr>
        <w:ind w:left="720" w:leftChars="300" w:firstLine="1200" w:firstLineChars="500"/>
        <w:rPr>
          <w:rFonts w:eastAsia="宋体" w:cs="Times New Roman"/>
          <w:szCs w:val="24"/>
        </w:rPr>
      </w:pPr>
      <w:r>
        <w:rPr>
          <w:rFonts w:eastAsia="宋体" w:cs="Times New Roman"/>
          <w:szCs w:val="24"/>
        </w:rPr>
        <w:t>P</w:t>
      </w:r>
      <w:r>
        <w:rPr>
          <w:rFonts w:eastAsia="宋体" w:cs="Times New Roman"/>
          <w:szCs w:val="24"/>
          <w:vertAlign w:val="subscript"/>
        </w:rPr>
        <w:t>i</w:t>
      </w:r>
      <w:r>
        <w:rPr>
          <w:rFonts w:eastAsia="宋体" w:cs="Times New Roman"/>
          <w:szCs w:val="24"/>
        </w:rPr>
        <w:t>——年降水量，cm/a。</w:t>
      </w:r>
    </w:p>
    <w:p>
      <w:pPr>
        <w:ind w:left="720" w:leftChars="300" w:firstLine="480"/>
        <w:rPr>
          <w:rFonts w:eastAsia="宋体" w:cs="Times New Roman"/>
          <w:szCs w:val="24"/>
        </w:rPr>
      </w:pPr>
      <w:r>
        <w:rPr>
          <w:rFonts w:eastAsia="宋体" w:cs="Times New Roman"/>
          <w:szCs w:val="24"/>
        </w:rPr>
        <w:t>其中，当清扫间隔Ns＜20 h时，γ</w:t>
      </w:r>
      <w:r>
        <w:rPr>
          <w:rFonts w:eastAsia="宋体" w:cs="Times New Roman"/>
          <w:szCs w:val="24"/>
          <w:vertAlign w:val="subscript"/>
        </w:rPr>
        <w:t>i</w:t>
      </w:r>
      <w:r>
        <w:rPr>
          <w:rFonts w:eastAsia="宋体" w:cs="Times New Roman"/>
          <w:szCs w:val="24"/>
        </w:rPr>
        <w:t>=Ns/20；当清扫间隔Ns≥20 h时，γ</w:t>
      </w:r>
      <w:r>
        <w:rPr>
          <w:rFonts w:eastAsia="宋体" w:cs="Times New Roman"/>
          <w:szCs w:val="24"/>
          <w:vertAlign w:val="subscript"/>
        </w:rPr>
        <w:t>i</w:t>
      </w:r>
      <w:r>
        <w:rPr>
          <w:rFonts w:eastAsia="宋体" w:cs="Times New Roman"/>
          <w:szCs w:val="24"/>
        </w:rPr>
        <w:t>=1。污染物浓度参数α</w:t>
      </w:r>
      <w:r>
        <w:rPr>
          <w:rFonts w:eastAsia="宋体" w:cs="Times New Roman"/>
          <w:szCs w:val="24"/>
          <w:vertAlign w:val="subscript"/>
        </w:rPr>
        <w:t>i</w:t>
      </w:r>
      <w:r>
        <w:rPr>
          <w:rFonts w:eastAsia="宋体" w:cs="Times New Roman"/>
          <w:szCs w:val="24"/>
        </w:rPr>
        <w:t>和人口密度参数F</w:t>
      </w:r>
      <w:r>
        <w:rPr>
          <w:rFonts w:eastAsia="宋体" w:cs="Times New Roman"/>
          <w:szCs w:val="24"/>
          <w:vertAlign w:val="subscript"/>
        </w:rPr>
        <w:t>i</w:t>
      </w:r>
      <w:r>
        <w:rPr>
          <w:rFonts w:eastAsia="宋体" w:cs="Times New Roman"/>
          <w:szCs w:val="24"/>
        </w:rPr>
        <w:t>分别见下表。</w:t>
      </w:r>
    </w:p>
    <w:p>
      <w:pPr>
        <w:ind w:firstLine="480"/>
        <w:jc w:val="center"/>
        <w:rPr>
          <w:rFonts w:eastAsia="宋体" w:cs="Times New Roman"/>
          <w:szCs w:val="24"/>
        </w:rPr>
      </w:pPr>
      <w:r>
        <w:rPr>
          <w:rFonts w:eastAsia="宋体" w:cs="Times New Roman"/>
          <w:szCs w:val="24"/>
        </w:rPr>
        <w:t>表2 年负荷污染物浓度参数α</w:t>
      </w:r>
      <w:r>
        <w:rPr>
          <w:rFonts w:eastAsia="宋体" w:cs="Times New Roman"/>
          <w:szCs w:val="24"/>
          <w:vertAlign w:val="subscript"/>
        </w:rPr>
        <w:t>i</w:t>
      </w:r>
    </w:p>
    <w:tbl>
      <w:tblPr>
        <w:tblStyle w:val="39"/>
        <w:tblW w:w="8296" w:type="dxa"/>
        <w:jc w:val="center"/>
        <w:tblInd w:w="0" w:type="dxa"/>
        <w:tblLayout w:type="fixed"/>
        <w:tblCellMar>
          <w:top w:w="0" w:type="dxa"/>
          <w:left w:w="108" w:type="dxa"/>
          <w:bottom w:w="0" w:type="dxa"/>
          <w:right w:w="108" w:type="dxa"/>
        </w:tblCellMar>
      </w:tblPr>
      <w:tblGrid>
        <w:gridCol w:w="1659"/>
        <w:gridCol w:w="1659"/>
        <w:gridCol w:w="1659"/>
        <w:gridCol w:w="1659"/>
        <w:gridCol w:w="1660"/>
      </w:tblGrid>
      <w:tr>
        <w:tblPrEx>
          <w:tblLayout w:type="fixed"/>
          <w:tblCellMar>
            <w:top w:w="0" w:type="dxa"/>
            <w:left w:w="108" w:type="dxa"/>
            <w:bottom w:w="0" w:type="dxa"/>
            <w:right w:w="108" w:type="dxa"/>
          </w:tblCellMar>
        </w:tblPrEx>
        <w:trPr>
          <w:jc w:val="center"/>
        </w:trPr>
        <w:tc>
          <w:tcPr>
            <w:tcW w:w="1659"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城市土地利用类型</w:t>
            </w:r>
          </w:p>
        </w:tc>
        <w:tc>
          <w:tcPr>
            <w:tcW w:w="6637" w:type="dxa"/>
            <w:gridSpan w:val="4"/>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污染物浓度参数</w:t>
            </w:r>
          </w:p>
          <w:p>
            <w:pPr>
              <w:spacing w:line="240" w:lineRule="auto"/>
              <w:ind w:firstLine="0" w:firstLineChars="0"/>
              <w:jc w:val="center"/>
              <w:rPr>
                <w:rFonts w:eastAsia="宋体"/>
                <w:sz w:val="21"/>
                <w:szCs w:val="21"/>
              </w:rPr>
            </w:pPr>
            <w:r>
              <w:rPr>
                <w:rFonts w:eastAsia="宋体"/>
                <w:sz w:val="21"/>
                <w:szCs w:val="21"/>
              </w:rPr>
              <w:t>kg/（cm·km</w:t>
            </w:r>
            <w:r>
              <w:rPr>
                <w:rFonts w:eastAsia="宋体"/>
                <w:sz w:val="21"/>
                <w:szCs w:val="21"/>
                <w:vertAlign w:val="superscript"/>
              </w:rPr>
              <w:t>2</w:t>
            </w:r>
            <w:r>
              <w:rPr>
                <w:rFonts w:eastAsia="宋体"/>
                <w:sz w:val="21"/>
                <w:szCs w:val="21"/>
              </w:rPr>
              <w:t>）</w:t>
            </w:r>
          </w:p>
        </w:tc>
      </w:tr>
      <w:tr>
        <w:tblPrEx>
          <w:tblLayout w:type="fixed"/>
          <w:tblCellMar>
            <w:top w:w="0" w:type="dxa"/>
            <w:left w:w="108" w:type="dxa"/>
            <w:bottom w:w="0" w:type="dxa"/>
            <w:right w:w="108" w:type="dxa"/>
          </w:tblCellMar>
        </w:tblPrEx>
        <w:trPr>
          <w:jc w:val="center"/>
        </w:trPr>
        <w:tc>
          <w:tcPr>
            <w:tcW w:w="16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eastAsia="宋体"/>
                <w:sz w:val="21"/>
                <w:szCs w:val="21"/>
              </w:rPr>
            </w:pP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BOD</w:t>
            </w:r>
            <w:r>
              <w:rPr>
                <w:rFonts w:eastAsia="宋体"/>
                <w:sz w:val="21"/>
                <w:szCs w:val="21"/>
                <w:vertAlign w:val="subscript"/>
              </w:rPr>
              <w:t>5</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SS</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PO</w:t>
            </w:r>
            <w:r>
              <w:rPr>
                <w:rFonts w:eastAsia="宋体"/>
                <w:sz w:val="21"/>
                <w:szCs w:val="21"/>
                <w:vertAlign w:val="subscript"/>
              </w:rPr>
              <w:t>4</w:t>
            </w:r>
            <w:r>
              <w:rPr>
                <w:rFonts w:eastAsia="宋体"/>
                <w:sz w:val="21"/>
                <w:szCs w:val="21"/>
              </w:rPr>
              <w:t>-P</w:t>
            </w:r>
          </w:p>
        </w:tc>
        <w:tc>
          <w:tcPr>
            <w:tcW w:w="1660"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N</w:t>
            </w:r>
          </w:p>
        </w:tc>
      </w:tr>
      <w:tr>
        <w:tblPrEx>
          <w:tblLayout w:type="fixed"/>
          <w:tblCellMar>
            <w:top w:w="0" w:type="dxa"/>
            <w:left w:w="108" w:type="dxa"/>
            <w:bottom w:w="0" w:type="dxa"/>
            <w:right w:w="108" w:type="dxa"/>
          </w:tblCellMar>
        </w:tblPrEx>
        <w:trPr>
          <w:jc w:val="center"/>
        </w:trPr>
        <w:tc>
          <w:tcPr>
            <w:tcW w:w="16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生活区</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35</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720</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1.5</w:t>
            </w:r>
          </w:p>
        </w:tc>
        <w:tc>
          <w:tcPr>
            <w:tcW w:w="1660"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5.8</w:t>
            </w:r>
          </w:p>
        </w:tc>
      </w:tr>
      <w:tr>
        <w:tblPrEx>
          <w:tblLayout w:type="fixed"/>
          <w:tblCellMar>
            <w:top w:w="0" w:type="dxa"/>
            <w:left w:w="108" w:type="dxa"/>
            <w:bottom w:w="0" w:type="dxa"/>
            <w:right w:w="108" w:type="dxa"/>
          </w:tblCellMar>
        </w:tblPrEx>
        <w:trPr>
          <w:jc w:val="center"/>
        </w:trPr>
        <w:tc>
          <w:tcPr>
            <w:tcW w:w="16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商业区</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141</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980</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3.3</w:t>
            </w:r>
          </w:p>
        </w:tc>
        <w:tc>
          <w:tcPr>
            <w:tcW w:w="1660"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13.1</w:t>
            </w:r>
          </w:p>
        </w:tc>
      </w:tr>
      <w:tr>
        <w:tblPrEx>
          <w:tblLayout w:type="fixed"/>
          <w:tblCellMar>
            <w:top w:w="0" w:type="dxa"/>
            <w:left w:w="108" w:type="dxa"/>
            <w:bottom w:w="0" w:type="dxa"/>
            <w:right w:w="108" w:type="dxa"/>
          </w:tblCellMar>
        </w:tblPrEx>
        <w:trPr>
          <w:jc w:val="center"/>
        </w:trPr>
        <w:tc>
          <w:tcPr>
            <w:tcW w:w="16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工业区</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53</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1290</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3.1</w:t>
            </w:r>
          </w:p>
        </w:tc>
        <w:tc>
          <w:tcPr>
            <w:tcW w:w="1660"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12.2</w:t>
            </w:r>
          </w:p>
        </w:tc>
      </w:tr>
      <w:tr>
        <w:tblPrEx>
          <w:tblLayout w:type="fixed"/>
          <w:tblCellMar>
            <w:top w:w="0" w:type="dxa"/>
            <w:left w:w="108" w:type="dxa"/>
            <w:bottom w:w="0" w:type="dxa"/>
            <w:right w:w="108" w:type="dxa"/>
          </w:tblCellMar>
        </w:tblPrEx>
        <w:trPr>
          <w:jc w:val="center"/>
        </w:trPr>
        <w:tc>
          <w:tcPr>
            <w:tcW w:w="16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其他</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5</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12</w:t>
            </w:r>
          </w:p>
        </w:tc>
        <w:tc>
          <w:tcPr>
            <w:tcW w:w="1659"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0.4</w:t>
            </w:r>
          </w:p>
        </w:tc>
        <w:tc>
          <w:tcPr>
            <w:tcW w:w="1660"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2.7</w:t>
            </w:r>
          </w:p>
        </w:tc>
      </w:tr>
    </w:tbl>
    <w:p>
      <w:pPr>
        <w:ind w:firstLine="480"/>
        <w:jc w:val="center"/>
        <w:rPr>
          <w:rFonts w:eastAsia="宋体" w:cs="Times New Roman"/>
          <w:szCs w:val="24"/>
        </w:rPr>
      </w:pPr>
      <w:r>
        <w:rPr>
          <w:rFonts w:eastAsia="宋体" w:cs="Times New Roman"/>
          <w:szCs w:val="24"/>
        </w:rPr>
        <w:t>表</w:t>
      </w:r>
      <w:r>
        <w:rPr>
          <w:rFonts w:hint="eastAsia" w:eastAsia="宋体" w:cs="Times New Roman"/>
          <w:szCs w:val="24"/>
        </w:rPr>
        <w:t>3</w:t>
      </w:r>
      <w:r>
        <w:rPr>
          <w:rFonts w:eastAsia="宋体" w:cs="Times New Roman"/>
          <w:szCs w:val="24"/>
        </w:rPr>
        <w:t xml:space="preserve"> 人口密度参数F</w:t>
      </w:r>
      <w:r>
        <w:rPr>
          <w:rFonts w:eastAsia="宋体" w:cs="Times New Roman"/>
          <w:szCs w:val="24"/>
          <w:vertAlign w:val="subscript"/>
        </w:rPr>
        <w:t>i</w:t>
      </w:r>
    </w:p>
    <w:tbl>
      <w:tblPr>
        <w:tblStyle w:val="39"/>
        <w:tblW w:w="8296" w:type="dxa"/>
        <w:tblInd w:w="0" w:type="dxa"/>
        <w:tblLayout w:type="fixed"/>
        <w:tblCellMar>
          <w:top w:w="0" w:type="dxa"/>
          <w:left w:w="108" w:type="dxa"/>
          <w:bottom w:w="0" w:type="dxa"/>
          <w:right w:w="108" w:type="dxa"/>
        </w:tblCellMar>
      </w:tblPr>
      <w:tblGrid>
        <w:gridCol w:w="1933"/>
        <w:gridCol w:w="3227"/>
        <w:gridCol w:w="1092"/>
        <w:gridCol w:w="1092"/>
        <w:gridCol w:w="952"/>
      </w:tblGrid>
      <w:tr>
        <w:tblPrEx>
          <w:tblLayout w:type="fixed"/>
          <w:tblCellMar>
            <w:top w:w="0" w:type="dxa"/>
            <w:left w:w="108" w:type="dxa"/>
            <w:bottom w:w="0" w:type="dxa"/>
            <w:right w:w="108" w:type="dxa"/>
          </w:tblCellMar>
        </w:tblPrEx>
        <w:tc>
          <w:tcPr>
            <w:tcW w:w="193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城市利用类型</w:t>
            </w:r>
          </w:p>
        </w:tc>
        <w:tc>
          <w:tcPr>
            <w:tcW w:w="3227"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生活区</w:t>
            </w:r>
          </w:p>
        </w:tc>
        <w:tc>
          <w:tcPr>
            <w:tcW w:w="1092"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商业区</w:t>
            </w:r>
          </w:p>
        </w:tc>
        <w:tc>
          <w:tcPr>
            <w:tcW w:w="1092"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工业区</w:t>
            </w:r>
          </w:p>
        </w:tc>
        <w:tc>
          <w:tcPr>
            <w:tcW w:w="952"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其他</w:t>
            </w:r>
          </w:p>
        </w:tc>
      </w:tr>
      <w:tr>
        <w:tblPrEx>
          <w:tblLayout w:type="fixed"/>
          <w:tblCellMar>
            <w:top w:w="0" w:type="dxa"/>
            <w:left w:w="108" w:type="dxa"/>
            <w:bottom w:w="0" w:type="dxa"/>
            <w:right w:w="108" w:type="dxa"/>
          </w:tblCellMar>
        </w:tblPrEx>
        <w:tc>
          <w:tcPr>
            <w:tcW w:w="193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F</w:t>
            </w:r>
            <w:r>
              <w:rPr>
                <w:rFonts w:eastAsia="宋体"/>
                <w:sz w:val="21"/>
                <w:szCs w:val="21"/>
                <w:vertAlign w:val="subscript"/>
              </w:rPr>
              <w:t>i</w:t>
            </w:r>
          </w:p>
        </w:tc>
        <w:tc>
          <w:tcPr>
            <w:tcW w:w="3227"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0.142+0.111D</w:t>
            </w:r>
            <w:r>
              <w:rPr>
                <w:rFonts w:eastAsia="宋体"/>
                <w:sz w:val="21"/>
                <w:szCs w:val="21"/>
                <w:vertAlign w:val="subscript"/>
              </w:rPr>
              <w:t>p</w:t>
            </w:r>
            <w:r>
              <w:rPr>
                <w:rFonts w:eastAsia="宋体"/>
                <w:sz w:val="21"/>
                <w:szCs w:val="21"/>
                <w:vertAlign w:val="superscript"/>
              </w:rPr>
              <w:t>0.54</w:t>
            </w:r>
          </w:p>
          <w:p>
            <w:pPr>
              <w:spacing w:line="240" w:lineRule="auto"/>
              <w:ind w:firstLine="0" w:firstLineChars="0"/>
              <w:jc w:val="center"/>
              <w:rPr>
                <w:rFonts w:eastAsia="宋体"/>
                <w:sz w:val="21"/>
                <w:szCs w:val="21"/>
              </w:rPr>
            </w:pPr>
            <w:r>
              <w:rPr>
                <w:rFonts w:eastAsia="宋体"/>
                <w:sz w:val="21"/>
                <w:szCs w:val="21"/>
              </w:rPr>
              <w:t>D</w:t>
            </w:r>
            <w:r>
              <w:rPr>
                <w:rFonts w:eastAsia="宋体"/>
                <w:sz w:val="21"/>
                <w:szCs w:val="21"/>
                <w:vertAlign w:val="subscript"/>
              </w:rPr>
              <w:t>p</w:t>
            </w:r>
            <w:r>
              <w:rPr>
                <w:rFonts w:eastAsia="宋体"/>
                <w:sz w:val="21"/>
                <w:szCs w:val="21"/>
              </w:rPr>
              <w:t>为人口密度（人/km</w:t>
            </w:r>
            <w:r>
              <w:rPr>
                <w:rFonts w:eastAsia="宋体"/>
                <w:sz w:val="21"/>
                <w:szCs w:val="21"/>
                <w:vertAlign w:val="superscript"/>
              </w:rPr>
              <w:t>2</w:t>
            </w:r>
            <w:r>
              <w:rPr>
                <w:rFonts w:eastAsia="宋体"/>
                <w:sz w:val="21"/>
                <w:szCs w:val="21"/>
              </w:rPr>
              <w:t>）</w:t>
            </w:r>
          </w:p>
        </w:tc>
        <w:tc>
          <w:tcPr>
            <w:tcW w:w="1092"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1.0</w:t>
            </w:r>
          </w:p>
        </w:tc>
        <w:tc>
          <w:tcPr>
            <w:tcW w:w="1092"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1.0</w:t>
            </w:r>
          </w:p>
        </w:tc>
        <w:tc>
          <w:tcPr>
            <w:tcW w:w="952" w:type="dxa"/>
            <w:tcBorders>
              <w:top w:val="single" w:color="auto" w:sz="4" w:space="0"/>
              <w:left w:val="nil"/>
              <w:bottom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sz w:val="21"/>
                <w:szCs w:val="21"/>
              </w:rPr>
              <w:t>0.142</w:t>
            </w:r>
          </w:p>
        </w:tc>
      </w:tr>
    </w:tbl>
    <w:p>
      <w:pPr>
        <w:pStyle w:val="60"/>
        <w:numPr>
          <w:ilvl w:val="0"/>
          <w:numId w:val="50"/>
        </w:numPr>
        <w:spacing w:before="156" w:beforeLines="50"/>
        <w:ind w:left="0" w:firstLine="480" w:firstLineChars="200"/>
        <w:jc w:val="both"/>
        <w:rPr>
          <w:rFonts w:cs="Times New Roman"/>
        </w:rPr>
      </w:pPr>
      <w:r>
        <w:rPr>
          <w:rFonts w:cs="Times New Roman"/>
        </w:rPr>
        <w:t>内源污染负荷</w:t>
      </w:r>
    </w:p>
    <w:p>
      <w:pPr>
        <w:ind w:firstLine="480"/>
        <w:rPr>
          <w:rFonts w:eastAsia="宋体" w:cs="Times New Roman"/>
          <w:szCs w:val="24"/>
        </w:rPr>
      </w:pPr>
      <w:r>
        <w:rPr>
          <w:rFonts w:eastAsia="宋体" w:cs="Times New Roman"/>
          <w:szCs w:val="24"/>
        </w:rPr>
        <w:t>内源污染主要来源于底泥污染物的释放，因此内源污染可通过下式计算：</w:t>
      </w:r>
    </w:p>
    <w:p>
      <w:pPr>
        <w:ind w:firstLine="480"/>
        <w:jc w:val="center"/>
        <w:rPr>
          <w:rFonts w:eastAsia="宋体" w:cs="Times New Roman"/>
          <w:szCs w:val="24"/>
        </w:rPr>
      </w:pPr>
      <m:oMathPara>
        <m:oMath>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W</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i</m:t>
              </m:r>
              <m:ctrlPr>
                <w:rPr>
                  <w:rFonts w:ascii="Cambria Math" w:hAnsi="Cambria Math" w:eastAsia="宋体" w:cs="Times New Roman"/>
                  <w:szCs w:val="24"/>
                  <w:lang w:val="zh-CN"/>
                </w:rPr>
              </m:ctrlPr>
            </m:sub>
          </m:sSub>
          <m:r>
            <m:rPr>
              <m:sty m:val="p"/>
            </m:rPr>
            <w:rPr>
              <w:rFonts w:ascii="Cambria Math" w:hAnsi="Cambria Math" w:eastAsia="宋体" w:cs="Times New Roman"/>
              <w:szCs w:val="24"/>
              <w:lang w:val="zh-CN"/>
            </w:rPr>
            <m:t>=（</m:t>
          </m:r>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r</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i25</m:t>
              </m:r>
              <m:ctrlPr>
                <w:rPr>
                  <w:rFonts w:ascii="Cambria Math" w:hAnsi="Cambria Math" w:eastAsia="宋体" w:cs="Times New Roman"/>
                  <w:szCs w:val="24"/>
                  <w:lang w:val="zh-CN"/>
                </w:rPr>
              </m:ctrlPr>
            </m:sub>
          </m:sSub>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D</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i25</m:t>
              </m:r>
              <m:ctrlPr>
                <w:rPr>
                  <w:rFonts w:ascii="Cambria Math" w:hAnsi="Cambria Math" w:eastAsia="宋体" w:cs="Times New Roman"/>
                  <w:szCs w:val="24"/>
                  <w:lang w:val="zh-CN"/>
                </w:rPr>
              </m:ctrlPr>
            </m:sub>
          </m:sSub>
          <m:r>
            <m:rPr>
              <m:sty m:val="p"/>
            </m:rPr>
            <w:rPr>
              <w:rFonts w:ascii="Cambria Math" w:hAnsi="Cambria Math" w:eastAsia="宋体" w:cs="Times New Roman"/>
              <w:szCs w:val="24"/>
              <w:lang w:val="zh-CN"/>
            </w:rPr>
            <m:t>+</m:t>
          </m:r>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r</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i15</m:t>
              </m:r>
              <m:ctrlPr>
                <w:rPr>
                  <w:rFonts w:ascii="Cambria Math" w:hAnsi="Cambria Math" w:eastAsia="宋体" w:cs="Times New Roman"/>
                  <w:szCs w:val="24"/>
                  <w:lang w:val="zh-CN"/>
                </w:rPr>
              </m:ctrlPr>
            </m:sub>
          </m:sSub>
          <m:sSub>
            <m:sSubPr>
              <m:ctrlPr>
                <w:rPr>
                  <w:rFonts w:ascii="Cambria Math" w:hAnsi="Cambria Math" w:eastAsia="宋体" w:cs="Times New Roman"/>
                  <w:szCs w:val="24"/>
                  <w:lang w:val="zh-CN"/>
                </w:rPr>
              </m:ctrlPr>
            </m:sSubPr>
            <m:e>
              <m:r>
                <m:rPr>
                  <m:sty m:val="p"/>
                </m:rPr>
                <w:rPr>
                  <w:rFonts w:ascii="Cambria Math" w:hAnsi="Cambria Math" w:eastAsia="宋体" w:cs="Times New Roman"/>
                  <w:szCs w:val="24"/>
                  <w:lang w:val="zh-CN"/>
                </w:rPr>
                <m:t>D</m:t>
              </m:r>
              <m:ctrlPr>
                <w:rPr>
                  <w:rFonts w:ascii="Cambria Math" w:hAnsi="Cambria Math" w:eastAsia="宋体" w:cs="Times New Roman"/>
                  <w:szCs w:val="24"/>
                  <w:lang w:val="zh-CN"/>
                </w:rPr>
              </m:ctrlPr>
            </m:e>
            <m:sub>
              <m:r>
                <m:rPr>
                  <m:sty m:val="p"/>
                </m:rPr>
                <w:rPr>
                  <w:rFonts w:ascii="Cambria Math" w:hAnsi="Cambria Math" w:eastAsia="宋体" w:cs="Times New Roman"/>
                  <w:szCs w:val="24"/>
                  <w:lang w:val="zh-CN"/>
                </w:rPr>
                <m:t>i15</m:t>
              </m:r>
              <m:ctrlPr>
                <w:rPr>
                  <w:rFonts w:ascii="Cambria Math" w:hAnsi="Cambria Math" w:eastAsia="宋体" w:cs="Times New Roman"/>
                  <w:szCs w:val="24"/>
                  <w:lang w:val="zh-CN"/>
                </w:rPr>
              </m:ctrlPr>
            </m:sub>
          </m:sSub>
          <m:r>
            <m:rPr>
              <m:sty m:val="p"/>
            </m:rPr>
            <w:rPr>
              <w:rFonts w:ascii="Cambria Math" w:hAnsi="Cambria Math" w:eastAsia="宋体" w:cs="Times New Roman"/>
              <w:szCs w:val="24"/>
              <w:lang w:val="zh-CN"/>
            </w:rPr>
            <m:t>）×A×</m:t>
          </m:r>
          <m:sSup>
            <m:sSupPr>
              <m:ctrlPr>
                <w:rPr>
                  <w:rFonts w:ascii="Cambria Math" w:hAnsi="Cambria Math" w:eastAsia="宋体" w:cs="Times New Roman"/>
                  <w:szCs w:val="24"/>
                  <w:lang w:val="zh-CN"/>
                </w:rPr>
              </m:ctrlPr>
            </m:sSupPr>
            <m:e>
              <m:r>
                <m:rPr>
                  <m:sty m:val="p"/>
                </m:rPr>
                <w:rPr>
                  <w:rFonts w:ascii="Cambria Math" w:hAnsi="Cambria Math" w:eastAsia="宋体" w:cs="Times New Roman"/>
                  <w:szCs w:val="24"/>
                  <w:lang w:val="zh-CN"/>
                </w:rPr>
                <m:t>10</m:t>
              </m:r>
              <m:ctrlPr>
                <w:rPr>
                  <w:rFonts w:ascii="Cambria Math" w:hAnsi="Cambria Math" w:eastAsia="宋体" w:cs="Times New Roman"/>
                  <w:szCs w:val="24"/>
                  <w:lang w:val="zh-CN"/>
                </w:rPr>
              </m:ctrlPr>
            </m:e>
            <m:sup>
              <m:r>
                <m:rPr>
                  <m:sty m:val="p"/>
                </m:rPr>
                <w:rPr>
                  <w:rFonts w:ascii="Cambria Math" w:hAnsi="Cambria Math" w:eastAsia="宋体" w:cs="Times New Roman"/>
                  <w:szCs w:val="24"/>
                  <w:lang w:val="zh-CN"/>
                </w:rPr>
                <m:t>-3</m:t>
              </m:r>
              <m:ctrlPr>
                <w:rPr>
                  <w:rFonts w:ascii="Cambria Math" w:hAnsi="Cambria Math" w:eastAsia="宋体" w:cs="Times New Roman"/>
                  <w:szCs w:val="24"/>
                  <w:lang w:val="zh-CN"/>
                </w:rPr>
              </m:ctrlPr>
            </m:sup>
          </m:sSup>
        </m:oMath>
      </m:oMathPara>
    </w:p>
    <w:p>
      <w:pPr>
        <w:ind w:firstLine="480"/>
        <w:rPr>
          <w:rFonts w:eastAsia="宋体" w:cs="Times New Roman"/>
          <w:szCs w:val="24"/>
        </w:rPr>
      </w:pPr>
      <w:r>
        <w:rPr>
          <w:rFonts w:eastAsia="宋体" w:cs="Times New Roman"/>
          <w:szCs w:val="24"/>
        </w:rPr>
        <w:t>式中：W</w:t>
      </w:r>
      <w:r>
        <w:rPr>
          <w:rFonts w:eastAsia="宋体" w:cs="Times New Roman"/>
          <w:szCs w:val="24"/>
          <w:vertAlign w:val="subscript"/>
        </w:rPr>
        <w:t>i</w:t>
      </w:r>
      <w:r>
        <w:rPr>
          <w:rFonts w:eastAsia="宋体" w:cs="Times New Roman"/>
          <w:szCs w:val="24"/>
        </w:rPr>
        <w:t>——污染物i的内源污染负荷，t/a；</w:t>
      </w:r>
    </w:p>
    <w:p>
      <w:pPr>
        <w:ind w:firstLine="1200" w:firstLineChars="500"/>
        <w:rPr>
          <w:rFonts w:eastAsia="宋体" w:cs="Times New Roman"/>
          <w:szCs w:val="24"/>
        </w:rPr>
      </w:pPr>
      <w:r>
        <w:rPr>
          <w:rFonts w:eastAsia="宋体" w:cs="Times New Roman"/>
          <w:szCs w:val="24"/>
        </w:rPr>
        <w:t>r</w:t>
      </w:r>
      <w:r>
        <w:rPr>
          <w:rFonts w:eastAsia="宋体" w:cs="Times New Roman"/>
          <w:szCs w:val="24"/>
          <w:vertAlign w:val="subscript"/>
        </w:rPr>
        <w:t>i15</w:t>
      </w:r>
      <w:r>
        <w:rPr>
          <w:rFonts w:eastAsia="宋体" w:cs="Times New Roman"/>
          <w:szCs w:val="24"/>
        </w:rPr>
        <w:t>、r</w:t>
      </w:r>
      <w:r>
        <w:rPr>
          <w:rFonts w:eastAsia="宋体" w:cs="Times New Roman"/>
          <w:szCs w:val="24"/>
          <w:vertAlign w:val="subscript"/>
        </w:rPr>
        <w:t>i25</w:t>
      </w:r>
      <w:r>
        <w:rPr>
          <w:rFonts w:eastAsia="宋体" w:cs="Times New Roman"/>
          <w:szCs w:val="24"/>
        </w:rPr>
        <w:t>——污染物i在15</w:t>
      </w:r>
      <w:r>
        <w:rPr>
          <w:rFonts w:hint="eastAsia" w:eastAsia="宋体" w:cs="Times New Roman"/>
          <w:szCs w:val="24"/>
        </w:rPr>
        <w:t>℃</w:t>
      </w:r>
      <w:r>
        <w:rPr>
          <w:rFonts w:eastAsia="宋体" w:cs="Times New Roman"/>
          <w:szCs w:val="24"/>
        </w:rPr>
        <w:t>和25</w:t>
      </w:r>
      <w:r>
        <w:rPr>
          <w:rFonts w:hint="eastAsia" w:eastAsia="宋体" w:cs="Times New Roman"/>
          <w:szCs w:val="24"/>
        </w:rPr>
        <w:t>℃</w:t>
      </w:r>
      <w:r>
        <w:rPr>
          <w:rFonts w:eastAsia="宋体" w:cs="Times New Roman"/>
          <w:szCs w:val="24"/>
        </w:rPr>
        <w:t>的平均释放速率，mg/</w:t>
      </w:r>
      <w:r>
        <w:rPr>
          <w:rFonts w:hint="eastAsia" w:eastAsia="宋体" w:cs="Times New Roman"/>
          <w:szCs w:val="24"/>
        </w:rPr>
        <w:t>（</w:t>
      </w:r>
      <w:r>
        <w:rPr>
          <w:rFonts w:eastAsia="宋体" w:cs="Times New Roman"/>
          <w:szCs w:val="24"/>
        </w:rPr>
        <w:t>m</w:t>
      </w:r>
      <w:r>
        <w:rPr>
          <w:rFonts w:eastAsia="宋体" w:cs="Times New Roman"/>
          <w:szCs w:val="24"/>
          <w:vertAlign w:val="superscript"/>
        </w:rPr>
        <w:t>2</w:t>
      </w:r>
      <w:r>
        <w:rPr>
          <w:rFonts w:eastAsia="宋体" w:cs="Times New Roman"/>
          <w:szCs w:val="24"/>
        </w:rPr>
        <w:t>·d</w:t>
      </w:r>
      <w:r>
        <w:rPr>
          <w:rFonts w:hint="eastAsia" w:eastAsia="宋体" w:cs="Times New Roman"/>
          <w:szCs w:val="24"/>
        </w:rPr>
        <w:t>）</w:t>
      </w:r>
      <w:r>
        <w:rPr>
          <w:rFonts w:eastAsia="宋体" w:cs="Times New Roman"/>
          <w:szCs w:val="24"/>
        </w:rPr>
        <w:t>；</w:t>
      </w:r>
    </w:p>
    <w:p>
      <w:pPr>
        <w:ind w:firstLine="1200" w:firstLineChars="500"/>
        <w:rPr>
          <w:rFonts w:eastAsia="宋体" w:cs="Times New Roman"/>
          <w:szCs w:val="24"/>
        </w:rPr>
      </w:pPr>
      <w:r>
        <w:rPr>
          <w:rFonts w:eastAsia="宋体" w:cs="Times New Roman"/>
          <w:szCs w:val="24"/>
        </w:rPr>
        <w:t>D</w:t>
      </w:r>
      <w:r>
        <w:rPr>
          <w:rFonts w:eastAsia="宋体" w:cs="Times New Roman"/>
          <w:szCs w:val="24"/>
          <w:vertAlign w:val="subscript"/>
        </w:rPr>
        <w:t>i15</w:t>
      </w:r>
      <w:r>
        <w:rPr>
          <w:rFonts w:eastAsia="宋体" w:cs="Times New Roman"/>
          <w:szCs w:val="24"/>
        </w:rPr>
        <w:t>、D</w:t>
      </w:r>
      <w:r>
        <w:rPr>
          <w:rFonts w:eastAsia="宋体" w:cs="Times New Roman"/>
          <w:szCs w:val="24"/>
          <w:vertAlign w:val="subscript"/>
        </w:rPr>
        <w:t>i25</w:t>
      </w:r>
      <w:r>
        <w:rPr>
          <w:rFonts w:eastAsia="宋体" w:cs="Times New Roman"/>
          <w:szCs w:val="24"/>
        </w:rPr>
        <w:t>——水温为15</w:t>
      </w:r>
      <w:r>
        <w:rPr>
          <w:rFonts w:hint="eastAsia" w:eastAsia="宋体" w:cs="Times New Roman"/>
          <w:szCs w:val="24"/>
        </w:rPr>
        <w:t>℃</w:t>
      </w:r>
      <w:r>
        <w:rPr>
          <w:rFonts w:eastAsia="宋体" w:cs="Times New Roman"/>
          <w:szCs w:val="24"/>
        </w:rPr>
        <w:t>和25</w:t>
      </w:r>
      <w:r>
        <w:rPr>
          <w:rFonts w:hint="eastAsia" w:eastAsia="宋体" w:cs="Times New Roman"/>
          <w:szCs w:val="24"/>
        </w:rPr>
        <w:t>℃</w:t>
      </w:r>
      <w:r>
        <w:rPr>
          <w:rFonts w:eastAsia="宋体" w:cs="Times New Roman"/>
          <w:szCs w:val="24"/>
        </w:rPr>
        <w:t>时的时段天数，d；</w:t>
      </w:r>
    </w:p>
    <w:p>
      <w:pPr>
        <w:ind w:firstLine="1200" w:firstLineChars="500"/>
        <w:rPr>
          <w:rFonts w:eastAsia="宋体" w:cs="Times New Roman"/>
          <w:szCs w:val="24"/>
        </w:rPr>
      </w:pPr>
      <w:r>
        <w:rPr>
          <w:rFonts w:eastAsia="宋体" w:cs="Times New Roman"/>
          <w:szCs w:val="24"/>
        </w:rPr>
        <w:t>A——底泥覆盖面积，km</w:t>
      </w:r>
      <w:r>
        <w:rPr>
          <w:rFonts w:eastAsia="宋体" w:cs="Times New Roman"/>
          <w:szCs w:val="24"/>
          <w:vertAlign w:val="superscript"/>
        </w:rPr>
        <w:t>2</w:t>
      </w:r>
      <w:r>
        <w:rPr>
          <w:rFonts w:eastAsia="宋体" w:cs="Times New Roman"/>
          <w:szCs w:val="24"/>
        </w:rPr>
        <w:t>。</w:t>
      </w:r>
    </w:p>
    <w:p>
      <w:pPr>
        <w:ind w:firstLine="480"/>
        <w:rPr>
          <w:rFonts w:eastAsia="宋体" w:cs="Times New Roman"/>
          <w:szCs w:val="24"/>
        </w:rPr>
      </w:pPr>
      <w:r>
        <w:rPr>
          <w:rFonts w:eastAsia="宋体" w:cs="Times New Roman"/>
          <w:szCs w:val="24"/>
        </w:rPr>
        <w:t>污染物释放速率可通过实验测得，或参考下表。</w:t>
      </w:r>
    </w:p>
    <w:p>
      <w:pPr>
        <w:ind w:firstLine="480"/>
        <w:jc w:val="center"/>
        <w:rPr>
          <w:rFonts w:eastAsia="宋体" w:cs="Times New Roman"/>
          <w:bCs/>
          <w:szCs w:val="24"/>
        </w:rPr>
      </w:pPr>
      <w:r>
        <w:rPr>
          <w:rFonts w:eastAsia="宋体" w:cs="Times New Roman"/>
          <w:bCs/>
          <w:szCs w:val="24"/>
        </w:rPr>
        <w:t>表</w:t>
      </w:r>
      <w:r>
        <w:rPr>
          <w:rFonts w:hint="eastAsia" w:eastAsia="宋体" w:cs="Times New Roman"/>
          <w:bCs/>
          <w:szCs w:val="24"/>
        </w:rPr>
        <w:t>4</w:t>
      </w:r>
      <w:r>
        <w:rPr>
          <w:rFonts w:eastAsia="宋体" w:cs="Times New Roman"/>
          <w:bCs/>
          <w:szCs w:val="24"/>
        </w:rPr>
        <w:t xml:space="preserve"> 底泥污染物释放速率（mg/m</w:t>
      </w:r>
      <w:r>
        <w:rPr>
          <w:rFonts w:eastAsia="宋体" w:cs="Times New Roman"/>
          <w:bCs/>
          <w:szCs w:val="24"/>
          <w:vertAlign w:val="superscript"/>
        </w:rPr>
        <w:t>2</w:t>
      </w:r>
      <w:r>
        <w:rPr>
          <w:rFonts w:eastAsia="宋体" w:cs="Times New Roman"/>
          <w:bCs/>
          <w:szCs w:val="24"/>
        </w:rPr>
        <w:t>·d）</w:t>
      </w:r>
    </w:p>
    <w:tbl>
      <w:tblPr>
        <w:tblStyle w:val="39"/>
        <w:tblW w:w="5953" w:type="dxa"/>
        <w:tblInd w:w="846" w:type="dxa"/>
        <w:tblLayout w:type="fixed"/>
        <w:tblCellMar>
          <w:top w:w="0" w:type="dxa"/>
          <w:left w:w="108" w:type="dxa"/>
          <w:bottom w:w="0" w:type="dxa"/>
          <w:right w:w="108" w:type="dxa"/>
        </w:tblCellMar>
      </w:tblPr>
      <w:tblGrid>
        <w:gridCol w:w="1919"/>
        <w:gridCol w:w="2050"/>
        <w:gridCol w:w="1984"/>
      </w:tblGrid>
      <w:tr>
        <w:tblPrEx>
          <w:tblLayout w:type="fixed"/>
          <w:tblCellMar>
            <w:top w:w="0" w:type="dxa"/>
            <w:left w:w="108" w:type="dxa"/>
            <w:bottom w:w="0" w:type="dxa"/>
            <w:right w:w="108" w:type="dxa"/>
          </w:tblCellMar>
        </w:tblPrEx>
        <w:tc>
          <w:tcPr>
            <w:tcW w:w="191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温度（</w:t>
            </w:r>
            <w:r>
              <w:rPr>
                <w:rFonts w:hint="eastAsia" w:eastAsia="宋体"/>
                <w:bCs/>
                <w:sz w:val="21"/>
                <w:szCs w:val="21"/>
              </w:rPr>
              <w:t>℃</w:t>
            </w:r>
            <w:r>
              <w:rPr>
                <w:rFonts w:eastAsia="宋体"/>
                <w:bCs/>
                <w:sz w:val="21"/>
                <w:szCs w:val="21"/>
              </w:rPr>
              <w:t>）</w:t>
            </w:r>
          </w:p>
        </w:tc>
        <w:tc>
          <w:tcPr>
            <w:tcW w:w="2050" w:type="dxa"/>
            <w:tcBorders>
              <w:top w:val="single" w:color="auto" w:sz="4" w:space="0"/>
              <w:left w:val="nil"/>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15</w:t>
            </w:r>
          </w:p>
        </w:tc>
        <w:tc>
          <w:tcPr>
            <w:tcW w:w="1984" w:type="dxa"/>
            <w:tcBorders>
              <w:top w:val="single" w:color="auto" w:sz="4" w:space="0"/>
              <w:left w:val="nil"/>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25</w:t>
            </w:r>
          </w:p>
        </w:tc>
      </w:tr>
      <w:tr>
        <w:tblPrEx>
          <w:tblLayout w:type="fixed"/>
          <w:tblCellMar>
            <w:top w:w="0" w:type="dxa"/>
            <w:left w:w="108" w:type="dxa"/>
            <w:bottom w:w="0" w:type="dxa"/>
            <w:right w:w="108" w:type="dxa"/>
          </w:tblCellMar>
        </w:tblPrEx>
        <w:tc>
          <w:tcPr>
            <w:tcW w:w="191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氨氮</w:t>
            </w:r>
          </w:p>
        </w:tc>
        <w:tc>
          <w:tcPr>
            <w:tcW w:w="2050" w:type="dxa"/>
            <w:tcBorders>
              <w:top w:val="single" w:color="auto" w:sz="4" w:space="0"/>
              <w:left w:val="nil"/>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47.09</w:t>
            </w:r>
          </w:p>
        </w:tc>
        <w:tc>
          <w:tcPr>
            <w:tcW w:w="1984" w:type="dxa"/>
            <w:tcBorders>
              <w:top w:val="single" w:color="auto" w:sz="4" w:space="0"/>
              <w:left w:val="nil"/>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59.45</w:t>
            </w:r>
          </w:p>
        </w:tc>
      </w:tr>
      <w:tr>
        <w:tblPrEx>
          <w:tblLayout w:type="fixed"/>
          <w:tblCellMar>
            <w:top w:w="0" w:type="dxa"/>
            <w:left w:w="108" w:type="dxa"/>
            <w:bottom w:w="0" w:type="dxa"/>
            <w:right w:w="108" w:type="dxa"/>
          </w:tblCellMar>
        </w:tblPrEx>
        <w:tc>
          <w:tcPr>
            <w:tcW w:w="191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总磷</w:t>
            </w:r>
          </w:p>
        </w:tc>
        <w:tc>
          <w:tcPr>
            <w:tcW w:w="2050" w:type="dxa"/>
            <w:tcBorders>
              <w:top w:val="single" w:color="auto" w:sz="4" w:space="0"/>
              <w:left w:val="nil"/>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1.996</w:t>
            </w:r>
          </w:p>
        </w:tc>
        <w:tc>
          <w:tcPr>
            <w:tcW w:w="1984" w:type="dxa"/>
            <w:tcBorders>
              <w:top w:val="single" w:color="auto" w:sz="4" w:space="0"/>
              <w:left w:val="nil"/>
              <w:bottom w:val="single" w:color="auto" w:sz="4" w:space="0"/>
              <w:right w:val="single" w:color="auto" w:sz="4" w:space="0"/>
            </w:tcBorders>
          </w:tcPr>
          <w:p>
            <w:pPr>
              <w:spacing w:line="240" w:lineRule="auto"/>
              <w:ind w:firstLine="0" w:firstLineChars="0"/>
              <w:jc w:val="center"/>
              <w:rPr>
                <w:rFonts w:eastAsia="宋体"/>
                <w:bCs/>
                <w:sz w:val="21"/>
                <w:szCs w:val="21"/>
              </w:rPr>
            </w:pPr>
            <w:r>
              <w:rPr>
                <w:rFonts w:eastAsia="宋体"/>
                <w:bCs/>
                <w:sz w:val="21"/>
                <w:szCs w:val="21"/>
              </w:rPr>
              <w:t>2.873</w:t>
            </w:r>
          </w:p>
        </w:tc>
      </w:tr>
    </w:tbl>
    <w:p>
      <w:pPr>
        <w:ind w:firstLine="480"/>
        <w:rPr>
          <w:rFonts w:eastAsia="宋体" w:cs="Times New Roman"/>
          <w:szCs w:val="24"/>
        </w:rPr>
      </w:pPr>
    </w:p>
    <w:p>
      <w:pPr>
        <w:pStyle w:val="5"/>
        <w:numPr>
          <w:ilvl w:val="0"/>
          <w:numId w:val="0"/>
        </w:numPr>
      </w:pPr>
      <w:r>
        <w:rPr>
          <w:b/>
          <w:bCs w:val="0"/>
        </w:rPr>
        <w:t>6.11.6</w:t>
      </w:r>
      <w:r>
        <w:rPr>
          <w:rFonts w:hint="eastAsia"/>
          <w:b/>
          <w:bCs w:val="0"/>
        </w:rPr>
        <w:t>~6.11.8</w:t>
      </w:r>
      <w:r>
        <w:t>水环境容量计算方法有污染负荷计算法和数字模型计算法。污染负荷计算法是指根据影响水功能区水质的陆域范围内入河（湖）排污口、污染源和经济社会状况，计算污染物入河量，确定水环境容量的方法。数字模型计算法是指根据水域特性、水质状况、设计水文条件和水功能区水质目标值，应用数字模型计算水环境容量的方法。</w:t>
      </w:r>
    </w:p>
    <w:p>
      <w:pPr>
        <w:pStyle w:val="60"/>
        <w:numPr>
          <w:ilvl w:val="0"/>
          <w:numId w:val="54"/>
        </w:numPr>
        <w:spacing w:before="156" w:beforeLines="50"/>
        <w:ind w:left="0" w:firstLine="480" w:firstLineChars="200"/>
        <w:rPr>
          <w:szCs w:val="24"/>
        </w:rPr>
      </w:pPr>
      <w:r>
        <w:rPr>
          <w:szCs w:val="24"/>
        </w:rPr>
        <w:t>污染负荷计算</w:t>
      </w:r>
      <w:r>
        <w:rPr>
          <w:rFonts w:hint="eastAsia"/>
          <w:szCs w:val="24"/>
        </w:rPr>
        <w:t>步骤：</w:t>
      </w:r>
    </w:p>
    <w:p>
      <w:pPr>
        <w:numPr>
          <w:ilvl w:val="0"/>
          <w:numId w:val="55"/>
        </w:numPr>
        <w:ind w:left="1200" w:leftChars="300" w:hanging="480" w:hangingChars="200"/>
        <w:rPr>
          <w:rFonts w:eastAsia="宋体"/>
          <w:szCs w:val="24"/>
        </w:rPr>
      </w:pPr>
      <w:r>
        <w:rPr>
          <w:rFonts w:eastAsia="宋体"/>
          <w:szCs w:val="24"/>
        </w:rPr>
        <w:t>根据规划和管理要求，确定计算水环境容量的污染物</w:t>
      </w:r>
      <w:r>
        <w:rPr>
          <w:rFonts w:hint="eastAsia" w:eastAsia="宋体"/>
          <w:szCs w:val="24"/>
        </w:rPr>
        <w:t>；</w:t>
      </w:r>
    </w:p>
    <w:p>
      <w:pPr>
        <w:numPr>
          <w:ilvl w:val="0"/>
          <w:numId w:val="55"/>
        </w:numPr>
        <w:ind w:left="1200" w:leftChars="300" w:hanging="480" w:hangingChars="200"/>
        <w:rPr>
          <w:rFonts w:eastAsia="宋体"/>
          <w:szCs w:val="24"/>
        </w:rPr>
      </w:pPr>
      <w:r>
        <w:rPr>
          <w:rFonts w:eastAsia="宋体"/>
          <w:szCs w:val="24"/>
        </w:rPr>
        <w:t>采用实测法或调查统计法或估算法计算污染物的入河量</w:t>
      </w:r>
      <w:r>
        <w:rPr>
          <w:rFonts w:hint="eastAsia" w:eastAsia="宋体"/>
          <w:szCs w:val="24"/>
        </w:rPr>
        <w:t>；</w:t>
      </w:r>
    </w:p>
    <w:p>
      <w:pPr>
        <w:numPr>
          <w:ilvl w:val="0"/>
          <w:numId w:val="55"/>
        </w:numPr>
        <w:ind w:left="1200" w:leftChars="300" w:hanging="480" w:hangingChars="200"/>
        <w:rPr>
          <w:rFonts w:eastAsia="宋体"/>
          <w:szCs w:val="24"/>
        </w:rPr>
      </w:pPr>
      <w:r>
        <w:rPr>
          <w:rFonts w:eastAsia="宋体"/>
          <w:szCs w:val="24"/>
        </w:rPr>
        <w:t>确定水环境容量并进行合理性分析和检验。</w:t>
      </w:r>
    </w:p>
    <w:p>
      <w:pPr>
        <w:pStyle w:val="60"/>
        <w:numPr>
          <w:ilvl w:val="0"/>
          <w:numId w:val="54"/>
        </w:numPr>
        <w:spacing w:before="156" w:beforeLines="50"/>
        <w:ind w:left="0" w:firstLine="480" w:firstLineChars="200"/>
        <w:rPr>
          <w:szCs w:val="24"/>
        </w:rPr>
      </w:pPr>
      <w:r>
        <w:rPr>
          <w:szCs w:val="24"/>
        </w:rPr>
        <w:t>数字模型计算</w:t>
      </w:r>
      <w:r>
        <w:rPr>
          <w:rFonts w:hint="eastAsia"/>
          <w:szCs w:val="24"/>
        </w:rPr>
        <w:t>步骤：</w:t>
      </w:r>
    </w:p>
    <w:p>
      <w:pPr>
        <w:numPr>
          <w:ilvl w:val="0"/>
          <w:numId w:val="56"/>
        </w:numPr>
        <w:ind w:left="660" w:leftChars="275" w:firstLineChars="0"/>
        <w:rPr>
          <w:rFonts w:eastAsia="宋体"/>
          <w:szCs w:val="24"/>
        </w:rPr>
      </w:pPr>
      <w:bookmarkStart w:id="183" w:name="_Toc49244313"/>
      <w:bookmarkStart w:id="184" w:name="_Toc49244478"/>
      <w:r>
        <w:rPr>
          <w:rFonts w:eastAsia="宋体"/>
          <w:szCs w:val="24"/>
        </w:rPr>
        <w:t>水域概化</w:t>
      </w:r>
      <w:bookmarkEnd w:id="183"/>
      <w:bookmarkEnd w:id="184"/>
      <w:r>
        <w:rPr>
          <w:rFonts w:eastAsia="宋体"/>
          <w:szCs w:val="24"/>
        </w:rPr>
        <w:t>。将天然水域（河流、湖泊水库）概化成计算水域，例如天然河道可概化成顺直河道，复杂的河道地形可进行简化处理，非稳态水流可简化为稳态水流等。水域概化的结果，就是能够利用简单的数学模型来描述水质变化规律。同时，支流、排污口、取水口等影响水环境的因素也要进行相应概化。若排污口距离较近，可把多个排污口简化成集中的排污口</w:t>
      </w:r>
    </w:p>
    <w:p>
      <w:pPr>
        <w:numPr>
          <w:ilvl w:val="0"/>
          <w:numId w:val="56"/>
        </w:numPr>
        <w:ind w:left="660" w:leftChars="275" w:firstLineChars="0"/>
        <w:rPr>
          <w:rFonts w:eastAsia="宋体"/>
          <w:szCs w:val="24"/>
        </w:rPr>
      </w:pPr>
      <w:bookmarkStart w:id="185" w:name="_Toc49244314"/>
      <w:bookmarkStart w:id="186" w:name="_Toc49244479"/>
      <w:r>
        <w:rPr>
          <w:rFonts w:eastAsia="宋体"/>
          <w:szCs w:val="24"/>
        </w:rPr>
        <w:t>基础资料调查与评价</w:t>
      </w:r>
      <w:bookmarkEnd w:id="185"/>
      <w:bookmarkEnd w:id="186"/>
      <w:r>
        <w:rPr>
          <w:rFonts w:eastAsia="宋体"/>
          <w:szCs w:val="24"/>
        </w:rPr>
        <w:t>。包括调查与评价水域水文资料（流速、流量、水位、体积等）和水域水质资料（多项污染因子的浓度值），同时收集水域内的排污口资料（废水排放量与污染物浓度）、支流资料（支流水量与污染物浓度）、取水口资料（取水量，取水方式）、污染源资料等（排污量、排污去向与排放方式），并进行数据一致性分析，形成数据库。</w:t>
      </w:r>
    </w:p>
    <w:p>
      <w:pPr>
        <w:numPr>
          <w:ilvl w:val="0"/>
          <w:numId w:val="56"/>
        </w:numPr>
        <w:ind w:left="660" w:leftChars="275" w:firstLineChars="0"/>
        <w:rPr>
          <w:rFonts w:eastAsia="宋体"/>
          <w:szCs w:val="24"/>
        </w:rPr>
      </w:pPr>
      <w:bookmarkStart w:id="187" w:name="_Toc49244315"/>
      <w:bookmarkStart w:id="188" w:name="_Toc49244480"/>
      <w:r>
        <w:rPr>
          <w:rFonts w:eastAsia="宋体"/>
          <w:szCs w:val="24"/>
        </w:rPr>
        <w:t>选择控制点（或边界）</w:t>
      </w:r>
      <w:bookmarkEnd w:id="187"/>
      <w:bookmarkEnd w:id="188"/>
      <w:r>
        <w:rPr>
          <w:rFonts w:eastAsia="宋体"/>
          <w:szCs w:val="24"/>
        </w:rPr>
        <w:t>。根据水环境功能区划和水域内的水质敏感点位置分析，确定水质控制断面的位置和浓度控制标准。对于包含污染混合区的环境问题，则需根据环境管理的要求确定污染混合区的控制边界。</w:t>
      </w:r>
    </w:p>
    <w:p>
      <w:pPr>
        <w:numPr>
          <w:ilvl w:val="0"/>
          <w:numId w:val="56"/>
        </w:numPr>
        <w:ind w:left="660" w:leftChars="275" w:firstLineChars="0"/>
        <w:rPr>
          <w:rFonts w:eastAsia="宋体"/>
          <w:szCs w:val="24"/>
        </w:rPr>
      </w:pPr>
      <w:bookmarkStart w:id="189" w:name="_Toc49244481"/>
      <w:bookmarkStart w:id="190" w:name="_Toc49244316"/>
      <w:r>
        <w:rPr>
          <w:rFonts w:eastAsia="宋体"/>
          <w:szCs w:val="24"/>
        </w:rPr>
        <w:t>建立水质模型</w:t>
      </w:r>
      <w:bookmarkEnd w:id="189"/>
      <w:bookmarkEnd w:id="190"/>
      <w:r>
        <w:rPr>
          <w:rFonts w:eastAsia="宋体"/>
          <w:szCs w:val="24"/>
        </w:rPr>
        <w:t>。根据实际情况选择建立零维、一维或二维水质模型，在进行各类数据资料的一致性分析的基础上，确定模型所需的各项参数。</w:t>
      </w:r>
    </w:p>
    <w:p>
      <w:pPr>
        <w:numPr>
          <w:ilvl w:val="0"/>
          <w:numId w:val="56"/>
        </w:numPr>
        <w:ind w:left="660" w:leftChars="275" w:firstLineChars="0"/>
        <w:rPr>
          <w:rFonts w:eastAsia="宋体"/>
          <w:szCs w:val="24"/>
        </w:rPr>
      </w:pPr>
      <w:bookmarkStart w:id="191" w:name="_Toc49244317"/>
      <w:bookmarkStart w:id="192" w:name="_Toc49244482"/>
      <w:r>
        <w:rPr>
          <w:rFonts w:eastAsia="宋体"/>
          <w:szCs w:val="24"/>
        </w:rPr>
        <w:t>容量计算分析</w:t>
      </w:r>
      <w:bookmarkEnd w:id="191"/>
      <w:bookmarkEnd w:id="192"/>
      <w:r>
        <w:rPr>
          <w:rFonts w:eastAsia="宋体"/>
          <w:szCs w:val="24"/>
        </w:rPr>
        <w:t>。应用设计水文条件和上下游水质限制条件进行水质模型计算，利用试算法（根据经验调整污染负荷分布反复试算，直到水域环境功能区达标为止）或建立线性规划模型（建立优化的约束条件方程）等方法确定水域的水环境容量。</w:t>
      </w:r>
    </w:p>
    <w:p>
      <w:pPr>
        <w:numPr>
          <w:ilvl w:val="0"/>
          <w:numId w:val="56"/>
        </w:numPr>
        <w:ind w:left="660" w:leftChars="275" w:firstLineChars="0"/>
        <w:rPr>
          <w:szCs w:val="24"/>
        </w:rPr>
      </w:pPr>
      <w:bookmarkStart w:id="193" w:name="_Toc49244318"/>
      <w:bookmarkStart w:id="194" w:name="_Toc49244483"/>
      <w:r>
        <w:rPr>
          <w:rFonts w:eastAsia="宋体"/>
          <w:szCs w:val="24"/>
        </w:rPr>
        <w:t>环境容量确定</w:t>
      </w:r>
      <w:bookmarkEnd w:id="193"/>
      <w:bookmarkEnd w:id="194"/>
      <w:r>
        <w:rPr>
          <w:rFonts w:eastAsia="宋体"/>
          <w:szCs w:val="24"/>
        </w:rPr>
        <w:t>。在上述容量计算分析的基础上，扣除非点源污染影响部分，得出实际环境管理可利用的水环境容量。</w:t>
      </w:r>
    </w:p>
    <w:p>
      <w:pPr>
        <w:ind w:firstLine="480"/>
      </w:pPr>
    </w:p>
    <w:p>
      <w:pPr>
        <w:widowControl/>
        <w:spacing w:line="240" w:lineRule="auto"/>
        <w:ind w:firstLine="0" w:firstLineChars="0"/>
        <w:jc w:val="left"/>
      </w:pPr>
      <w:r>
        <w:br w:type="page"/>
      </w:r>
    </w:p>
    <w:p>
      <w:pPr>
        <w:pStyle w:val="2"/>
        <w:spacing w:after="156"/>
      </w:pPr>
      <w:bookmarkStart w:id="195" w:name="_Toc24029668"/>
      <w:bookmarkStart w:id="196" w:name="_Toc24032060"/>
      <w:bookmarkStart w:id="197" w:name="_Toc33204595"/>
      <w:r>
        <w:rPr>
          <w:rFonts w:hint="eastAsia"/>
        </w:rPr>
        <w:t>总体规划</w:t>
      </w:r>
      <w:bookmarkEnd w:id="195"/>
      <w:bookmarkEnd w:id="196"/>
      <w:bookmarkEnd w:id="197"/>
      <w:bookmarkStart w:id="198" w:name="_Toc24029474"/>
      <w:bookmarkEnd w:id="198"/>
      <w:bookmarkStart w:id="199" w:name="_Toc24029669"/>
      <w:bookmarkEnd w:id="199"/>
      <w:bookmarkStart w:id="200" w:name="_Toc24032061"/>
      <w:bookmarkEnd w:id="200"/>
      <w:bookmarkStart w:id="201" w:name="_Toc24029670"/>
      <w:bookmarkStart w:id="202" w:name="_Toc24032062"/>
    </w:p>
    <w:bookmarkEnd w:id="201"/>
    <w:bookmarkEnd w:id="202"/>
    <w:p>
      <w:pPr>
        <w:pStyle w:val="4"/>
        <w:spacing w:before="274" w:after="274"/>
      </w:pPr>
      <w:bookmarkStart w:id="203" w:name="_Toc24029671"/>
      <w:bookmarkStart w:id="204" w:name="_Toc24032063"/>
      <w:r>
        <w:rPr>
          <w:rFonts w:hint="eastAsia"/>
        </w:rPr>
        <w:t>规划目标与任务</w:t>
      </w:r>
      <w:bookmarkEnd w:id="203"/>
      <w:bookmarkEnd w:id="204"/>
    </w:p>
    <w:p>
      <w:pPr>
        <w:pStyle w:val="5"/>
        <w:numPr>
          <w:ilvl w:val="0"/>
          <w:numId w:val="0"/>
        </w:numPr>
        <w:jc w:val="both"/>
      </w:pPr>
      <w:r>
        <w:rPr>
          <w:rFonts w:hint="eastAsia"/>
          <w:b/>
          <w:bCs w:val="0"/>
        </w:rPr>
        <w:t>7</w:t>
      </w:r>
      <w:r>
        <w:rPr>
          <w:b/>
          <w:bCs w:val="0"/>
        </w:rPr>
        <w:t>.1.1</w:t>
      </w:r>
      <w:r>
        <w:t xml:space="preserve"> </w:t>
      </w:r>
      <w:r>
        <w:rPr>
          <w:rFonts w:hint="eastAsia"/>
        </w:rPr>
        <w:t>规划总体目标主要是明确不同地区</w:t>
      </w:r>
      <w:r>
        <w:t>适应与城市社会经济发展水平的规划设计目标。</w:t>
      </w:r>
      <w:r>
        <w:rPr>
          <w:rFonts w:hint="eastAsia"/>
        </w:rPr>
        <w:t>城市黑臭水体治理规划目标的拟定宜考虑以下方面内容:</w:t>
      </w:r>
    </w:p>
    <w:p>
      <w:pPr>
        <w:pStyle w:val="6"/>
        <w:numPr>
          <w:ilvl w:val="0"/>
          <w:numId w:val="57"/>
        </w:numPr>
        <w:spacing w:before="156" w:beforeLines="50"/>
        <w:ind w:left="0" w:firstLine="480" w:firstLineChars="200"/>
        <w:jc w:val="both"/>
      </w:pPr>
      <w:r>
        <w:rPr>
          <w:rFonts w:hint="eastAsia"/>
        </w:rPr>
        <w:t>所处地区、城市的经济与社会因素应与城市黑臭水体治理及水生态协调发展。</w:t>
      </w:r>
    </w:p>
    <w:p>
      <w:pPr>
        <w:pStyle w:val="6"/>
        <w:numPr>
          <w:ilvl w:val="0"/>
          <w:numId w:val="32"/>
        </w:numPr>
        <w:spacing w:before="156" w:beforeLines="50"/>
        <w:ind w:left="0" w:firstLine="480" w:firstLineChars="200"/>
        <w:jc w:val="both"/>
      </w:pPr>
      <w:r>
        <w:rPr>
          <w:rFonts w:hint="eastAsia"/>
        </w:rPr>
        <w:t>近期与远期的治理目标，应以近期为重点，近期目标宜尽量具体、明确。治理城市黑臭水体规划可按轻重缓急，迫切需要治理的任务可优先考虑。</w:t>
      </w:r>
    </w:p>
    <w:p>
      <w:pPr>
        <w:pStyle w:val="6"/>
        <w:numPr>
          <w:ilvl w:val="0"/>
          <w:numId w:val="32"/>
        </w:numPr>
        <w:spacing w:before="156" w:beforeLines="50"/>
        <w:ind w:left="0" w:firstLine="480" w:firstLineChars="200"/>
        <w:jc w:val="both"/>
      </w:pPr>
      <w:r>
        <w:rPr>
          <w:rFonts w:hint="eastAsia"/>
        </w:rPr>
        <w:t>结合城市黑臭水体现状及上游水系情况，拟定相应城市黑臭水体治理规划的具体目标。</w:t>
      </w:r>
    </w:p>
    <w:p>
      <w:pPr>
        <w:pStyle w:val="5"/>
        <w:numPr>
          <w:ilvl w:val="0"/>
          <w:numId w:val="0"/>
        </w:numPr>
        <w:jc w:val="both"/>
      </w:pPr>
      <w:r>
        <w:rPr>
          <w:b/>
          <w:bCs w:val="0"/>
        </w:rPr>
        <w:t>7.1.2</w:t>
      </w:r>
      <w:r>
        <w:rPr>
          <w:rFonts w:hint="eastAsia"/>
        </w:rPr>
        <w:t>规划水平年尽量与国民经济计划及国家长远规划的规划期保持一致，以增强规划的协调性以及有利于规划相关的各项资料的收集以及规划编制。</w:t>
      </w:r>
    </w:p>
    <w:p>
      <w:pPr>
        <w:pStyle w:val="4"/>
        <w:numPr>
          <w:ilvl w:val="1"/>
          <w:numId w:val="58"/>
        </w:numPr>
        <w:spacing w:before="274" w:after="274"/>
      </w:pPr>
      <w:bookmarkStart w:id="205" w:name="_Toc24029672"/>
      <w:bookmarkStart w:id="206" w:name="_Toc24032064"/>
      <w:r>
        <w:rPr>
          <w:rFonts w:hint="eastAsia"/>
        </w:rPr>
        <w:t>规划范围与规划水平年</w:t>
      </w:r>
      <w:bookmarkEnd w:id="205"/>
      <w:bookmarkEnd w:id="206"/>
    </w:p>
    <w:p>
      <w:pPr>
        <w:pStyle w:val="5"/>
        <w:numPr>
          <w:ilvl w:val="0"/>
          <w:numId w:val="0"/>
        </w:numPr>
        <w:jc w:val="both"/>
      </w:pPr>
      <w:r>
        <w:rPr>
          <w:rFonts w:hint="eastAsia"/>
          <w:b/>
          <w:bCs w:val="0"/>
        </w:rPr>
        <w:t>7</w:t>
      </w:r>
      <w:r>
        <w:rPr>
          <w:b/>
          <w:bCs w:val="0"/>
        </w:rPr>
        <w:t>.3.1</w:t>
      </w:r>
      <w:r>
        <w:t xml:space="preserve"> </w:t>
      </w:r>
      <w:r>
        <w:rPr>
          <w:rFonts w:hint="eastAsia"/>
        </w:rPr>
        <w:t>本条说明了城市黑臭水体治理规划编制的范围。综合考虑流域、水系及黑臭水体的主要污染源等，确定科学合理的、实际有效的规划范围。</w:t>
      </w:r>
    </w:p>
    <w:p>
      <w:pPr>
        <w:pStyle w:val="4"/>
        <w:numPr>
          <w:ilvl w:val="1"/>
          <w:numId w:val="59"/>
        </w:numPr>
        <w:spacing w:before="274" w:after="274"/>
      </w:pPr>
      <w:bookmarkStart w:id="207" w:name="_Toc24032067"/>
      <w:bookmarkStart w:id="208" w:name="_Toc24029675"/>
      <w:r>
        <w:rPr>
          <w:rFonts w:hint="eastAsia"/>
        </w:rPr>
        <w:t>总体布局</w:t>
      </w:r>
      <w:bookmarkEnd w:id="207"/>
      <w:bookmarkEnd w:id="208"/>
    </w:p>
    <w:p>
      <w:pPr>
        <w:pStyle w:val="5"/>
        <w:numPr>
          <w:ilvl w:val="0"/>
          <w:numId w:val="0"/>
        </w:numPr>
        <w:jc w:val="both"/>
      </w:pPr>
      <w:r>
        <w:rPr>
          <w:b/>
          <w:bCs w:val="0"/>
        </w:rPr>
        <w:t xml:space="preserve">7.4.2 </w:t>
      </w:r>
      <w:r>
        <w:rPr>
          <w:rFonts w:hint="eastAsia"/>
          <w:b/>
          <w:bCs w:val="0"/>
        </w:rPr>
        <w:t>~ 7.</w:t>
      </w:r>
      <w:r>
        <w:rPr>
          <w:b/>
          <w:bCs w:val="0"/>
        </w:rPr>
        <w:t>4</w:t>
      </w:r>
      <w:r>
        <w:rPr>
          <w:rFonts w:hint="eastAsia"/>
          <w:b/>
          <w:bCs w:val="0"/>
        </w:rPr>
        <w:t>.</w:t>
      </w:r>
      <w:r>
        <w:rPr>
          <w:b/>
          <w:bCs w:val="0"/>
        </w:rPr>
        <w:t>4</w:t>
      </w:r>
      <w:r>
        <w:rPr>
          <w:rFonts w:hint="eastAsia"/>
        </w:rPr>
        <w:t>本条说明了城市黑臭水体治理规划编制的总体布局原则。总体布局既要考虑水系上下游情况，又要考虑水体两岸污染源，根据治理目标与任务综合考虑总体布局。城市黑臭水体治理规划编制的总体布局应与城市整体发展相协调。</w:t>
      </w:r>
    </w:p>
    <w:p>
      <w:pPr>
        <w:widowControl/>
        <w:spacing w:line="240" w:lineRule="auto"/>
        <w:ind w:firstLine="0" w:firstLineChars="0"/>
        <w:jc w:val="left"/>
      </w:pPr>
      <w:r>
        <w:br w:type="page"/>
      </w:r>
    </w:p>
    <w:p>
      <w:pPr>
        <w:pStyle w:val="2"/>
        <w:spacing w:after="156"/>
      </w:pPr>
      <w:bookmarkStart w:id="209" w:name="_Toc24032068"/>
      <w:bookmarkStart w:id="210" w:name="_Toc33204596"/>
      <w:bookmarkStart w:id="211" w:name="_Toc24029676"/>
      <w:r>
        <w:rPr>
          <w:rFonts w:hint="eastAsia"/>
        </w:rPr>
        <w:t>治理方案</w:t>
      </w:r>
      <w:bookmarkEnd w:id="209"/>
      <w:bookmarkEnd w:id="210"/>
      <w:bookmarkEnd w:id="211"/>
    </w:p>
    <w:p>
      <w:pPr>
        <w:pStyle w:val="4"/>
        <w:spacing w:before="274" w:after="274"/>
      </w:pPr>
      <w:bookmarkStart w:id="212" w:name="_Toc24029490"/>
      <w:bookmarkEnd w:id="212"/>
      <w:bookmarkStart w:id="213" w:name="_Toc24029677"/>
      <w:bookmarkEnd w:id="213"/>
      <w:bookmarkStart w:id="214" w:name="_Toc24032069"/>
      <w:bookmarkEnd w:id="214"/>
      <w:bookmarkStart w:id="215" w:name="_Toc24029678"/>
      <w:bookmarkStart w:id="216" w:name="_Toc24032070"/>
      <w:r>
        <w:rPr>
          <w:rFonts w:hint="eastAsia"/>
        </w:rPr>
        <w:t>一般规定</w:t>
      </w:r>
      <w:bookmarkEnd w:id="215"/>
      <w:bookmarkEnd w:id="216"/>
      <w:r>
        <w:t xml:space="preserve"> </w:t>
      </w:r>
    </w:p>
    <w:p>
      <w:pPr>
        <w:pStyle w:val="5"/>
        <w:numPr>
          <w:ilvl w:val="0"/>
          <w:numId w:val="0"/>
        </w:numPr>
        <w:ind w:left="142"/>
      </w:pPr>
      <w:r>
        <w:rPr>
          <w:rFonts w:hint="eastAsia"/>
          <w:b/>
          <w:bCs w:val="0"/>
        </w:rPr>
        <w:t>8</w:t>
      </w:r>
      <w:r>
        <w:rPr>
          <w:b/>
          <w:bCs w:val="0"/>
        </w:rPr>
        <w:t>.1.3</w:t>
      </w:r>
      <w:r>
        <w:t xml:space="preserve"> </w:t>
      </w:r>
      <w:r>
        <w:rPr>
          <w:rFonts w:hint="eastAsia"/>
        </w:rPr>
        <w:t>本条提出近期及远期建设方案的原则及要求，其中涉及新建污水处理厂时应进行方案论证。</w:t>
      </w:r>
    </w:p>
    <w:p>
      <w:pPr>
        <w:pStyle w:val="4"/>
        <w:spacing w:before="274" w:after="274"/>
      </w:pPr>
      <w:bookmarkStart w:id="217" w:name="_Toc24029679"/>
      <w:bookmarkStart w:id="218" w:name="_Toc24032071"/>
      <w:r>
        <w:rPr>
          <w:rFonts w:hint="eastAsia"/>
        </w:rPr>
        <w:t>控源截污方案</w:t>
      </w:r>
      <w:bookmarkEnd w:id="217"/>
      <w:bookmarkEnd w:id="218"/>
    </w:p>
    <w:p>
      <w:pPr>
        <w:pStyle w:val="5"/>
        <w:numPr>
          <w:ilvl w:val="0"/>
          <w:numId w:val="0"/>
        </w:numPr>
        <w:jc w:val="both"/>
      </w:pPr>
      <w:r>
        <w:rPr>
          <w:rFonts w:hint="eastAsia"/>
          <w:b/>
          <w:bCs w:val="0"/>
        </w:rPr>
        <w:t>8</w:t>
      </w:r>
      <w:r>
        <w:rPr>
          <w:b/>
          <w:bCs w:val="0"/>
        </w:rPr>
        <w:t>.2.1</w:t>
      </w:r>
      <w:r>
        <w:t xml:space="preserve"> </w:t>
      </w:r>
      <w:r>
        <w:rPr>
          <w:rFonts w:hint="eastAsia"/>
        </w:rPr>
        <w:t>本条是关于控源截污方案的内容。控源截污亦可分为点源治理规划与面源管控规划。点源治理包括水体沿岸污水直排口、分流制雨水管道初期雨水、混流排放口、合流制系统沿岸溢流口等永久性工程治理。面源污染物控制应包括城市初期雨水、冰雪融水、畜禽养殖污水、地表固体废弃物、垃圾转运站等污染源的控制与治理。</w:t>
      </w:r>
    </w:p>
    <w:p>
      <w:pPr>
        <w:pStyle w:val="5"/>
        <w:numPr>
          <w:ilvl w:val="0"/>
          <w:numId w:val="0"/>
        </w:numPr>
        <w:jc w:val="both"/>
      </w:pPr>
      <w:r>
        <w:rPr>
          <w:b/>
          <w:bCs w:val="0"/>
        </w:rPr>
        <w:t>8.2.2</w:t>
      </w:r>
      <w:r>
        <w:rPr>
          <w:rFonts w:hint="eastAsia"/>
          <w:b/>
          <w:bCs w:val="0"/>
        </w:rPr>
        <w:t>~8.2.6</w:t>
      </w:r>
      <w:r>
        <w:rPr>
          <w:rFonts w:hint="eastAsia"/>
        </w:rPr>
        <w:t xml:space="preserve"> 截污管网规划方案应明确其排水体制、截流倍数/截流标准、管材、管径、附属构筑物应明确其布局、规模、收集范围、出路等。</w:t>
      </w:r>
    </w:p>
    <w:p>
      <w:pPr>
        <w:spacing w:before="50"/>
        <w:ind w:firstLine="480"/>
        <w:rPr>
          <w:rFonts w:eastAsia="宋体"/>
          <w:bCs/>
          <w:szCs w:val="32"/>
        </w:rPr>
      </w:pPr>
      <w:r>
        <w:rPr>
          <w:rFonts w:hint="eastAsia" w:eastAsia="宋体"/>
          <w:bCs/>
          <w:szCs w:val="32"/>
        </w:rPr>
        <w:t>现状已建排水管道及检查井如存在漏损等情况，应提出修复方案。</w:t>
      </w:r>
    </w:p>
    <w:p>
      <w:pPr>
        <w:spacing w:before="50"/>
        <w:ind w:firstLine="480"/>
        <w:rPr>
          <w:rFonts w:eastAsia="宋体"/>
          <w:bCs/>
          <w:szCs w:val="32"/>
        </w:rPr>
      </w:pPr>
      <w:r>
        <w:rPr>
          <w:rFonts w:hint="eastAsia" w:eastAsia="宋体"/>
          <w:bCs/>
          <w:szCs w:val="32"/>
        </w:rPr>
        <w:t>调蓄池的位置，应根据排水体制、管网情况、溢流管下游水位高程和周围环境等综合考虑后确定，有条件的地区可采用数学模型进行设计方案优化。调蓄池的埋深宜根据上下游排水管道的埋深，综合考虑工程用地、工程投资、施工难度、运行能耗等因素后确定。</w:t>
      </w:r>
    </w:p>
    <w:p>
      <w:pPr>
        <w:pStyle w:val="4"/>
        <w:spacing w:before="274" w:after="274"/>
      </w:pPr>
      <w:bookmarkStart w:id="219" w:name="_Toc24029680"/>
      <w:bookmarkStart w:id="220" w:name="_Toc24032072"/>
      <w:r>
        <w:rPr>
          <w:rFonts w:hint="eastAsia"/>
        </w:rPr>
        <w:t>内源治理方案</w:t>
      </w:r>
      <w:bookmarkEnd w:id="219"/>
      <w:bookmarkEnd w:id="220"/>
    </w:p>
    <w:p>
      <w:pPr>
        <w:pStyle w:val="5"/>
        <w:numPr>
          <w:ilvl w:val="0"/>
          <w:numId w:val="0"/>
        </w:numPr>
        <w:jc w:val="both"/>
      </w:pPr>
      <w:r>
        <w:rPr>
          <w:rFonts w:hint="eastAsia"/>
          <w:b/>
          <w:bCs w:val="0"/>
        </w:rPr>
        <w:t>8</w:t>
      </w:r>
      <w:r>
        <w:rPr>
          <w:b/>
          <w:bCs w:val="0"/>
        </w:rPr>
        <w:t>.3.2</w:t>
      </w:r>
      <w:r>
        <w:t xml:space="preserve"> </w:t>
      </w:r>
      <w:r>
        <w:rPr>
          <w:rFonts w:hint="eastAsia"/>
        </w:rPr>
        <w:t>生物残体及漂浮物清理应包括水生植物、岸带植物等季节性的水体内源污染物，也包括落叶、塑料袋及其他生活垃圾等长期性的水体内源污染物，应提出管控措施。</w:t>
      </w:r>
    </w:p>
    <w:p>
      <w:pPr>
        <w:pStyle w:val="5"/>
        <w:numPr>
          <w:ilvl w:val="0"/>
          <w:numId w:val="0"/>
        </w:numPr>
        <w:jc w:val="both"/>
      </w:pPr>
      <w:r>
        <w:rPr>
          <w:rFonts w:hint="eastAsia"/>
          <w:b/>
          <w:bCs w:val="0"/>
        </w:rPr>
        <w:t>8</w:t>
      </w:r>
      <w:r>
        <w:rPr>
          <w:b/>
          <w:bCs w:val="0"/>
        </w:rPr>
        <w:t>.3.3</w:t>
      </w:r>
      <w:r>
        <w:rPr>
          <w:rFonts w:hint="eastAsia"/>
          <w:b/>
          <w:bCs w:val="0"/>
        </w:rPr>
        <w:t>~</w:t>
      </w:r>
      <w:r>
        <w:rPr>
          <w:b/>
          <w:bCs w:val="0"/>
        </w:rPr>
        <w:t>8.3.4</w:t>
      </w:r>
      <w:r>
        <w:t xml:space="preserve"> </w:t>
      </w:r>
      <w:r>
        <w:rPr>
          <w:rFonts w:hint="eastAsia"/>
        </w:rPr>
        <w:t>清淤前，需做好底泥污染调查，明确疏浚范围和疏浚深度；根据当地气候和降雨特征，合理选择底泥清淤季节；清淤工作不得影响水生生物生长；清淤后回水水质应满足“无黑臭”的指标要求。</w:t>
      </w:r>
    </w:p>
    <w:p>
      <w:pPr>
        <w:pStyle w:val="5"/>
        <w:numPr>
          <w:ilvl w:val="0"/>
          <w:numId w:val="0"/>
        </w:numPr>
        <w:jc w:val="both"/>
      </w:pPr>
      <w:r>
        <w:rPr>
          <w:rFonts w:hint="eastAsia"/>
          <w:b/>
          <w:bCs w:val="0"/>
        </w:rPr>
        <w:t>8</w:t>
      </w:r>
      <w:r>
        <w:rPr>
          <w:b/>
          <w:bCs w:val="0"/>
        </w:rPr>
        <w:t>.3.4</w:t>
      </w:r>
      <w:r>
        <w:t xml:space="preserve"> </w:t>
      </w:r>
      <w:r>
        <w:rPr>
          <w:rFonts w:hint="eastAsia"/>
        </w:rPr>
        <w:t>本条提出了清淤原则及所包含的内容，其中明确了对内源污染治理产出物的处置方案应进行论证的要求。</w:t>
      </w:r>
    </w:p>
    <w:p>
      <w:pPr>
        <w:pStyle w:val="4"/>
        <w:spacing w:before="274" w:after="274"/>
      </w:pPr>
      <w:bookmarkStart w:id="221" w:name="_Toc24029681"/>
      <w:bookmarkStart w:id="222" w:name="_Toc24032073"/>
      <w:r>
        <w:rPr>
          <w:rFonts w:hint="eastAsia"/>
        </w:rPr>
        <w:t>生态修复规划</w:t>
      </w:r>
      <w:bookmarkEnd w:id="221"/>
      <w:bookmarkEnd w:id="222"/>
    </w:p>
    <w:p>
      <w:pPr>
        <w:pStyle w:val="5"/>
        <w:numPr>
          <w:ilvl w:val="0"/>
          <w:numId w:val="0"/>
        </w:numPr>
      </w:pPr>
      <w:r>
        <w:rPr>
          <w:rFonts w:hint="eastAsia"/>
          <w:b/>
          <w:bCs w:val="0"/>
        </w:rPr>
        <w:t>8</w:t>
      </w:r>
      <w:r>
        <w:rPr>
          <w:b/>
          <w:bCs w:val="0"/>
        </w:rPr>
        <w:t>.4.3</w:t>
      </w:r>
      <w:r>
        <w:t xml:space="preserve">  </w:t>
      </w:r>
      <w:r>
        <w:rPr>
          <w:rFonts w:hint="eastAsia"/>
        </w:rPr>
        <w:t>河道生态治理措施规划应根据适用条件，选择生态护岸、生态浮岛、水生植物、水生动物、人工增氧、人工湿地、微生物技术、生物操控技术等多种措施中的部分措施组合，形成生态治理系统方案。</w:t>
      </w:r>
    </w:p>
    <w:p>
      <w:pPr>
        <w:pStyle w:val="5"/>
        <w:numPr>
          <w:ilvl w:val="0"/>
          <w:numId w:val="0"/>
        </w:numPr>
        <w:ind w:firstLine="480" w:firstLineChars="200"/>
      </w:pPr>
      <w:r>
        <w:rPr>
          <w:rFonts w:hint="eastAsia"/>
        </w:rPr>
        <w:t>在满足人类需求的前提下，最小化工程措施对河流的生态系统冲击，创造适于动物栖息及植物生长、微生物生存所需要的多样性生境。在满足河岸稳定的基础上，尽量采用生态护坡形式。在条件允许时，应优先采用斜坡式结构。硬质护岸改造可在临水侧河底、挡墙外延面设置种植槽，不可影响到护岸原有结构的强度和稳定。生态护岸方案应包括生态护岸的类型、材质、植物配置等措施细节。</w:t>
      </w:r>
    </w:p>
    <w:p>
      <w:pPr>
        <w:pStyle w:val="5"/>
        <w:numPr>
          <w:ilvl w:val="0"/>
          <w:numId w:val="0"/>
        </w:numPr>
        <w:ind w:firstLine="480" w:firstLineChars="200"/>
      </w:pPr>
      <w:r>
        <w:rPr>
          <w:rFonts w:hint="eastAsia"/>
        </w:rPr>
        <w:t>生态浮岛适用于水深较深、无风种植或成活水生植物、流速较慢，污染源已被控制的水体。生态浮岛在水面的覆盖率不宜超过20%~30%，植物的选择需综合考虑景观效果、对污染物吸收和适应来确定，优先选择本土植物。需注意浮岛结构的稳定性和耐久性。方案需考虑浮岛的固定受风浪、河道流速的影响，以及浮岛的管理维护。生态浮岛方案，应包括生态浮岛的材质、植物配置、面积、固定方式等措施细节。</w:t>
      </w:r>
    </w:p>
    <w:p>
      <w:pPr>
        <w:pStyle w:val="5"/>
        <w:numPr>
          <w:ilvl w:val="0"/>
          <w:numId w:val="0"/>
        </w:numPr>
        <w:ind w:firstLine="480" w:firstLineChars="200"/>
      </w:pPr>
      <w:r>
        <w:rPr>
          <w:rFonts w:hint="eastAsia"/>
        </w:rPr>
        <w:t>水生植物不同生态类群的配置原则，从河道沿岸向水体深处依次为挺水植物、浮叶植物和沉水植物。漂浮植物的配置不受水体深度的影响。应根据河道水深、水质、透明度、流速、风浪等实际状况，结合水生植物生长习性，尽可能构建近自然的、存活期长的稳定植物群落，体现挺水植物、浮叶植物、漂浮植物和沉水植物多种生态类型的交替变化过程，以提高生态系统的稳定性和多样性。水生植物方案，应包括水生植物种植面积、植物配置等措施细节。</w:t>
      </w:r>
    </w:p>
    <w:p>
      <w:pPr>
        <w:pStyle w:val="5"/>
        <w:numPr>
          <w:ilvl w:val="0"/>
          <w:numId w:val="0"/>
        </w:numPr>
        <w:ind w:firstLine="480" w:firstLineChars="200"/>
      </w:pPr>
      <w:r>
        <w:rPr>
          <w:rFonts w:hint="eastAsia"/>
        </w:rPr>
        <w:t>人工增氧宜结合提升水动力措施。人工增氧方案，应包括人工增氧的类型、充氧能力、设备功率、覆盖范围及安装形式等措施细节。</w:t>
      </w:r>
    </w:p>
    <w:p>
      <w:pPr>
        <w:pStyle w:val="4"/>
        <w:spacing w:before="274" w:after="274"/>
      </w:pPr>
      <w:bookmarkStart w:id="223" w:name="_Toc24029682"/>
      <w:bookmarkStart w:id="224" w:name="_Toc24032074"/>
      <w:r>
        <w:rPr>
          <w:rFonts w:hint="eastAsia"/>
        </w:rPr>
        <w:t>活水提质规划</w:t>
      </w:r>
      <w:bookmarkEnd w:id="223"/>
      <w:bookmarkEnd w:id="224"/>
    </w:p>
    <w:p>
      <w:pPr>
        <w:pStyle w:val="5"/>
        <w:numPr>
          <w:ilvl w:val="0"/>
          <w:numId w:val="0"/>
        </w:numPr>
        <w:jc w:val="both"/>
      </w:pPr>
      <w:r>
        <w:rPr>
          <w:rFonts w:hint="eastAsia"/>
          <w:b/>
          <w:bCs w:val="0"/>
        </w:rPr>
        <w:t>8</w:t>
      </w:r>
      <w:r>
        <w:rPr>
          <w:b/>
          <w:bCs w:val="0"/>
        </w:rPr>
        <w:t>.5.2</w:t>
      </w:r>
      <w:r>
        <w:t xml:space="preserve">  </w:t>
      </w:r>
      <w:r>
        <w:rPr>
          <w:rFonts w:hint="eastAsia"/>
        </w:rPr>
        <w:t>活水循环的目的是提高水的流动性，</w:t>
      </w:r>
      <w:bookmarkStart w:id="225" w:name="_Hlk32919386"/>
      <w:r>
        <w:rPr>
          <w:rFonts w:hint="eastAsia"/>
        </w:rPr>
        <w:t>应符合</w:t>
      </w:r>
      <w:bookmarkStart w:id="226" w:name="_Hlk32919066"/>
      <w:r>
        <w:rPr>
          <w:rFonts w:hint="eastAsia"/>
        </w:rPr>
        <w:t>《室外排水设计规范（2016版）》</w:t>
      </w:r>
      <w:bookmarkEnd w:id="226"/>
      <w:r>
        <w:rPr>
          <w:rFonts w:hint="eastAsia"/>
        </w:rPr>
        <w:t>GB50014、</w:t>
      </w:r>
      <w:bookmarkStart w:id="227" w:name="_Hlk32919018"/>
      <w:r>
        <w:rPr>
          <w:rFonts w:hint="eastAsia"/>
        </w:rPr>
        <w:t>《河湖生态环境需水计算规范》</w:t>
      </w:r>
      <w:bookmarkEnd w:id="227"/>
      <w:r>
        <w:rPr>
          <w:rFonts w:hint="eastAsia"/>
        </w:rPr>
        <w:t>SLZ712、</w:t>
      </w:r>
      <w:bookmarkStart w:id="228" w:name="_Hlk32919032"/>
      <w:r>
        <w:rPr>
          <w:rFonts w:hint="eastAsia"/>
        </w:rPr>
        <w:t>《河湖生态修复与保护规划编制导则》</w:t>
      </w:r>
      <w:bookmarkEnd w:id="228"/>
      <w:r>
        <w:rPr>
          <w:rFonts w:hint="eastAsia"/>
        </w:rPr>
        <w:t>的规定</w:t>
      </w:r>
      <w:bookmarkEnd w:id="225"/>
      <w:r>
        <w:rPr>
          <w:rFonts w:hint="eastAsia"/>
        </w:rPr>
        <w:t>。通过设置提升泵站、水系合理连通、利用风力或太阳能等方式，实现水体流动；非雨季时可利用水体周边的雨水泵站或雨水管道作为回水系统；应关注循环水出水口设置，以降低循环出水对河床或湖底的冲刷。活水循环方案，应包括泵站的位置、提升流量、提升高度、功率等</w:t>
      </w:r>
      <w:r>
        <w:t>措施细节</w:t>
      </w:r>
      <w:r>
        <w:rPr>
          <w:rFonts w:hint="eastAsia"/>
        </w:rPr>
        <w:t>。</w:t>
      </w:r>
    </w:p>
    <w:p>
      <w:pPr>
        <w:pStyle w:val="5"/>
        <w:numPr>
          <w:ilvl w:val="0"/>
          <w:numId w:val="0"/>
        </w:numPr>
        <w:jc w:val="both"/>
      </w:pPr>
      <w:r>
        <w:rPr>
          <w:rFonts w:hint="eastAsia"/>
          <w:b/>
          <w:bCs w:val="0"/>
        </w:rPr>
        <w:t>8</w:t>
      </w:r>
      <w:r>
        <w:rPr>
          <w:b/>
          <w:bCs w:val="0"/>
        </w:rPr>
        <w:t>.5.3</w:t>
      </w:r>
      <w:r>
        <w:rPr>
          <w:rFonts w:hint="eastAsia"/>
          <w:b/>
          <w:bCs w:val="0"/>
        </w:rPr>
        <w:t>~</w:t>
      </w:r>
      <w:r>
        <w:rPr>
          <w:b/>
          <w:bCs w:val="0"/>
        </w:rPr>
        <w:t>8.5.7</w:t>
      </w:r>
      <w:r>
        <w:t xml:space="preserve">  </w:t>
      </w:r>
      <w:r>
        <w:rPr>
          <w:rFonts w:hint="eastAsia"/>
        </w:rPr>
        <w:t>清水补给利用城市再生水、城市雨洪水、清洁地表水、污水厂出水和远水调水等作为城市水体的补充水源，增加水体流动性和环境容量。充分发挥海绵城市建设的作用，强化城市降雨径流的滞蓄和净化；清洁地表水的开发和利用需关注水量的动态平衡，避免影响或破坏周边水体功能；再生水补水应采取适宜的深度净化措施，以满足补水水质要求。清水补给方案，应包括补充水源的位置、水量、水质、补水点、流经线路、管控措施等措施细节。</w:t>
      </w:r>
    </w:p>
    <w:p>
      <w:pPr>
        <w:pStyle w:val="5"/>
        <w:numPr>
          <w:ilvl w:val="0"/>
          <w:numId w:val="0"/>
        </w:numPr>
        <w:jc w:val="both"/>
      </w:pPr>
      <w:r>
        <w:rPr>
          <w:rFonts w:hint="eastAsia"/>
          <w:b/>
          <w:bCs w:val="0"/>
        </w:rPr>
        <w:t>8</w:t>
      </w:r>
      <w:r>
        <w:rPr>
          <w:b/>
          <w:bCs w:val="0"/>
        </w:rPr>
        <w:t>.5.8</w:t>
      </w:r>
      <w:r>
        <w:t xml:space="preserve">  </w:t>
      </w:r>
      <w:r>
        <w:rPr>
          <w:rFonts w:hint="eastAsia"/>
        </w:rPr>
        <w:t>旁路治理在水体周边区域设置适宜的处理设施，从污染最严重的区段抽取河水，经处理设施净化后，排放至另一端，实现水体的净化和循环流动；临时性治理措施需考虑后期绿化或道路恢复，长期治理措施需考虑与周边景观的有效融合。处理设施按污染物去除方法，分生化、物理、化学方法等不同类型。应根据污染物的种类和去除要求，选择合适的旁路治理方式。旁路治理方案，应确定日取水量、取水点和排水点位置、污染负荷、出水水质、占地面积及运营费用等措施细节。</w:t>
      </w:r>
    </w:p>
    <w:p>
      <w:pPr>
        <w:widowControl/>
        <w:spacing w:line="240" w:lineRule="auto"/>
        <w:ind w:firstLine="0" w:firstLineChars="0"/>
        <w:jc w:val="left"/>
        <w:rPr>
          <w:rFonts w:eastAsia="黑体" w:cs="Times New Roman"/>
          <w:b/>
          <w:kern w:val="0"/>
          <w:sz w:val="36"/>
        </w:rPr>
      </w:pPr>
      <w:r>
        <w:rPr>
          <w:rFonts w:cs="Times New Roman"/>
        </w:rPr>
        <w:br w:type="page"/>
      </w:r>
    </w:p>
    <w:p>
      <w:pPr>
        <w:pStyle w:val="2"/>
        <w:spacing w:after="156"/>
      </w:pPr>
      <w:bookmarkStart w:id="229" w:name="_Toc33204597"/>
      <w:bookmarkStart w:id="230" w:name="_Toc24032075"/>
      <w:bookmarkStart w:id="231" w:name="_Toc24029683"/>
      <w:r>
        <w:rPr>
          <w:rFonts w:hint="eastAsia"/>
        </w:rPr>
        <w:t>投资估算</w:t>
      </w:r>
      <w:bookmarkEnd w:id="229"/>
      <w:bookmarkEnd w:id="230"/>
      <w:bookmarkEnd w:id="231"/>
      <w:bookmarkStart w:id="232" w:name="_Toc24032076"/>
      <w:bookmarkEnd w:id="232"/>
      <w:bookmarkStart w:id="233" w:name="_Toc24029513"/>
      <w:bookmarkEnd w:id="233"/>
      <w:bookmarkStart w:id="234" w:name="_Toc24029684"/>
      <w:bookmarkEnd w:id="234"/>
    </w:p>
    <w:p>
      <w:pPr>
        <w:pStyle w:val="5"/>
        <w:numPr>
          <w:ilvl w:val="0"/>
          <w:numId w:val="0"/>
        </w:numPr>
        <w:jc w:val="both"/>
      </w:pPr>
      <w:r>
        <w:rPr>
          <w:b/>
          <w:bCs w:val="0"/>
        </w:rPr>
        <w:t>9.0.2</w:t>
      </w:r>
      <w:r>
        <w:t xml:space="preserve"> </w:t>
      </w:r>
      <w:r>
        <w:rPr>
          <w:rFonts w:hint="eastAsia"/>
        </w:rPr>
        <w:t>投资估算编制依据包括如下方面：</w:t>
      </w:r>
    </w:p>
    <w:p>
      <w:pPr>
        <w:spacing w:before="156" w:beforeLines="50"/>
        <w:ind w:firstLine="480"/>
        <w:rPr>
          <w:rFonts w:eastAsia="宋体"/>
          <w:bCs/>
          <w:szCs w:val="32"/>
        </w:rPr>
      </w:pPr>
      <w:r>
        <w:rPr>
          <w:rFonts w:hint="eastAsia" w:eastAsia="宋体"/>
          <w:bCs/>
          <w:szCs w:val="32"/>
        </w:rPr>
        <w:t>1 国家和主管部门发布的有关法律、法规、规则、规程等。</w:t>
      </w:r>
    </w:p>
    <w:p>
      <w:pPr>
        <w:spacing w:before="156" w:beforeLines="50"/>
        <w:ind w:firstLine="480"/>
        <w:rPr>
          <w:rFonts w:eastAsia="宋体"/>
          <w:bCs/>
          <w:szCs w:val="32"/>
        </w:rPr>
      </w:pPr>
      <w:r>
        <w:rPr>
          <w:rFonts w:hint="eastAsia" w:eastAsia="宋体"/>
          <w:bCs/>
          <w:szCs w:val="32"/>
        </w:rPr>
        <w:t>2 部门或地区发布的投资估算指标及建筑、安装工程定额或指标。</w:t>
      </w:r>
    </w:p>
    <w:p>
      <w:pPr>
        <w:spacing w:before="156" w:beforeLines="50"/>
        <w:ind w:firstLine="480"/>
        <w:rPr>
          <w:rFonts w:eastAsia="宋体"/>
          <w:bCs/>
          <w:szCs w:val="32"/>
        </w:rPr>
      </w:pPr>
      <w:r>
        <w:rPr>
          <w:rFonts w:hint="eastAsia" w:eastAsia="宋体"/>
          <w:bCs/>
          <w:szCs w:val="32"/>
        </w:rPr>
        <w:t>3 工程所在地区建设行政主管部门发布的人工、设备、材料价格、造价指数等。</w:t>
      </w:r>
    </w:p>
    <w:p>
      <w:pPr>
        <w:spacing w:before="156" w:beforeLines="50"/>
        <w:ind w:firstLine="480"/>
      </w:pPr>
      <w:r>
        <w:rPr>
          <w:rFonts w:hint="eastAsia" w:eastAsia="宋体"/>
          <w:bCs/>
          <w:szCs w:val="32"/>
        </w:rPr>
        <w:t>4 工程建设其他费用内容及费率标准。</w:t>
      </w:r>
      <w:r>
        <w:tab/>
      </w:r>
      <w:bookmarkStart w:id="235" w:name="_Toc24029516"/>
      <w:bookmarkEnd w:id="235"/>
      <w:bookmarkStart w:id="236" w:name="_Toc24029517"/>
      <w:bookmarkEnd w:id="236"/>
    </w:p>
    <w:p>
      <w:pPr>
        <w:widowControl/>
        <w:spacing w:line="240" w:lineRule="auto"/>
        <w:ind w:firstLine="0" w:firstLineChars="0"/>
        <w:jc w:val="left"/>
      </w:pPr>
    </w:p>
    <w:p>
      <w:pPr>
        <w:widowControl/>
        <w:spacing w:line="240" w:lineRule="auto"/>
        <w:ind w:firstLine="0" w:firstLineChars="0"/>
        <w:jc w:val="left"/>
        <w:rPr>
          <w:rFonts w:eastAsia="黑体" w:cs="Times New Roman"/>
          <w:b/>
          <w:kern w:val="0"/>
          <w:sz w:val="36"/>
        </w:rPr>
      </w:pPr>
      <w:r>
        <w:rPr>
          <w:rFonts w:cs="Times New Roman"/>
        </w:rPr>
        <w:br w:type="page"/>
      </w:r>
    </w:p>
    <w:p>
      <w:pPr>
        <w:pStyle w:val="2"/>
        <w:spacing w:after="156"/>
      </w:pPr>
      <w:bookmarkStart w:id="237" w:name="_Toc24032078"/>
      <w:bookmarkStart w:id="238" w:name="_Toc33204598"/>
      <w:bookmarkStart w:id="239" w:name="_Toc24029686"/>
      <w:r>
        <w:rPr>
          <w:rFonts w:hint="eastAsia"/>
        </w:rPr>
        <w:t>非工程治理措施方案</w:t>
      </w:r>
      <w:bookmarkEnd w:id="237"/>
      <w:bookmarkEnd w:id="238"/>
      <w:bookmarkEnd w:id="239"/>
    </w:p>
    <w:p>
      <w:pPr>
        <w:pStyle w:val="4"/>
        <w:spacing w:before="274" w:after="274"/>
      </w:pPr>
      <w:bookmarkStart w:id="240" w:name="_Toc24029520"/>
      <w:bookmarkEnd w:id="240"/>
      <w:bookmarkStart w:id="241" w:name="_Toc24029687"/>
      <w:bookmarkEnd w:id="241"/>
      <w:bookmarkStart w:id="242" w:name="_Toc24032079"/>
      <w:bookmarkEnd w:id="242"/>
      <w:bookmarkStart w:id="243" w:name="_Toc24029691"/>
      <w:bookmarkStart w:id="244" w:name="_Toc24032083"/>
      <w:r>
        <w:rPr>
          <w:rFonts w:hint="eastAsia"/>
        </w:rPr>
        <w:t>综合管理方案</w:t>
      </w:r>
      <w:bookmarkEnd w:id="243"/>
      <w:bookmarkEnd w:id="244"/>
    </w:p>
    <w:p>
      <w:pPr>
        <w:pStyle w:val="5"/>
        <w:numPr>
          <w:ilvl w:val="0"/>
          <w:numId w:val="0"/>
        </w:numPr>
        <w:jc w:val="both"/>
      </w:pPr>
      <w:r>
        <w:rPr>
          <w:rFonts w:hint="eastAsia"/>
          <w:b/>
          <w:bCs w:val="0"/>
        </w:rPr>
        <w:t>1</w:t>
      </w:r>
      <w:r>
        <w:rPr>
          <w:b/>
          <w:bCs w:val="0"/>
        </w:rPr>
        <w:t>0.1.1</w:t>
      </w:r>
      <w:r>
        <w:t xml:space="preserve"> </w:t>
      </w:r>
      <w:r>
        <w:rPr>
          <w:rFonts w:hint="eastAsia"/>
        </w:rPr>
        <w:t>综合管理机制内容丰富，是配合工程治理方案运用和保障工程治理方案正常运行的重要条件，同时也是工作中的重点和难度。</w:t>
      </w:r>
    </w:p>
    <w:p>
      <w:pPr>
        <w:pStyle w:val="5"/>
        <w:numPr>
          <w:ilvl w:val="0"/>
          <w:numId w:val="0"/>
        </w:numPr>
        <w:jc w:val="both"/>
      </w:pPr>
      <w:r>
        <w:rPr>
          <w:b/>
          <w:bCs w:val="0"/>
        </w:rPr>
        <w:t>10.1.2</w:t>
      </w:r>
      <w:r>
        <w:rPr>
          <w:rFonts w:hint="eastAsia"/>
          <w:b/>
          <w:bCs w:val="0"/>
        </w:rPr>
        <w:t>~10.1.6</w:t>
      </w:r>
      <w:r>
        <w:rPr>
          <w:b/>
          <w:bCs w:val="0"/>
        </w:rPr>
        <w:t xml:space="preserve"> </w:t>
      </w:r>
      <w:r>
        <w:rPr>
          <w:rFonts w:hint="eastAsia"/>
        </w:rPr>
        <w:t>城市水体治理综合规划设计涉及面较广，提出建立跨部门、跨区域、跨行业的水环境保护与水污染防治的协调、协商、协作机制的初步设想，并针对突出问题提出建立协作机制的方式、模式。</w:t>
      </w:r>
    </w:p>
    <w:p>
      <w:pPr>
        <w:pStyle w:val="4"/>
        <w:spacing w:before="274" w:after="274"/>
      </w:pPr>
      <w:bookmarkStart w:id="245" w:name="_Toc24029692"/>
      <w:bookmarkStart w:id="246" w:name="_Toc24032084"/>
      <w:r>
        <w:rPr>
          <w:rFonts w:hint="eastAsia"/>
        </w:rPr>
        <w:t>信息管控方案</w:t>
      </w:r>
      <w:bookmarkEnd w:id="245"/>
      <w:bookmarkEnd w:id="246"/>
    </w:p>
    <w:p>
      <w:pPr>
        <w:pStyle w:val="5"/>
        <w:numPr>
          <w:ilvl w:val="0"/>
          <w:numId w:val="0"/>
        </w:numPr>
        <w:jc w:val="both"/>
      </w:pPr>
      <w:r>
        <w:rPr>
          <w:rFonts w:hint="eastAsia"/>
          <w:b/>
          <w:bCs w:val="0"/>
        </w:rPr>
        <w:t>1</w:t>
      </w:r>
      <w:r>
        <w:rPr>
          <w:b/>
          <w:bCs w:val="0"/>
        </w:rPr>
        <w:t xml:space="preserve">0.2.1 </w:t>
      </w:r>
      <w:r>
        <w:rPr>
          <w:rFonts w:hint="eastAsia"/>
        </w:rPr>
        <w:t>以城市水体整体治理为核心，充分应用现代信息技术，围绕水体修复，水质在线监测，水体生态恢复等需求，明确数据采集、网络传输、数据挖掘、模拟仿真、业务支撑和公务服务等水体信息化的方向和重点。结合现状普查，加强普查数据的采集与管理，确保数据系统性、完整性、准确性，为建立黑臭水体的数字信息化管控平台创造条件。</w:t>
      </w:r>
    </w:p>
    <w:p>
      <w:pPr>
        <w:pStyle w:val="5"/>
        <w:numPr>
          <w:ilvl w:val="0"/>
          <w:numId w:val="0"/>
        </w:numPr>
        <w:jc w:val="both"/>
      </w:pPr>
      <w:r>
        <w:rPr>
          <w:b/>
          <w:bCs w:val="0"/>
        </w:rPr>
        <w:t xml:space="preserve">10.2.3 </w:t>
      </w:r>
      <w:r>
        <w:rPr>
          <w:rFonts w:hint="eastAsia"/>
        </w:rPr>
        <w:t>根据不同规划设计水平年，按照《地表水和污水监测技术规范》HJ/T 91、《水污染物排放总量监测技术规范》HJ/T92等技术规范的要求，提出水文、水质监测站网布设情况。</w:t>
      </w:r>
    </w:p>
    <w:p>
      <w:pPr>
        <w:pStyle w:val="5"/>
        <w:numPr>
          <w:ilvl w:val="0"/>
          <w:numId w:val="0"/>
        </w:numPr>
        <w:ind w:firstLine="480" w:firstLineChars="200"/>
        <w:jc w:val="both"/>
      </w:pPr>
      <w:r>
        <w:rPr>
          <w:rFonts w:hint="eastAsia"/>
        </w:rPr>
        <w:t>水文、水质监测站网建设方案是根据综合治理要求，结合城市水文测报、环境监测等监测预警系统现状进行规划的，规划包括以下主要内容：</w:t>
      </w:r>
    </w:p>
    <w:p>
      <w:pPr>
        <w:pStyle w:val="60"/>
        <w:numPr>
          <w:ilvl w:val="0"/>
          <w:numId w:val="60"/>
        </w:numPr>
        <w:spacing w:before="156" w:beforeLines="50"/>
        <w:rPr>
          <w:bCs/>
          <w:szCs w:val="32"/>
        </w:rPr>
      </w:pPr>
      <w:r>
        <w:rPr>
          <w:rFonts w:hint="eastAsia"/>
          <w:bCs/>
          <w:szCs w:val="32"/>
        </w:rPr>
        <w:t>总体功能、系统结构；</w:t>
      </w:r>
    </w:p>
    <w:p>
      <w:pPr>
        <w:pStyle w:val="60"/>
        <w:numPr>
          <w:ilvl w:val="0"/>
          <w:numId w:val="60"/>
        </w:numPr>
        <w:spacing w:before="156" w:beforeLines="50"/>
        <w:rPr>
          <w:bCs/>
          <w:szCs w:val="32"/>
        </w:rPr>
      </w:pPr>
      <w:r>
        <w:rPr>
          <w:rFonts w:hint="eastAsia"/>
          <w:bCs/>
          <w:szCs w:val="32"/>
        </w:rPr>
        <w:t>监测站网布设、通信组网、设备配置；</w:t>
      </w:r>
    </w:p>
    <w:p>
      <w:pPr>
        <w:pStyle w:val="60"/>
        <w:numPr>
          <w:ilvl w:val="0"/>
          <w:numId w:val="60"/>
        </w:numPr>
        <w:spacing w:before="156" w:beforeLines="50"/>
        <w:rPr>
          <w:bCs/>
          <w:szCs w:val="32"/>
        </w:rPr>
      </w:pPr>
      <w:r>
        <w:rPr>
          <w:rFonts w:hint="eastAsia"/>
          <w:bCs/>
          <w:szCs w:val="32"/>
        </w:rPr>
        <w:t>信息平台的计算机网络配置；</w:t>
      </w:r>
    </w:p>
    <w:p>
      <w:pPr>
        <w:pStyle w:val="60"/>
        <w:numPr>
          <w:ilvl w:val="0"/>
          <w:numId w:val="60"/>
        </w:numPr>
        <w:spacing w:before="156" w:beforeLines="50"/>
        <w:rPr>
          <w:bCs/>
          <w:szCs w:val="32"/>
        </w:rPr>
      </w:pPr>
      <w:r>
        <w:rPr>
          <w:rFonts w:hint="eastAsia"/>
          <w:bCs/>
          <w:szCs w:val="32"/>
        </w:rPr>
        <w:t>信息处理与信息发布；</w:t>
      </w:r>
    </w:p>
    <w:p>
      <w:pPr>
        <w:pStyle w:val="60"/>
        <w:numPr>
          <w:ilvl w:val="0"/>
          <w:numId w:val="60"/>
        </w:numPr>
        <w:spacing w:before="156" w:beforeLines="50"/>
        <w:rPr>
          <w:bCs/>
          <w:szCs w:val="32"/>
        </w:rPr>
      </w:pPr>
      <w:r>
        <w:rPr>
          <w:rFonts w:hint="eastAsia"/>
          <w:bCs/>
          <w:szCs w:val="32"/>
        </w:rPr>
        <w:t>预报预警方案；</w:t>
      </w:r>
    </w:p>
    <w:p>
      <w:pPr>
        <w:pStyle w:val="60"/>
        <w:numPr>
          <w:ilvl w:val="0"/>
          <w:numId w:val="60"/>
        </w:numPr>
        <w:spacing w:before="156" w:beforeLines="50"/>
        <w:rPr>
          <w:bCs/>
          <w:szCs w:val="32"/>
        </w:rPr>
      </w:pPr>
      <w:r>
        <w:rPr>
          <w:rFonts w:hint="eastAsia"/>
          <w:bCs/>
          <w:szCs w:val="32"/>
        </w:rPr>
        <w:t>土建工程规模等。</w:t>
      </w:r>
    </w:p>
    <w:p>
      <w:pPr>
        <w:pStyle w:val="5"/>
        <w:numPr>
          <w:ilvl w:val="0"/>
          <w:numId w:val="0"/>
        </w:numPr>
        <w:ind w:firstLine="480" w:firstLineChars="200"/>
        <w:jc w:val="both"/>
      </w:pPr>
      <w:r>
        <w:rPr>
          <w:rFonts w:hint="eastAsia"/>
        </w:rPr>
        <w:t>预警按照河流断面水质污染严重性、突发事件的危害性和紧急程度，可由低到高划分为三个级别进行预警:一般污染预警(III级)、较大污染预警(II级)、重大污染预警(I级)。明确不同污染程度所对应的不同预警级别，并发布预警信息。预警信息主要包括工程名称、发生时间及地点、事件类型、污染物类型、可能危害程度等。并上报给响应企业管理部门和政府相关部门。</w:t>
      </w:r>
    </w:p>
    <w:p>
      <w:pPr>
        <w:pStyle w:val="5"/>
        <w:numPr>
          <w:ilvl w:val="0"/>
          <w:numId w:val="0"/>
        </w:numPr>
        <w:jc w:val="both"/>
      </w:pPr>
      <w:r>
        <w:rPr>
          <w:rFonts w:hint="eastAsia"/>
          <w:b/>
          <w:bCs w:val="0"/>
        </w:rPr>
        <w:t>1</w:t>
      </w:r>
      <w:r>
        <w:rPr>
          <w:b/>
          <w:bCs w:val="0"/>
        </w:rPr>
        <w:t xml:space="preserve">0.2.5 </w:t>
      </w:r>
      <w:r>
        <w:rPr>
          <w:rFonts w:hint="eastAsia"/>
        </w:rPr>
        <w:t>运行维护信息管理系统应明确环境数据库系统主管单位及负责人，负责环境数据库系统的运行管理与维护工作，包括制定环境数据库系统运行任务计划、系统日常运行记录管理、定期对环境数据库系统进行升级。建立以网络信息安全为主的安全保障体系，制定系统重要部分的冗余或备份措施，为数据库的运行提供保障环境。</w:t>
      </w:r>
    </w:p>
    <w:p>
      <w:pPr>
        <w:pStyle w:val="5"/>
        <w:numPr>
          <w:ilvl w:val="0"/>
          <w:numId w:val="0"/>
        </w:numPr>
        <w:jc w:val="both"/>
      </w:pPr>
      <w:r>
        <w:rPr>
          <w:b/>
          <w:bCs w:val="0"/>
        </w:rPr>
        <w:t>1</w:t>
      </w:r>
      <w:r>
        <w:rPr>
          <w:rFonts w:hint="eastAsia"/>
          <w:b/>
          <w:bCs w:val="0"/>
        </w:rPr>
        <w:t>0</w:t>
      </w:r>
      <w:r>
        <w:rPr>
          <w:b/>
          <w:bCs w:val="0"/>
        </w:rPr>
        <w:t>.2.6</w:t>
      </w:r>
      <w:r>
        <w:rPr>
          <w:rFonts w:hint="eastAsia"/>
          <w:b/>
          <w:bCs w:val="0"/>
        </w:rPr>
        <w:t>~10.</w:t>
      </w:r>
      <w:r>
        <w:rPr>
          <w:b/>
          <w:bCs w:val="0"/>
        </w:rPr>
        <w:t>2</w:t>
      </w:r>
      <w:r>
        <w:rPr>
          <w:rFonts w:hint="eastAsia"/>
          <w:b/>
          <w:bCs w:val="0"/>
        </w:rPr>
        <w:t>.</w:t>
      </w:r>
      <w:r>
        <w:rPr>
          <w:b/>
          <w:bCs w:val="0"/>
        </w:rPr>
        <w:t xml:space="preserve">7 </w:t>
      </w:r>
      <w:r>
        <w:rPr>
          <w:rFonts w:hint="eastAsia"/>
        </w:rPr>
        <w:t>应急安全响应规划设计将说明启动应急响应的条件、应急处置及善后处理办法等。应急响应包括应急指挥机构启动、应急资源调配、应急救援、扩大救援等。应急处置包括人员安全保障、事故控制、污染物处理等。</w:t>
      </w:r>
    </w:p>
    <w:p>
      <w:pPr>
        <w:pStyle w:val="5"/>
        <w:numPr>
          <w:ilvl w:val="0"/>
          <w:numId w:val="0"/>
        </w:numPr>
        <w:ind w:firstLine="480" w:firstLineChars="200"/>
        <w:jc w:val="both"/>
      </w:pPr>
      <w:r>
        <w:rPr>
          <w:rFonts w:hint="eastAsia"/>
        </w:rPr>
        <w:t>较大危险源是指可能导致人员伤害或疾病、物质财产损失、工作环境破坏或这些情况组合的根源或状态因素。对有重大影响、重大危害的污染事故，应协同公安部门、检察部门和人民政府，对事故形成调查和追责，对相关责任人进行民事，甚至刑事处罚。</w:t>
      </w:r>
    </w:p>
    <w:p>
      <w:pPr>
        <w:widowControl/>
        <w:spacing w:line="240" w:lineRule="auto"/>
        <w:ind w:firstLine="0" w:firstLineChars="0"/>
        <w:jc w:val="left"/>
      </w:pPr>
      <w:r>
        <w:br w:type="page"/>
      </w:r>
    </w:p>
    <w:p>
      <w:pPr>
        <w:pStyle w:val="2"/>
        <w:spacing w:after="156"/>
      </w:pPr>
      <w:bookmarkStart w:id="247" w:name="_Toc24029693"/>
      <w:bookmarkStart w:id="248" w:name="_Toc24032085"/>
      <w:bookmarkStart w:id="249" w:name="_Toc33204599"/>
      <w:r>
        <w:rPr>
          <w:rFonts w:hint="eastAsia"/>
        </w:rPr>
        <w:t>规划环境影响评价</w:t>
      </w:r>
      <w:bookmarkEnd w:id="247"/>
      <w:bookmarkEnd w:id="248"/>
      <w:bookmarkEnd w:id="249"/>
    </w:p>
    <w:p>
      <w:pPr>
        <w:pStyle w:val="5"/>
        <w:numPr>
          <w:ilvl w:val="0"/>
          <w:numId w:val="0"/>
        </w:numPr>
        <w:jc w:val="both"/>
      </w:pPr>
      <w:bookmarkStart w:id="250" w:name="_Hlk32923901"/>
      <w:r>
        <w:rPr>
          <w:rFonts w:hint="eastAsia"/>
          <w:b/>
          <w:bCs w:val="0"/>
        </w:rPr>
        <w:t>1</w:t>
      </w:r>
      <w:r>
        <w:rPr>
          <w:b/>
          <w:bCs w:val="0"/>
        </w:rPr>
        <w:t>1.1.1</w:t>
      </w:r>
      <w:r>
        <w:t xml:space="preserve">  </w:t>
      </w:r>
      <w:r>
        <w:rPr>
          <w:rFonts w:hint="eastAsia"/>
        </w:rPr>
        <w:t>环境影响评价是规划方案比选的重要依据。如果比较方案技术、经济指标相近，则选择对主要生态与环境因子有利，不利影响较小的方案；如规划方案对水体主要生态与环境因素影响较大，超出可承受的程度，采取的对策与措施难度大或需付出巨大代价，则需要重新选择方案或者对现有方案做相应调整。</w:t>
      </w:r>
      <w:bookmarkEnd w:id="250"/>
      <w:bookmarkStart w:id="251" w:name="_Toc24029543"/>
      <w:bookmarkEnd w:id="251"/>
      <w:bookmarkStart w:id="252" w:name="_Toc24029700"/>
      <w:bookmarkEnd w:id="252"/>
      <w:bookmarkStart w:id="253" w:name="_Toc24032092"/>
      <w:bookmarkEnd w:id="253"/>
    </w:p>
    <w:p>
      <w:pPr>
        <w:pStyle w:val="5"/>
        <w:numPr>
          <w:ilvl w:val="0"/>
          <w:numId w:val="0"/>
        </w:numPr>
        <w:jc w:val="both"/>
      </w:pPr>
      <w:r>
        <w:rPr>
          <w:rFonts w:hint="eastAsia"/>
          <w:b/>
          <w:bCs w:val="0"/>
        </w:rPr>
        <w:t>1</w:t>
      </w:r>
      <w:r>
        <w:rPr>
          <w:b/>
          <w:bCs w:val="0"/>
        </w:rPr>
        <w:t>1.1.7</w:t>
      </w:r>
      <w:r>
        <w:t xml:space="preserve">  </w:t>
      </w:r>
      <w:r>
        <w:rPr>
          <w:rFonts w:hint="eastAsia"/>
        </w:rPr>
        <w:t>黑臭水体治理会对许多生态与环境因子产生影响。包括有利影响和不利影响，一般采用有、无规划方案对比的方法进行评价。合理判别黑臭水体治理对生态与环境因子影响情况，并对影响程度作出的估计，筛选出主要的影响因子，为研究对策和措施提供依据。</w:t>
      </w:r>
    </w:p>
    <w:p>
      <w:pPr>
        <w:pStyle w:val="24"/>
        <w:spacing w:before="156" w:beforeLines="50" w:after="0"/>
        <w:ind w:left="0" w:leftChars="0" w:firstLine="480"/>
      </w:pPr>
      <w:r>
        <w:rPr>
          <w:rFonts w:hint="eastAsia" w:eastAsia="宋体"/>
          <w:bCs/>
          <w:szCs w:val="32"/>
        </w:rPr>
        <w:t>环境影响评价将对环境影响从利、弊两个方面做出全面客观的评价。规划设计的环境保护项目，将与主体规划相匹配，保障主体规划设计的实施过程中不对环境造成二次污染。</w:t>
      </w:r>
      <w:bookmarkEnd w:id="1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3873226"/>
      <w:docPartObj>
        <w:docPartGallery w:val="autotext"/>
      </w:docPartObj>
    </w:sdtPr>
    <w:sdtContent>
      <w:p>
        <w:pPr>
          <w:pStyle w:val="23"/>
          <w:ind w:firstLine="360"/>
          <w:jc w:val="center"/>
        </w:pPr>
        <w:r>
          <w:fldChar w:fldCharType="begin"/>
        </w:r>
        <w:r>
          <w:instrText xml:space="preserve">PAGE   \* MERGEFORMAT</w:instrText>
        </w:r>
        <w:r>
          <w:fldChar w:fldCharType="separate"/>
        </w:r>
        <w:r>
          <w:rPr>
            <w:lang w:val="zh-CN"/>
          </w:rPr>
          <w:t>3</w:t>
        </w:r>
        <w:r>
          <w:fldChar w:fldCharType="end"/>
        </w:r>
      </w:p>
    </w:sdtContent>
  </w:sdt>
  <w:p>
    <w:pPr>
      <w:pStyle w:val="2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1192791"/>
      <w:docPartObj>
        <w:docPartGallery w:val="autotext"/>
      </w:docPartObj>
    </w:sdtPr>
    <w:sdtContent>
      <w:p>
        <w:pPr>
          <w:pStyle w:val="23"/>
          <w:ind w:firstLine="360"/>
          <w:jc w:val="center"/>
        </w:pPr>
        <w:r>
          <w:fldChar w:fldCharType="begin"/>
        </w:r>
        <w:r>
          <w:instrText xml:space="preserve">PAGE   \* MERGEFORMAT</w:instrText>
        </w:r>
        <w:r>
          <w:fldChar w:fldCharType="separate"/>
        </w:r>
        <w:r>
          <w:rPr>
            <w:lang w:val="zh-CN"/>
          </w:rPr>
          <w:t>38</w:t>
        </w:r>
        <w:r>
          <w:fldChar w:fldCharType="end"/>
        </w:r>
      </w:p>
    </w:sdtContent>
  </w:sdt>
  <w:p>
    <w:pPr>
      <w:pStyle w:val="2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935431"/>
    </w:sdtPr>
    <w:sdtContent>
      <w:p>
        <w:pPr>
          <w:pStyle w:val="23"/>
          <w:ind w:firstLine="360"/>
          <w:jc w:val="center"/>
        </w:pPr>
        <w:r>
          <w:fldChar w:fldCharType="begin"/>
        </w:r>
        <w:r>
          <w:instrText xml:space="preserve">PAGE   \* MERGEFORMAT</w:instrText>
        </w:r>
        <w:r>
          <w:fldChar w:fldCharType="separate"/>
        </w:r>
        <w:r>
          <w:rPr>
            <w:lang w:val="zh-CN"/>
          </w:rPr>
          <w:t>40</w:t>
        </w:r>
        <w:r>
          <w:fldChar w:fldCharType="end"/>
        </w:r>
      </w:p>
    </w:sdtContent>
  </w:sdt>
  <w:p>
    <w:pPr>
      <w:pStyle w:val="2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8418117"/>
      <w:docPartObj>
        <w:docPartGallery w:val="autotext"/>
      </w:docPartObj>
    </w:sdtPr>
    <w:sdtContent>
      <w:p>
        <w:pPr>
          <w:pStyle w:val="23"/>
          <w:ind w:firstLine="360"/>
          <w:jc w:val="center"/>
        </w:pPr>
        <w:r>
          <w:fldChar w:fldCharType="begin"/>
        </w:r>
        <w:r>
          <w:instrText xml:space="preserve">PAGE   \* MERGEFORMAT</w:instrText>
        </w:r>
        <w:r>
          <w:fldChar w:fldCharType="separate"/>
        </w:r>
        <w:r>
          <w:rPr>
            <w:lang w:val="zh-CN"/>
          </w:rPr>
          <w:t>41</w:t>
        </w:r>
        <w:r>
          <w:fldChar w:fldCharType="end"/>
        </w:r>
      </w:p>
    </w:sdtContent>
  </w:sdt>
  <w:p>
    <w:pPr>
      <w:pStyle w:val="2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49A9A7"/>
    <w:multiLevelType w:val="singleLevel"/>
    <w:tmpl w:val="E749A9A7"/>
    <w:lvl w:ilvl="0" w:tentative="0">
      <w:start w:val="1"/>
      <w:numFmt w:val="decimal"/>
      <w:suff w:val="nothing"/>
      <w:lvlText w:val="%1、"/>
      <w:lvlJc w:val="left"/>
    </w:lvl>
  </w:abstractNum>
  <w:abstractNum w:abstractNumId="1">
    <w:nsid w:val="F37376A5"/>
    <w:multiLevelType w:val="singleLevel"/>
    <w:tmpl w:val="F37376A5"/>
    <w:lvl w:ilvl="0" w:tentative="0">
      <w:start w:val="1"/>
      <w:numFmt w:val="decimal"/>
      <w:lvlText w:val="%1"/>
      <w:lvlJc w:val="left"/>
      <w:pPr>
        <w:ind w:left="420" w:hanging="420"/>
      </w:pPr>
      <w:rPr>
        <w:rFonts w:hint="default"/>
      </w:rPr>
    </w:lvl>
  </w:abstractNum>
  <w:abstractNum w:abstractNumId="2">
    <w:nsid w:val="0A3A7F67"/>
    <w:multiLevelType w:val="multilevel"/>
    <w:tmpl w:val="0A3A7F67"/>
    <w:lvl w:ilvl="0" w:tentative="0">
      <w:start w:val="1"/>
      <w:numFmt w:val="decimal"/>
      <w:lvlText w:val="%1)"/>
      <w:lvlJc w:val="left"/>
      <w:pPr>
        <w:ind w:left="1380" w:hanging="420"/>
      </w:pPr>
      <w:rPr>
        <w:rFonts w:hint="eastAsia"/>
      </w:r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3">
    <w:nsid w:val="0C5253E6"/>
    <w:multiLevelType w:val="multilevel"/>
    <w:tmpl w:val="0C5253E6"/>
    <w:lvl w:ilvl="0" w:tentative="0">
      <w:start w:val="1"/>
      <w:numFmt w:val="decimal"/>
      <w:suff w:val="space"/>
      <w:lvlText w:val="%1"/>
      <w:lvlJc w:val="left"/>
      <w:pPr>
        <w:ind w:left="846"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F107A25"/>
    <w:multiLevelType w:val="singleLevel"/>
    <w:tmpl w:val="0F107A25"/>
    <w:lvl w:ilvl="0" w:tentative="0">
      <w:start w:val="1"/>
      <w:numFmt w:val="decimal"/>
      <w:lvlText w:val="%1)"/>
      <w:lvlJc w:val="left"/>
      <w:pPr>
        <w:ind w:left="1320" w:hanging="420"/>
      </w:pPr>
    </w:lvl>
  </w:abstractNum>
  <w:abstractNum w:abstractNumId="5">
    <w:nsid w:val="126A1224"/>
    <w:multiLevelType w:val="multilevel"/>
    <w:tmpl w:val="126A1224"/>
    <w:lvl w:ilvl="0" w:tentative="0">
      <w:start w:val="1"/>
      <w:numFmt w:val="decimal"/>
      <w:lvlText w:val="%1"/>
      <w:lvlJc w:val="left"/>
      <w:pPr>
        <w:ind w:left="0" w:firstLine="0"/>
      </w:pPr>
      <w:rPr>
        <w:rFonts w:hint="default"/>
        <w:b/>
      </w:rPr>
    </w:lvl>
    <w:lvl w:ilvl="1" w:tentative="0">
      <w:start w:val="0"/>
      <w:numFmt w:val="decimal"/>
      <w:lvlText w:val="%1.%2"/>
      <w:lvlJc w:val="left"/>
      <w:pPr>
        <w:ind w:left="0" w:firstLine="0"/>
      </w:pPr>
      <w:rPr>
        <w:rFonts w:hint="default"/>
        <w:b/>
      </w:rPr>
    </w:lvl>
    <w:lvl w:ilvl="2" w:tentative="0">
      <w:start w:val="1"/>
      <w:numFmt w:val="decimal"/>
      <w:lvlRestart w:val="0"/>
      <w:suff w:val="space"/>
      <w:lvlText w:val="2.%2.%3"/>
      <w:lvlJc w:val="left"/>
      <w:pPr>
        <w:ind w:left="0" w:firstLine="0"/>
      </w:pPr>
      <w:rPr>
        <w:rFonts w:hint="default" w:ascii="Times New Roman" w:hAnsi="Times New Roman" w:eastAsia="宋体"/>
        <w:b/>
        <w:i w:val="0"/>
        <w:sz w:val="24"/>
      </w:rPr>
    </w:lvl>
    <w:lvl w:ilvl="3" w:tentative="0">
      <w:start w:val="1"/>
      <w:numFmt w:val="decimal"/>
      <w:lvlText w:val="%1.%2.%3.%4"/>
      <w:lvlJc w:val="left"/>
      <w:pPr>
        <w:ind w:left="0" w:firstLine="0"/>
      </w:pPr>
      <w:rPr>
        <w:rFonts w:hint="default"/>
        <w:b/>
      </w:rPr>
    </w:lvl>
    <w:lvl w:ilvl="4" w:tentative="0">
      <w:start w:val="1"/>
      <w:numFmt w:val="decimal"/>
      <w:lvlText w:val="%1.%2.%3.%4.%5"/>
      <w:lvlJc w:val="left"/>
      <w:pPr>
        <w:ind w:left="0" w:firstLine="0"/>
      </w:pPr>
      <w:rPr>
        <w:rFonts w:hint="default"/>
        <w:b/>
      </w:rPr>
    </w:lvl>
    <w:lvl w:ilvl="5" w:tentative="0">
      <w:start w:val="1"/>
      <w:numFmt w:val="decimal"/>
      <w:lvlText w:val="%1.%2.%3.%4.%5.%6"/>
      <w:lvlJc w:val="left"/>
      <w:pPr>
        <w:ind w:left="0" w:firstLine="0"/>
      </w:pPr>
      <w:rPr>
        <w:rFonts w:hint="default"/>
        <w:b/>
      </w:rPr>
    </w:lvl>
    <w:lvl w:ilvl="6" w:tentative="0">
      <w:start w:val="1"/>
      <w:numFmt w:val="decimal"/>
      <w:lvlText w:val="%1.%2.%3.%4.%5.%6.%7"/>
      <w:lvlJc w:val="left"/>
      <w:pPr>
        <w:ind w:left="0" w:firstLine="0"/>
      </w:pPr>
      <w:rPr>
        <w:rFonts w:hint="default"/>
        <w:b/>
      </w:rPr>
    </w:lvl>
    <w:lvl w:ilvl="7" w:tentative="0">
      <w:start w:val="1"/>
      <w:numFmt w:val="decimal"/>
      <w:lvlText w:val="%1.%2.%3.%4.%5.%6.%7.%8"/>
      <w:lvlJc w:val="left"/>
      <w:pPr>
        <w:ind w:left="0" w:firstLine="0"/>
      </w:pPr>
      <w:rPr>
        <w:rFonts w:hint="default"/>
        <w:b/>
      </w:rPr>
    </w:lvl>
    <w:lvl w:ilvl="8" w:tentative="0">
      <w:start w:val="1"/>
      <w:numFmt w:val="decimal"/>
      <w:lvlText w:val="%1.%2.%3.%4.%5.%6.%7.%8.%9"/>
      <w:lvlJc w:val="left"/>
      <w:pPr>
        <w:ind w:left="0" w:firstLine="0"/>
      </w:pPr>
      <w:rPr>
        <w:rFonts w:hint="default"/>
        <w:b/>
      </w:rPr>
    </w:lvl>
  </w:abstractNum>
  <w:abstractNum w:abstractNumId="6">
    <w:nsid w:val="1EF83E36"/>
    <w:multiLevelType w:val="multilevel"/>
    <w:tmpl w:val="1EF83E36"/>
    <w:lvl w:ilvl="0" w:tentative="0">
      <w:start w:val="1"/>
      <w:numFmt w:val="decimal"/>
      <w:lvlText w:val="%1)"/>
      <w:lvlJc w:val="left"/>
      <w:pPr>
        <w:ind w:left="1260"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204646F0"/>
    <w:multiLevelType w:val="multilevel"/>
    <w:tmpl w:val="204646F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22F66942"/>
    <w:multiLevelType w:val="multilevel"/>
    <w:tmpl w:val="22F66942"/>
    <w:lvl w:ilvl="0" w:tentative="0">
      <w:start w:val="1"/>
      <w:numFmt w:val="decimal"/>
      <w:lvlText w:val="%1"/>
      <w:lvlJc w:val="left"/>
      <w:pPr>
        <w:ind w:left="620" w:hanging="42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9">
    <w:nsid w:val="240C1FFE"/>
    <w:multiLevelType w:val="multilevel"/>
    <w:tmpl w:val="240C1FFE"/>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30127245"/>
    <w:multiLevelType w:val="singleLevel"/>
    <w:tmpl w:val="30127245"/>
    <w:lvl w:ilvl="0" w:tentative="0">
      <w:start w:val="1"/>
      <w:numFmt w:val="decimal"/>
      <w:lvlText w:val="%1)"/>
      <w:lvlJc w:val="left"/>
      <w:pPr>
        <w:ind w:left="1320" w:hanging="420"/>
      </w:pPr>
    </w:lvl>
  </w:abstractNum>
  <w:abstractNum w:abstractNumId="11">
    <w:nsid w:val="3282712D"/>
    <w:multiLevelType w:val="multilevel"/>
    <w:tmpl w:val="3282712D"/>
    <w:lvl w:ilvl="0" w:tentative="0">
      <w:start w:val="1"/>
      <w:numFmt w:val="decimal"/>
      <w:lvlText w:val="%1)"/>
      <w:lvlJc w:val="left"/>
      <w:pPr>
        <w:ind w:left="1260"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2">
    <w:nsid w:val="36407BE7"/>
    <w:multiLevelType w:val="multilevel"/>
    <w:tmpl w:val="36407BE7"/>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3C0B2EB3"/>
    <w:multiLevelType w:val="multilevel"/>
    <w:tmpl w:val="3C0B2E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434F7DDA"/>
    <w:multiLevelType w:val="multilevel"/>
    <w:tmpl w:val="434F7DDA"/>
    <w:lvl w:ilvl="0" w:tentative="0">
      <w:start w:val="1"/>
      <w:numFmt w:val="decimal"/>
      <w:pStyle w:val="2"/>
      <w:suff w:val="space"/>
      <w:lvlText w:val="%1"/>
      <w:lvlJc w:val="left"/>
      <w:pPr>
        <w:ind w:left="0" w:firstLine="0"/>
      </w:pPr>
      <w:rPr>
        <w:rFonts w:hint="eastAsia"/>
        <w:b/>
        <w:i w:val="0"/>
        <w:sz w:val="28"/>
      </w:rPr>
    </w:lvl>
    <w:lvl w:ilvl="1" w:tentative="0">
      <w:start w:val="1"/>
      <w:numFmt w:val="decimal"/>
      <w:pStyle w:val="4"/>
      <w:suff w:val="space"/>
      <w:lvlText w:val="%1.%2"/>
      <w:lvlJc w:val="left"/>
      <w:pPr>
        <w:ind w:left="0" w:firstLine="0"/>
      </w:pPr>
      <w:rPr>
        <w:rFonts w:hint="eastAsia"/>
      </w:rPr>
    </w:lvl>
    <w:lvl w:ilvl="2" w:tentative="0">
      <w:start w:val="1"/>
      <w:numFmt w:val="decimal"/>
      <w:pStyle w:val="5"/>
      <w:suff w:val="space"/>
      <w:lvlText w:val="%1.0.%3"/>
      <w:lvlJc w:val="left"/>
      <w:pPr>
        <w:ind w:left="0" w:firstLine="0"/>
      </w:pPr>
      <w:rPr>
        <w:rFonts w:hint="eastAsia" w:ascii="Times New Roman" w:hAnsi="Times New Roman"/>
        <w:b w:val="0"/>
        <w:bCs w:val="0"/>
        <w:i w:val="0"/>
        <w:iCs w:val="0"/>
        <w:caps w:val="0"/>
        <w:smallCaps w:val="0"/>
        <w:strike w:val="0"/>
        <w:dstrike w:val="0"/>
        <w:vanish w:val="0"/>
        <w:color w:val="000000"/>
        <w:spacing w:val="0"/>
        <w:position w:val="0"/>
        <w:sz w:val="24"/>
        <w:szCs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lvlText w:val="%1.%2.%3.%4"/>
      <w:lvlJc w:val="left"/>
      <w:pPr>
        <w:ind w:left="0" w:firstLine="0"/>
      </w:pPr>
      <w:rPr>
        <w:rFonts w:hint="eastAsia"/>
      </w:rPr>
    </w:lvl>
    <w:lvl w:ilvl="4" w:tentative="0">
      <w:start w:val="1"/>
      <w:numFmt w:val="decimal"/>
      <w:pStyle w:val="7"/>
      <w:lvlText w:val="%1.%2.%3.%4.%5"/>
      <w:lvlJc w:val="left"/>
      <w:pPr>
        <w:ind w:left="0" w:firstLine="0"/>
      </w:pPr>
      <w:rPr>
        <w:rFonts w:hint="eastAsia"/>
      </w:rPr>
    </w:lvl>
    <w:lvl w:ilvl="5" w:tentative="0">
      <w:start w:val="1"/>
      <w:numFmt w:val="decimal"/>
      <w:pStyle w:val="8"/>
      <w:lvlText w:val="%1.%2.%3.%4.%5.%6"/>
      <w:lvlJc w:val="left"/>
      <w:pPr>
        <w:ind w:left="0" w:firstLine="0"/>
      </w:pPr>
      <w:rPr>
        <w:rFonts w:hint="eastAsia"/>
      </w:rPr>
    </w:lvl>
    <w:lvl w:ilvl="6" w:tentative="0">
      <w:start w:val="1"/>
      <w:numFmt w:val="decimal"/>
      <w:pStyle w:val="9"/>
      <w:lvlText w:val="%1.%2.%3.%4.%5.%6.%7"/>
      <w:lvlJc w:val="left"/>
      <w:pPr>
        <w:ind w:left="0" w:firstLine="0"/>
      </w:pPr>
      <w:rPr>
        <w:rFonts w:hint="eastAsia"/>
      </w:rPr>
    </w:lvl>
    <w:lvl w:ilvl="7" w:tentative="0">
      <w:start w:val="1"/>
      <w:numFmt w:val="decimal"/>
      <w:pStyle w:val="10"/>
      <w:lvlText w:val="%1.%2.%3.%4.%5.%6.%7.%8"/>
      <w:lvlJc w:val="left"/>
      <w:pPr>
        <w:ind w:left="0" w:firstLine="0"/>
      </w:pPr>
      <w:rPr>
        <w:rFonts w:hint="eastAsia"/>
      </w:rPr>
    </w:lvl>
    <w:lvl w:ilvl="8" w:tentative="0">
      <w:start w:val="1"/>
      <w:numFmt w:val="decimal"/>
      <w:pStyle w:val="11"/>
      <w:lvlText w:val="%1.%2.%3.%4.%5.%6.%7.%8.%9"/>
      <w:lvlJc w:val="left"/>
      <w:pPr>
        <w:ind w:left="0" w:firstLine="0"/>
      </w:pPr>
      <w:rPr>
        <w:rFonts w:hint="eastAsia"/>
      </w:rPr>
    </w:lvl>
  </w:abstractNum>
  <w:abstractNum w:abstractNumId="15">
    <w:nsid w:val="4F9B2C40"/>
    <w:multiLevelType w:val="multilevel"/>
    <w:tmpl w:val="4F9B2C4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4FB47AE6"/>
    <w:multiLevelType w:val="multilevel"/>
    <w:tmpl w:val="4FB47AE6"/>
    <w:lvl w:ilvl="0" w:tentative="0">
      <w:start w:val="1"/>
      <w:numFmt w:val="decimal"/>
      <w:lvlText w:val="%1"/>
      <w:lvlJc w:val="left"/>
      <w:pPr>
        <w:ind w:left="0" w:firstLine="0"/>
      </w:pPr>
      <w:rPr>
        <w:rFonts w:hint="default"/>
        <w:b/>
      </w:rPr>
    </w:lvl>
    <w:lvl w:ilvl="1" w:tentative="0">
      <w:start w:val="0"/>
      <w:numFmt w:val="decimal"/>
      <w:lvlText w:val="%1.%2"/>
      <w:lvlJc w:val="left"/>
      <w:pPr>
        <w:ind w:left="0" w:firstLine="0"/>
      </w:pPr>
      <w:rPr>
        <w:rFonts w:hint="default"/>
        <w:b/>
      </w:rPr>
    </w:lvl>
    <w:lvl w:ilvl="2" w:tentative="0">
      <w:start w:val="1"/>
      <w:numFmt w:val="decimal"/>
      <w:lvlRestart w:val="0"/>
      <w:suff w:val="space"/>
      <w:lvlText w:val="%1.%2.%3"/>
      <w:lvlJc w:val="left"/>
      <w:pPr>
        <w:ind w:left="0" w:firstLine="0"/>
      </w:pPr>
      <w:rPr>
        <w:rFonts w:hint="default" w:ascii="Times New Roman" w:hAnsi="Times New Roman" w:eastAsia="宋体"/>
        <w:b/>
        <w:i w:val="0"/>
        <w:sz w:val="24"/>
      </w:rPr>
    </w:lvl>
    <w:lvl w:ilvl="3" w:tentative="0">
      <w:start w:val="1"/>
      <w:numFmt w:val="decimal"/>
      <w:lvlText w:val="%1.%2.%3.%4"/>
      <w:lvlJc w:val="left"/>
      <w:pPr>
        <w:ind w:left="0" w:firstLine="0"/>
      </w:pPr>
      <w:rPr>
        <w:rFonts w:hint="default"/>
        <w:b/>
      </w:rPr>
    </w:lvl>
    <w:lvl w:ilvl="4" w:tentative="0">
      <w:start w:val="1"/>
      <w:numFmt w:val="decimal"/>
      <w:lvlText w:val="%1.%2.%3.%4.%5"/>
      <w:lvlJc w:val="left"/>
      <w:pPr>
        <w:ind w:left="0" w:firstLine="0"/>
      </w:pPr>
      <w:rPr>
        <w:rFonts w:hint="default"/>
        <w:b/>
      </w:rPr>
    </w:lvl>
    <w:lvl w:ilvl="5" w:tentative="0">
      <w:start w:val="1"/>
      <w:numFmt w:val="decimal"/>
      <w:lvlText w:val="%1.%2.%3.%4.%5.%6"/>
      <w:lvlJc w:val="left"/>
      <w:pPr>
        <w:ind w:left="0" w:firstLine="0"/>
      </w:pPr>
      <w:rPr>
        <w:rFonts w:hint="default"/>
        <w:b/>
      </w:rPr>
    </w:lvl>
    <w:lvl w:ilvl="6" w:tentative="0">
      <w:start w:val="1"/>
      <w:numFmt w:val="decimal"/>
      <w:lvlText w:val="%1.%2.%3.%4.%5.%6.%7"/>
      <w:lvlJc w:val="left"/>
      <w:pPr>
        <w:ind w:left="0" w:firstLine="0"/>
      </w:pPr>
      <w:rPr>
        <w:rFonts w:hint="default"/>
        <w:b/>
      </w:rPr>
    </w:lvl>
    <w:lvl w:ilvl="7" w:tentative="0">
      <w:start w:val="1"/>
      <w:numFmt w:val="decimal"/>
      <w:lvlText w:val="%1.%2.%3.%4.%5.%6.%7.%8"/>
      <w:lvlJc w:val="left"/>
      <w:pPr>
        <w:ind w:left="0" w:firstLine="0"/>
      </w:pPr>
      <w:rPr>
        <w:rFonts w:hint="default"/>
        <w:b/>
      </w:rPr>
    </w:lvl>
    <w:lvl w:ilvl="8" w:tentative="0">
      <w:start w:val="1"/>
      <w:numFmt w:val="decimal"/>
      <w:lvlText w:val="%1.%2.%3.%4.%5.%6.%7.%8.%9"/>
      <w:lvlJc w:val="left"/>
      <w:pPr>
        <w:ind w:left="0" w:firstLine="0"/>
      </w:pPr>
      <w:rPr>
        <w:rFonts w:hint="default"/>
        <w:b/>
      </w:rPr>
    </w:lvl>
  </w:abstractNum>
  <w:abstractNum w:abstractNumId="17">
    <w:nsid w:val="517129DD"/>
    <w:multiLevelType w:val="multilevel"/>
    <w:tmpl w:val="517129DD"/>
    <w:lvl w:ilvl="0" w:tentative="0">
      <w:start w:val="1"/>
      <w:numFmt w:val="decimal"/>
      <w:suff w:val="space"/>
      <w:lvlText w:val="3.0.%1"/>
      <w:lvlJc w:val="left"/>
      <w:pPr>
        <w:ind w:left="0" w:firstLine="0"/>
      </w:pPr>
      <w:rPr>
        <w:rFonts w:hint="default" w:ascii="Times New Roman" w:hAnsi="Times New Roman" w:eastAsia="宋体"/>
        <w:b/>
        <w:b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5216555C"/>
    <w:multiLevelType w:val="multilevel"/>
    <w:tmpl w:val="5216555C"/>
    <w:lvl w:ilvl="0" w:tentative="0">
      <w:start w:val="1"/>
      <w:numFmt w:val="decimal"/>
      <w:lvlText w:val="%1"/>
      <w:lvlJc w:val="left"/>
      <w:pPr>
        <w:ind w:left="620" w:hanging="42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9">
    <w:nsid w:val="53D96456"/>
    <w:multiLevelType w:val="multilevel"/>
    <w:tmpl w:val="53D96456"/>
    <w:lvl w:ilvl="0" w:tentative="0">
      <w:start w:val="1"/>
      <w:numFmt w:val="decimal"/>
      <w:lvlText w:val="%1"/>
      <w:lvlJc w:val="left"/>
      <w:pPr>
        <w:ind w:left="620" w:hanging="42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20">
    <w:nsid w:val="54B728C5"/>
    <w:multiLevelType w:val="multilevel"/>
    <w:tmpl w:val="54B728C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5AFB2797"/>
    <w:multiLevelType w:val="multilevel"/>
    <w:tmpl w:val="5AFB2797"/>
    <w:lvl w:ilvl="0" w:tentative="0">
      <w:start w:val="1"/>
      <w:numFmt w:val="decimal"/>
      <w:lvlText w:val="%1)"/>
      <w:lvlJc w:val="left"/>
      <w:pPr>
        <w:ind w:left="1380" w:hanging="420"/>
      </w:pPr>
      <w:rPr>
        <w:rFonts w:hint="eastAsia"/>
      </w:r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22">
    <w:nsid w:val="5BD71C28"/>
    <w:multiLevelType w:val="multilevel"/>
    <w:tmpl w:val="5BD71C28"/>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3">
    <w:nsid w:val="788435AF"/>
    <w:multiLevelType w:val="multilevel"/>
    <w:tmpl w:val="788435AF"/>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24">
    <w:nsid w:val="7B0F329D"/>
    <w:multiLevelType w:val="multilevel"/>
    <w:tmpl w:val="7B0F329D"/>
    <w:lvl w:ilvl="0" w:tentative="0">
      <w:start w:val="1"/>
      <w:numFmt w:val="decimal"/>
      <w:suff w:val="space"/>
      <w:lvlText w:val="%1"/>
      <w:lvlJc w:val="left"/>
      <w:pPr>
        <w:ind w:left="0" w:firstLine="0"/>
      </w:pPr>
      <w:rPr>
        <w:rFonts w:hint="default" w:ascii="Times New Roman" w:hAnsi="Times New Roman"/>
      </w:rPr>
    </w:lvl>
    <w:lvl w:ilvl="1" w:tentative="0">
      <w:start w:val="1"/>
      <w:numFmt w:val="decima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0" w:firstLine="0"/>
      </w:pPr>
      <w:rPr>
        <w:rFonts w:hint="default" w:ascii="Times New Roman" w:hAnsi="Times New Roman" w:eastAsia="黑体"/>
      </w:rPr>
    </w:lvl>
    <w:lvl w:ilvl="3" w:tentative="0">
      <w:start w:val="1"/>
      <w:numFmt w:val="decimal"/>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5">
    <w:nsid w:val="7F7B5358"/>
    <w:multiLevelType w:val="multilevel"/>
    <w:tmpl w:val="7F7B5358"/>
    <w:lvl w:ilvl="0" w:tentative="0">
      <w:start w:val="1"/>
      <w:numFmt w:val="decimal"/>
      <w:lvlText w:val="%1"/>
      <w:lvlJc w:val="left"/>
      <w:pPr>
        <w:ind w:left="360" w:hanging="360"/>
      </w:pPr>
      <w:rPr>
        <w:rFonts w:hint="eastAsia" w:ascii="Times New Roman" w:hAnsi="Times New Roman" w:eastAsia="宋体" w:cstheme="minorBidi"/>
      </w:rPr>
    </w:lvl>
    <w:lvl w:ilvl="1" w:tentative="0">
      <w:start w:val="1"/>
      <w:numFmt w:val="decimal"/>
      <w:isLgl/>
      <w:suff w:val="space"/>
      <w:lvlText w:val="%1.%2"/>
      <w:lvlJc w:val="left"/>
      <w:pPr>
        <w:ind w:left="420" w:hanging="4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14"/>
  </w:num>
  <w:num w:numId="2">
    <w:abstractNumId w:val="16"/>
  </w:num>
  <w:num w:numId="3">
    <w:abstractNumId w:val="5"/>
  </w:num>
  <w:num w:numId="4">
    <w:abstractNumId w:val="17"/>
  </w:num>
  <w:num w:numId="5">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0.%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6">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0.%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7">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2.%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8">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2.%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9">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3.%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0">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4.%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1">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5.%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2">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6.%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3">
    <w:abstractNumId w:val="14"/>
    <w:lvlOverride w:ilvl="0">
      <w:lvl w:ilvl="0" w:tentative="1">
        <w:start w:val="1"/>
        <w:numFmt w:val="decimal"/>
        <w:suff w:val="space"/>
        <w:lvlText w:val="%1"/>
        <w:lvlJc w:val="left"/>
        <w:pPr>
          <w:ind w:left="0" w:firstLine="0"/>
        </w:pPr>
        <w:rPr>
          <w:rFonts w:hint="eastAsia"/>
          <w:b/>
          <w:i w:val="0"/>
          <w:sz w:val="28"/>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suff w:val="space"/>
        <w:lvlText w:val="%1.7.%3"/>
        <w:lvlJc w:val="left"/>
        <w:pPr>
          <w:ind w:left="0" w:firstLine="0"/>
        </w:pPr>
        <w:rPr>
          <w:rFonts w:hint="eastAsia" w:ascii="Times New Roman" w:hAnsi="Times New Roman"/>
          <w:b w:val="0"/>
          <w:bCs w:val="0"/>
          <w:i w:val="0"/>
          <w:iCs w:val="0"/>
          <w:caps w:val="0"/>
          <w:smallCaps w:val="0"/>
          <w:strike w:val="0"/>
          <w:dstrike w:val="0"/>
          <w:vanish w:val="0"/>
          <w:color w:val="000000"/>
          <w:spacing w:val="0"/>
          <w:position w:val="0"/>
          <w:sz w:val="24"/>
          <w:szCs w:val="24"/>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4">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8.%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5">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9.%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6">
    <w:abstractNumId w:val="14"/>
    <w:lvlOverride w:ilvl="0">
      <w:lvl w:ilvl="0" w:tentative="1">
        <w:start w:val="1"/>
        <w:numFmt w:val="decimal"/>
        <w:suff w:val="space"/>
        <w:lvlText w:val="%1"/>
        <w:lvlJc w:val="left"/>
        <w:pPr>
          <w:ind w:left="0" w:firstLine="0"/>
        </w:pPr>
        <w:rPr>
          <w:rFonts w:hint="eastAsia"/>
          <w:b/>
          <w:i w:val="0"/>
          <w:sz w:val="28"/>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suff w:val="space"/>
        <w:lvlText w:val="%1.10.%3"/>
        <w:lvlJc w:val="left"/>
        <w:pPr>
          <w:ind w:left="0" w:firstLine="0"/>
        </w:pPr>
        <w:rPr>
          <w:rFonts w:hint="eastAsia" w:ascii="Times New Roman" w:hAnsi="Times New Roman"/>
          <w:b w:val="0"/>
          <w:bCs w:val="0"/>
          <w:i w:val="0"/>
          <w:iCs w:val="0"/>
          <w:caps w:val="0"/>
          <w:smallCaps w:val="0"/>
          <w:strike w:val="0"/>
          <w:dstrike w:val="0"/>
          <w:vanish w:val="0"/>
          <w:color w:val="000000"/>
          <w:spacing w:val="0"/>
          <w:position w:val="0"/>
          <w:sz w:val="24"/>
          <w:szCs w:val="24"/>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7">
    <w:abstractNumId w:val="14"/>
    <w:lvlOverride w:ilvl="0">
      <w:lvl w:ilvl="0" w:tentative="1">
        <w:start w:val="1"/>
        <w:numFmt w:val="decimal"/>
        <w:suff w:val="space"/>
        <w:lvlText w:val="%1"/>
        <w:lvlJc w:val="left"/>
        <w:pPr>
          <w:ind w:left="0" w:firstLine="0"/>
        </w:pPr>
        <w:rPr>
          <w:rFonts w:hint="eastAsia"/>
          <w:b/>
          <w:i w:val="0"/>
          <w:sz w:val="28"/>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suff w:val="space"/>
        <w:lvlText w:val="%1.11.%3"/>
        <w:lvlJc w:val="left"/>
        <w:pPr>
          <w:ind w:left="0" w:firstLine="0"/>
        </w:pPr>
        <w:rPr>
          <w:rFonts w:hint="eastAsia" w:ascii="Times New Roman" w:hAnsi="Times New Roman"/>
          <w:b w:val="0"/>
          <w:bCs w:val="0"/>
          <w:i w:val="0"/>
          <w:iCs w:val="0"/>
          <w:caps w:val="0"/>
          <w:smallCaps w:val="0"/>
          <w:strike w:val="0"/>
          <w:dstrike w:val="0"/>
          <w:vanish w:val="0"/>
          <w:color w:val="000000"/>
          <w:spacing w:val="0"/>
          <w:position w:val="0"/>
          <w:sz w:val="24"/>
          <w:szCs w:val="24"/>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8">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1.%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19">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2.%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0">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3.%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1">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4.%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2">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1.%3"/>
        <w:lvlJc w:val="left"/>
        <w:pPr>
          <w:ind w:left="851"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3">
    <w:abstractNumId w:val="13"/>
  </w:num>
  <w:num w:numId="24">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2.%3"/>
        <w:lvlJc w:val="left"/>
        <w:pPr>
          <w:ind w:left="851"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5">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3.%3"/>
        <w:lvlJc w:val="left"/>
        <w:pPr>
          <w:ind w:left="851"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6">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4.%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7">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5.%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8">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6.%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9">
    <w:abstractNumId w:val="14"/>
    <w:lvlOverride w:ilvl="0">
      <w:lvl w:ilvl="0" w:tentative="1">
        <w:start w:val="1"/>
        <w:numFmt w:val="decimal"/>
        <w:suff w:val="space"/>
        <w:lvlText w:val="%1"/>
        <w:lvlJc w:val="left"/>
        <w:pPr>
          <w:ind w:left="0" w:firstLine="0"/>
        </w:pPr>
        <w:rPr>
          <w:rFonts w:hint="eastAsia"/>
          <w:b/>
          <w:i w:val="0"/>
          <w:sz w:val="28"/>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suff w:val="space"/>
        <w:lvlText w:val="%1.7.%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30">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lvlText w:val="%1.0.%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31">
    <w:abstractNumId w:val="14"/>
    <w:lvlOverride w:ilvl="0">
      <w:lvl w:ilvl="0" w:tentative="1">
        <w:start w:val="1"/>
        <w:numFmt w:val="decimal"/>
        <w:suff w:val="space"/>
        <w:lvlText w:val="%1"/>
        <w:lvlJc w:val="left"/>
        <w:pPr>
          <w:ind w:left="0" w:firstLine="0"/>
        </w:pPr>
        <w:rPr>
          <w:rFonts w:hint="eastAsia"/>
          <w:b/>
          <w:i w:val="0"/>
          <w:sz w:val="28"/>
        </w:rPr>
      </w:lvl>
    </w:lvlOverride>
    <w:lvlOverride w:ilvl="1">
      <w:lvl w:ilvl="1" w:tentative="1">
        <w:start w:val="1"/>
        <w:numFmt w:val="decimal"/>
        <w:suff w:val="space"/>
        <w:lvlText w:val="%1.%2"/>
        <w:lvlJc w:val="left"/>
        <w:pPr>
          <w:ind w:left="0" w:firstLine="0"/>
        </w:pPr>
        <w:rPr>
          <w:rFonts w:hint="eastAsia"/>
        </w:rPr>
      </w:lvl>
    </w:lvlOverride>
    <w:lvlOverride w:ilvl="2">
      <w:lvl w:ilvl="2" w:tentative="1">
        <w:start w:val="1"/>
        <w:numFmt w:val="decimal"/>
        <w:suff w:val="space"/>
        <w:lvlText w:val="%1.2.%3"/>
        <w:lvlJc w:val="left"/>
        <w:pPr>
          <w:ind w:left="0" w:firstLine="0"/>
        </w:pPr>
        <w:rPr>
          <w:rFonts w:hint="eastAsia" w:ascii="Times New Roman" w:hAnsi="Times New Roman"/>
          <w:b/>
          <w:bCs/>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32">
    <w:abstractNumId w:val="3"/>
  </w:num>
  <w:num w:numId="33">
    <w:abstractNumId w:val="9"/>
  </w:num>
  <w:num w:numId="34">
    <w:abstractNumId w:val="22"/>
  </w:num>
  <w:num w:numId="35">
    <w:abstractNumId w:val="25"/>
  </w:num>
  <w:num w:numId="36">
    <w:abstractNumId w:val="25"/>
    <w:lvlOverride w:ilvl="0">
      <w:lvl w:ilvl="0" w:tentative="1">
        <w:start w:val="1"/>
        <w:numFmt w:val="decimal"/>
        <w:lvlText w:val="%1"/>
        <w:lvlJc w:val="left"/>
        <w:pPr>
          <w:ind w:left="360" w:hanging="360"/>
        </w:pPr>
        <w:rPr>
          <w:rFonts w:hint="eastAsia" w:ascii="Times New Roman" w:hAnsi="Times New Roman" w:eastAsia="宋体" w:cstheme="minorBidi"/>
        </w:rPr>
      </w:lvl>
    </w:lvlOverride>
    <w:lvlOverride w:ilvl="1">
      <w:lvl w:ilvl="1" w:tentative="1">
        <w:start w:val="1"/>
        <w:numFmt w:val="decimal"/>
        <w:isLgl/>
        <w:suff w:val="space"/>
        <w:lvlText w:val="%1.%2"/>
        <w:lvlJc w:val="left"/>
        <w:pPr>
          <w:ind w:left="420" w:hanging="420"/>
        </w:pPr>
        <w:rPr>
          <w:rFonts w:hint="default"/>
        </w:rPr>
      </w:lvl>
    </w:lvlOverride>
    <w:lvlOverride w:ilvl="2">
      <w:lvl w:ilvl="2" w:tentative="1">
        <w:start w:val="1"/>
        <w:numFmt w:val="decimal"/>
        <w:isLgl/>
        <w:lvlText w:val="%1.%2.%3"/>
        <w:lvlJc w:val="left"/>
        <w:pPr>
          <w:ind w:left="720" w:hanging="720"/>
        </w:pPr>
        <w:rPr>
          <w:rFonts w:hint="default"/>
        </w:rPr>
      </w:lvl>
    </w:lvlOverride>
    <w:lvlOverride w:ilvl="3">
      <w:lvl w:ilvl="3" w:tentative="1">
        <w:start w:val="1"/>
        <w:numFmt w:val="decimal"/>
        <w:isLgl/>
        <w:lvlText w:val="%1.%2.%3.%4"/>
        <w:lvlJc w:val="left"/>
        <w:pPr>
          <w:ind w:left="720" w:hanging="720"/>
        </w:pPr>
        <w:rPr>
          <w:rFonts w:hint="default"/>
        </w:rPr>
      </w:lvl>
    </w:lvlOverride>
    <w:lvlOverride w:ilvl="4">
      <w:lvl w:ilvl="4" w:tentative="1">
        <w:start w:val="1"/>
        <w:numFmt w:val="decimal"/>
        <w:isLgl/>
        <w:lvlText w:val="%1.%2.%3.%4.%5"/>
        <w:lvlJc w:val="left"/>
        <w:pPr>
          <w:ind w:left="1080" w:hanging="1080"/>
        </w:pPr>
        <w:rPr>
          <w:rFonts w:hint="default"/>
        </w:rPr>
      </w:lvl>
    </w:lvlOverride>
    <w:lvlOverride w:ilvl="5">
      <w:lvl w:ilvl="5" w:tentative="1">
        <w:start w:val="1"/>
        <w:numFmt w:val="decimal"/>
        <w:isLgl/>
        <w:lvlText w:val="%1.%2.%3.%4.%5.%6"/>
        <w:lvlJc w:val="left"/>
        <w:pPr>
          <w:ind w:left="1080" w:hanging="1080"/>
        </w:pPr>
        <w:rPr>
          <w:rFonts w:hint="default"/>
        </w:rPr>
      </w:lvl>
    </w:lvlOverride>
    <w:lvlOverride w:ilvl="6">
      <w:lvl w:ilvl="6" w:tentative="1">
        <w:start w:val="1"/>
        <w:numFmt w:val="decimal"/>
        <w:isLgl/>
        <w:lvlText w:val="%1.%2.%3.%4.%5.%6.%7"/>
        <w:lvlJc w:val="left"/>
        <w:pPr>
          <w:ind w:left="1440" w:hanging="1440"/>
        </w:pPr>
        <w:rPr>
          <w:rFonts w:hint="default"/>
        </w:rPr>
      </w:lvl>
    </w:lvlOverride>
    <w:lvlOverride w:ilvl="7">
      <w:lvl w:ilvl="7" w:tentative="1">
        <w:start w:val="1"/>
        <w:numFmt w:val="decimal"/>
        <w:isLgl/>
        <w:lvlText w:val="%1.%2.%3.%4.%5.%6.%7.%8"/>
        <w:lvlJc w:val="left"/>
        <w:pPr>
          <w:ind w:left="1440" w:hanging="1440"/>
        </w:pPr>
        <w:rPr>
          <w:rFonts w:hint="default"/>
        </w:rPr>
      </w:lvl>
    </w:lvlOverride>
    <w:lvlOverride w:ilvl="8">
      <w:lvl w:ilvl="8" w:tentative="1">
        <w:start w:val="1"/>
        <w:numFmt w:val="decimal"/>
        <w:isLgl/>
        <w:lvlText w:val="%1.%2.%3.%4.%5.%6.%7.%8.%9"/>
        <w:lvlJc w:val="left"/>
        <w:pPr>
          <w:ind w:left="1800" w:hanging="1800"/>
        </w:pPr>
        <w:rPr>
          <w:rFonts w:hint="default"/>
        </w:rPr>
      </w:lvl>
    </w:lvlOverride>
  </w:num>
  <w:num w:numId="37">
    <w:abstractNumId w:val="1"/>
  </w:num>
  <w:num w:numId="38">
    <w:abstractNumId w:val="0"/>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8"/>
  </w:num>
  <w:num w:numId="43">
    <w:abstractNumId w:val="11"/>
  </w:num>
  <w:num w:numId="44">
    <w:abstractNumId w:val="6"/>
  </w:num>
  <w:num w:numId="45">
    <w:abstractNumId w:val="8"/>
  </w:num>
  <w:num w:numId="46">
    <w:abstractNumId w:val="12"/>
  </w:num>
  <w:num w:numId="4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21"/>
  </w:num>
  <w:num w:numId="52">
    <w:abstractNumId w:val="2"/>
  </w:num>
  <w:num w:numId="53">
    <w:abstractNumId w:val="23"/>
  </w:num>
  <w:num w:numId="54">
    <w:abstractNumId w:val="15"/>
  </w:num>
  <w:num w:numId="55">
    <w:abstractNumId w:val="4"/>
  </w:num>
  <w:num w:numId="56">
    <w:abstractNumId w:val="10"/>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none"/>
        <w:suff w:val="space"/>
        <w:lvlText w:val="7.3"/>
        <w:lvlJc w:val="left"/>
        <w:pPr>
          <w:ind w:left="0" w:firstLine="0"/>
        </w:pPr>
        <w:rPr>
          <w:rFonts w:hint="eastAsia"/>
        </w:rPr>
      </w:lvl>
    </w:lvlOverride>
    <w:lvlOverride w:ilvl="2">
      <w:lvl w:ilvl="2" w:tentative="1">
        <w:start w:val="1"/>
        <w:numFmt w:val="decimal"/>
        <w:lvlText w:val="%1.2.%3"/>
        <w:lvlJc w:val="left"/>
        <w:pPr>
          <w:ind w:left="142" w:firstLine="0"/>
        </w:pPr>
        <w:rPr>
          <w:rFonts w:hint="eastAsia" w:ascii="Times New Roman" w:hAnsi="Times New Roman"/>
          <w:b w:val="0"/>
          <w:bCs w:val="0"/>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59">
    <w:abstractNumId w:val="14"/>
    <w:lvlOverride w:ilvl="0">
      <w:lvl w:ilvl="0" w:tentative="1">
        <w:start w:val="1"/>
        <w:numFmt w:val="decimal"/>
        <w:suff w:val="space"/>
        <w:lvlText w:val="%1"/>
        <w:lvlJc w:val="left"/>
        <w:pPr>
          <w:ind w:left="0" w:firstLine="0"/>
        </w:pPr>
        <w:rPr>
          <w:rFonts w:hint="eastAsia"/>
        </w:rPr>
      </w:lvl>
    </w:lvlOverride>
    <w:lvlOverride w:ilvl="1">
      <w:lvl w:ilvl="1" w:tentative="1">
        <w:start w:val="1"/>
        <w:numFmt w:val="none"/>
        <w:suff w:val="space"/>
        <w:lvlText w:val="7.4"/>
        <w:lvlJc w:val="left"/>
        <w:pPr>
          <w:ind w:left="0" w:firstLine="0"/>
        </w:pPr>
        <w:rPr>
          <w:rFonts w:hint="eastAsia"/>
        </w:rPr>
      </w:lvl>
    </w:lvlOverride>
    <w:lvlOverride w:ilvl="2">
      <w:lvl w:ilvl="2" w:tentative="1">
        <w:start w:val="1"/>
        <w:numFmt w:val="decimal"/>
        <w:lvlText w:val="%1.2.%3"/>
        <w:lvlJc w:val="left"/>
        <w:pPr>
          <w:ind w:left="142" w:firstLine="0"/>
        </w:pPr>
        <w:rPr>
          <w:rFonts w:hint="eastAsia" w:ascii="Times New Roman" w:hAnsi="Times New Roman"/>
          <w:b w:val="0"/>
          <w:bCs w:val="0"/>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Override>
    <w:lvlOverride w:ilvl="3">
      <w:lvl w:ilvl="3" w:tentative="1">
        <w:start w:val="1"/>
        <w:numFmt w:val="decimal"/>
        <w:lvlText w:val="%1.%2.%3.%4"/>
        <w:lvlJc w:val="left"/>
        <w:pPr>
          <w:ind w:left="0" w:firstLine="0"/>
        </w:pPr>
        <w:rPr>
          <w:rFonts w:hint="eastAsia"/>
        </w:rPr>
      </w:lvl>
    </w:lvlOverride>
    <w:lvlOverride w:ilvl="4">
      <w:lvl w:ilvl="4" w:tentative="1">
        <w:start w:val="1"/>
        <w:numFmt w:val="decimal"/>
        <w:lvlText w:val="%1.%2.%3.%4.%5"/>
        <w:lvlJc w:val="left"/>
        <w:pPr>
          <w:ind w:left="0" w:firstLine="0"/>
        </w:pPr>
        <w:rPr>
          <w:rFonts w:hint="eastAsia"/>
        </w:rPr>
      </w:lvl>
    </w:lvlOverride>
    <w:lvlOverride w:ilvl="5">
      <w:lvl w:ilvl="5" w:tentative="1">
        <w:start w:val="1"/>
        <w:numFmt w:val="decimal"/>
        <w:lvlText w:val="%1.%2.%3.%4.%5.%6"/>
        <w:lvlJc w:val="left"/>
        <w:pPr>
          <w:ind w:left="0" w:firstLine="0"/>
        </w:pPr>
        <w:rPr>
          <w:rFonts w:hint="eastAsia"/>
        </w:rPr>
      </w:lvl>
    </w:lvlOverride>
    <w:lvlOverride w:ilvl="6">
      <w:lvl w:ilvl="6" w:tentative="1">
        <w:start w:val="1"/>
        <w:numFmt w:val="decimal"/>
        <w:lvlText w:val="%1.%2.%3.%4.%5.%6.%7"/>
        <w:lvlJc w:val="left"/>
        <w:pPr>
          <w:ind w:left="0" w:firstLine="0"/>
        </w:pPr>
        <w:rPr>
          <w:rFonts w:hint="eastAsia"/>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599"/>
    <w:rsid w:val="00001CD8"/>
    <w:rsid w:val="00002D1B"/>
    <w:rsid w:val="00002E1D"/>
    <w:rsid w:val="000049C1"/>
    <w:rsid w:val="0000563C"/>
    <w:rsid w:val="000068BA"/>
    <w:rsid w:val="000077EA"/>
    <w:rsid w:val="00007DB5"/>
    <w:rsid w:val="000123AB"/>
    <w:rsid w:val="00013566"/>
    <w:rsid w:val="00014E8E"/>
    <w:rsid w:val="00015C35"/>
    <w:rsid w:val="000163C1"/>
    <w:rsid w:val="000163D0"/>
    <w:rsid w:val="00016471"/>
    <w:rsid w:val="00016648"/>
    <w:rsid w:val="00016789"/>
    <w:rsid w:val="00020A2D"/>
    <w:rsid w:val="00022D60"/>
    <w:rsid w:val="00024154"/>
    <w:rsid w:val="00024803"/>
    <w:rsid w:val="00024BD1"/>
    <w:rsid w:val="000325D1"/>
    <w:rsid w:val="000347A5"/>
    <w:rsid w:val="000352C5"/>
    <w:rsid w:val="00036BF4"/>
    <w:rsid w:val="00041235"/>
    <w:rsid w:val="000427ED"/>
    <w:rsid w:val="00042D68"/>
    <w:rsid w:val="00043F5F"/>
    <w:rsid w:val="00044B2F"/>
    <w:rsid w:val="00045500"/>
    <w:rsid w:val="000459D7"/>
    <w:rsid w:val="0004658E"/>
    <w:rsid w:val="0004666A"/>
    <w:rsid w:val="00047587"/>
    <w:rsid w:val="00057C0D"/>
    <w:rsid w:val="000609AE"/>
    <w:rsid w:val="00060B53"/>
    <w:rsid w:val="00063022"/>
    <w:rsid w:val="00063BB4"/>
    <w:rsid w:val="00064B67"/>
    <w:rsid w:val="00064D68"/>
    <w:rsid w:val="00065361"/>
    <w:rsid w:val="00066DC8"/>
    <w:rsid w:val="00070997"/>
    <w:rsid w:val="000715FA"/>
    <w:rsid w:val="00071BC4"/>
    <w:rsid w:val="00073033"/>
    <w:rsid w:val="0007601A"/>
    <w:rsid w:val="000763FB"/>
    <w:rsid w:val="00077B63"/>
    <w:rsid w:val="00080F01"/>
    <w:rsid w:val="000825B1"/>
    <w:rsid w:val="000847B9"/>
    <w:rsid w:val="000847C8"/>
    <w:rsid w:val="00084CB6"/>
    <w:rsid w:val="0008613B"/>
    <w:rsid w:val="00086262"/>
    <w:rsid w:val="000870C5"/>
    <w:rsid w:val="00091D3D"/>
    <w:rsid w:val="000929FA"/>
    <w:rsid w:val="00093952"/>
    <w:rsid w:val="00094AE2"/>
    <w:rsid w:val="00096C89"/>
    <w:rsid w:val="00097687"/>
    <w:rsid w:val="00097F38"/>
    <w:rsid w:val="000A1BF8"/>
    <w:rsid w:val="000A1E79"/>
    <w:rsid w:val="000A29C6"/>
    <w:rsid w:val="000A375A"/>
    <w:rsid w:val="000A4F8E"/>
    <w:rsid w:val="000A6517"/>
    <w:rsid w:val="000A6C80"/>
    <w:rsid w:val="000A7695"/>
    <w:rsid w:val="000B0775"/>
    <w:rsid w:val="000B107B"/>
    <w:rsid w:val="000B1A66"/>
    <w:rsid w:val="000B300C"/>
    <w:rsid w:val="000B307D"/>
    <w:rsid w:val="000B3B9C"/>
    <w:rsid w:val="000B436F"/>
    <w:rsid w:val="000B494D"/>
    <w:rsid w:val="000B51E4"/>
    <w:rsid w:val="000B7EA2"/>
    <w:rsid w:val="000B7FED"/>
    <w:rsid w:val="000C06A4"/>
    <w:rsid w:val="000C0D5C"/>
    <w:rsid w:val="000C14B6"/>
    <w:rsid w:val="000C47F0"/>
    <w:rsid w:val="000C6348"/>
    <w:rsid w:val="000C757D"/>
    <w:rsid w:val="000D164F"/>
    <w:rsid w:val="000D2D9D"/>
    <w:rsid w:val="000D5F9C"/>
    <w:rsid w:val="000D6D3E"/>
    <w:rsid w:val="000D77B6"/>
    <w:rsid w:val="000D7F2B"/>
    <w:rsid w:val="000E3054"/>
    <w:rsid w:val="000E3AD5"/>
    <w:rsid w:val="000E3D44"/>
    <w:rsid w:val="000E4E5C"/>
    <w:rsid w:val="000E62A2"/>
    <w:rsid w:val="000E6E3E"/>
    <w:rsid w:val="000E719C"/>
    <w:rsid w:val="000F092E"/>
    <w:rsid w:val="000F0A2A"/>
    <w:rsid w:val="000F1146"/>
    <w:rsid w:val="000F1DE6"/>
    <w:rsid w:val="000F2433"/>
    <w:rsid w:val="000F295A"/>
    <w:rsid w:val="000F2EA0"/>
    <w:rsid w:val="000F2F3A"/>
    <w:rsid w:val="000F4DD8"/>
    <w:rsid w:val="001016A7"/>
    <w:rsid w:val="00102DAE"/>
    <w:rsid w:val="00105AA8"/>
    <w:rsid w:val="00107C63"/>
    <w:rsid w:val="001103FA"/>
    <w:rsid w:val="00110470"/>
    <w:rsid w:val="00111053"/>
    <w:rsid w:val="001138D6"/>
    <w:rsid w:val="00114913"/>
    <w:rsid w:val="00115627"/>
    <w:rsid w:val="001209DF"/>
    <w:rsid w:val="00125DED"/>
    <w:rsid w:val="0012610F"/>
    <w:rsid w:val="00127424"/>
    <w:rsid w:val="0013009C"/>
    <w:rsid w:val="001349AC"/>
    <w:rsid w:val="00134E76"/>
    <w:rsid w:val="00136525"/>
    <w:rsid w:val="00136739"/>
    <w:rsid w:val="00136A63"/>
    <w:rsid w:val="00142DF6"/>
    <w:rsid w:val="00143523"/>
    <w:rsid w:val="00144444"/>
    <w:rsid w:val="00144493"/>
    <w:rsid w:val="00144FA1"/>
    <w:rsid w:val="00147879"/>
    <w:rsid w:val="00147AFD"/>
    <w:rsid w:val="00147D5D"/>
    <w:rsid w:val="001500FA"/>
    <w:rsid w:val="001506F9"/>
    <w:rsid w:val="00152C70"/>
    <w:rsid w:val="00153651"/>
    <w:rsid w:val="0015535C"/>
    <w:rsid w:val="00156F99"/>
    <w:rsid w:val="001574B8"/>
    <w:rsid w:val="00157B41"/>
    <w:rsid w:val="00163D28"/>
    <w:rsid w:val="0016401A"/>
    <w:rsid w:val="00165727"/>
    <w:rsid w:val="00165B56"/>
    <w:rsid w:val="001664E9"/>
    <w:rsid w:val="001732CE"/>
    <w:rsid w:val="00173BB3"/>
    <w:rsid w:val="00173D4B"/>
    <w:rsid w:val="00183AB0"/>
    <w:rsid w:val="00183EDC"/>
    <w:rsid w:val="00184137"/>
    <w:rsid w:val="00185401"/>
    <w:rsid w:val="00191871"/>
    <w:rsid w:val="00192DB3"/>
    <w:rsid w:val="00193FA3"/>
    <w:rsid w:val="001A00BC"/>
    <w:rsid w:val="001A100B"/>
    <w:rsid w:val="001A28E0"/>
    <w:rsid w:val="001A378E"/>
    <w:rsid w:val="001A3F0C"/>
    <w:rsid w:val="001A417B"/>
    <w:rsid w:val="001A437C"/>
    <w:rsid w:val="001A6281"/>
    <w:rsid w:val="001B2FBA"/>
    <w:rsid w:val="001B49FB"/>
    <w:rsid w:val="001B4CBD"/>
    <w:rsid w:val="001B5E7C"/>
    <w:rsid w:val="001B622B"/>
    <w:rsid w:val="001B68D2"/>
    <w:rsid w:val="001C0C6B"/>
    <w:rsid w:val="001C1E9A"/>
    <w:rsid w:val="001C2C11"/>
    <w:rsid w:val="001C3341"/>
    <w:rsid w:val="001C3710"/>
    <w:rsid w:val="001C41F1"/>
    <w:rsid w:val="001C7D6A"/>
    <w:rsid w:val="001D0F91"/>
    <w:rsid w:val="001D4443"/>
    <w:rsid w:val="001D6BED"/>
    <w:rsid w:val="001D79D0"/>
    <w:rsid w:val="001E2E8D"/>
    <w:rsid w:val="001E6337"/>
    <w:rsid w:val="001E6DAA"/>
    <w:rsid w:val="001E7F4E"/>
    <w:rsid w:val="001F07F4"/>
    <w:rsid w:val="001F753A"/>
    <w:rsid w:val="00203C5D"/>
    <w:rsid w:val="00203E98"/>
    <w:rsid w:val="0020554F"/>
    <w:rsid w:val="0020635D"/>
    <w:rsid w:val="0021072E"/>
    <w:rsid w:val="0021246F"/>
    <w:rsid w:val="00213BBF"/>
    <w:rsid w:val="00215BE7"/>
    <w:rsid w:val="00216BFB"/>
    <w:rsid w:val="00220378"/>
    <w:rsid w:val="002206CB"/>
    <w:rsid w:val="00220E7D"/>
    <w:rsid w:val="00221242"/>
    <w:rsid w:val="002223BD"/>
    <w:rsid w:val="00224319"/>
    <w:rsid w:val="00227FC0"/>
    <w:rsid w:val="00231FAC"/>
    <w:rsid w:val="00232F36"/>
    <w:rsid w:val="002343E7"/>
    <w:rsid w:val="00234F8F"/>
    <w:rsid w:val="00237637"/>
    <w:rsid w:val="00237D58"/>
    <w:rsid w:val="00240B49"/>
    <w:rsid w:val="002418B3"/>
    <w:rsid w:val="00243382"/>
    <w:rsid w:val="0024366C"/>
    <w:rsid w:val="002437EE"/>
    <w:rsid w:val="00244732"/>
    <w:rsid w:val="00244BCD"/>
    <w:rsid w:val="0024529D"/>
    <w:rsid w:val="002473D3"/>
    <w:rsid w:val="002476C6"/>
    <w:rsid w:val="00247AF5"/>
    <w:rsid w:val="00247D59"/>
    <w:rsid w:val="0025191D"/>
    <w:rsid w:val="002524D3"/>
    <w:rsid w:val="00252DD6"/>
    <w:rsid w:val="00254320"/>
    <w:rsid w:val="00255E92"/>
    <w:rsid w:val="0025684E"/>
    <w:rsid w:val="00257950"/>
    <w:rsid w:val="002618CB"/>
    <w:rsid w:val="002631C7"/>
    <w:rsid w:val="00264F68"/>
    <w:rsid w:val="00265638"/>
    <w:rsid w:val="0026567A"/>
    <w:rsid w:val="002702BC"/>
    <w:rsid w:val="00270FCA"/>
    <w:rsid w:val="002714E4"/>
    <w:rsid w:val="00274F8C"/>
    <w:rsid w:val="002755BE"/>
    <w:rsid w:val="00277ECA"/>
    <w:rsid w:val="00280433"/>
    <w:rsid w:val="00282FB4"/>
    <w:rsid w:val="0028442D"/>
    <w:rsid w:val="00284598"/>
    <w:rsid w:val="00284A05"/>
    <w:rsid w:val="002852E4"/>
    <w:rsid w:val="0028558E"/>
    <w:rsid w:val="00292240"/>
    <w:rsid w:val="002929F6"/>
    <w:rsid w:val="00292C1D"/>
    <w:rsid w:val="002945BD"/>
    <w:rsid w:val="0029536C"/>
    <w:rsid w:val="00295F73"/>
    <w:rsid w:val="002965DA"/>
    <w:rsid w:val="0029685A"/>
    <w:rsid w:val="002A00FF"/>
    <w:rsid w:val="002A0C09"/>
    <w:rsid w:val="002A1C62"/>
    <w:rsid w:val="002A2502"/>
    <w:rsid w:val="002A402E"/>
    <w:rsid w:val="002A59A9"/>
    <w:rsid w:val="002A5CC5"/>
    <w:rsid w:val="002A62DE"/>
    <w:rsid w:val="002A6308"/>
    <w:rsid w:val="002B207C"/>
    <w:rsid w:val="002B3B8F"/>
    <w:rsid w:val="002B4599"/>
    <w:rsid w:val="002B4C70"/>
    <w:rsid w:val="002B52F1"/>
    <w:rsid w:val="002B7667"/>
    <w:rsid w:val="002C025B"/>
    <w:rsid w:val="002C02C6"/>
    <w:rsid w:val="002C205A"/>
    <w:rsid w:val="002C26DB"/>
    <w:rsid w:val="002C4D48"/>
    <w:rsid w:val="002C645A"/>
    <w:rsid w:val="002D1B53"/>
    <w:rsid w:val="002D3379"/>
    <w:rsid w:val="002D3ECD"/>
    <w:rsid w:val="002D49C2"/>
    <w:rsid w:val="002D62B7"/>
    <w:rsid w:val="002D7843"/>
    <w:rsid w:val="002E0758"/>
    <w:rsid w:val="002E0F01"/>
    <w:rsid w:val="002E1E4B"/>
    <w:rsid w:val="002E1ED2"/>
    <w:rsid w:val="002E2A25"/>
    <w:rsid w:val="002E5E8B"/>
    <w:rsid w:val="002F1F40"/>
    <w:rsid w:val="002F269C"/>
    <w:rsid w:val="002F3992"/>
    <w:rsid w:val="002F3C67"/>
    <w:rsid w:val="002F5C65"/>
    <w:rsid w:val="002F644E"/>
    <w:rsid w:val="002F6620"/>
    <w:rsid w:val="00300290"/>
    <w:rsid w:val="003026E0"/>
    <w:rsid w:val="0030415E"/>
    <w:rsid w:val="00306D09"/>
    <w:rsid w:val="00306EF9"/>
    <w:rsid w:val="0031069E"/>
    <w:rsid w:val="00310E9B"/>
    <w:rsid w:val="0031143F"/>
    <w:rsid w:val="00311AE9"/>
    <w:rsid w:val="00312577"/>
    <w:rsid w:val="00312884"/>
    <w:rsid w:val="00316B0B"/>
    <w:rsid w:val="00317C82"/>
    <w:rsid w:val="003209C5"/>
    <w:rsid w:val="003238AF"/>
    <w:rsid w:val="00323C33"/>
    <w:rsid w:val="00327F54"/>
    <w:rsid w:val="0033042C"/>
    <w:rsid w:val="00331184"/>
    <w:rsid w:val="0033157C"/>
    <w:rsid w:val="0033328F"/>
    <w:rsid w:val="00334DDA"/>
    <w:rsid w:val="00334FB1"/>
    <w:rsid w:val="0033649F"/>
    <w:rsid w:val="00336CC9"/>
    <w:rsid w:val="00336E21"/>
    <w:rsid w:val="003407E1"/>
    <w:rsid w:val="00340AE4"/>
    <w:rsid w:val="00341A0D"/>
    <w:rsid w:val="00342A5A"/>
    <w:rsid w:val="00343EEC"/>
    <w:rsid w:val="003440B9"/>
    <w:rsid w:val="0034494E"/>
    <w:rsid w:val="003473DC"/>
    <w:rsid w:val="00347B54"/>
    <w:rsid w:val="00347BD1"/>
    <w:rsid w:val="00347E7C"/>
    <w:rsid w:val="00351F25"/>
    <w:rsid w:val="00352AF3"/>
    <w:rsid w:val="00352FA8"/>
    <w:rsid w:val="00353059"/>
    <w:rsid w:val="00355524"/>
    <w:rsid w:val="00356E1C"/>
    <w:rsid w:val="00363AED"/>
    <w:rsid w:val="00364B04"/>
    <w:rsid w:val="003718E9"/>
    <w:rsid w:val="0037340C"/>
    <w:rsid w:val="0037523F"/>
    <w:rsid w:val="003755E4"/>
    <w:rsid w:val="003766B7"/>
    <w:rsid w:val="00376D30"/>
    <w:rsid w:val="00383268"/>
    <w:rsid w:val="0038333D"/>
    <w:rsid w:val="00384900"/>
    <w:rsid w:val="00384AA3"/>
    <w:rsid w:val="003855FD"/>
    <w:rsid w:val="00387352"/>
    <w:rsid w:val="003921CC"/>
    <w:rsid w:val="003929D8"/>
    <w:rsid w:val="00392F20"/>
    <w:rsid w:val="003940FF"/>
    <w:rsid w:val="00395119"/>
    <w:rsid w:val="003A05A9"/>
    <w:rsid w:val="003A0878"/>
    <w:rsid w:val="003A1B68"/>
    <w:rsid w:val="003A1E43"/>
    <w:rsid w:val="003A246A"/>
    <w:rsid w:val="003A4F4B"/>
    <w:rsid w:val="003A65AB"/>
    <w:rsid w:val="003B15C6"/>
    <w:rsid w:val="003B2403"/>
    <w:rsid w:val="003B3DE3"/>
    <w:rsid w:val="003B48FF"/>
    <w:rsid w:val="003B49DB"/>
    <w:rsid w:val="003B534E"/>
    <w:rsid w:val="003B5F25"/>
    <w:rsid w:val="003B63CA"/>
    <w:rsid w:val="003B66BF"/>
    <w:rsid w:val="003B7546"/>
    <w:rsid w:val="003C27A3"/>
    <w:rsid w:val="003C2E4D"/>
    <w:rsid w:val="003C3528"/>
    <w:rsid w:val="003C3998"/>
    <w:rsid w:val="003C4A98"/>
    <w:rsid w:val="003D1E04"/>
    <w:rsid w:val="003D523A"/>
    <w:rsid w:val="003D74A1"/>
    <w:rsid w:val="003E0BC8"/>
    <w:rsid w:val="003E1846"/>
    <w:rsid w:val="003E185E"/>
    <w:rsid w:val="003E7892"/>
    <w:rsid w:val="003F01A7"/>
    <w:rsid w:val="003F17C9"/>
    <w:rsid w:val="003F23E6"/>
    <w:rsid w:val="003F2453"/>
    <w:rsid w:val="003F349E"/>
    <w:rsid w:val="003F36A3"/>
    <w:rsid w:val="003F6D35"/>
    <w:rsid w:val="003F793A"/>
    <w:rsid w:val="00400FE6"/>
    <w:rsid w:val="00405969"/>
    <w:rsid w:val="00405DFD"/>
    <w:rsid w:val="004072ED"/>
    <w:rsid w:val="004079FE"/>
    <w:rsid w:val="00412110"/>
    <w:rsid w:val="00416156"/>
    <w:rsid w:val="00416DF5"/>
    <w:rsid w:val="00420F6E"/>
    <w:rsid w:val="00422E4B"/>
    <w:rsid w:val="00423395"/>
    <w:rsid w:val="00424F97"/>
    <w:rsid w:val="0042627C"/>
    <w:rsid w:val="00426B0B"/>
    <w:rsid w:val="00431B46"/>
    <w:rsid w:val="00432A1D"/>
    <w:rsid w:val="0043376B"/>
    <w:rsid w:val="00434473"/>
    <w:rsid w:val="004348C1"/>
    <w:rsid w:val="00435E06"/>
    <w:rsid w:val="00436813"/>
    <w:rsid w:val="00437557"/>
    <w:rsid w:val="004402EB"/>
    <w:rsid w:val="00440663"/>
    <w:rsid w:val="00441181"/>
    <w:rsid w:val="00442C4C"/>
    <w:rsid w:val="00442D00"/>
    <w:rsid w:val="004435D8"/>
    <w:rsid w:val="00445147"/>
    <w:rsid w:val="00445F4B"/>
    <w:rsid w:val="00447B7D"/>
    <w:rsid w:val="004531E5"/>
    <w:rsid w:val="00460987"/>
    <w:rsid w:val="0046357F"/>
    <w:rsid w:val="00464337"/>
    <w:rsid w:val="0046643C"/>
    <w:rsid w:val="00470819"/>
    <w:rsid w:val="00470AAF"/>
    <w:rsid w:val="00470D7D"/>
    <w:rsid w:val="004714C3"/>
    <w:rsid w:val="00473700"/>
    <w:rsid w:val="00473704"/>
    <w:rsid w:val="004762D6"/>
    <w:rsid w:val="00476D94"/>
    <w:rsid w:val="00476F8A"/>
    <w:rsid w:val="004877AC"/>
    <w:rsid w:val="00491F1A"/>
    <w:rsid w:val="00492561"/>
    <w:rsid w:val="00493106"/>
    <w:rsid w:val="0049310A"/>
    <w:rsid w:val="004934ED"/>
    <w:rsid w:val="00494A03"/>
    <w:rsid w:val="00494E5C"/>
    <w:rsid w:val="00495CC2"/>
    <w:rsid w:val="00496090"/>
    <w:rsid w:val="004966A1"/>
    <w:rsid w:val="004967A2"/>
    <w:rsid w:val="004972BD"/>
    <w:rsid w:val="00497959"/>
    <w:rsid w:val="004A0F6D"/>
    <w:rsid w:val="004A2874"/>
    <w:rsid w:val="004A3587"/>
    <w:rsid w:val="004A4304"/>
    <w:rsid w:val="004A43F3"/>
    <w:rsid w:val="004A4E10"/>
    <w:rsid w:val="004A67F2"/>
    <w:rsid w:val="004B1743"/>
    <w:rsid w:val="004B1F17"/>
    <w:rsid w:val="004B2E68"/>
    <w:rsid w:val="004B537B"/>
    <w:rsid w:val="004B585C"/>
    <w:rsid w:val="004B6098"/>
    <w:rsid w:val="004B6A8A"/>
    <w:rsid w:val="004B6D14"/>
    <w:rsid w:val="004B721A"/>
    <w:rsid w:val="004C0D96"/>
    <w:rsid w:val="004C2F7E"/>
    <w:rsid w:val="004C4955"/>
    <w:rsid w:val="004C59C1"/>
    <w:rsid w:val="004C666D"/>
    <w:rsid w:val="004C75DD"/>
    <w:rsid w:val="004C7AD6"/>
    <w:rsid w:val="004D0FE4"/>
    <w:rsid w:val="004D148C"/>
    <w:rsid w:val="004D17C3"/>
    <w:rsid w:val="004D1BCD"/>
    <w:rsid w:val="004D1D0D"/>
    <w:rsid w:val="004D204D"/>
    <w:rsid w:val="004D401F"/>
    <w:rsid w:val="004D4046"/>
    <w:rsid w:val="004D43A4"/>
    <w:rsid w:val="004D61EC"/>
    <w:rsid w:val="004D66C4"/>
    <w:rsid w:val="004E0245"/>
    <w:rsid w:val="004E3D80"/>
    <w:rsid w:val="004E7E1A"/>
    <w:rsid w:val="004E7E85"/>
    <w:rsid w:val="004F2070"/>
    <w:rsid w:val="004F27FB"/>
    <w:rsid w:val="004F2BF3"/>
    <w:rsid w:val="004F4FFD"/>
    <w:rsid w:val="00501017"/>
    <w:rsid w:val="005017FC"/>
    <w:rsid w:val="0050487C"/>
    <w:rsid w:val="00504AF6"/>
    <w:rsid w:val="005059C9"/>
    <w:rsid w:val="00507539"/>
    <w:rsid w:val="005110CD"/>
    <w:rsid w:val="005117FE"/>
    <w:rsid w:val="00514068"/>
    <w:rsid w:val="005159EB"/>
    <w:rsid w:val="00515F71"/>
    <w:rsid w:val="005176B5"/>
    <w:rsid w:val="005178F9"/>
    <w:rsid w:val="005209A9"/>
    <w:rsid w:val="00522368"/>
    <w:rsid w:val="00522446"/>
    <w:rsid w:val="0052295D"/>
    <w:rsid w:val="00523C5F"/>
    <w:rsid w:val="00526129"/>
    <w:rsid w:val="0052616B"/>
    <w:rsid w:val="00527649"/>
    <w:rsid w:val="00527866"/>
    <w:rsid w:val="00527BBD"/>
    <w:rsid w:val="00531993"/>
    <w:rsid w:val="00531FA4"/>
    <w:rsid w:val="00533A46"/>
    <w:rsid w:val="00535702"/>
    <w:rsid w:val="00535864"/>
    <w:rsid w:val="00536D88"/>
    <w:rsid w:val="005416AC"/>
    <w:rsid w:val="00542721"/>
    <w:rsid w:val="00544319"/>
    <w:rsid w:val="00544418"/>
    <w:rsid w:val="00546944"/>
    <w:rsid w:val="00550773"/>
    <w:rsid w:val="0055125F"/>
    <w:rsid w:val="0055669C"/>
    <w:rsid w:val="005574A9"/>
    <w:rsid w:val="0055761C"/>
    <w:rsid w:val="00557AC6"/>
    <w:rsid w:val="0056061D"/>
    <w:rsid w:val="00561661"/>
    <w:rsid w:val="00562519"/>
    <w:rsid w:val="00567358"/>
    <w:rsid w:val="00573535"/>
    <w:rsid w:val="0058227A"/>
    <w:rsid w:val="00582AE9"/>
    <w:rsid w:val="00582E21"/>
    <w:rsid w:val="00584EAA"/>
    <w:rsid w:val="00584ED3"/>
    <w:rsid w:val="005850A8"/>
    <w:rsid w:val="005913B9"/>
    <w:rsid w:val="005916FC"/>
    <w:rsid w:val="00591963"/>
    <w:rsid w:val="00591C35"/>
    <w:rsid w:val="00592608"/>
    <w:rsid w:val="00592C99"/>
    <w:rsid w:val="005933E6"/>
    <w:rsid w:val="00594F0F"/>
    <w:rsid w:val="00595506"/>
    <w:rsid w:val="0059649B"/>
    <w:rsid w:val="00597B22"/>
    <w:rsid w:val="005A1258"/>
    <w:rsid w:val="005A2343"/>
    <w:rsid w:val="005A2F9A"/>
    <w:rsid w:val="005A35CB"/>
    <w:rsid w:val="005A46D8"/>
    <w:rsid w:val="005A74B9"/>
    <w:rsid w:val="005B0F4B"/>
    <w:rsid w:val="005B1D77"/>
    <w:rsid w:val="005B35D3"/>
    <w:rsid w:val="005B4183"/>
    <w:rsid w:val="005B54CE"/>
    <w:rsid w:val="005B6BD6"/>
    <w:rsid w:val="005B6E27"/>
    <w:rsid w:val="005B7E55"/>
    <w:rsid w:val="005C2A33"/>
    <w:rsid w:val="005C683D"/>
    <w:rsid w:val="005C7AE5"/>
    <w:rsid w:val="005D0287"/>
    <w:rsid w:val="005D0E3F"/>
    <w:rsid w:val="005D0F57"/>
    <w:rsid w:val="005D1728"/>
    <w:rsid w:val="005D2923"/>
    <w:rsid w:val="005D37DC"/>
    <w:rsid w:val="005D464A"/>
    <w:rsid w:val="005D5822"/>
    <w:rsid w:val="005D6130"/>
    <w:rsid w:val="005D7669"/>
    <w:rsid w:val="005E0CF2"/>
    <w:rsid w:val="005E27EB"/>
    <w:rsid w:val="005E7FC5"/>
    <w:rsid w:val="005F03B2"/>
    <w:rsid w:val="005F3596"/>
    <w:rsid w:val="005F3B03"/>
    <w:rsid w:val="00600444"/>
    <w:rsid w:val="006008CE"/>
    <w:rsid w:val="00602F41"/>
    <w:rsid w:val="006038CC"/>
    <w:rsid w:val="006038E2"/>
    <w:rsid w:val="00604C1E"/>
    <w:rsid w:val="00605B50"/>
    <w:rsid w:val="006078CF"/>
    <w:rsid w:val="00610225"/>
    <w:rsid w:val="00611153"/>
    <w:rsid w:val="00611636"/>
    <w:rsid w:val="006130FA"/>
    <w:rsid w:val="00613305"/>
    <w:rsid w:val="00613D94"/>
    <w:rsid w:val="00614179"/>
    <w:rsid w:val="00616E73"/>
    <w:rsid w:val="006177BD"/>
    <w:rsid w:val="006206B9"/>
    <w:rsid w:val="00620BF1"/>
    <w:rsid w:val="00620C77"/>
    <w:rsid w:val="00621D9B"/>
    <w:rsid w:val="00622D40"/>
    <w:rsid w:val="006276B3"/>
    <w:rsid w:val="00627AEC"/>
    <w:rsid w:val="00631BD2"/>
    <w:rsid w:val="00632E6B"/>
    <w:rsid w:val="006343A3"/>
    <w:rsid w:val="00637E5A"/>
    <w:rsid w:val="006404BD"/>
    <w:rsid w:val="00642CF4"/>
    <w:rsid w:val="00644434"/>
    <w:rsid w:val="006473FD"/>
    <w:rsid w:val="00650651"/>
    <w:rsid w:val="00654DA2"/>
    <w:rsid w:val="0066008D"/>
    <w:rsid w:val="00661553"/>
    <w:rsid w:val="00661976"/>
    <w:rsid w:val="00663F5B"/>
    <w:rsid w:val="00665435"/>
    <w:rsid w:val="00665540"/>
    <w:rsid w:val="0067045A"/>
    <w:rsid w:val="006734EA"/>
    <w:rsid w:val="006747BC"/>
    <w:rsid w:val="00675A9D"/>
    <w:rsid w:val="00677092"/>
    <w:rsid w:val="00681AF6"/>
    <w:rsid w:val="00686854"/>
    <w:rsid w:val="00690415"/>
    <w:rsid w:val="00690DD2"/>
    <w:rsid w:val="00691C3C"/>
    <w:rsid w:val="006934AF"/>
    <w:rsid w:val="00693646"/>
    <w:rsid w:val="00693700"/>
    <w:rsid w:val="006937ED"/>
    <w:rsid w:val="00694CA4"/>
    <w:rsid w:val="006A1CF4"/>
    <w:rsid w:val="006A278F"/>
    <w:rsid w:val="006A35CC"/>
    <w:rsid w:val="006A5314"/>
    <w:rsid w:val="006A5582"/>
    <w:rsid w:val="006A6110"/>
    <w:rsid w:val="006A620D"/>
    <w:rsid w:val="006A6F59"/>
    <w:rsid w:val="006B360D"/>
    <w:rsid w:val="006B4E4F"/>
    <w:rsid w:val="006B5DD0"/>
    <w:rsid w:val="006B6B01"/>
    <w:rsid w:val="006B7F9D"/>
    <w:rsid w:val="006C3E62"/>
    <w:rsid w:val="006C488C"/>
    <w:rsid w:val="006C5ACF"/>
    <w:rsid w:val="006C670B"/>
    <w:rsid w:val="006C7A64"/>
    <w:rsid w:val="006D017C"/>
    <w:rsid w:val="006D03AC"/>
    <w:rsid w:val="006D2848"/>
    <w:rsid w:val="006D38B5"/>
    <w:rsid w:val="006D3F3F"/>
    <w:rsid w:val="006D40EE"/>
    <w:rsid w:val="006D4C35"/>
    <w:rsid w:val="006D4FFC"/>
    <w:rsid w:val="006D55FE"/>
    <w:rsid w:val="006D6591"/>
    <w:rsid w:val="006D6DC7"/>
    <w:rsid w:val="006E109F"/>
    <w:rsid w:val="006E141B"/>
    <w:rsid w:val="006E2598"/>
    <w:rsid w:val="006E3D9A"/>
    <w:rsid w:val="006E5967"/>
    <w:rsid w:val="006E62C6"/>
    <w:rsid w:val="006F1A37"/>
    <w:rsid w:val="006F33D4"/>
    <w:rsid w:val="006F4364"/>
    <w:rsid w:val="006F5B0F"/>
    <w:rsid w:val="006F6045"/>
    <w:rsid w:val="006F7FE5"/>
    <w:rsid w:val="007002F2"/>
    <w:rsid w:val="00703A83"/>
    <w:rsid w:val="00704308"/>
    <w:rsid w:val="00704B29"/>
    <w:rsid w:val="00704B37"/>
    <w:rsid w:val="00706D98"/>
    <w:rsid w:val="00707436"/>
    <w:rsid w:val="00707756"/>
    <w:rsid w:val="007111BA"/>
    <w:rsid w:val="00715861"/>
    <w:rsid w:val="0071703B"/>
    <w:rsid w:val="0072111C"/>
    <w:rsid w:val="00722BAF"/>
    <w:rsid w:val="00724E0D"/>
    <w:rsid w:val="00726A87"/>
    <w:rsid w:val="00730DB4"/>
    <w:rsid w:val="00731550"/>
    <w:rsid w:val="00732F95"/>
    <w:rsid w:val="0074100B"/>
    <w:rsid w:val="007416D3"/>
    <w:rsid w:val="00741DE1"/>
    <w:rsid w:val="00742F1A"/>
    <w:rsid w:val="007432EF"/>
    <w:rsid w:val="00744A54"/>
    <w:rsid w:val="00745045"/>
    <w:rsid w:val="007460D8"/>
    <w:rsid w:val="007463C6"/>
    <w:rsid w:val="00750EA2"/>
    <w:rsid w:val="0075119C"/>
    <w:rsid w:val="00753A93"/>
    <w:rsid w:val="007547F5"/>
    <w:rsid w:val="0075497A"/>
    <w:rsid w:val="00754C71"/>
    <w:rsid w:val="00755EE2"/>
    <w:rsid w:val="007562ED"/>
    <w:rsid w:val="0075645B"/>
    <w:rsid w:val="0075660B"/>
    <w:rsid w:val="00757130"/>
    <w:rsid w:val="00757DC8"/>
    <w:rsid w:val="007605B1"/>
    <w:rsid w:val="00760B40"/>
    <w:rsid w:val="00761C5C"/>
    <w:rsid w:val="007627FC"/>
    <w:rsid w:val="00762F02"/>
    <w:rsid w:val="007656AC"/>
    <w:rsid w:val="00765DAE"/>
    <w:rsid w:val="00765F17"/>
    <w:rsid w:val="00766415"/>
    <w:rsid w:val="0076666E"/>
    <w:rsid w:val="00770C6B"/>
    <w:rsid w:val="00773E41"/>
    <w:rsid w:val="007807C1"/>
    <w:rsid w:val="00782514"/>
    <w:rsid w:val="00782B28"/>
    <w:rsid w:val="00784628"/>
    <w:rsid w:val="00786AC3"/>
    <w:rsid w:val="00787A3C"/>
    <w:rsid w:val="00791265"/>
    <w:rsid w:val="00793B5E"/>
    <w:rsid w:val="007A0328"/>
    <w:rsid w:val="007A1F96"/>
    <w:rsid w:val="007A34AF"/>
    <w:rsid w:val="007A530D"/>
    <w:rsid w:val="007A5546"/>
    <w:rsid w:val="007A579E"/>
    <w:rsid w:val="007B184C"/>
    <w:rsid w:val="007B42DC"/>
    <w:rsid w:val="007B4A9B"/>
    <w:rsid w:val="007B6BF1"/>
    <w:rsid w:val="007C10C0"/>
    <w:rsid w:val="007C12D6"/>
    <w:rsid w:val="007C1DFE"/>
    <w:rsid w:val="007C295E"/>
    <w:rsid w:val="007C2ECE"/>
    <w:rsid w:val="007C369A"/>
    <w:rsid w:val="007C77F5"/>
    <w:rsid w:val="007D1BEE"/>
    <w:rsid w:val="007D204A"/>
    <w:rsid w:val="007D2582"/>
    <w:rsid w:val="007D4241"/>
    <w:rsid w:val="007D7349"/>
    <w:rsid w:val="007E0B74"/>
    <w:rsid w:val="007E1AAC"/>
    <w:rsid w:val="007E4B1F"/>
    <w:rsid w:val="007F0D32"/>
    <w:rsid w:val="007F0DD2"/>
    <w:rsid w:val="007F14BE"/>
    <w:rsid w:val="007F28B6"/>
    <w:rsid w:val="007F4308"/>
    <w:rsid w:val="007F45AC"/>
    <w:rsid w:val="007F57F3"/>
    <w:rsid w:val="007F7B6D"/>
    <w:rsid w:val="00800100"/>
    <w:rsid w:val="008004DD"/>
    <w:rsid w:val="0080134A"/>
    <w:rsid w:val="008014E3"/>
    <w:rsid w:val="008028B8"/>
    <w:rsid w:val="008043EB"/>
    <w:rsid w:val="00807818"/>
    <w:rsid w:val="008078E5"/>
    <w:rsid w:val="00807C81"/>
    <w:rsid w:val="00807FB4"/>
    <w:rsid w:val="008108E4"/>
    <w:rsid w:val="00811470"/>
    <w:rsid w:val="0081352E"/>
    <w:rsid w:val="00813A04"/>
    <w:rsid w:val="00814672"/>
    <w:rsid w:val="00815C09"/>
    <w:rsid w:val="00820EB0"/>
    <w:rsid w:val="0082424E"/>
    <w:rsid w:val="008245BA"/>
    <w:rsid w:val="0082639E"/>
    <w:rsid w:val="00826CBA"/>
    <w:rsid w:val="00826EA1"/>
    <w:rsid w:val="008271DF"/>
    <w:rsid w:val="00827BB5"/>
    <w:rsid w:val="00827C91"/>
    <w:rsid w:val="00830C78"/>
    <w:rsid w:val="0083236D"/>
    <w:rsid w:val="008331A0"/>
    <w:rsid w:val="0083713E"/>
    <w:rsid w:val="008376C9"/>
    <w:rsid w:val="00837C67"/>
    <w:rsid w:val="00842AA9"/>
    <w:rsid w:val="00843F9A"/>
    <w:rsid w:val="00844544"/>
    <w:rsid w:val="008446D7"/>
    <w:rsid w:val="00844A51"/>
    <w:rsid w:val="00845ABD"/>
    <w:rsid w:val="00847451"/>
    <w:rsid w:val="00847FE8"/>
    <w:rsid w:val="00850BEA"/>
    <w:rsid w:val="00851EB9"/>
    <w:rsid w:val="0085231D"/>
    <w:rsid w:val="008531E5"/>
    <w:rsid w:val="00853D18"/>
    <w:rsid w:val="00854EBF"/>
    <w:rsid w:val="00855980"/>
    <w:rsid w:val="0085629D"/>
    <w:rsid w:val="00857512"/>
    <w:rsid w:val="0085777E"/>
    <w:rsid w:val="008578A9"/>
    <w:rsid w:val="00857E2F"/>
    <w:rsid w:val="0086019F"/>
    <w:rsid w:val="00862584"/>
    <w:rsid w:val="0086323A"/>
    <w:rsid w:val="00865DD4"/>
    <w:rsid w:val="00867355"/>
    <w:rsid w:val="00873A90"/>
    <w:rsid w:val="00873AE8"/>
    <w:rsid w:val="00875233"/>
    <w:rsid w:val="0087523C"/>
    <w:rsid w:val="00875258"/>
    <w:rsid w:val="00875937"/>
    <w:rsid w:val="00875EF1"/>
    <w:rsid w:val="00875F02"/>
    <w:rsid w:val="00880585"/>
    <w:rsid w:val="00882000"/>
    <w:rsid w:val="0088212C"/>
    <w:rsid w:val="008835EA"/>
    <w:rsid w:val="00884787"/>
    <w:rsid w:val="00887890"/>
    <w:rsid w:val="00893936"/>
    <w:rsid w:val="00893946"/>
    <w:rsid w:val="00895FC1"/>
    <w:rsid w:val="008970C4"/>
    <w:rsid w:val="00897E55"/>
    <w:rsid w:val="008A05CF"/>
    <w:rsid w:val="008A2C7E"/>
    <w:rsid w:val="008A34C3"/>
    <w:rsid w:val="008A5038"/>
    <w:rsid w:val="008A5D47"/>
    <w:rsid w:val="008B090F"/>
    <w:rsid w:val="008B18C0"/>
    <w:rsid w:val="008B551A"/>
    <w:rsid w:val="008B5DA4"/>
    <w:rsid w:val="008C0FB8"/>
    <w:rsid w:val="008C3167"/>
    <w:rsid w:val="008C39D7"/>
    <w:rsid w:val="008C4FDF"/>
    <w:rsid w:val="008C5A31"/>
    <w:rsid w:val="008C6E71"/>
    <w:rsid w:val="008C6E94"/>
    <w:rsid w:val="008D07F2"/>
    <w:rsid w:val="008D0B03"/>
    <w:rsid w:val="008D1C88"/>
    <w:rsid w:val="008D2664"/>
    <w:rsid w:val="008D70BB"/>
    <w:rsid w:val="008E180A"/>
    <w:rsid w:val="008E2709"/>
    <w:rsid w:val="008E3880"/>
    <w:rsid w:val="008E3DDD"/>
    <w:rsid w:val="008E7118"/>
    <w:rsid w:val="008F2F59"/>
    <w:rsid w:val="008F2FB5"/>
    <w:rsid w:val="009034A5"/>
    <w:rsid w:val="0090370D"/>
    <w:rsid w:val="009049E9"/>
    <w:rsid w:val="009118BE"/>
    <w:rsid w:val="00912269"/>
    <w:rsid w:val="00915E79"/>
    <w:rsid w:val="009166D5"/>
    <w:rsid w:val="00916E1A"/>
    <w:rsid w:val="00917B16"/>
    <w:rsid w:val="00917D2A"/>
    <w:rsid w:val="00926374"/>
    <w:rsid w:val="00926DE9"/>
    <w:rsid w:val="00930378"/>
    <w:rsid w:val="009306A3"/>
    <w:rsid w:val="0093240E"/>
    <w:rsid w:val="00934681"/>
    <w:rsid w:val="00936467"/>
    <w:rsid w:val="0093650E"/>
    <w:rsid w:val="009374DF"/>
    <w:rsid w:val="00937E28"/>
    <w:rsid w:val="00941409"/>
    <w:rsid w:val="0094175D"/>
    <w:rsid w:val="00942142"/>
    <w:rsid w:val="00942DCD"/>
    <w:rsid w:val="00942DF5"/>
    <w:rsid w:val="00944FDC"/>
    <w:rsid w:val="00945F4B"/>
    <w:rsid w:val="0095128A"/>
    <w:rsid w:val="00951E22"/>
    <w:rsid w:val="009523F6"/>
    <w:rsid w:val="00952D9A"/>
    <w:rsid w:val="00956F66"/>
    <w:rsid w:val="009572A3"/>
    <w:rsid w:val="00960E7F"/>
    <w:rsid w:val="009640DB"/>
    <w:rsid w:val="00964312"/>
    <w:rsid w:val="00964596"/>
    <w:rsid w:val="00964D22"/>
    <w:rsid w:val="009650A5"/>
    <w:rsid w:val="00965690"/>
    <w:rsid w:val="00965D83"/>
    <w:rsid w:val="00966CC7"/>
    <w:rsid w:val="0097099F"/>
    <w:rsid w:val="009725AB"/>
    <w:rsid w:val="00972D78"/>
    <w:rsid w:val="00974899"/>
    <w:rsid w:val="0098450C"/>
    <w:rsid w:val="009858B6"/>
    <w:rsid w:val="00985910"/>
    <w:rsid w:val="0098693E"/>
    <w:rsid w:val="00986A24"/>
    <w:rsid w:val="00990494"/>
    <w:rsid w:val="009904FD"/>
    <w:rsid w:val="00990C64"/>
    <w:rsid w:val="00990D5D"/>
    <w:rsid w:val="00992153"/>
    <w:rsid w:val="00992FF4"/>
    <w:rsid w:val="0099318B"/>
    <w:rsid w:val="009938E9"/>
    <w:rsid w:val="009948EA"/>
    <w:rsid w:val="0099560D"/>
    <w:rsid w:val="009976F5"/>
    <w:rsid w:val="00997FE3"/>
    <w:rsid w:val="009A096E"/>
    <w:rsid w:val="009A3400"/>
    <w:rsid w:val="009B0398"/>
    <w:rsid w:val="009B0C41"/>
    <w:rsid w:val="009B0C62"/>
    <w:rsid w:val="009B255E"/>
    <w:rsid w:val="009B3826"/>
    <w:rsid w:val="009B428F"/>
    <w:rsid w:val="009B5820"/>
    <w:rsid w:val="009B662A"/>
    <w:rsid w:val="009B6939"/>
    <w:rsid w:val="009C0508"/>
    <w:rsid w:val="009C146B"/>
    <w:rsid w:val="009C1CCB"/>
    <w:rsid w:val="009C2165"/>
    <w:rsid w:val="009C2211"/>
    <w:rsid w:val="009C3111"/>
    <w:rsid w:val="009C475E"/>
    <w:rsid w:val="009D140A"/>
    <w:rsid w:val="009D1B45"/>
    <w:rsid w:val="009D1C16"/>
    <w:rsid w:val="009D2437"/>
    <w:rsid w:val="009D507D"/>
    <w:rsid w:val="009D5E34"/>
    <w:rsid w:val="009D61CD"/>
    <w:rsid w:val="009E3210"/>
    <w:rsid w:val="009E7978"/>
    <w:rsid w:val="009F10B0"/>
    <w:rsid w:val="009F2062"/>
    <w:rsid w:val="009F24FB"/>
    <w:rsid w:val="009F3094"/>
    <w:rsid w:val="009F4828"/>
    <w:rsid w:val="009F7744"/>
    <w:rsid w:val="00A0117A"/>
    <w:rsid w:val="00A03BEC"/>
    <w:rsid w:val="00A047CE"/>
    <w:rsid w:val="00A112E3"/>
    <w:rsid w:val="00A1163A"/>
    <w:rsid w:val="00A24AA9"/>
    <w:rsid w:val="00A274E6"/>
    <w:rsid w:val="00A31041"/>
    <w:rsid w:val="00A3438D"/>
    <w:rsid w:val="00A3453F"/>
    <w:rsid w:val="00A35036"/>
    <w:rsid w:val="00A35C0B"/>
    <w:rsid w:val="00A4065D"/>
    <w:rsid w:val="00A40841"/>
    <w:rsid w:val="00A408B2"/>
    <w:rsid w:val="00A4106A"/>
    <w:rsid w:val="00A41FAB"/>
    <w:rsid w:val="00A44366"/>
    <w:rsid w:val="00A50B12"/>
    <w:rsid w:val="00A522FE"/>
    <w:rsid w:val="00A52503"/>
    <w:rsid w:val="00A52D0F"/>
    <w:rsid w:val="00A53FDD"/>
    <w:rsid w:val="00A54FCB"/>
    <w:rsid w:val="00A55315"/>
    <w:rsid w:val="00A55755"/>
    <w:rsid w:val="00A56993"/>
    <w:rsid w:val="00A645F2"/>
    <w:rsid w:val="00A652CA"/>
    <w:rsid w:val="00A660B3"/>
    <w:rsid w:val="00A701E3"/>
    <w:rsid w:val="00A73D9A"/>
    <w:rsid w:val="00A819EA"/>
    <w:rsid w:val="00A8204F"/>
    <w:rsid w:val="00A821A4"/>
    <w:rsid w:val="00A82204"/>
    <w:rsid w:val="00A836FD"/>
    <w:rsid w:val="00A839C6"/>
    <w:rsid w:val="00A84E74"/>
    <w:rsid w:val="00A85A7D"/>
    <w:rsid w:val="00A85C9F"/>
    <w:rsid w:val="00A872C4"/>
    <w:rsid w:val="00A87BFA"/>
    <w:rsid w:val="00A92EBD"/>
    <w:rsid w:val="00A93680"/>
    <w:rsid w:val="00A93899"/>
    <w:rsid w:val="00A940B0"/>
    <w:rsid w:val="00A955AB"/>
    <w:rsid w:val="00A97ABC"/>
    <w:rsid w:val="00A97C87"/>
    <w:rsid w:val="00A97F7A"/>
    <w:rsid w:val="00AA1835"/>
    <w:rsid w:val="00AA2463"/>
    <w:rsid w:val="00AA26E9"/>
    <w:rsid w:val="00AA3FE6"/>
    <w:rsid w:val="00AB0525"/>
    <w:rsid w:val="00AB1B2C"/>
    <w:rsid w:val="00AB4F00"/>
    <w:rsid w:val="00AB58B1"/>
    <w:rsid w:val="00AB6D1C"/>
    <w:rsid w:val="00AB779D"/>
    <w:rsid w:val="00AC2116"/>
    <w:rsid w:val="00AC574C"/>
    <w:rsid w:val="00AC7420"/>
    <w:rsid w:val="00AC7952"/>
    <w:rsid w:val="00AD0927"/>
    <w:rsid w:val="00AD1716"/>
    <w:rsid w:val="00AD65A3"/>
    <w:rsid w:val="00AD68C1"/>
    <w:rsid w:val="00AD6BF3"/>
    <w:rsid w:val="00AD7FA6"/>
    <w:rsid w:val="00AE1002"/>
    <w:rsid w:val="00AE2C55"/>
    <w:rsid w:val="00AE2D01"/>
    <w:rsid w:val="00AE43E5"/>
    <w:rsid w:val="00AE4502"/>
    <w:rsid w:val="00AE49DD"/>
    <w:rsid w:val="00AE7B04"/>
    <w:rsid w:val="00AF1203"/>
    <w:rsid w:val="00AF1720"/>
    <w:rsid w:val="00AF2B13"/>
    <w:rsid w:val="00AF2CA8"/>
    <w:rsid w:val="00AF35C2"/>
    <w:rsid w:val="00AF38DB"/>
    <w:rsid w:val="00AF44A3"/>
    <w:rsid w:val="00B002BD"/>
    <w:rsid w:val="00B00F4A"/>
    <w:rsid w:val="00B012C3"/>
    <w:rsid w:val="00B01459"/>
    <w:rsid w:val="00B0233A"/>
    <w:rsid w:val="00B02589"/>
    <w:rsid w:val="00B027FF"/>
    <w:rsid w:val="00B02A37"/>
    <w:rsid w:val="00B0430B"/>
    <w:rsid w:val="00B05587"/>
    <w:rsid w:val="00B06661"/>
    <w:rsid w:val="00B0695A"/>
    <w:rsid w:val="00B073BE"/>
    <w:rsid w:val="00B12EA9"/>
    <w:rsid w:val="00B1565F"/>
    <w:rsid w:val="00B1772B"/>
    <w:rsid w:val="00B17EA0"/>
    <w:rsid w:val="00B21F22"/>
    <w:rsid w:val="00B221CA"/>
    <w:rsid w:val="00B25125"/>
    <w:rsid w:val="00B252E5"/>
    <w:rsid w:val="00B26974"/>
    <w:rsid w:val="00B26AC5"/>
    <w:rsid w:val="00B2739A"/>
    <w:rsid w:val="00B27787"/>
    <w:rsid w:val="00B31393"/>
    <w:rsid w:val="00B373F4"/>
    <w:rsid w:val="00B37EB3"/>
    <w:rsid w:val="00B4520E"/>
    <w:rsid w:val="00B459DC"/>
    <w:rsid w:val="00B45D3A"/>
    <w:rsid w:val="00B46515"/>
    <w:rsid w:val="00B50657"/>
    <w:rsid w:val="00B50D3A"/>
    <w:rsid w:val="00B50FD0"/>
    <w:rsid w:val="00B519B0"/>
    <w:rsid w:val="00B52AC2"/>
    <w:rsid w:val="00B531C3"/>
    <w:rsid w:val="00B5492F"/>
    <w:rsid w:val="00B5530F"/>
    <w:rsid w:val="00B556E5"/>
    <w:rsid w:val="00B57820"/>
    <w:rsid w:val="00B6122E"/>
    <w:rsid w:val="00B640AA"/>
    <w:rsid w:val="00B6414A"/>
    <w:rsid w:val="00B657BF"/>
    <w:rsid w:val="00B675C0"/>
    <w:rsid w:val="00B67AB7"/>
    <w:rsid w:val="00B71B49"/>
    <w:rsid w:val="00B72325"/>
    <w:rsid w:val="00B732D8"/>
    <w:rsid w:val="00B73D91"/>
    <w:rsid w:val="00B73EE2"/>
    <w:rsid w:val="00B74478"/>
    <w:rsid w:val="00B75247"/>
    <w:rsid w:val="00B75AD9"/>
    <w:rsid w:val="00B8216E"/>
    <w:rsid w:val="00B822B6"/>
    <w:rsid w:val="00B837BD"/>
    <w:rsid w:val="00B84DCC"/>
    <w:rsid w:val="00B90817"/>
    <w:rsid w:val="00B9201F"/>
    <w:rsid w:val="00B9224F"/>
    <w:rsid w:val="00B950A0"/>
    <w:rsid w:val="00B95278"/>
    <w:rsid w:val="00B966F9"/>
    <w:rsid w:val="00BA02FC"/>
    <w:rsid w:val="00BA2B42"/>
    <w:rsid w:val="00BA2F32"/>
    <w:rsid w:val="00BA3BD6"/>
    <w:rsid w:val="00BA6DE6"/>
    <w:rsid w:val="00BB04F7"/>
    <w:rsid w:val="00BB1403"/>
    <w:rsid w:val="00BB4BA8"/>
    <w:rsid w:val="00BB71D3"/>
    <w:rsid w:val="00BB7E7B"/>
    <w:rsid w:val="00BC0795"/>
    <w:rsid w:val="00BC1D28"/>
    <w:rsid w:val="00BC2097"/>
    <w:rsid w:val="00BD17C9"/>
    <w:rsid w:val="00BD198D"/>
    <w:rsid w:val="00BD36AA"/>
    <w:rsid w:val="00BD4266"/>
    <w:rsid w:val="00BD473E"/>
    <w:rsid w:val="00BD483F"/>
    <w:rsid w:val="00BD4C05"/>
    <w:rsid w:val="00BD73E3"/>
    <w:rsid w:val="00BD7671"/>
    <w:rsid w:val="00BE0339"/>
    <w:rsid w:val="00BE0834"/>
    <w:rsid w:val="00BE194A"/>
    <w:rsid w:val="00BE36C6"/>
    <w:rsid w:val="00BE3E89"/>
    <w:rsid w:val="00BE3EC1"/>
    <w:rsid w:val="00BE513B"/>
    <w:rsid w:val="00BE5438"/>
    <w:rsid w:val="00BE682E"/>
    <w:rsid w:val="00BF17FB"/>
    <w:rsid w:val="00BF1F45"/>
    <w:rsid w:val="00BF230E"/>
    <w:rsid w:val="00BF2563"/>
    <w:rsid w:val="00BF28E8"/>
    <w:rsid w:val="00BF313D"/>
    <w:rsid w:val="00BF3A55"/>
    <w:rsid w:val="00BF40AC"/>
    <w:rsid w:val="00BF51D8"/>
    <w:rsid w:val="00BF729D"/>
    <w:rsid w:val="00BF7FBB"/>
    <w:rsid w:val="00C01289"/>
    <w:rsid w:val="00C0185A"/>
    <w:rsid w:val="00C03679"/>
    <w:rsid w:val="00C036B5"/>
    <w:rsid w:val="00C048B5"/>
    <w:rsid w:val="00C0567A"/>
    <w:rsid w:val="00C07A77"/>
    <w:rsid w:val="00C10CFC"/>
    <w:rsid w:val="00C10EA2"/>
    <w:rsid w:val="00C1119A"/>
    <w:rsid w:val="00C12755"/>
    <w:rsid w:val="00C13169"/>
    <w:rsid w:val="00C1368E"/>
    <w:rsid w:val="00C16F75"/>
    <w:rsid w:val="00C2003E"/>
    <w:rsid w:val="00C206C9"/>
    <w:rsid w:val="00C208DE"/>
    <w:rsid w:val="00C218CA"/>
    <w:rsid w:val="00C22606"/>
    <w:rsid w:val="00C22F9B"/>
    <w:rsid w:val="00C245AD"/>
    <w:rsid w:val="00C31B0D"/>
    <w:rsid w:val="00C33539"/>
    <w:rsid w:val="00C33A93"/>
    <w:rsid w:val="00C3428C"/>
    <w:rsid w:val="00C40AE6"/>
    <w:rsid w:val="00C410EB"/>
    <w:rsid w:val="00C41E8D"/>
    <w:rsid w:val="00C43ED3"/>
    <w:rsid w:val="00C44B26"/>
    <w:rsid w:val="00C451D6"/>
    <w:rsid w:val="00C458AC"/>
    <w:rsid w:val="00C4634A"/>
    <w:rsid w:val="00C4737B"/>
    <w:rsid w:val="00C47F01"/>
    <w:rsid w:val="00C52612"/>
    <w:rsid w:val="00C54653"/>
    <w:rsid w:val="00C54AC5"/>
    <w:rsid w:val="00C604DE"/>
    <w:rsid w:val="00C60EBC"/>
    <w:rsid w:val="00C627E4"/>
    <w:rsid w:val="00C6378B"/>
    <w:rsid w:val="00C65BA9"/>
    <w:rsid w:val="00C661F4"/>
    <w:rsid w:val="00C6621E"/>
    <w:rsid w:val="00C671C3"/>
    <w:rsid w:val="00C672A2"/>
    <w:rsid w:val="00C7058B"/>
    <w:rsid w:val="00C71170"/>
    <w:rsid w:val="00C74783"/>
    <w:rsid w:val="00C7728E"/>
    <w:rsid w:val="00C806D5"/>
    <w:rsid w:val="00C839A4"/>
    <w:rsid w:val="00C8457E"/>
    <w:rsid w:val="00C8625E"/>
    <w:rsid w:val="00C869E7"/>
    <w:rsid w:val="00C869ED"/>
    <w:rsid w:val="00C87D51"/>
    <w:rsid w:val="00C924A7"/>
    <w:rsid w:val="00C92803"/>
    <w:rsid w:val="00C94B97"/>
    <w:rsid w:val="00C961C0"/>
    <w:rsid w:val="00C96639"/>
    <w:rsid w:val="00C96A43"/>
    <w:rsid w:val="00C976D1"/>
    <w:rsid w:val="00CA14B3"/>
    <w:rsid w:val="00CA1809"/>
    <w:rsid w:val="00CA1E40"/>
    <w:rsid w:val="00CA353E"/>
    <w:rsid w:val="00CA37D5"/>
    <w:rsid w:val="00CA53AA"/>
    <w:rsid w:val="00CA62E9"/>
    <w:rsid w:val="00CA7508"/>
    <w:rsid w:val="00CA789B"/>
    <w:rsid w:val="00CB046D"/>
    <w:rsid w:val="00CB2207"/>
    <w:rsid w:val="00CB2553"/>
    <w:rsid w:val="00CB32E1"/>
    <w:rsid w:val="00CB3AA8"/>
    <w:rsid w:val="00CB7E9F"/>
    <w:rsid w:val="00CC03A3"/>
    <w:rsid w:val="00CC0B63"/>
    <w:rsid w:val="00CC1497"/>
    <w:rsid w:val="00CC21BF"/>
    <w:rsid w:val="00CC3450"/>
    <w:rsid w:val="00CC3731"/>
    <w:rsid w:val="00CC3FBB"/>
    <w:rsid w:val="00CC48EF"/>
    <w:rsid w:val="00CC7F27"/>
    <w:rsid w:val="00CD0636"/>
    <w:rsid w:val="00CD3785"/>
    <w:rsid w:val="00CD4A3A"/>
    <w:rsid w:val="00CD77E7"/>
    <w:rsid w:val="00CE1447"/>
    <w:rsid w:val="00CE1C72"/>
    <w:rsid w:val="00CE428E"/>
    <w:rsid w:val="00CE4A05"/>
    <w:rsid w:val="00CE4A47"/>
    <w:rsid w:val="00CE7251"/>
    <w:rsid w:val="00CE78D7"/>
    <w:rsid w:val="00CF16ED"/>
    <w:rsid w:val="00CF2F2A"/>
    <w:rsid w:val="00CF3E15"/>
    <w:rsid w:val="00CF4EB7"/>
    <w:rsid w:val="00CF5BF3"/>
    <w:rsid w:val="00CF6B6E"/>
    <w:rsid w:val="00CF7622"/>
    <w:rsid w:val="00D000D2"/>
    <w:rsid w:val="00D00537"/>
    <w:rsid w:val="00D0322B"/>
    <w:rsid w:val="00D03440"/>
    <w:rsid w:val="00D03CD5"/>
    <w:rsid w:val="00D05133"/>
    <w:rsid w:val="00D06AD0"/>
    <w:rsid w:val="00D06BF9"/>
    <w:rsid w:val="00D10B55"/>
    <w:rsid w:val="00D11D94"/>
    <w:rsid w:val="00D12AA4"/>
    <w:rsid w:val="00D16867"/>
    <w:rsid w:val="00D1740A"/>
    <w:rsid w:val="00D21101"/>
    <w:rsid w:val="00D22B2C"/>
    <w:rsid w:val="00D24F6D"/>
    <w:rsid w:val="00D2504F"/>
    <w:rsid w:val="00D263CA"/>
    <w:rsid w:val="00D304C5"/>
    <w:rsid w:val="00D33394"/>
    <w:rsid w:val="00D347D9"/>
    <w:rsid w:val="00D37C01"/>
    <w:rsid w:val="00D37EF8"/>
    <w:rsid w:val="00D408AC"/>
    <w:rsid w:val="00D42966"/>
    <w:rsid w:val="00D44EB9"/>
    <w:rsid w:val="00D455A1"/>
    <w:rsid w:val="00D47DB3"/>
    <w:rsid w:val="00D53202"/>
    <w:rsid w:val="00D55180"/>
    <w:rsid w:val="00D57BDD"/>
    <w:rsid w:val="00D60106"/>
    <w:rsid w:val="00D60754"/>
    <w:rsid w:val="00D62597"/>
    <w:rsid w:val="00D6520A"/>
    <w:rsid w:val="00D66FD6"/>
    <w:rsid w:val="00D67174"/>
    <w:rsid w:val="00D702C9"/>
    <w:rsid w:val="00D72392"/>
    <w:rsid w:val="00D73567"/>
    <w:rsid w:val="00D74CFB"/>
    <w:rsid w:val="00D80D75"/>
    <w:rsid w:val="00D810A1"/>
    <w:rsid w:val="00D81854"/>
    <w:rsid w:val="00D81C90"/>
    <w:rsid w:val="00D8231A"/>
    <w:rsid w:val="00D82C1C"/>
    <w:rsid w:val="00D83F17"/>
    <w:rsid w:val="00D859C2"/>
    <w:rsid w:val="00D8614D"/>
    <w:rsid w:val="00D90B5A"/>
    <w:rsid w:val="00D91A72"/>
    <w:rsid w:val="00D934FC"/>
    <w:rsid w:val="00D9590F"/>
    <w:rsid w:val="00D95AF9"/>
    <w:rsid w:val="00DA0F75"/>
    <w:rsid w:val="00DA3350"/>
    <w:rsid w:val="00DA5AD8"/>
    <w:rsid w:val="00DA61D1"/>
    <w:rsid w:val="00DA66EA"/>
    <w:rsid w:val="00DA6DA9"/>
    <w:rsid w:val="00DA71A6"/>
    <w:rsid w:val="00DB0F7E"/>
    <w:rsid w:val="00DB12AA"/>
    <w:rsid w:val="00DB13C0"/>
    <w:rsid w:val="00DB22B4"/>
    <w:rsid w:val="00DB2EC4"/>
    <w:rsid w:val="00DB3211"/>
    <w:rsid w:val="00DB3CB7"/>
    <w:rsid w:val="00DB5D9E"/>
    <w:rsid w:val="00DB7334"/>
    <w:rsid w:val="00DB7DF7"/>
    <w:rsid w:val="00DC1D1B"/>
    <w:rsid w:val="00DC4F0C"/>
    <w:rsid w:val="00DC5141"/>
    <w:rsid w:val="00DC60E9"/>
    <w:rsid w:val="00DD04B5"/>
    <w:rsid w:val="00DD0F9D"/>
    <w:rsid w:val="00DD23E4"/>
    <w:rsid w:val="00DD29A2"/>
    <w:rsid w:val="00DD34E8"/>
    <w:rsid w:val="00DD38D1"/>
    <w:rsid w:val="00DD3C9C"/>
    <w:rsid w:val="00DD4CAE"/>
    <w:rsid w:val="00DD4FB5"/>
    <w:rsid w:val="00DD6F08"/>
    <w:rsid w:val="00DD70F8"/>
    <w:rsid w:val="00DE144B"/>
    <w:rsid w:val="00DE1794"/>
    <w:rsid w:val="00DE4FCF"/>
    <w:rsid w:val="00DE56DD"/>
    <w:rsid w:val="00DE77CE"/>
    <w:rsid w:val="00DF12B9"/>
    <w:rsid w:val="00DF2668"/>
    <w:rsid w:val="00DF3450"/>
    <w:rsid w:val="00DF3566"/>
    <w:rsid w:val="00DF568D"/>
    <w:rsid w:val="00DF5B2C"/>
    <w:rsid w:val="00DF5C4A"/>
    <w:rsid w:val="00DF75BB"/>
    <w:rsid w:val="00E00183"/>
    <w:rsid w:val="00E01942"/>
    <w:rsid w:val="00E01A9C"/>
    <w:rsid w:val="00E01BC6"/>
    <w:rsid w:val="00E03DC3"/>
    <w:rsid w:val="00E041C4"/>
    <w:rsid w:val="00E05D29"/>
    <w:rsid w:val="00E05E13"/>
    <w:rsid w:val="00E07754"/>
    <w:rsid w:val="00E10FB3"/>
    <w:rsid w:val="00E12703"/>
    <w:rsid w:val="00E12FB5"/>
    <w:rsid w:val="00E13556"/>
    <w:rsid w:val="00E13907"/>
    <w:rsid w:val="00E17B51"/>
    <w:rsid w:val="00E21836"/>
    <w:rsid w:val="00E22D79"/>
    <w:rsid w:val="00E24605"/>
    <w:rsid w:val="00E26A0E"/>
    <w:rsid w:val="00E276B1"/>
    <w:rsid w:val="00E30869"/>
    <w:rsid w:val="00E30D7A"/>
    <w:rsid w:val="00E3130A"/>
    <w:rsid w:val="00E316AA"/>
    <w:rsid w:val="00E31A5D"/>
    <w:rsid w:val="00E322CA"/>
    <w:rsid w:val="00E34412"/>
    <w:rsid w:val="00E351CD"/>
    <w:rsid w:val="00E358D6"/>
    <w:rsid w:val="00E37F0C"/>
    <w:rsid w:val="00E41411"/>
    <w:rsid w:val="00E41E85"/>
    <w:rsid w:val="00E42A6E"/>
    <w:rsid w:val="00E42AD8"/>
    <w:rsid w:val="00E42C10"/>
    <w:rsid w:val="00E439FB"/>
    <w:rsid w:val="00E442AA"/>
    <w:rsid w:val="00E506ED"/>
    <w:rsid w:val="00E51746"/>
    <w:rsid w:val="00E523ED"/>
    <w:rsid w:val="00E52838"/>
    <w:rsid w:val="00E55BBD"/>
    <w:rsid w:val="00E56108"/>
    <w:rsid w:val="00E566EF"/>
    <w:rsid w:val="00E5739B"/>
    <w:rsid w:val="00E610E1"/>
    <w:rsid w:val="00E6257E"/>
    <w:rsid w:val="00E62A2E"/>
    <w:rsid w:val="00E64857"/>
    <w:rsid w:val="00E655D1"/>
    <w:rsid w:val="00E703B9"/>
    <w:rsid w:val="00E70414"/>
    <w:rsid w:val="00E707CE"/>
    <w:rsid w:val="00E71EAE"/>
    <w:rsid w:val="00E7258E"/>
    <w:rsid w:val="00E73B22"/>
    <w:rsid w:val="00E74DD0"/>
    <w:rsid w:val="00E7530E"/>
    <w:rsid w:val="00E75C81"/>
    <w:rsid w:val="00E7706E"/>
    <w:rsid w:val="00E77136"/>
    <w:rsid w:val="00E8059C"/>
    <w:rsid w:val="00E8077B"/>
    <w:rsid w:val="00E80DAE"/>
    <w:rsid w:val="00E82078"/>
    <w:rsid w:val="00E82271"/>
    <w:rsid w:val="00E8416C"/>
    <w:rsid w:val="00E85951"/>
    <w:rsid w:val="00E8703A"/>
    <w:rsid w:val="00E872F5"/>
    <w:rsid w:val="00E90DD0"/>
    <w:rsid w:val="00E91169"/>
    <w:rsid w:val="00E91488"/>
    <w:rsid w:val="00E9181F"/>
    <w:rsid w:val="00E928B0"/>
    <w:rsid w:val="00E938F5"/>
    <w:rsid w:val="00E9490A"/>
    <w:rsid w:val="00E94E37"/>
    <w:rsid w:val="00E95618"/>
    <w:rsid w:val="00E96182"/>
    <w:rsid w:val="00E96475"/>
    <w:rsid w:val="00E97BBF"/>
    <w:rsid w:val="00EA24D7"/>
    <w:rsid w:val="00EA2976"/>
    <w:rsid w:val="00EA2D21"/>
    <w:rsid w:val="00EA3873"/>
    <w:rsid w:val="00EA3950"/>
    <w:rsid w:val="00EA53C8"/>
    <w:rsid w:val="00EA7154"/>
    <w:rsid w:val="00EB0E35"/>
    <w:rsid w:val="00EB63BE"/>
    <w:rsid w:val="00EC0861"/>
    <w:rsid w:val="00EC203E"/>
    <w:rsid w:val="00EC32B8"/>
    <w:rsid w:val="00EC5890"/>
    <w:rsid w:val="00EC6294"/>
    <w:rsid w:val="00ED1365"/>
    <w:rsid w:val="00ED3398"/>
    <w:rsid w:val="00EE02B6"/>
    <w:rsid w:val="00EE382E"/>
    <w:rsid w:val="00EE4DE5"/>
    <w:rsid w:val="00EE5AA7"/>
    <w:rsid w:val="00EE6017"/>
    <w:rsid w:val="00EE7628"/>
    <w:rsid w:val="00EE7C55"/>
    <w:rsid w:val="00EF194A"/>
    <w:rsid w:val="00EF3D7D"/>
    <w:rsid w:val="00EF608B"/>
    <w:rsid w:val="00EF7372"/>
    <w:rsid w:val="00F00B3D"/>
    <w:rsid w:val="00F03FB6"/>
    <w:rsid w:val="00F044EA"/>
    <w:rsid w:val="00F045C0"/>
    <w:rsid w:val="00F05CD2"/>
    <w:rsid w:val="00F0635C"/>
    <w:rsid w:val="00F07BA1"/>
    <w:rsid w:val="00F128DE"/>
    <w:rsid w:val="00F14F31"/>
    <w:rsid w:val="00F159B3"/>
    <w:rsid w:val="00F1685A"/>
    <w:rsid w:val="00F17010"/>
    <w:rsid w:val="00F20120"/>
    <w:rsid w:val="00F20743"/>
    <w:rsid w:val="00F215C2"/>
    <w:rsid w:val="00F2272E"/>
    <w:rsid w:val="00F22819"/>
    <w:rsid w:val="00F24890"/>
    <w:rsid w:val="00F24A09"/>
    <w:rsid w:val="00F25309"/>
    <w:rsid w:val="00F257E3"/>
    <w:rsid w:val="00F258C0"/>
    <w:rsid w:val="00F27B60"/>
    <w:rsid w:val="00F308B5"/>
    <w:rsid w:val="00F32F66"/>
    <w:rsid w:val="00F34D56"/>
    <w:rsid w:val="00F35992"/>
    <w:rsid w:val="00F37B17"/>
    <w:rsid w:val="00F4016C"/>
    <w:rsid w:val="00F40D95"/>
    <w:rsid w:val="00F4186F"/>
    <w:rsid w:val="00F42CAD"/>
    <w:rsid w:val="00F44B8F"/>
    <w:rsid w:val="00F46809"/>
    <w:rsid w:val="00F46C62"/>
    <w:rsid w:val="00F5016C"/>
    <w:rsid w:val="00F50C87"/>
    <w:rsid w:val="00F52113"/>
    <w:rsid w:val="00F56B9A"/>
    <w:rsid w:val="00F6016F"/>
    <w:rsid w:val="00F60A9B"/>
    <w:rsid w:val="00F60F4D"/>
    <w:rsid w:val="00F6265D"/>
    <w:rsid w:val="00F6327D"/>
    <w:rsid w:val="00F6441E"/>
    <w:rsid w:val="00F6484A"/>
    <w:rsid w:val="00F65ED9"/>
    <w:rsid w:val="00F706EA"/>
    <w:rsid w:val="00F719C3"/>
    <w:rsid w:val="00F7533C"/>
    <w:rsid w:val="00F76EDF"/>
    <w:rsid w:val="00F77EE7"/>
    <w:rsid w:val="00F82FB7"/>
    <w:rsid w:val="00F8582F"/>
    <w:rsid w:val="00F86194"/>
    <w:rsid w:val="00F87528"/>
    <w:rsid w:val="00F904A9"/>
    <w:rsid w:val="00F90DB3"/>
    <w:rsid w:val="00F921EC"/>
    <w:rsid w:val="00F938E9"/>
    <w:rsid w:val="00F967CA"/>
    <w:rsid w:val="00F96A6F"/>
    <w:rsid w:val="00FA0374"/>
    <w:rsid w:val="00FA12A8"/>
    <w:rsid w:val="00FA2C29"/>
    <w:rsid w:val="00FA34FB"/>
    <w:rsid w:val="00FA4203"/>
    <w:rsid w:val="00FA6C68"/>
    <w:rsid w:val="00FB02F7"/>
    <w:rsid w:val="00FB1FC8"/>
    <w:rsid w:val="00FB35BE"/>
    <w:rsid w:val="00FB61C9"/>
    <w:rsid w:val="00FC0927"/>
    <w:rsid w:val="00FC0BAF"/>
    <w:rsid w:val="00FC1ADA"/>
    <w:rsid w:val="00FC357B"/>
    <w:rsid w:val="00FC4F9D"/>
    <w:rsid w:val="00FC7D81"/>
    <w:rsid w:val="00FD2334"/>
    <w:rsid w:val="00FD239C"/>
    <w:rsid w:val="00FD6E53"/>
    <w:rsid w:val="00FE11EC"/>
    <w:rsid w:val="00FE12F2"/>
    <w:rsid w:val="00FE16FF"/>
    <w:rsid w:val="00FE2A45"/>
    <w:rsid w:val="00FE59EB"/>
    <w:rsid w:val="00FE5C29"/>
    <w:rsid w:val="00FE5FA1"/>
    <w:rsid w:val="00FE75DB"/>
    <w:rsid w:val="00FF0A96"/>
    <w:rsid w:val="00FF10F1"/>
    <w:rsid w:val="00FF27DF"/>
    <w:rsid w:val="00FF7748"/>
    <w:rsid w:val="00FF7CD6"/>
    <w:rsid w:val="00FF7ED0"/>
    <w:rsid w:val="03EE7A82"/>
    <w:rsid w:val="193B3C61"/>
    <w:rsid w:val="333B7929"/>
    <w:rsid w:val="38707997"/>
    <w:rsid w:val="4A0C112B"/>
    <w:rsid w:val="4CBB42A9"/>
    <w:rsid w:val="4D6246D3"/>
    <w:rsid w:val="5D874E17"/>
    <w:rsid w:val="74314A86"/>
    <w:rsid w:val="7720481E"/>
    <w:rsid w:val="7ED8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3"/>
    <w:next w:val="1"/>
    <w:link w:val="42"/>
    <w:qFormat/>
    <w:uiPriority w:val="9"/>
    <w:pPr>
      <w:widowControl/>
      <w:numPr>
        <w:ilvl w:val="0"/>
        <w:numId w:val="1"/>
      </w:numPr>
      <w:spacing w:before="624" w:after="163"/>
      <w:jc w:val="center"/>
      <w:outlineLvl w:val="0"/>
    </w:pPr>
    <w:rPr>
      <w:rFonts w:eastAsia="宋体"/>
      <w:b/>
      <w:szCs w:val="22"/>
    </w:rPr>
  </w:style>
  <w:style w:type="paragraph" w:styleId="4">
    <w:name w:val="heading 2"/>
    <w:basedOn w:val="3"/>
    <w:next w:val="1"/>
    <w:link w:val="43"/>
    <w:unhideWhenUsed/>
    <w:qFormat/>
    <w:uiPriority w:val="9"/>
    <w:pPr>
      <w:widowControl/>
      <w:numPr>
        <w:ilvl w:val="1"/>
        <w:numId w:val="1"/>
      </w:numPr>
      <w:adjustRightInd w:val="0"/>
      <w:spacing w:before="286" w:beforeLines="88" w:after="286" w:afterLines="88" w:line="480" w:lineRule="auto"/>
      <w:jc w:val="center"/>
    </w:pPr>
    <w:rPr>
      <w:rFonts w:eastAsia="宋体" w:cstheme="majorBidi"/>
      <w:b/>
      <w:szCs w:val="22"/>
    </w:rPr>
  </w:style>
  <w:style w:type="paragraph" w:styleId="5">
    <w:name w:val="heading 3"/>
    <w:basedOn w:val="1"/>
    <w:next w:val="1"/>
    <w:link w:val="44"/>
    <w:unhideWhenUsed/>
    <w:qFormat/>
    <w:uiPriority w:val="9"/>
    <w:pPr>
      <w:keepLines/>
      <w:numPr>
        <w:ilvl w:val="2"/>
        <w:numId w:val="1"/>
      </w:numPr>
      <w:tabs>
        <w:tab w:val="left" w:pos="583"/>
      </w:tabs>
      <w:adjustRightInd w:val="0"/>
      <w:snapToGrid w:val="0"/>
      <w:spacing w:before="156" w:beforeLines="50"/>
      <w:ind w:firstLineChars="0"/>
      <w:jc w:val="left"/>
      <w:outlineLvl w:val="2"/>
    </w:pPr>
    <w:rPr>
      <w:bCs/>
      <w:szCs w:val="32"/>
    </w:rPr>
  </w:style>
  <w:style w:type="paragraph" w:styleId="6">
    <w:name w:val="heading 4"/>
    <w:basedOn w:val="1"/>
    <w:next w:val="1"/>
    <w:link w:val="45"/>
    <w:unhideWhenUsed/>
    <w:qFormat/>
    <w:uiPriority w:val="9"/>
    <w:pPr>
      <w:keepNext/>
      <w:keepLines/>
      <w:spacing w:before="36"/>
      <w:ind w:firstLine="0" w:firstLineChars="0"/>
      <w:jc w:val="left"/>
      <w:outlineLvl w:val="3"/>
    </w:pPr>
    <w:rPr>
      <w:rFonts w:eastAsia="宋体" w:cstheme="majorBidi"/>
      <w:bCs/>
      <w:szCs w:val="28"/>
    </w:rPr>
  </w:style>
  <w:style w:type="paragraph" w:styleId="7">
    <w:name w:val="heading 5"/>
    <w:basedOn w:val="1"/>
    <w:next w:val="1"/>
    <w:link w:val="46"/>
    <w:unhideWhenUsed/>
    <w:qFormat/>
    <w:uiPriority w:val="9"/>
    <w:pPr>
      <w:keepNext/>
      <w:keepLines/>
      <w:numPr>
        <w:ilvl w:val="4"/>
        <w:numId w:val="1"/>
      </w:numPr>
      <w:tabs>
        <w:tab w:val="left" w:pos="583"/>
      </w:tabs>
      <w:spacing w:before="280" w:after="290" w:line="376" w:lineRule="auto"/>
      <w:ind w:firstLineChars="0"/>
      <w:outlineLvl w:val="4"/>
    </w:pPr>
    <w:rPr>
      <w:b/>
      <w:bCs/>
      <w:sz w:val="28"/>
      <w:szCs w:val="28"/>
    </w:rPr>
  </w:style>
  <w:style w:type="paragraph" w:styleId="8">
    <w:name w:val="heading 6"/>
    <w:basedOn w:val="1"/>
    <w:next w:val="1"/>
    <w:link w:val="47"/>
    <w:unhideWhenUsed/>
    <w:qFormat/>
    <w:uiPriority w:val="9"/>
    <w:pPr>
      <w:keepNext/>
      <w:keepLines/>
      <w:numPr>
        <w:ilvl w:val="5"/>
        <w:numId w:val="1"/>
      </w:numPr>
      <w:tabs>
        <w:tab w:val="left" w:pos="583"/>
      </w:tabs>
      <w:spacing w:before="240" w:after="64" w:line="320" w:lineRule="auto"/>
      <w:ind w:firstLineChars="0"/>
      <w:outlineLvl w:val="5"/>
    </w:pPr>
    <w:rPr>
      <w:rFonts w:asciiTheme="majorHAnsi" w:hAnsiTheme="majorHAnsi" w:eastAsiaTheme="majorEastAsia" w:cstheme="majorBidi"/>
      <w:b/>
      <w:bCs/>
      <w:szCs w:val="24"/>
    </w:rPr>
  </w:style>
  <w:style w:type="paragraph" w:styleId="9">
    <w:name w:val="heading 7"/>
    <w:basedOn w:val="1"/>
    <w:next w:val="1"/>
    <w:link w:val="48"/>
    <w:unhideWhenUsed/>
    <w:qFormat/>
    <w:uiPriority w:val="9"/>
    <w:pPr>
      <w:keepNext/>
      <w:keepLines/>
      <w:numPr>
        <w:ilvl w:val="6"/>
        <w:numId w:val="1"/>
      </w:numPr>
      <w:tabs>
        <w:tab w:val="left" w:pos="583"/>
      </w:tabs>
      <w:spacing w:before="240" w:after="64" w:line="320" w:lineRule="auto"/>
      <w:ind w:firstLineChars="0"/>
      <w:outlineLvl w:val="6"/>
    </w:pPr>
    <w:rPr>
      <w:b/>
      <w:bCs/>
      <w:szCs w:val="24"/>
    </w:rPr>
  </w:style>
  <w:style w:type="paragraph" w:styleId="10">
    <w:name w:val="heading 8"/>
    <w:basedOn w:val="1"/>
    <w:next w:val="1"/>
    <w:link w:val="49"/>
    <w:semiHidden/>
    <w:unhideWhenUsed/>
    <w:qFormat/>
    <w:uiPriority w:val="9"/>
    <w:pPr>
      <w:keepNext/>
      <w:keepLines/>
      <w:numPr>
        <w:ilvl w:val="7"/>
        <w:numId w:val="1"/>
      </w:numPr>
      <w:spacing w:before="240" w:after="64" w:line="320" w:lineRule="auto"/>
      <w:ind w:firstLineChars="0"/>
      <w:outlineLvl w:val="7"/>
    </w:pPr>
    <w:rPr>
      <w:rFonts w:asciiTheme="majorHAnsi" w:hAnsiTheme="majorHAnsi" w:eastAsiaTheme="majorEastAsia" w:cstheme="majorBidi"/>
      <w:szCs w:val="24"/>
    </w:rPr>
  </w:style>
  <w:style w:type="paragraph" w:styleId="11">
    <w:name w:val="heading 9"/>
    <w:basedOn w:val="1"/>
    <w:next w:val="1"/>
    <w:link w:val="50"/>
    <w:semiHidden/>
    <w:unhideWhenUsed/>
    <w:qFormat/>
    <w:uiPriority w:val="9"/>
    <w:pPr>
      <w:keepNext/>
      <w:keepLines/>
      <w:numPr>
        <w:ilvl w:val="8"/>
        <w:numId w:val="1"/>
      </w:numPr>
      <w:spacing w:before="240" w:after="64" w:line="320" w:lineRule="auto"/>
      <w:ind w:firstLineChars="0"/>
      <w:outlineLvl w:val="8"/>
    </w:pPr>
    <w:rPr>
      <w:rFonts w:asciiTheme="majorHAnsi" w:hAnsiTheme="majorHAnsi" w:eastAsiaTheme="majorEastAsia" w:cstheme="majorBidi"/>
      <w:sz w:val="21"/>
      <w:szCs w:val="21"/>
    </w:rPr>
  </w:style>
  <w:style w:type="character" w:default="1" w:styleId="35">
    <w:name w:val="Default Paragraph Font"/>
    <w:semiHidden/>
    <w:unhideWhenUsed/>
    <w:qFormat/>
    <w:uiPriority w:val="1"/>
  </w:style>
  <w:style w:type="table" w:default="1" w:styleId="39">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2级标题"/>
    <w:basedOn w:val="1"/>
    <w:next w:val="1"/>
    <w:link w:val="41"/>
    <w:qFormat/>
    <w:uiPriority w:val="0"/>
    <w:pPr>
      <w:spacing w:after="50" w:afterLines="50"/>
      <w:ind w:firstLine="0" w:firstLineChars="0"/>
      <w:jc w:val="left"/>
      <w:outlineLvl w:val="1"/>
    </w:pPr>
    <w:rPr>
      <w:rFonts w:eastAsia="黑体"/>
      <w:kern w:val="0"/>
      <w:sz w:val="28"/>
      <w:szCs w:val="20"/>
    </w:rPr>
  </w:style>
  <w:style w:type="paragraph" w:styleId="12">
    <w:name w:val="annotation subject"/>
    <w:basedOn w:val="13"/>
    <w:next w:val="13"/>
    <w:link w:val="59"/>
    <w:semiHidden/>
    <w:unhideWhenUsed/>
    <w:qFormat/>
    <w:uiPriority w:val="99"/>
    <w:rPr>
      <w:b/>
      <w:bCs/>
    </w:rPr>
  </w:style>
  <w:style w:type="paragraph" w:styleId="13">
    <w:name w:val="annotation text"/>
    <w:basedOn w:val="1"/>
    <w:link w:val="51"/>
    <w:semiHidden/>
    <w:unhideWhenUsed/>
    <w:qFormat/>
    <w:uiPriority w:val="99"/>
    <w:pPr>
      <w:jc w:val="left"/>
    </w:pPr>
  </w:style>
  <w:style w:type="paragraph" w:styleId="14">
    <w:name w:val="toc 7"/>
    <w:basedOn w:val="1"/>
    <w:next w:val="1"/>
    <w:unhideWhenUsed/>
    <w:qFormat/>
    <w:uiPriority w:val="39"/>
    <w:pPr>
      <w:spacing w:line="240" w:lineRule="auto"/>
      <w:ind w:left="2520" w:leftChars="1200" w:firstLine="0" w:firstLineChars="0"/>
    </w:pPr>
    <w:rPr>
      <w:rFonts w:asciiTheme="minorHAnsi" w:hAnsiTheme="minorHAnsi"/>
      <w:sz w:val="21"/>
    </w:rPr>
  </w:style>
  <w:style w:type="paragraph" w:styleId="15">
    <w:name w:val="Normal Indent"/>
    <w:basedOn w:val="1"/>
    <w:qFormat/>
    <w:uiPriority w:val="0"/>
    <w:pPr>
      <w:spacing w:line="240" w:lineRule="auto"/>
      <w:ind w:firstLine="420"/>
    </w:pPr>
    <w:rPr>
      <w:sz w:val="21"/>
    </w:rPr>
  </w:style>
  <w:style w:type="paragraph" w:styleId="16">
    <w:name w:val="caption"/>
    <w:basedOn w:val="1"/>
    <w:next w:val="1"/>
    <w:semiHidden/>
    <w:unhideWhenUsed/>
    <w:qFormat/>
    <w:uiPriority w:val="35"/>
    <w:rPr>
      <w:rFonts w:eastAsia="黑体" w:asciiTheme="majorHAnsi" w:hAnsiTheme="majorHAnsi" w:cstheme="majorBidi"/>
      <w:sz w:val="20"/>
      <w:szCs w:val="20"/>
    </w:rPr>
  </w:style>
  <w:style w:type="paragraph" w:styleId="17">
    <w:name w:val="Body Text Indent"/>
    <w:basedOn w:val="1"/>
    <w:link w:val="52"/>
    <w:qFormat/>
    <w:uiPriority w:val="0"/>
    <w:pPr>
      <w:adjustRightInd w:val="0"/>
      <w:spacing w:line="360" w:lineRule="atLeast"/>
      <w:ind w:left="840" w:firstLine="480"/>
      <w:jc w:val="left"/>
      <w:textAlignment w:val="baseline"/>
    </w:pPr>
    <w:rPr>
      <w:rFonts w:ascii="宋体" w:eastAsia="宋体" w:cs="宋体"/>
      <w:kern w:val="0"/>
      <w:szCs w:val="24"/>
    </w:rPr>
  </w:style>
  <w:style w:type="paragraph" w:styleId="18">
    <w:name w:val="toc 5"/>
    <w:basedOn w:val="1"/>
    <w:next w:val="1"/>
    <w:unhideWhenUsed/>
    <w:qFormat/>
    <w:uiPriority w:val="39"/>
    <w:pPr>
      <w:spacing w:line="240" w:lineRule="auto"/>
      <w:ind w:left="1680" w:leftChars="800" w:firstLine="0" w:firstLineChars="0"/>
    </w:pPr>
    <w:rPr>
      <w:rFonts w:asciiTheme="minorHAnsi" w:hAnsiTheme="minorHAnsi"/>
      <w:sz w:val="21"/>
    </w:rPr>
  </w:style>
  <w:style w:type="paragraph" w:styleId="19">
    <w:name w:val="toc 3"/>
    <w:basedOn w:val="1"/>
    <w:next w:val="1"/>
    <w:unhideWhenUsed/>
    <w:qFormat/>
    <w:uiPriority w:val="39"/>
    <w:pPr>
      <w:tabs>
        <w:tab w:val="right" w:leader="dot" w:pos="8296"/>
      </w:tabs>
      <w:ind w:firstLine="480"/>
    </w:pPr>
  </w:style>
  <w:style w:type="paragraph" w:styleId="20">
    <w:name w:val="toc 8"/>
    <w:basedOn w:val="1"/>
    <w:next w:val="1"/>
    <w:unhideWhenUsed/>
    <w:qFormat/>
    <w:uiPriority w:val="39"/>
    <w:pPr>
      <w:spacing w:line="240" w:lineRule="auto"/>
      <w:ind w:left="2940" w:leftChars="1400" w:firstLine="0" w:firstLineChars="0"/>
    </w:pPr>
    <w:rPr>
      <w:rFonts w:asciiTheme="minorHAnsi" w:hAnsiTheme="minorHAnsi"/>
      <w:sz w:val="21"/>
    </w:rPr>
  </w:style>
  <w:style w:type="paragraph" w:styleId="21">
    <w:name w:val="Date"/>
    <w:basedOn w:val="1"/>
    <w:next w:val="1"/>
    <w:link w:val="53"/>
    <w:semiHidden/>
    <w:unhideWhenUsed/>
    <w:qFormat/>
    <w:uiPriority w:val="99"/>
    <w:pPr>
      <w:ind w:left="100" w:leftChars="2500"/>
    </w:pPr>
    <w:rPr>
      <w:rFonts w:eastAsia="宋体"/>
      <w:kern w:val="0"/>
      <w:szCs w:val="20"/>
    </w:rPr>
  </w:style>
  <w:style w:type="paragraph" w:styleId="22">
    <w:name w:val="Balloon Text"/>
    <w:basedOn w:val="1"/>
    <w:link w:val="54"/>
    <w:semiHidden/>
    <w:unhideWhenUsed/>
    <w:qFormat/>
    <w:uiPriority w:val="99"/>
    <w:rPr>
      <w:rFonts w:eastAsia="宋体"/>
      <w:kern w:val="0"/>
      <w:sz w:val="18"/>
      <w:szCs w:val="18"/>
    </w:rPr>
  </w:style>
  <w:style w:type="paragraph" w:styleId="23">
    <w:name w:val="footer"/>
    <w:basedOn w:val="1"/>
    <w:link w:val="55"/>
    <w:unhideWhenUsed/>
    <w:qFormat/>
    <w:uiPriority w:val="99"/>
    <w:pPr>
      <w:tabs>
        <w:tab w:val="center" w:pos="4153"/>
        <w:tab w:val="right" w:pos="8306"/>
      </w:tabs>
      <w:snapToGrid w:val="0"/>
      <w:jc w:val="left"/>
    </w:pPr>
    <w:rPr>
      <w:rFonts w:eastAsia="宋体"/>
      <w:kern w:val="0"/>
      <w:sz w:val="18"/>
      <w:szCs w:val="18"/>
    </w:rPr>
  </w:style>
  <w:style w:type="paragraph" w:styleId="24">
    <w:name w:val="Body Text First Indent 2"/>
    <w:basedOn w:val="17"/>
    <w:link w:val="79"/>
    <w:unhideWhenUsed/>
    <w:qFormat/>
    <w:uiPriority w:val="99"/>
    <w:pPr>
      <w:adjustRightInd/>
      <w:spacing w:after="120" w:line="360" w:lineRule="auto"/>
      <w:ind w:left="420" w:leftChars="200" w:firstLine="420"/>
      <w:jc w:val="both"/>
      <w:textAlignment w:val="auto"/>
    </w:pPr>
    <w:rPr>
      <w:rFonts w:ascii="Times New Roman" w:eastAsiaTheme="minorEastAsia" w:cstheme="minorBidi"/>
      <w:kern w:val="2"/>
      <w:szCs w:val="22"/>
    </w:rPr>
  </w:style>
  <w:style w:type="paragraph" w:styleId="25">
    <w:name w:val="header"/>
    <w:basedOn w:val="1"/>
    <w:link w:val="56"/>
    <w:unhideWhenUsed/>
    <w:qFormat/>
    <w:uiPriority w:val="99"/>
    <w:pPr>
      <w:pBdr>
        <w:bottom w:val="single" w:color="auto" w:sz="6" w:space="1"/>
      </w:pBdr>
      <w:tabs>
        <w:tab w:val="center" w:pos="4153"/>
        <w:tab w:val="right" w:pos="8306"/>
      </w:tabs>
      <w:snapToGrid w:val="0"/>
      <w:jc w:val="center"/>
    </w:pPr>
    <w:rPr>
      <w:rFonts w:eastAsia="宋体"/>
      <w:kern w:val="0"/>
      <w:sz w:val="18"/>
      <w:szCs w:val="18"/>
    </w:rPr>
  </w:style>
  <w:style w:type="paragraph" w:styleId="26">
    <w:name w:val="toc 1"/>
    <w:basedOn w:val="1"/>
    <w:next w:val="1"/>
    <w:unhideWhenUsed/>
    <w:qFormat/>
    <w:uiPriority w:val="39"/>
    <w:pPr>
      <w:adjustRightInd w:val="0"/>
      <w:snapToGrid w:val="0"/>
      <w:ind w:firstLine="0" w:firstLineChars="0"/>
    </w:pPr>
  </w:style>
  <w:style w:type="paragraph" w:styleId="27">
    <w:name w:val="toc 4"/>
    <w:basedOn w:val="1"/>
    <w:next w:val="1"/>
    <w:unhideWhenUsed/>
    <w:qFormat/>
    <w:uiPriority w:val="39"/>
    <w:pPr>
      <w:spacing w:line="240" w:lineRule="auto"/>
      <w:ind w:left="1260" w:leftChars="600" w:firstLine="0" w:firstLineChars="0"/>
    </w:pPr>
    <w:rPr>
      <w:rFonts w:asciiTheme="minorHAnsi" w:hAnsiTheme="minorHAnsi"/>
      <w:sz w:val="21"/>
    </w:rPr>
  </w:style>
  <w:style w:type="paragraph" w:styleId="28">
    <w:name w:val="Subtitle"/>
    <w:basedOn w:val="29"/>
    <w:next w:val="1"/>
    <w:link w:val="57"/>
    <w:qFormat/>
    <w:uiPriority w:val="11"/>
    <w:pPr>
      <w:tabs>
        <w:tab w:val="center" w:pos="4201"/>
        <w:tab w:val="right" w:leader="dot" w:pos="9298"/>
      </w:tabs>
      <w:spacing w:line="360" w:lineRule="auto"/>
      <w:ind w:firstLine="0" w:firstLineChars="0"/>
      <w:jc w:val="center"/>
    </w:pPr>
    <w:rPr>
      <w:rFonts w:ascii="Times New Roman" w:hAnsi="Times New Roman" w:eastAsia="宋体" w:cs="Times New Roman"/>
      <w:b/>
      <w:bCs/>
      <w:sz w:val="36"/>
      <w:szCs w:val="28"/>
    </w:rPr>
  </w:style>
  <w:style w:type="paragraph" w:customStyle="1" w:styleId="29">
    <w:name w:val="段"/>
    <w:link w:val="83"/>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styleId="30">
    <w:name w:val="toc 6"/>
    <w:basedOn w:val="1"/>
    <w:next w:val="1"/>
    <w:unhideWhenUsed/>
    <w:qFormat/>
    <w:uiPriority w:val="39"/>
    <w:pPr>
      <w:spacing w:line="240" w:lineRule="auto"/>
      <w:ind w:left="2100" w:leftChars="1000" w:firstLine="0" w:firstLineChars="0"/>
    </w:pPr>
    <w:rPr>
      <w:rFonts w:asciiTheme="minorHAnsi" w:hAnsiTheme="minorHAnsi"/>
      <w:sz w:val="21"/>
    </w:rPr>
  </w:style>
  <w:style w:type="paragraph" w:styleId="31">
    <w:name w:val="toc 2"/>
    <w:basedOn w:val="1"/>
    <w:next w:val="1"/>
    <w:unhideWhenUsed/>
    <w:qFormat/>
    <w:uiPriority w:val="39"/>
    <w:pPr>
      <w:tabs>
        <w:tab w:val="right" w:leader="dot" w:pos="8296"/>
      </w:tabs>
      <w:ind w:left="200" w:leftChars="200" w:firstLine="0" w:firstLineChars="0"/>
    </w:pPr>
  </w:style>
  <w:style w:type="paragraph" w:styleId="32">
    <w:name w:val="toc 9"/>
    <w:basedOn w:val="1"/>
    <w:next w:val="1"/>
    <w:unhideWhenUsed/>
    <w:qFormat/>
    <w:uiPriority w:val="39"/>
    <w:pPr>
      <w:spacing w:line="240" w:lineRule="auto"/>
      <w:ind w:left="3360" w:leftChars="1600" w:firstLine="0" w:firstLineChars="0"/>
    </w:pPr>
    <w:rPr>
      <w:rFonts w:asciiTheme="minorHAnsi" w:hAnsiTheme="minorHAnsi"/>
      <w:sz w:val="21"/>
    </w:rPr>
  </w:style>
  <w:style w:type="paragraph" w:styleId="33">
    <w:name w:val="Normal (Web)"/>
    <w:basedOn w:val="1"/>
    <w:qFormat/>
    <w:uiPriority w:val="99"/>
    <w:pPr>
      <w:widowControl/>
      <w:spacing w:before="100" w:beforeAutospacing="1" w:after="100" w:afterAutospacing="1"/>
      <w:jc w:val="left"/>
    </w:pPr>
    <w:rPr>
      <w:rFonts w:ascii="宋体" w:hAnsi="宋体" w:eastAsia="宋体" w:cs="宋体"/>
      <w:kern w:val="0"/>
      <w:szCs w:val="24"/>
    </w:rPr>
  </w:style>
  <w:style w:type="paragraph" w:styleId="34">
    <w:name w:val="Title"/>
    <w:basedOn w:val="29"/>
    <w:next w:val="1"/>
    <w:link w:val="58"/>
    <w:qFormat/>
    <w:uiPriority w:val="10"/>
    <w:pPr>
      <w:spacing w:line="360" w:lineRule="auto"/>
      <w:ind w:firstLine="0" w:firstLineChars="0"/>
      <w:jc w:val="center"/>
    </w:pPr>
    <w:rPr>
      <w:rFonts w:hAnsi="宋体" w:eastAsia="宋体" w:cs="宋体"/>
      <w:b/>
      <w:sz w:val="52"/>
      <w:szCs w:val="52"/>
    </w:rPr>
  </w:style>
  <w:style w:type="character" w:styleId="36">
    <w:name w:val="Emphasis"/>
    <w:basedOn w:val="35"/>
    <w:qFormat/>
    <w:uiPriority w:val="20"/>
    <w:rPr>
      <w:rFonts w:ascii="Times New Roman" w:hAnsi="Times New Roman" w:eastAsia="宋体"/>
      <w:b/>
      <w:iCs/>
      <w:sz w:val="21"/>
    </w:rPr>
  </w:style>
  <w:style w:type="character" w:styleId="37">
    <w:name w:val="Hyperlink"/>
    <w:basedOn w:val="35"/>
    <w:unhideWhenUsed/>
    <w:qFormat/>
    <w:uiPriority w:val="99"/>
    <w:rPr>
      <w:color w:val="0000FF" w:themeColor="hyperlink"/>
      <w:u w:val="single"/>
      <w14:textFill>
        <w14:solidFill>
          <w14:schemeClr w14:val="hlink"/>
        </w14:solidFill>
      </w14:textFill>
    </w:rPr>
  </w:style>
  <w:style w:type="character" w:styleId="38">
    <w:name w:val="annotation reference"/>
    <w:basedOn w:val="35"/>
    <w:semiHidden/>
    <w:unhideWhenUsed/>
    <w:qFormat/>
    <w:uiPriority w:val="99"/>
    <w:rPr>
      <w:sz w:val="21"/>
      <w:szCs w:val="21"/>
    </w:rPr>
  </w:style>
  <w:style w:type="table" w:styleId="40">
    <w:name w:val="Table Grid"/>
    <w:basedOn w:val="3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1">
    <w:name w:val="2级标题 字符"/>
    <w:basedOn w:val="35"/>
    <w:link w:val="3"/>
    <w:qFormat/>
    <w:uiPriority w:val="0"/>
    <w:rPr>
      <w:rFonts w:eastAsia="黑体" w:cstheme="minorBidi"/>
      <w:sz w:val="28"/>
    </w:rPr>
  </w:style>
  <w:style w:type="character" w:customStyle="1" w:styleId="42">
    <w:name w:val="标题 1 Char"/>
    <w:basedOn w:val="35"/>
    <w:link w:val="2"/>
    <w:qFormat/>
    <w:uiPriority w:val="9"/>
    <w:rPr>
      <w:rFonts w:cstheme="minorBidi"/>
      <w:b/>
      <w:sz w:val="28"/>
      <w:szCs w:val="22"/>
    </w:rPr>
  </w:style>
  <w:style w:type="character" w:customStyle="1" w:styleId="43">
    <w:name w:val="标题 2 Char"/>
    <w:basedOn w:val="35"/>
    <w:link w:val="4"/>
    <w:qFormat/>
    <w:uiPriority w:val="9"/>
    <w:rPr>
      <w:rFonts w:cstheme="majorBidi"/>
      <w:b/>
      <w:sz w:val="28"/>
      <w:szCs w:val="22"/>
    </w:rPr>
  </w:style>
  <w:style w:type="character" w:customStyle="1" w:styleId="44">
    <w:name w:val="标题 3 Char"/>
    <w:basedOn w:val="35"/>
    <w:link w:val="5"/>
    <w:qFormat/>
    <w:uiPriority w:val="9"/>
    <w:rPr>
      <w:rFonts w:eastAsiaTheme="minorEastAsia" w:cstheme="minorBidi"/>
      <w:bCs/>
      <w:kern w:val="2"/>
      <w:sz w:val="24"/>
      <w:szCs w:val="32"/>
    </w:rPr>
  </w:style>
  <w:style w:type="character" w:customStyle="1" w:styleId="45">
    <w:name w:val="标题 4 Char"/>
    <w:basedOn w:val="35"/>
    <w:link w:val="6"/>
    <w:qFormat/>
    <w:uiPriority w:val="9"/>
    <w:rPr>
      <w:rFonts w:cstheme="majorBidi"/>
      <w:bCs/>
      <w:kern w:val="2"/>
      <w:sz w:val="24"/>
      <w:szCs w:val="28"/>
    </w:rPr>
  </w:style>
  <w:style w:type="character" w:customStyle="1" w:styleId="46">
    <w:name w:val="标题 5 Char"/>
    <w:basedOn w:val="35"/>
    <w:link w:val="7"/>
    <w:qFormat/>
    <w:uiPriority w:val="9"/>
    <w:rPr>
      <w:rFonts w:eastAsiaTheme="minorEastAsia" w:cstheme="minorBidi"/>
      <w:b/>
      <w:bCs/>
      <w:kern w:val="2"/>
      <w:sz w:val="28"/>
      <w:szCs w:val="28"/>
    </w:rPr>
  </w:style>
  <w:style w:type="character" w:customStyle="1" w:styleId="47">
    <w:name w:val="标题 6 Char"/>
    <w:basedOn w:val="35"/>
    <w:link w:val="8"/>
    <w:qFormat/>
    <w:uiPriority w:val="9"/>
    <w:rPr>
      <w:rFonts w:asciiTheme="majorHAnsi" w:hAnsiTheme="majorHAnsi" w:eastAsiaTheme="majorEastAsia" w:cstheme="majorBidi"/>
      <w:b/>
      <w:bCs/>
      <w:kern w:val="2"/>
      <w:sz w:val="24"/>
      <w:szCs w:val="24"/>
    </w:rPr>
  </w:style>
  <w:style w:type="character" w:customStyle="1" w:styleId="48">
    <w:name w:val="标题 7 Char"/>
    <w:basedOn w:val="35"/>
    <w:link w:val="9"/>
    <w:qFormat/>
    <w:uiPriority w:val="9"/>
    <w:rPr>
      <w:rFonts w:eastAsiaTheme="minorEastAsia" w:cstheme="minorBidi"/>
      <w:b/>
      <w:bCs/>
      <w:kern w:val="2"/>
      <w:sz w:val="24"/>
      <w:szCs w:val="24"/>
    </w:rPr>
  </w:style>
  <w:style w:type="character" w:customStyle="1" w:styleId="49">
    <w:name w:val="标题 8 Char"/>
    <w:basedOn w:val="35"/>
    <w:link w:val="10"/>
    <w:semiHidden/>
    <w:qFormat/>
    <w:uiPriority w:val="9"/>
    <w:rPr>
      <w:rFonts w:asciiTheme="majorHAnsi" w:hAnsiTheme="majorHAnsi" w:eastAsiaTheme="majorEastAsia" w:cstheme="majorBidi"/>
      <w:kern w:val="2"/>
      <w:sz w:val="24"/>
      <w:szCs w:val="24"/>
    </w:rPr>
  </w:style>
  <w:style w:type="character" w:customStyle="1" w:styleId="50">
    <w:name w:val="标题 9 Char"/>
    <w:basedOn w:val="35"/>
    <w:link w:val="11"/>
    <w:semiHidden/>
    <w:qFormat/>
    <w:uiPriority w:val="9"/>
    <w:rPr>
      <w:rFonts w:asciiTheme="majorHAnsi" w:hAnsiTheme="majorHAnsi" w:eastAsiaTheme="majorEastAsia" w:cstheme="majorBidi"/>
      <w:kern w:val="2"/>
      <w:sz w:val="21"/>
      <w:szCs w:val="21"/>
    </w:rPr>
  </w:style>
  <w:style w:type="character" w:customStyle="1" w:styleId="51">
    <w:name w:val="批注文字 Char"/>
    <w:basedOn w:val="35"/>
    <w:link w:val="13"/>
    <w:semiHidden/>
    <w:qFormat/>
    <w:uiPriority w:val="99"/>
    <w:rPr>
      <w:rFonts w:eastAsiaTheme="minorEastAsia" w:cstheme="minorBidi"/>
      <w:kern w:val="2"/>
      <w:sz w:val="24"/>
      <w:szCs w:val="22"/>
    </w:rPr>
  </w:style>
  <w:style w:type="character" w:customStyle="1" w:styleId="52">
    <w:name w:val="正文文本缩进 Char"/>
    <w:basedOn w:val="35"/>
    <w:link w:val="17"/>
    <w:qFormat/>
    <w:uiPriority w:val="0"/>
    <w:rPr>
      <w:rFonts w:ascii="宋体" w:cs="宋体"/>
      <w:sz w:val="24"/>
      <w:szCs w:val="24"/>
    </w:rPr>
  </w:style>
  <w:style w:type="character" w:customStyle="1" w:styleId="53">
    <w:name w:val="日期 Char"/>
    <w:basedOn w:val="35"/>
    <w:link w:val="21"/>
    <w:semiHidden/>
    <w:qFormat/>
    <w:uiPriority w:val="99"/>
    <w:rPr>
      <w:rFonts w:cstheme="minorBidi"/>
      <w:sz w:val="24"/>
    </w:rPr>
  </w:style>
  <w:style w:type="character" w:customStyle="1" w:styleId="54">
    <w:name w:val="批注框文本 Char"/>
    <w:basedOn w:val="35"/>
    <w:link w:val="22"/>
    <w:semiHidden/>
    <w:qFormat/>
    <w:uiPriority w:val="99"/>
    <w:rPr>
      <w:rFonts w:cstheme="minorBidi"/>
      <w:sz w:val="18"/>
      <w:szCs w:val="18"/>
    </w:rPr>
  </w:style>
  <w:style w:type="character" w:customStyle="1" w:styleId="55">
    <w:name w:val="页脚 Char"/>
    <w:basedOn w:val="35"/>
    <w:link w:val="23"/>
    <w:qFormat/>
    <w:uiPriority w:val="99"/>
    <w:rPr>
      <w:rFonts w:cstheme="minorBidi"/>
      <w:sz w:val="18"/>
      <w:szCs w:val="18"/>
    </w:rPr>
  </w:style>
  <w:style w:type="character" w:customStyle="1" w:styleId="56">
    <w:name w:val="页眉 Char"/>
    <w:basedOn w:val="35"/>
    <w:link w:val="25"/>
    <w:qFormat/>
    <w:uiPriority w:val="99"/>
    <w:rPr>
      <w:rFonts w:cstheme="minorBidi"/>
      <w:sz w:val="18"/>
      <w:szCs w:val="18"/>
    </w:rPr>
  </w:style>
  <w:style w:type="character" w:customStyle="1" w:styleId="57">
    <w:name w:val="副标题 Char"/>
    <w:basedOn w:val="35"/>
    <w:link w:val="28"/>
    <w:qFormat/>
    <w:uiPriority w:val="11"/>
    <w:rPr>
      <w:b/>
      <w:bCs/>
      <w:kern w:val="2"/>
      <w:sz w:val="36"/>
      <w:szCs w:val="28"/>
    </w:rPr>
  </w:style>
  <w:style w:type="character" w:customStyle="1" w:styleId="58">
    <w:name w:val="标题 Char"/>
    <w:basedOn w:val="35"/>
    <w:link w:val="34"/>
    <w:qFormat/>
    <w:uiPriority w:val="10"/>
    <w:rPr>
      <w:rFonts w:ascii="宋体" w:hAnsi="宋体" w:cs="宋体"/>
      <w:b/>
      <w:kern w:val="2"/>
      <w:sz w:val="52"/>
      <w:szCs w:val="52"/>
    </w:rPr>
  </w:style>
  <w:style w:type="character" w:customStyle="1" w:styleId="59">
    <w:name w:val="批注主题 Char"/>
    <w:basedOn w:val="51"/>
    <w:link w:val="12"/>
    <w:semiHidden/>
    <w:qFormat/>
    <w:uiPriority w:val="99"/>
    <w:rPr>
      <w:rFonts w:eastAsiaTheme="minorEastAsia" w:cstheme="minorBidi"/>
      <w:b/>
      <w:bCs/>
      <w:kern w:val="2"/>
      <w:sz w:val="24"/>
      <w:szCs w:val="22"/>
    </w:rPr>
  </w:style>
  <w:style w:type="paragraph" w:styleId="60">
    <w:name w:val="List Paragraph"/>
    <w:basedOn w:val="1"/>
    <w:qFormat/>
    <w:uiPriority w:val="34"/>
    <w:pPr>
      <w:ind w:firstLine="0" w:firstLineChars="0"/>
      <w:jc w:val="left"/>
    </w:pPr>
    <w:rPr>
      <w:rFonts w:eastAsia="宋体"/>
      <w:szCs w:val="21"/>
    </w:rPr>
  </w:style>
  <w:style w:type="paragraph" w:customStyle="1" w:styleId="61">
    <w:name w:val="表格文字"/>
    <w:basedOn w:val="17"/>
    <w:qFormat/>
    <w:uiPriority w:val="0"/>
    <w:pPr>
      <w:spacing w:line="240" w:lineRule="auto"/>
      <w:ind w:left="0"/>
      <w:jc w:val="center"/>
    </w:pPr>
    <w:rPr>
      <w:rFonts w:ascii="仿宋" w:hAnsi="仿宋" w:eastAsia="仿宋" w:cs="Times New Roman"/>
    </w:rPr>
  </w:style>
  <w:style w:type="paragraph" w:customStyle="1" w:styleId="62">
    <w:name w:val="列出段落1"/>
    <w:basedOn w:val="1"/>
    <w:qFormat/>
    <w:uiPriority w:val="0"/>
    <w:pPr>
      <w:adjustRightInd w:val="0"/>
      <w:spacing w:line="360" w:lineRule="atLeast"/>
      <w:ind w:firstLine="420"/>
      <w:jc w:val="left"/>
      <w:textAlignment w:val="baseline"/>
    </w:pPr>
    <w:rPr>
      <w:rFonts w:eastAsia="宋体"/>
      <w:kern w:val="0"/>
      <w:szCs w:val="24"/>
    </w:rPr>
  </w:style>
  <w:style w:type="paragraph" w:customStyle="1" w:styleId="63">
    <w:name w:val="1级标题"/>
    <w:basedOn w:val="1"/>
    <w:next w:val="1"/>
    <w:link w:val="64"/>
    <w:qFormat/>
    <w:uiPriority w:val="0"/>
    <w:pPr>
      <w:spacing w:after="50" w:afterLines="50"/>
      <w:ind w:firstLine="0" w:firstLineChars="0"/>
      <w:jc w:val="left"/>
      <w:outlineLvl w:val="0"/>
    </w:pPr>
    <w:rPr>
      <w:rFonts w:eastAsia="宋体"/>
      <w:b/>
      <w:kern w:val="0"/>
      <w:sz w:val="28"/>
      <w:szCs w:val="20"/>
    </w:rPr>
  </w:style>
  <w:style w:type="character" w:customStyle="1" w:styleId="64">
    <w:name w:val="1级标题 字符"/>
    <w:basedOn w:val="35"/>
    <w:link w:val="63"/>
    <w:qFormat/>
    <w:uiPriority w:val="0"/>
    <w:rPr>
      <w:rFonts w:cstheme="minorBidi"/>
      <w:b/>
      <w:sz w:val="28"/>
    </w:rPr>
  </w:style>
  <w:style w:type="paragraph" w:customStyle="1" w:styleId="65">
    <w:name w:val="3级标题"/>
    <w:basedOn w:val="1"/>
    <w:next w:val="1"/>
    <w:link w:val="66"/>
    <w:qFormat/>
    <w:uiPriority w:val="0"/>
    <w:pPr>
      <w:ind w:firstLine="0" w:firstLineChars="0"/>
      <w:jc w:val="left"/>
      <w:outlineLvl w:val="2"/>
    </w:pPr>
    <w:rPr>
      <w:rFonts w:eastAsia="宋体"/>
      <w:szCs w:val="32"/>
    </w:rPr>
  </w:style>
  <w:style w:type="character" w:customStyle="1" w:styleId="66">
    <w:name w:val="3级标题 字符"/>
    <w:basedOn w:val="44"/>
    <w:link w:val="65"/>
    <w:qFormat/>
    <w:uiPriority w:val="0"/>
    <w:rPr>
      <w:rFonts w:eastAsiaTheme="minorEastAsia" w:cstheme="minorBidi"/>
      <w:bCs w:val="0"/>
      <w:kern w:val="2"/>
      <w:sz w:val="24"/>
      <w:szCs w:val="32"/>
    </w:rPr>
  </w:style>
  <w:style w:type="character" w:customStyle="1" w:styleId="67">
    <w:name w:val="font241"/>
    <w:basedOn w:val="35"/>
    <w:qFormat/>
    <w:uiPriority w:val="0"/>
    <w:rPr>
      <w:rFonts w:hint="eastAsia" w:ascii="宋体" w:hAnsi="宋体" w:eastAsia="宋体"/>
      <w:color w:val="000000"/>
      <w:sz w:val="21"/>
      <w:szCs w:val="21"/>
      <w:u w:val="none"/>
    </w:rPr>
  </w:style>
  <w:style w:type="character" w:customStyle="1" w:styleId="68">
    <w:name w:val="font251"/>
    <w:basedOn w:val="35"/>
    <w:qFormat/>
    <w:uiPriority w:val="0"/>
    <w:rPr>
      <w:rFonts w:hint="default" w:ascii="Times New Roman" w:hAnsi="Times New Roman" w:cs="Times New Roman"/>
      <w:color w:val="000000"/>
      <w:sz w:val="21"/>
      <w:szCs w:val="21"/>
      <w:u w:val="none"/>
    </w:rPr>
  </w:style>
  <w:style w:type="paragraph" w:customStyle="1" w:styleId="69">
    <w:name w:val="图表标题"/>
    <w:basedOn w:val="70"/>
    <w:link w:val="72"/>
    <w:qFormat/>
    <w:uiPriority w:val="0"/>
    <w:pPr>
      <w:spacing w:after="50" w:afterLines="50"/>
    </w:pPr>
    <w:rPr>
      <w:rFonts w:eastAsiaTheme="minorEastAsia"/>
      <w:kern w:val="2"/>
      <w:sz w:val="21"/>
      <w:szCs w:val="22"/>
    </w:rPr>
  </w:style>
  <w:style w:type="paragraph" w:styleId="70">
    <w:name w:val="No Spacing"/>
    <w:link w:val="71"/>
    <w:qFormat/>
    <w:uiPriority w:val="1"/>
    <w:pPr>
      <w:widowControl w:val="0"/>
      <w:jc w:val="center"/>
    </w:pPr>
    <w:rPr>
      <w:rFonts w:ascii="Times New Roman" w:hAnsi="Times New Roman" w:eastAsia="宋体" w:cstheme="minorBidi"/>
      <w:lang w:val="en-US" w:eastAsia="zh-CN" w:bidi="ar-SA"/>
    </w:rPr>
  </w:style>
  <w:style w:type="character" w:customStyle="1" w:styleId="71">
    <w:name w:val="无间隔 Char"/>
    <w:basedOn w:val="35"/>
    <w:link w:val="70"/>
    <w:qFormat/>
    <w:uiPriority w:val="1"/>
    <w:rPr>
      <w:rFonts w:cstheme="minorBidi"/>
    </w:rPr>
  </w:style>
  <w:style w:type="character" w:customStyle="1" w:styleId="72">
    <w:name w:val="图表标题 字符"/>
    <w:basedOn w:val="71"/>
    <w:link w:val="69"/>
    <w:qFormat/>
    <w:uiPriority w:val="0"/>
    <w:rPr>
      <w:rFonts w:eastAsiaTheme="minorEastAsia" w:cstheme="minorBidi"/>
      <w:kern w:val="2"/>
      <w:sz w:val="21"/>
      <w:szCs w:val="22"/>
    </w:rPr>
  </w:style>
  <w:style w:type="character" w:customStyle="1" w:styleId="73">
    <w:name w:val="font61"/>
    <w:basedOn w:val="35"/>
    <w:qFormat/>
    <w:uiPriority w:val="0"/>
    <w:rPr>
      <w:rFonts w:hint="eastAsia" w:ascii="宋体" w:hAnsi="宋体" w:eastAsia="宋体"/>
      <w:color w:val="000000"/>
      <w:sz w:val="21"/>
      <w:szCs w:val="21"/>
      <w:u w:val="none"/>
    </w:rPr>
  </w:style>
  <w:style w:type="paragraph" w:customStyle="1" w:styleId="74">
    <w:name w:val="TOC 标题1"/>
    <w:basedOn w:val="2"/>
    <w:next w:val="1"/>
    <w:semiHidden/>
    <w:unhideWhenUsed/>
    <w:qFormat/>
    <w:uiPriority w:val="39"/>
    <w:pPr>
      <w:spacing w:before="240" w:line="259" w:lineRule="auto"/>
      <w:outlineLvl w:val="9"/>
    </w:pPr>
    <w:rPr>
      <w:rFonts w:asciiTheme="majorHAnsi" w:hAnsiTheme="majorHAnsi" w:eastAsiaTheme="majorEastAsia" w:cstheme="majorBidi"/>
      <w:b w:val="0"/>
      <w:bCs/>
      <w:color w:val="376092" w:themeColor="accent1" w:themeShade="BF"/>
      <w:sz w:val="32"/>
      <w:szCs w:val="32"/>
    </w:rPr>
  </w:style>
  <w:style w:type="character" w:styleId="75">
    <w:name w:val="Placeholder Text"/>
    <w:basedOn w:val="35"/>
    <w:semiHidden/>
    <w:qFormat/>
    <w:uiPriority w:val="99"/>
    <w:rPr>
      <w:color w:val="808080"/>
    </w:rPr>
  </w:style>
  <w:style w:type="paragraph" w:customStyle="1" w:styleId="76">
    <w:name w:val="TOC 标题2"/>
    <w:basedOn w:val="2"/>
    <w:next w:val="1"/>
    <w:semiHidden/>
    <w:unhideWhenUsed/>
    <w:qFormat/>
    <w:uiPriority w:val="39"/>
    <w:pPr>
      <w:keepNext/>
      <w:keepLines/>
      <w:spacing w:before="340" w:after="330" w:afterLines="0" w:line="578" w:lineRule="auto"/>
      <w:ind w:firstLine="200" w:firstLineChars="200"/>
      <w:jc w:val="both"/>
      <w:outlineLvl w:val="9"/>
    </w:pPr>
    <w:rPr>
      <w:rFonts w:eastAsiaTheme="minorEastAsia"/>
      <w:bCs/>
      <w:kern w:val="44"/>
      <w:sz w:val="44"/>
      <w:szCs w:val="44"/>
    </w:rPr>
  </w:style>
  <w:style w:type="table" w:customStyle="1" w:styleId="77">
    <w:name w:val="网格型1"/>
    <w:basedOn w:val="39"/>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8">
    <w:name w:val="样式1"/>
    <w:basedOn w:val="1"/>
    <w:qFormat/>
    <w:uiPriority w:val="0"/>
    <w:rPr>
      <w:rFonts w:eastAsia="仿宋"/>
      <w:sz w:val="30"/>
    </w:rPr>
  </w:style>
  <w:style w:type="character" w:customStyle="1" w:styleId="79">
    <w:name w:val="正文首行缩进 2 Char"/>
    <w:basedOn w:val="52"/>
    <w:link w:val="24"/>
    <w:uiPriority w:val="99"/>
    <w:rPr>
      <w:rFonts w:ascii="宋体" w:eastAsiaTheme="minorEastAsia" w:cstheme="minorBidi"/>
      <w:kern w:val="2"/>
      <w:sz w:val="24"/>
      <w:szCs w:val="22"/>
    </w:rPr>
  </w:style>
  <w:style w:type="paragraph" w:customStyle="1" w:styleId="80">
    <w:name w:val="TOC Heading"/>
    <w:basedOn w:val="2"/>
    <w:next w:val="1"/>
    <w:semiHidden/>
    <w:unhideWhenUsed/>
    <w:qFormat/>
    <w:uiPriority w:val="39"/>
    <w:pPr>
      <w:keepNext/>
      <w:keepLines/>
      <w:spacing w:before="480" w:after="0" w:afterLines="0" w:line="276" w:lineRule="auto"/>
      <w:jc w:val="left"/>
      <w:outlineLvl w:val="9"/>
    </w:pPr>
    <w:rPr>
      <w:rFonts w:asciiTheme="majorHAnsi" w:hAnsiTheme="majorHAnsi" w:eastAsiaTheme="majorEastAsia" w:cstheme="majorBidi"/>
      <w:bCs/>
      <w:color w:val="376092" w:themeColor="accent1" w:themeShade="BF"/>
      <w:szCs w:val="28"/>
    </w:rPr>
  </w:style>
  <w:style w:type="paragraph" w:customStyle="1" w:styleId="81">
    <w:name w:val="无序号"/>
    <w:basedOn w:val="2"/>
    <w:link w:val="82"/>
    <w:qFormat/>
    <w:uiPriority w:val="0"/>
    <w:pPr>
      <w:numPr>
        <w:numId w:val="0"/>
      </w:numPr>
      <w:ind w:left="432"/>
      <w:jc w:val="both"/>
    </w:pPr>
  </w:style>
  <w:style w:type="character" w:customStyle="1" w:styleId="82">
    <w:name w:val="无序号 Char"/>
    <w:basedOn w:val="42"/>
    <w:link w:val="81"/>
    <w:uiPriority w:val="0"/>
    <w:rPr>
      <w:rFonts w:eastAsia="黑体" w:cstheme="minorBidi"/>
      <w:sz w:val="36"/>
      <w:szCs w:val="22"/>
    </w:rPr>
  </w:style>
  <w:style w:type="character" w:customStyle="1" w:styleId="83">
    <w:name w:val="段 Char"/>
    <w:link w:val="29"/>
    <w:qFormat/>
    <w:uiPriority w:val="0"/>
    <w:rPr>
      <w:rFonts w:ascii="宋体"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wmf"/><Relationship Id="rId15" Type="http://schemas.openxmlformats.org/officeDocument/2006/relationships/oleObject" Target="embeddings/oleObject1.bin"/><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AC6B2D-A8E1-483E-A9AD-578FA6CF18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5320</Words>
  <Characters>30329</Characters>
  <Lines>252</Lines>
  <Paragraphs>71</Paragraphs>
  <TotalTime>130</TotalTime>
  <ScaleCrop>false</ScaleCrop>
  <LinksUpToDate>false</LinksUpToDate>
  <CharactersWithSpaces>35578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2020-03-09T02:32:00Z</dcterms:created>
  <dc:creator>admin</dc:creator>
  <cp:lastModifiedBy>江泽涛</cp:lastModifiedBy>
  <cp:lastPrinted>2019-12-25T02:00:00Z</cp:lastPrinted>
  <dcterms:modified xsi:type="dcterms:W3CDTF">2020-04-29T08:32:09Z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