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40"/>
        <w:rPr>
          <w:rFonts w:eastAsia="黑体"/>
          <w:sz w:val="32"/>
          <w:szCs w:val="32"/>
        </w:rPr>
      </w:pPr>
    </w:p>
    <w:p>
      <w:pPr>
        <w:ind w:firstLine="880"/>
        <w:rPr>
          <w:rFonts w:eastAsia="黑体"/>
          <w:sz w:val="32"/>
          <w:szCs w:val="32"/>
        </w:rPr>
      </w:pPr>
      <w:r>
        <w:rPr>
          <w:rFonts w:cs="Microsoft JhengHei"/>
          <w:sz w:val="44"/>
          <w:szCs w:val="44"/>
        </w:rPr>
        <w:drawing>
          <wp:anchor distT="0" distB="0" distL="114300" distR="114300" simplePos="0" relativeHeight="251661312" behindDoc="0" locked="0" layoutInCell="1" allowOverlap="1">
            <wp:simplePos x="0" y="0"/>
            <wp:positionH relativeFrom="page">
              <wp:posOffset>4654550</wp:posOffset>
            </wp:positionH>
            <wp:positionV relativeFrom="page">
              <wp:posOffset>1374775</wp:posOffset>
            </wp:positionV>
            <wp:extent cx="1720215" cy="800100"/>
            <wp:effectExtent l="0" t="0" r="0" b="0"/>
            <wp:wrapNone/>
            <wp:docPr id="3" name="图片 3" descr="说明: G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说明: G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720215" cy="800100"/>
                    </a:xfrm>
                    <a:prstGeom prst="rect">
                      <a:avLst/>
                    </a:prstGeom>
                    <a:noFill/>
                    <a:ln>
                      <a:noFill/>
                    </a:ln>
                  </pic:spPr>
                </pic:pic>
              </a:graphicData>
            </a:graphic>
          </wp:anchor>
        </w:drawing>
      </w:r>
    </w:p>
    <w:p>
      <w:pPr>
        <w:ind w:firstLine="1072"/>
        <w:rPr>
          <w:rFonts w:eastAsia="MS Gothic"/>
          <w:b/>
          <w:sz w:val="84"/>
          <w:szCs w:val="84"/>
        </w:rPr>
      </w:pPr>
      <w:r>
        <w:rPr>
          <w:rFonts w:eastAsia="黑体"/>
          <w:spacing w:val="28"/>
          <w:sz w:val="48"/>
          <w:szCs w:val="48"/>
        </w:rPr>
        <w:t>广东省标准</w:t>
      </w:r>
    </w:p>
    <w:p>
      <w:pPr>
        <w:ind w:firstLine="480"/>
      </w:pPr>
      <w:bookmarkStart w:id="0" w:name="_Toc337542810"/>
    </w:p>
    <w:p>
      <w:pPr>
        <w:spacing w:line="400" w:lineRule="exact"/>
        <w:ind w:firstLine="692"/>
        <w:jc w:val="right"/>
        <w:rPr>
          <w:rFonts w:hint="default" w:eastAsia="宋体"/>
          <w:spacing w:val="17"/>
          <w:sz w:val="30"/>
          <w:szCs w:val="30"/>
          <w:lang w:val="en-US" w:eastAsia="zh-CN"/>
        </w:rPr>
      </w:pPr>
      <w:r>
        <w:rPr>
          <w:spacing w:val="23"/>
          <w:sz w:val="30"/>
          <w:szCs w:val="30"/>
        </w:rPr>
        <w:t>DBJ</w:t>
      </w:r>
      <w:r>
        <w:rPr>
          <w:rFonts w:hint="eastAsia"/>
          <w:spacing w:val="23"/>
          <w:sz w:val="30"/>
          <w:szCs w:val="30"/>
        </w:rPr>
        <w:t xml:space="preserve"> 15</w:t>
      </w:r>
      <w:r>
        <w:rPr>
          <w:spacing w:val="23"/>
          <w:sz w:val="30"/>
          <w:szCs w:val="30"/>
        </w:rPr>
        <w:t>-</w:t>
      </w:r>
      <w:r>
        <w:rPr>
          <w:rFonts w:hint="eastAsia"/>
          <w:spacing w:val="23"/>
          <w:sz w:val="30"/>
          <w:szCs w:val="30"/>
        </w:rPr>
        <w:t>XX</w:t>
      </w:r>
      <w:r>
        <w:rPr>
          <w:spacing w:val="23"/>
          <w:sz w:val="30"/>
          <w:szCs w:val="30"/>
        </w:rPr>
        <w:t>-</w:t>
      </w:r>
      <w:bookmarkEnd w:id="0"/>
      <w:r>
        <w:rPr>
          <w:sz w:val="30"/>
          <w:szCs w:val="30"/>
        </w:rPr>
        <w:t>20</w:t>
      </w:r>
      <w:r>
        <w:rPr>
          <w:rFonts w:hint="eastAsia"/>
          <w:sz w:val="30"/>
          <w:szCs w:val="30"/>
          <w:lang w:val="en-US" w:eastAsia="zh-CN"/>
        </w:rPr>
        <w:t>20</w:t>
      </w:r>
    </w:p>
    <w:p>
      <w:pPr>
        <w:spacing w:line="400" w:lineRule="exact"/>
        <w:ind w:firstLine="560"/>
        <w:jc w:val="right"/>
        <w:rPr>
          <w:rFonts w:hint="default" w:eastAsia="黑体"/>
          <w:sz w:val="28"/>
          <w:szCs w:val="28"/>
          <w:lang w:val="en-US" w:eastAsia="zh-CN"/>
        </w:rPr>
      </w:pPr>
      <w:r>
        <w:rPr>
          <w:sz w:val="28"/>
          <w:szCs w:val="28"/>
        </w:rPr>
        <mc:AlternateContent>
          <mc:Choice Requires="wps">
            <w:drawing>
              <wp:anchor distT="0" distB="0" distL="114300" distR="114300" simplePos="0" relativeHeight="251658240" behindDoc="0" locked="0" layoutInCell="1" allowOverlap="1">
                <wp:simplePos x="0" y="0"/>
                <wp:positionH relativeFrom="column">
                  <wp:posOffset>26035</wp:posOffset>
                </wp:positionH>
                <wp:positionV relativeFrom="paragraph">
                  <wp:posOffset>359410</wp:posOffset>
                </wp:positionV>
                <wp:extent cx="5486400" cy="41910"/>
                <wp:effectExtent l="0" t="0" r="19050" b="34290"/>
                <wp:wrapNone/>
                <wp:docPr id="5" name="直接连接符 2"/>
                <wp:cNvGraphicFramePr/>
                <a:graphic xmlns:a="http://schemas.openxmlformats.org/drawingml/2006/main">
                  <a:graphicData uri="http://schemas.microsoft.com/office/word/2010/wordprocessingShape">
                    <wps:wsp>
                      <wps:cNvCnPr>
                        <a:cxnSpLocks noChangeShapeType="1"/>
                      </wps:cNvCnPr>
                      <wps:spPr bwMode="auto">
                        <a:xfrm flipV="1">
                          <a:off x="0" y="0"/>
                          <a:ext cx="5486400" cy="41910"/>
                        </a:xfrm>
                        <a:prstGeom prst="line">
                          <a:avLst/>
                        </a:prstGeom>
                        <a:noFill/>
                        <a:ln w="9525" cmpd="sng">
                          <a:solidFill>
                            <a:srgbClr val="000000"/>
                          </a:solidFill>
                          <a:round/>
                        </a:ln>
                      </wps:spPr>
                      <wps:bodyPr/>
                    </wps:wsp>
                  </a:graphicData>
                </a:graphic>
              </wp:anchor>
            </w:drawing>
          </mc:Choice>
          <mc:Fallback>
            <w:pict>
              <v:line id="直接连接符 2" o:spid="_x0000_s1026" o:spt="20" style="position:absolute;left:0pt;flip:y;margin-left:2.05pt;margin-top:28.3pt;height:3.3pt;width:432pt;z-index:251658240;mso-width-relative:page;mso-height-relative:page;" filled="f" stroked="t" coordsize="21600,21600" o:gfxdata="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y2xaSdQAAAAHAQAADwAAAAAAAAAB&#10;ACAAAAAiAAAAZHJzL2Rvd25yZXYueG1sUEsBAhQAFAAAAAgAh07iQOL/i5HbAQAAdQMAAA4AAAAA&#10;AAAAAQAgAAAAIwEAAGRycy9lMm9Eb2MueG1sUEsFBgAAAAAGAAYAWQEAAHAFAAAAAA==&#10;">
                <v:fill on="f" focussize="0,0"/>
                <v:stroke color="#000000" joinstyle="round"/>
                <v:imagedata o:title=""/>
                <o:lock v:ext="edit" aspectratio="f"/>
              </v:line>
            </w:pict>
          </mc:Fallback>
        </mc:AlternateContent>
      </w:r>
      <w:r>
        <w:rPr>
          <w:rFonts w:hint="eastAsia" w:ascii="黑体" w:hAnsi="黑体" w:eastAsia="黑体"/>
          <w:sz w:val="28"/>
          <w:szCs w:val="28"/>
        </w:rPr>
        <w:t>备案号 J XXXXX-20</w:t>
      </w:r>
      <w:r>
        <w:rPr>
          <w:rFonts w:hint="eastAsia" w:ascii="黑体" w:hAnsi="黑体" w:eastAsia="黑体"/>
          <w:sz w:val="28"/>
          <w:szCs w:val="28"/>
          <w:lang w:val="en-US" w:eastAsia="zh-CN"/>
        </w:rPr>
        <w:t>20</w:t>
      </w:r>
    </w:p>
    <w:p>
      <w:pPr>
        <w:ind w:firstLine="964"/>
        <w:jc w:val="center"/>
        <w:rPr>
          <w:rFonts w:ascii="宋体" w:hAnsi="宋体"/>
          <w:b/>
          <w:sz w:val="48"/>
          <w:szCs w:val="48"/>
        </w:rPr>
      </w:pPr>
    </w:p>
    <w:p>
      <w:pPr>
        <w:ind w:firstLine="964"/>
        <w:jc w:val="center"/>
        <w:outlineLvl w:val="0"/>
        <w:rPr>
          <w:rFonts w:ascii="宋体" w:hAnsi="宋体"/>
          <w:b/>
          <w:sz w:val="48"/>
          <w:szCs w:val="48"/>
        </w:rPr>
      </w:pPr>
      <w:bookmarkStart w:id="1" w:name="_Toc375640674"/>
    </w:p>
    <w:bookmarkEnd w:id="1"/>
    <w:p>
      <w:pPr>
        <w:jc w:val="center"/>
        <w:rPr>
          <w:rFonts w:ascii="宋体" w:hAnsi="宋体"/>
          <w:b/>
          <w:sz w:val="48"/>
          <w:szCs w:val="48"/>
        </w:rPr>
      </w:pPr>
      <w:bookmarkStart w:id="2" w:name="_Toc375640675"/>
      <w:r>
        <w:rPr>
          <w:rFonts w:hint="eastAsia" w:ascii="宋体" w:hAnsi="宋体"/>
          <w:b/>
          <w:sz w:val="48"/>
          <w:szCs w:val="48"/>
        </w:rPr>
        <w:t>城市河湖环保清淤及</w:t>
      </w:r>
      <w:r>
        <w:rPr>
          <w:rFonts w:ascii="宋体" w:hAnsi="宋体"/>
          <w:b/>
          <w:sz w:val="48"/>
          <w:szCs w:val="48"/>
        </w:rPr>
        <w:t>底泥处理处置</w:t>
      </w:r>
    </w:p>
    <w:p>
      <w:pPr>
        <w:jc w:val="center"/>
        <w:rPr>
          <w:rFonts w:ascii="宋体" w:hAnsi="宋体"/>
          <w:b/>
          <w:sz w:val="48"/>
          <w:szCs w:val="48"/>
        </w:rPr>
      </w:pPr>
      <w:r>
        <w:rPr>
          <w:rFonts w:ascii="宋体" w:hAnsi="宋体"/>
          <w:b/>
          <w:sz w:val="48"/>
          <w:szCs w:val="48"/>
        </w:rPr>
        <w:t>技术</w:t>
      </w:r>
      <w:bookmarkEnd w:id="2"/>
      <w:r>
        <w:rPr>
          <w:rFonts w:hint="eastAsia" w:ascii="宋体" w:hAnsi="宋体"/>
          <w:b/>
          <w:sz w:val="48"/>
          <w:szCs w:val="48"/>
        </w:rPr>
        <w:t>规程</w:t>
      </w:r>
      <w:bookmarkStart w:id="298" w:name="_GoBack"/>
      <w:bookmarkEnd w:id="298"/>
    </w:p>
    <w:p>
      <w:pPr>
        <w:ind w:firstLine="480"/>
        <w:jc w:val="center"/>
        <w:rPr>
          <w:sz w:val="28"/>
          <w:szCs w:val="28"/>
        </w:rPr>
      </w:pPr>
      <w:r>
        <w:rPr>
          <w:sz w:val="28"/>
          <w:szCs w:val="28"/>
        </w:rPr>
        <w:t>Technical Specification for Environmental Friendly Dredging and Sediment Treatment of City River and Lake</w:t>
      </w:r>
    </w:p>
    <w:p>
      <w:pPr>
        <w:ind w:firstLine="643"/>
        <w:jc w:val="center"/>
        <w:rPr>
          <w:b/>
          <w:color w:val="000000"/>
          <w:sz w:val="32"/>
          <w:szCs w:val="32"/>
        </w:rPr>
      </w:pPr>
      <w:r>
        <w:rPr>
          <w:rFonts w:hint="eastAsia"/>
          <w:b/>
          <w:color w:val="000000"/>
          <w:sz w:val="32"/>
          <w:szCs w:val="32"/>
        </w:rPr>
        <w:t>（征求</w:t>
      </w:r>
      <w:r>
        <w:rPr>
          <w:b/>
          <w:color w:val="000000"/>
          <w:sz w:val="32"/>
          <w:szCs w:val="32"/>
        </w:rPr>
        <w:t>意见</w:t>
      </w:r>
      <w:r>
        <w:rPr>
          <w:rFonts w:hint="eastAsia"/>
          <w:b/>
          <w:color w:val="000000"/>
          <w:sz w:val="32"/>
          <w:szCs w:val="32"/>
        </w:rPr>
        <w:t>稿）</w:t>
      </w:r>
    </w:p>
    <w:p>
      <w:pPr>
        <w:ind w:firstLine="480"/>
      </w:pPr>
    </w:p>
    <w:p>
      <w:pPr>
        <w:ind w:firstLine="480"/>
      </w:pPr>
    </w:p>
    <w:p>
      <w:pPr>
        <w:ind w:firstLine="480"/>
      </w:pPr>
    </w:p>
    <w:p>
      <w:pPr>
        <w:ind w:firstLine="480"/>
      </w:pPr>
    </w:p>
    <w:p>
      <w:pPr>
        <w:ind w:firstLine="480"/>
      </w:pPr>
    </w:p>
    <w:p>
      <w:pPr>
        <w:ind w:firstLine="480"/>
      </w:pPr>
    </w:p>
    <w:p>
      <w:pPr>
        <w:ind w:firstLine="480"/>
      </w:pPr>
    </w:p>
    <w:p>
      <w:pPr>
        <w:ind w:firstLine="560"/>
        <w:rPr>
          <w:rFonts w:eastAsia="黑体"/>
          <w:sz w:val="28"/>
          <w:szCs w:val="28"/>
        </w:rPr>
      </w:pPr>
      <w:r>
        <w:rPr>
          <w:rFonts w:eastAsia="黑体"/>
          <w:sz w:val="28"/>
          <w:szCs w:val="28"/>
        </w:rPr>
        <w:t>2020-</w:t>
      </w:r>
      <w:r>
        <w:rPr>
          <w:rFonts w:hint="eastAsia" w:eastAsia="黑体"/>
          <w:sz w:val="28"/>
          <w:szCs w:val="28"/>
        </w:rPr>
        <w:t>XX</w:t>
      </w:r>
      <w:r>
        <w:rPr>
          <w:rFonts w:eastAsia="黑体"/>
          <w:sz w:val="28"/>
          <w:szCs w:val="28"/>
        </w:rPr>
        <w:t>-</w:t>
      </w:r>
      <w:r>
        <w:rPr>
          <w:rFonts w:hint="eastAsia" w:eastAsia="黑体"/>
          <w:sz w:val="28"/>
          <w:szCs w:val="28"/>
        </w:rPr>
        <w:t>XX</w:t>
      </w:r>
      <w:r>
        <w:rPr>
          <w:rFonts w:eastAsia="黑体"/>
          <w:sz w:val="28"/>
          <w:szCs w:val="28"/>
        </w:rPr>
        <w:t>发布                   2020-</w:t>
      </w:r>
      <w:r>
        <w:rPr>
          <w:rFonts w:hint="eastAsia" w:eastAsia="黑体"/>
          <w:sz w:val="28"/>
          <w:szCs w:val="28"/>
        </w:rPr>
        <w:t>XX</w:t>
      </w:r>
      <w:r>
        <w:rPr>
          <w:rFonts w:eastAsia="黑体"/>
          <w:sz w:val="28"/>
          <w:szCs w:val="28"/>
        </w:rPr>
        <w:t>-</w:t>
      </w:r>
      <w:r>
        <w:rPr>
          <w:rFonts w:hint="eastAsia" w:eastAsia="黑体"/>
          <w:sz w:val="28"/>
          <w:szCs w:val="28"/>
        </w:rPr>
        <w:t xml:space="preserve">XX  </w:t>
      </w:r>
      <w:r>
        <w:rPr>
          <w:rFonts w:eastAsia="黑体"/>
          <w:sz w:val="28"/>
          <w:szCs w:val="28"/>
        </w:rPr>
        <w:t>实施</w:t>
      </w:r>
    </w:p>
    <w:p>
      <w:pPr>
        <w:tabs>
          <w:tab w:val="left" w:pos="8235"/>
        </w:tabs>
        <w:ind w:firstLine="562"/>
        <w:rPr>
          <w:rFonts w:eastAsia="黑体"/>
          <w:b/>
          <w:sz w:val="28"/>
          <w:szCs w:val="28"/>
        </w:rPr>
      </w:pPr>
      <w:r>
        <w:rPr>
          <w:rFonts w:eastAsia="黑体"/>
          <w:b/>
          <w:sz w:val="28"/>
          <w:szCs w:val="28"/>
        </w:rPr>
        <mc:AlternateContent>
          <mc:Choice Requires="wps">
            <w:drawing>
              <wp:anchor distT="0" distB="0" distL="114300" distR="114300" simplePos="0" relativeHeight="251657216" behindDoc="0" locked="0" layoutInCell="1" allowOverlap="1">
                <wp:simplePos x="0" y="0"/>
                <wp:positionH relativeFrom="column">
                  <wp:posOffset>0</wp:posOffset>
                </wp:positionH>
                <wp:positionV relativeFrom="paragraph">
                  <wp:posOffset>55880</wp:posOffset>
                </wp:positionV>
                <wp:extent cx="5600700" cy="26670"/>
                <wp:effectExtent l="0" t="0" r="19050" b="30480"/>
                <wp:wrapNone/>
                <wp:docPr id="2"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5600700" cy="26670"/>
                        </a:xfrm>
                        <a:prstGeom prst="line">
                          <a:avLst/>
                        </a:prstGeom>
                        <a:noFill/>
                        <a:ln w="9525" cmpd="sng">
                          <a:solidFill>
                            <a:srgbClr val="000000"/>
                          </a:solidFill>
                          <a:round/>
                        </a:ln>
                      </wps:spPr>
                      <wps:bodyPr/>
                    </wps:wsp>
                  </a:graphicData>
                </a:graphic>
              </wp:anchor>
            </w:drawing>
          </mc:Choice>
          <mc:Fallback>
            <w:pict>
              <v:line id="直接连接符 1" o:spid="_x0000_s1026" o:spt="20" style="position:absolute;left:0pt;margin-left:0pt;margin-top:4.4pt;height:2.1pt;width:441pt;z-index:251657216;mso-width-relative:page;mso-height-relative:page;" filled="f" stroked="t" coordsize="21600,21600" o:gfxdata="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CTSiq+0gAAAAUBAAAPAAAAAAAAAAEAIAAAACIAAABk&#10;cnMvZG93bnJldi54bWxQSwECFAAUAAAACACHTuJA+JQTXdMBAABrAwAADgAAAAAAAAABACAAAAAh&#10;AQAAZHJzL2Uyb0RvYy54bWxQSwUGAAAAAAYABgBZAQAAZgUAAAAA&#10;">
                <v:fill on="f" focussize="0,0"/>
                <v:stroke color="#000000" joinstyle="round"/>
                <v:imagedata o:title=""/>
                <o:lock v:ext="edit" aspectratio="f"/>
              </v:line>
            </w:pict>
          </mc:Fallback>
        </mc:AlternateContent>
      </w:r>
      <w:r>
        <w:rPr>
          <w:rFonts w:eastAsia="黑体"/>
          <w:b/>
          <w:sz w:val="28"/>
          <w:szCs w:val="28"/>
        </w:rPr>
        <w:tab/>
      </w:r>
    </w:p>
    <w:p>
      <w:pPr>
        <w:ind w:firstLine="640"/>
        <w:jc w:val="center"/>
        <w:rPr>
          <w:rFonts w:eastAsia="黑体"/>
          <w:spacing w:val="20"/>
          <w:sz w:val="32"/>
          <w:szCs w:val="32"/>
        </w:rPr>
      </w:pPr>
      <w:r>
        <w:rPr>
          <w:rFonts w:eastAsia="黑体"/>
          <w:sz w:val="32"/>
          <w:szCs w:val="32"/>
        </w:rPr>
        <w:t>广东省住房和城乡建设厅</w:t>
      </w:r>
      <w:r>
        <w:rPr>
          <w:rFonts w:hint="eastAsia" w:eastAsia="黑体"/>
          <w:sz w:val="32"/>
          <w:szCs w:val="32"/>
        </w:rPr>
        <w:t xml:space="preserve">  </w:t>
      </w:r>
      <w:r>
        <w:rPr>
          <w:rFonts w:eastAsia="黑体"/>
          <w:spacing w:val="20"/>
          <w:sz w:val="32"/>
          <w:szCs w:val="32"/>
        </w:rPr>
        <w:t>发布</w:t>
      </w:r>
    </w:p>
    <w:tbl>
      <w:tblPr>
        <w:tblStyle w:val="27"/>
        <w:tblpPr w:leftFromText="180" w:rightFromText="180" w:vertAnchor="text" w:horzAnchor="page" w:tblpX="8202" w:tblpY="460"/>
        <w:tblOverlap w:val="never"/>
        <w:tblW w:w="27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7" w:hRule="atLeast"/>
        </w:trPr>
        <w:tc>
          <w:tcPr>
            <w:tcW w:w="2738" w:type="dxa"/>
            <w:vAlign w:val="center"/>
          </w:tcPr>
          <w:p>
            <w:pPr>
              <w:jc w:val="center"/>
            </w:pPr>
            <w:r>
              <w:rPr>
                <w:rFonts w:hint="eastAsia"/>
              </w:rPr>
              <w:t>本标准不涉及专利</w:t>
            </w:r>
          </w:p>
        </w:tc>
      </w:tr>
    </w:tbl>
    <w:p>
      <w:pPr>
        <w:jc w:val="center"/>
        <w:rPr>
          <w:rFonts w:eastAsia="黑体"/>
          <w:spacing w:val="20"/>
          <w:sz w:val="32"/>
          <w:szCs w:val="32"/>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fmt="upperRoman"/>
          <w:cols w:space="425" w:num="1"/>
          <w:docGrid w:type="lines" w:linePitch="312" w:charSpace="0"/>
        </w:sectPr>
      </w:pPr>
    </w:p>
    <w:p>
      <w:pPr>
        <w:jc w:val="center"/>
        <w:rPr>
          <w:rFonts w:ascii="黑体" w:hAnsi="黑体" w:eastAsia="黑体"/>
          <w:b/>
          <w:sz w:val="28"/>
          <w:szCs w:val="28"/>
        </w:rPr>
      </w:pPr>
      <w:r>
        <w:rPr>
          <w:rFonts w:ascii="黑体" w:hAnsi="黑体" w:eastAsia="黑体"/>
          <w:b/>
          <w:sz w:val="28"/>
          <w:szCs w:val="28"/>
        </w:rPr>
        <w:t>前言</w:t>
      </w:r>
    </w:p>
    <w:p>
      <w:pPr>
        <w:ind w:firstLine="480"/>
      </w:pPr>
      <w:r>
        <w:rPr>
          <w:rFonts w:hint="eastAsia"/>
        </w:rPr>
        <w:t>根据《广东省住房和城乡建设厅关于做好2018年广东省工程建设标准制修订工作的通知》（粤建科函〔2018〕2954号）文的要求，标准编制组经广泛调查研究，认真总结实践经验，参考国内外相关标准，并在广泛征求意见的基础上，制订了本规程。</w:t>
      </w:r>
    </w:p>
    <w:p>
      <w:pPr>
        <w:ind w:firstLine="480"/>
      </w:pPr>
      <w:r>
        <w:rPr>
          <w:rFonts w:hint="eastAsia"/>
        </w:rPr>
        <w:t>本规程内容不涉及到任何专利。</w:t>
      </w:r>
    </w:p>
    <w:p>
      <w:pPr>
        <w:ind w:firstLine="480"/>
      </w:pPr>
      <w:r>
        <w:rPr>
          <w:rFonts w:hint="eastAsia"/>
        </w:rPr>
        <w:t>本规程主要技术内容是：</w:t>
      </w:r>
      <w:r>
        <w:t xml:space="preserve">1. </w:t>
      </w:r>
      <w:r>
        <w:rPr>
          <w:rFonts w:hint="eastAsia"/>
        </w:rPr>
        <w:t>总则；</w:t>
      </w:r>
      <w:r>
        <w:t xml:space="preserve">2. </w:t>
      </w:r>
      <w:r>
        <w:rPr>
          <w:rFonts w:hint="eastAsia"/>
        </w:rPr>
        <w:t>术语；</w:t>
      </w:r>
      <w:r>
        <w:t>3. 底泥勘测与污染状况调查评价</w:t>
      </w:r>
      <w:r>
        <w:rPr>
          <w:rFonts w:hint="eastAsia"/>
        </w:rPr>
        <w:t>；4</w:t>
      </w:r>
      <w:r>
        <w:t>. 环保清淤规模</w:t>
      </w:r>
      <w:r>
        <w:rPr>
          <w:rFonts w:hint="eastAsia"/>
        </w:rPr>
        <w:t>；5</w:t>
      </w:r>
      <w:r>
        <w:t>. 环保清淤施工</w:t>
      </w:r>
      <w:r>
        <w:rPr>
          <w:rFonts w:hint="eastAsia"/>
        </w:rPr>
        <w:t>；6</w:t>
      </w:r>
      <w:r>
        <w:t>. 底泥处理与处置工程</w:t>
      </w:r>
      <w:r>
        <w:rPr>
          <w:rFonts w:hint="eastAsia"/>
        </w:rPr>
        <w:t>；7</w:t>
      </w:r>
      <w:r>
        <w:t>. 底泥处理厂建设</w:t>
      </w:r>
      <w:r>
        <w:rPr>
          <w:rFonts w:hint="eastAsia"/>
        </w:rPr>
        <w:t>。</w:t>
      </w:r>
    </w:p>
    <w:p>
      <w:pPr>
        <w:autoSpaceDE w:val="0"/>
        <w:autoSpaceDN w:val="0"/>
        <w:adjustRightInd w:val="0"/>
        <w:ind w:firstLine="580" w:firstLineChars="242"/>
        <w:jc w:val="left"/>
        <w:rPr>
          <w:sz w:val="28"/>
          <w:szCs w:val="28"/>
        </w:rPr>
      </w:pPr>
      <w:r>
        <w:t>本</w:t>
      </w:r>
      <w:r>
        <w:rPr>
          <w:rFonts w:hint="eastAsia"/>
        </w:rPr>
        <w:t>规程</w:t>
      </w:r>
      <w:r>
        <w:t>为</w:t>
      </w:r>
      <w:r>
        <w:rPr>
          <w:rFonts w:hint="eastAsia"/>
        </w:rPr>
        <w:t>指导性</w:t>
      </w:r>
      <w:r>
        <w:t>文件，广东省各地市根据具体河湖的自然地理、地质及污染状况等特征，参考</w:t>
      </w:r>
      <w:r>
        <w:rPr>
          <w:rFonts w:hint="eastAsia"/>
        </w:rPr>
        <w:t>本</w:t>
      </w:r>
      <w:r>
        <w:t>规程制定适用于具体河湖的清淤及底泥处理</w:t>
      </w:r>
      <w:r>
        <w:rPr>
          <w:rFonts w:hint="eastAsia"/>
        </w:rPr>
        <w:t>处置</w:t>
      </w:r>
      <w:r>
        <w:t>方案。</w:t>
      </w:r>
    </w:p>
    <w:p>
      <w:pPr>
        <w:ind w:firstLine="480"/>
      </w:pPr>
      <w:r>
        <w:rPr>
          <w:rFonts w:hint="eastAsia"/>
        </w:rPr>
        <w:t>本规程主持单位：广东省住房</w:t>
      </w:r>
      <w:r>
        <w:t>和城乡建设厅</w:t>
      </w:r>
    </w:p>
    <w:p>
      <w:pPr>
        <w:ind w:firstLine="480"/>
      </w:pPr>
      <w:r>
        <w:rPr>
          <w:rFonts w:hint="eastAsia"/>
        </w:rPr>
        <w:t>本规程解释单位：广东省住房</w:t>
      </w:r>
      <w:r>
        <w:t>和城乡建设厅</w:t>
      </w:r>
    </w:p>
    <w:p>
      <w:pPr>
        <w:ind w:firstLine="480"/>
      </w:pPr>
      <w:r>
        <w:rPr>
          <w:rFonts w:hint="eastAsia"/>
        </w:rPr>
        <w:t>本规程主编单位：广东省水利电力勘测设计研究院</w:t>
      </w:r>
    </w:p>
    <w:p>
      <w:pPr>
        <w:ind w:firstLine="2400" w:firstLineChars="1000"/>
      </w:pPr>
      <w:r>
        <w:rPr>
          <w:rFonts w:hint="eastAsia"/>
        </w:rPr>
        <w:t>广州珞珈环境技术有限公司</w:t>
      </w:r>
    </w:p>
    <w:p>
      <w:pPr>
        <w:ind w:firstLine="2400" w:firstLineChars="1000"/>
      </w:pPr>
      <w:r>
        <w:rPr>
          <w:rFonts w:hint="eastAsia"/>
        </w:rPr>
        <w:t>广东粤海水务股份有限公司</w:t>
      </w:r>
    </w:p>
    <w:p>
      <w:pPr>
        <w:ind w:firstLine="480"/>
      </w:pPr>
      <w:r>
        <w:rPr>
          <w:rFonts w:hint="eastAsia"/>
        </w:rPr>
        <w:t>本规程参编单位：</w:t>
      </w:r>
      <w:r>
        <w:fldChar w:fldCharType="begin"/>
      </w:r>
      <w:r>
        <w:instrText xml:space="preserve"> HYPERLINK "https://www.baidu.com/link?url=ktBqAbAaBz59zAHjsA9w_90Z8Iz-lu8uBBW7juxPvgq&amp;wd=&amp;eqid=935f43fa00078254000000065ba760f8" \t "_blank" </w:instrText>
      </w:r>
      <w:r>
        <w:fldChar w:fldCharType="separate"/>
      </w:r>
      <w:r>
        <w:rPr>
          <w:rFonts w:hint="eastAsia"/>
        </w:rPr>
        <w:t>广州资源环保科技股份有限公司</w:t>
      </w:r>
      <w:r>
        <w:rPr>
          <w:rFonts w:hint="eastAsia"/>
        </w:rPr>
        <w:fldChar w:fldCharType="end"/>
      </w:r>
    </w:p>
    <w:p>
      <w:pPr>
        <w:ind w:firstLine="2400" w:firstLineChars="1000"/>
      </w:pPr>
      <w:r>
        <w:rPr>
          <w:rFonts w:hint="eastAsia"/>
        </w:rPr>
        <w:t>生态环境部华南环境科学研究所</w:t>
      </w:r>
    </w:p>
    <w:p>
      <w:pPr>
        <w:ind w:firstLine="2400" w:firstLineChars="1000"/>
      </w:pPr>
      <w:r>
        <w:rPr>
          <w:rFonts w:hint="eastAsia"/>
        </w:rPr>
        <w:t>中广核环保产业有限公司</w:t>
      </w:r>
    </w:p>
    <w:p>
      <w:pPr>
        <w:ind w:firstLine="2400" w:firstLineChars="1000"/>
      </w:pPr>
      <w:r>
        <w:rPr>
          <w:rFonts w:hint="eastAsia"/>
        </w:rPr>
        <w:t>北控水务（中国）投资有限公司</w:t>
      </w:r>
    </w:p>
    <w:p>
      <w:pPr>
        <w:ind w:firstLine="480"/>
      </w:pPr>
      <w:r>
        <w:rPr>
          <w:rFonts w:hint="eastAsia"/>
        </w:rPr>
        <w:t>本规程主要起草人：黄显</w:t>
      </w:r>
      <w:r>
        <w:t>东、</w:t>
      </w:r>
      <w:r>
        <w:rPr>
          <w:rFonts w:hint="eastAsia"/>
        </w:rPr>
        <w:t>陈俊昂、</w:t>
      </w:r>
      <w:r>
        <w:t>马</w:t>
      </w:r>
      <w:r>
        <w:rPr>
          <w:rFonts w:hint="eastAsia"/>
        </w:rPr>
        <w:t xml:space="preserve"> </w:t>
      </w:r>
      <w:r>
        <w:t xml:space="preserve"> 翔、赵</w:t>
      </w:r>
      <w:r>
        <w:rPr>
          <w:rFonts w:hint="eastAsia"/>
        </w:rPr>
        <w:t xml:space="preserve">  </w:t>
      </w:r>
      <w:r>
        <w:t>焱、王英丽、郑悦华</w:t>
      </w:r>
    </w:p>
    <w:p>
      <w:pPr>
        <w:ind w:firstLine="2640" w:firstLineChars="1100"/>
      </w:pPr>
      <w:r>
        <w:t>苏</w:t>
      </w:r>
      <w:r>
        <w:rPr>
          <w:rFonts w:hint="eastAsia"/>
        </w:rPr>
        <w:t xml:space="preserve">  </w:t>
      </w:r>
      <w:r>
        <w:t>蕾、罗千里、侯</w:t>
      </w:r>
      <w:r>
        <w:rPr>
          <w:rFonts w:hint="eastAsia"/>
        </w:rPr>
        <w:t>小</w:t>
      </w:r>
      <w:r>
        <w:t>阁、王志强、林健</w:t>
      </w:r>
      <w:r>
        <w:rPr>
          <w:rFonts w:hint="eastAsia"/>
        </w:rPr>
        <w:t>汉</w:t>
      </w:r>
      <w:r>
        <w:t>、孙国胜</w:t>
      </w:r>
    </w:p>
    <w:p>
      <w:pPr>
        <w:ind w:firstLine="2640" w:firstLineChars="1100"/>
      </w:pPr>
      <w:r>
        <w:rPr>
          <w:rFonts w:hint="eastAsia"/>
        </w:rPr>
        <w:t>陈国轩</w:t>
      </w:r>
      <w:r>
        <w:t>、赵志杰、</w:t>
      </w:r>
      <w:r>
        <w:rPr>
          <w:rFonts w:hint="eastAsia"/>
        </w:rPr>
        <w:t>吴传</w:t>
      </w:r>
      <w:r>
        <w:t>栋、王广义、李伟杰、董金荣</w:t>
      </w:r>
    </w:p>
    <w:p>
      <w:pPr>
        <w:ind w:firstLine="2640" w:firstLineChars="1100"/>
      </w:pPr>
      <w:r>
        <w:t>刘玉龙、秦茂洁、陈升魁、杨</w:t>
      </w:r>
      <w:r>
        <w:rPr>
          <w:rFonts w:hint="eastAsia"/>
        </w:rPr>
        <w:t xml:space="preserve">  </w:t>
      </w:r>
      <w:r>
        <w:t>晶、吴鹏飞、杨海明</w:t>
      </w:r>
    </w:p>
    <w:p>
      <w:pPr>
        <w:autoSpaceDE w:val="0"/>
        <w:autoSpaceDN w:val="0"/>
        <w:adjustRightInd w:val="0"/>
        <w:ind w:firstLine="460" w:firstLineChars="192"/>
        <w:jc w:val="left"/>
      </w:pPr>
      <w:r>
        <w:rPr>
          <w:rFonts w:hint="eastAsia"/>
        </w:rPr>
        <w:t>本</w:t>
      </w:r>
      <w:r>
        <w:t>规程主要</w:t>
      </w:r>
      <w:r>
        <w:rPr>
          <w:rFonts w:hint="eastAsia"/>
        </w:rPr>
        <w:t>审查人</w:t>
      </w:r>
      <w:r>
        <w:t>：</w:t>
      </w:r>
    </w:p>
    <w:p>
      <w:pPr>
        <w:autoSpaceDE w:val="0"/>
        <w:autoSpaceDN w:val="0"/>
        <w:adjustRightInd w:val="0"/>
        <w:ind w:firstLine="537" w:firstLineChars="192"/>
        <w:jc w:val="left"/>
        <w:rPr>
          <w:sz w:val="28"/>
          <w:szCs w:val="28"/>
        </w:rPr>
      </w:pPr>
    </w:p>
    <w:p>
      <w:pPr>
        <w:autoSpaceDE w:val="0"/>
        <w:autoSpaceDN w:val="0"/>
        <w:adjustRightInd w:val="0"/>
        <w:ind w:firstLine="537" w:firstLineChars="192"/>
        <w:jc w:val="left"/>
        <w:rPr>
          <w:sz w:val="28"/>
          <w:szCs w:val="28"/>
        </w:rPr>
      </w:pPr>
    </w:p>
    <w:p>
      <w:pPr>
        <w:autoSpaceDE w:val="0"/>
        <w:autoSpaceDN w:val="0"/>
        <w:adjustRightInd w:val="0"/>
        <w:ind w:firstLine="537" w:firstLineChars="192"/>
        <w:jc w:val="left"/>
        <w:rPr>
          <w:sz w:val="28"/>
          <w:szCs w:val="28"/>
        </w:rPr>
      </w:pPr>
    </w:p>
    <w:p>
      <w:pPr>
        <w:autoSpaceDE w:val="0"/>
        <w:autoSpaceDN w:val="0"/>
        <w:adjustRightInd w:val="0"/>
        <w:ind w:firstLine="537" w:firstLineChars="192"/>
        <w:jc w:val="left"/>
        <w:rPr>
          <w:sz w:val="28"/>
          <w:szCs w:val="28"/>
        </w:rPr>
      </w:pPr>
    </w:p>
    <w:p>
      <w:pPr>
        <w:tabs>
          <w:tab w:val="left" w:pos="1683"/>
        </w:tabs>
        <w:autoSpaceDE w:val="0"/>
        <w:autoSpaceDN w:val="0"/>
        <w:adjustRightInd w:val="0"/>
        <w:ind w:firstLine="537" w:firstLineChars="192"/>
        <w:jc w:val="left"/>
        <w:rPr>
          <w:sz w:val="28"/>
          <w:szCs w:val="28"/>
        </w:rPr>
      </w:pPr>
      <w:r>
        <w:rPr>
          <w:sz w:val="28"/>
          <w:szCs w:val="28"/>
        </w:rPr>
        <w:tab/>
      </w:r>
    </w:p>
    <w:sdt>
      <w:sdtPr>
        <w:rPr>
          <w:rFonts w:asciiTheme="minorHAnsi" w:hAnsiTheme="minorHAnsi" w:eastAsiaTheme="minorEastAsia" w:cstheme="minorBidi"/>
          <w:color w:val="auto"/>
          <w:kern w:val="2"/>
          <w:sz w:val="21"/>
          <w:szCs w:val="22"/>
          <w:lang w:val="zh-CN"/>
        </w:rPr>
        <w:id w:val="239528525"/>
        <w:docPartObj>
          <w:docPartGallery w:val="Table of Contents"/>
          <w:docPartUnique/>
        </w:docPartObj>
      </w:sdtPr>
      <w:sdtEndPr>
        <w:rPr>
          <w:rFonts w:ascii="Times New Roman" w:hAnsi="Times New Roman" w:eastAsia="宋体" w:cstheme="minorBidi"/>
          <w:b/>
          <w:bCs/>
          <w:color w:val="auto"/>
          <w:kern w:val="2"/>
          <w:sz w:val="24"/>
          <w:szCs w:val="22"/>
          <w:lang w:val="zh-CN"/>
        </w:rPr>
      </w:sdtEndPr>
      <w:sdtContent>
        <w:p>
          <w:pPr>
            <w:pStyle w:val="36"/>
            <w:ind w:firstLine="420"/>
            <w:rPr>
              <w:rFonts w:ascii="黑体" w:hAnsi="黑体" w:eastAsia="黑体"/>
              <w:b/>
              <w:color w:val="auto"/>
            </w:rPr>
          </w:pPr>
          <w:r>
            <w:rPr>
              <w:rFonts w:ascii="黑体" w:hAnsi="黑体" w:eastAsia="黑体"/>
              <w:b/>
              <w:color w:val="auto"/>
              <w:lang w:val="zh-CN"/>
            </w:rPr>
            <w:t>目录</w:t>
          </w:r>
        </w:p>
        <w:p>
          <w:pPr>
            <w:pStyle w:val="18"/>
            <w:tabs>
              <w:tab w:val="right" w:leader="dot" w:pos="8296"/>
            </w:tabs>
            <w:rPr>
              <w:rFonts w:asciiTheme="minorHAnsi" w:hAnsiTheme="minorHAnsi" w:eastAsiaTheme="minorEastAsia" w:cstheme="minorBidi"/>
              <w:kern w:val="2"/>
              <w:sz w:val="21"/>
            </w:rPr>
          </w:pPr>
          <w:r>
            <w:fldChar w:fldCharType="begin"/>
          </w:r>
          <w:r>
            <w:instrText xml:space="preserve"> TOC \o "1-2" \h \z \u </w:instrText>
          </w:r>
          <w:r>
            <w:fldChar w:fldCharType="separate"/>
          </w:r>
          <w:r>
            <w:fldChar w:fldCharType="begin"/>
          </w:r>
          <w:r>
            <w:instrText xml:space="preserve"> HYPERLINK \l "_Toc37843232" </w:instrText>
          </w:r>
          <w:r>
            <w:fldChar w:fldCharType="separate"/>
          </w:r>
          <w:r>
            <w:rPr>
              <w:rStyle w:val="25"/>
            </w:rPr>
            <w:t xml:space="preserve">1  </w:t>
          </w:r>
          <w:r>
            <w:rPr>
              <w:rStyle w:val="25"/>
              <w:rFonts w:hint="eastAsia"/>
            </w:rPr>
            <w:t>总则</w:t>
          </w:r>
          <w:r>
            <w:tab/>
          </w:r>
          <w:r>
            <w:fldChar w:fldCharType="begin"/>
          </w:r>
          <w:r>
            <w:instrText xml:space="preserve"> PAGEREF _Toc37843232 \h </w:instrText>
          </w:r>
          <w:r>
            <w:fldChar w:fldCharType="separate"/>
          </w:r>
          <w:r>
            <w:t>1</w:t>
          </w:r>
          <w:r>
            <w:fldChar w:fldCharType="end"/>
          </w:r>
          <w:r>
            <w:fldChar w:fldCharType="end"/>
          </w:r>
        </w:p>
        <w:p>
          <w:pPr>
            <w:pStyle w:val="18"/>
            <w:tabs>
              <w:tab w:val="right" w:leader="dot" w:pos="8296"/>
            </w:tabs>
            <w:rPr>
              <w:rFonts w:asciiTheme="minorHAnsi" w:hAnsiTheme="minorHAnsi" w:eastAsiaTheme="minorEastAsia" w:cstheme="minorBidi"/>
              <w:kern w:val="2"/>
              <w:sz w:val="21"/>
            </w:rPr>
          </w:pPr>
          <w:r>
            <w:fldChar w:fldCharType="begin"/>
          </w:r>
          <w:r>
            <w:instrText xml:space="preserve"> HYPERLINK \l "_Toc37843233" </w:instrText>
          </w:r>
          <w:r>
            <w:fldChar w:fldCharType="separate"/>
          </w:r>
          <w:r>
            <w:rPr>
              <w:rStyle w:val="25"/>
              <w:rFonts w:asciiTheme="majorBidi" w:hAnsiTheme="majorBidi" w:cstheme="majorBidi"/>
            </w:rPr>
            <w:t xml:space="preserve">2  </w:t>
          </w:r>
          <w:r>
            <w:rPr>
              <w:rStyle w:val="25"/>
              <w:rFonts w:hint="eastAsia" w:asciiTheme="majorBidi" w:hAnsiTheme="majorBidi" w:cstheme="majorBidi"/>
            </w:rPr>
            <w:t>术语</w:t>
          </w:r>
          <w:r>
            <w:tab/>
          </w:r>
          <w:r>
            <w:fldChar w:fldCharType="begin"/>
          </w:r>
          <w:r>
            <w:instrText xml:space="preserve"> PAGEREF _Toc37843233 \h </w:instrText>
          </w:r>
          <w:r>
            <w:fldChar w:fldCharType="separate"/>
          </w:r>
          <w:r>
            <w:t>2</w:t>
          </w:r>
          <w:r>
            <w:fldChar w:fldCharType="end"/>
          </w:r>
          <w:r>
            <w:fldChar w:fldCharType="end"/>
          </w:r>
        </w:p>
        <w:p>
          <w:pPr>
            <w:pStyle w:val="18"/>
            <w:tabs>
              <w:tab w:val="right" w:leader="dot" w:pos="8296"/>
            </w:tabs>
            <w:rPr>
              <w:rFonts w:asciiTheme="minorHAnsi" w:hAnsiTheme="minorHAnsi" w:eastAsiaTheme="minorEastAsia" w:cstheme="minorBidi"/>
              <w:kern w:val="2"/>
              <w:sz w:val="21"/>
            </w:rPr>
          </w:pPr>
          <w:r>
            <w:fldChar w:fldCharType="begin"/>
          </w:r>
          <w:r>
            <w:instrText xml:space="preserve"> HYPERLINK \l "_Toc37843234" </w:instrText>
          </w:r>
          <w:r>
            <w:fldChar w:fldCharType="separate"/>
          </w:r>
          <w:r>
            <w:rPr>
              <w:rStyle w:val="25"/>
            </w:rPr>
            <w:t xml:space="preserve">3  </w:t>
          </w:r>
          <w:r>
            <w:rPr>
              <w:rStyle w:val="25"/>
              <w:rFonts w:hint="eastAsia"/>
            </w:rPr>
            <w:t>底泥勘测与污染状况调查评价</w:t>
          </w:r>
          <w:r>
            <w:tab/>
          </w:r>
          <w:r>
            <w:fldChar w:fldCharType="begin"/>
          </w:r>
          <w:r>
            <w:instrText xml:space="preserve"> PAGEREF _Toc37843234 \h </w:instrText>
          </w:r>
          <w:r>
            <w:fldChar w:fldCharType="separate"/>
          </w:r>
          <w:r>
            <w:t>4</w:t>
          </w:r>
          <w:r>
            <w:fldChar w:fldCharType="end"/>
          </w:r>
          <w:r>
            <w:fldChar w:fldCharType="end"/>
          </w:r>
        </w:p>
        <w:p>
          <w:pPr>
            <w:pStyle w:val="21"/>
            <w:tabs>
              <w:tab w:val="right" w:leader="dot" w:pos="8296"/>
            </w:tabs>
            <w:rPr>
              <w:rFonts w:asciiTheme="minorHAnsi" w:hAnsiTheme="minorHAnsi" w:eastAsiaTheme="minorEastAsia" w:cstheme="minorBidi"/>
              <w:kern w:val="2"/>
              <w:sz w:val="21"/>
            </w:rPr>
          </w:pPr>
          <w:r>
            <w:fldChar w:fldCharType="begin"/>
          </w:r>
          <w:r>
            <w:instrText xml:space="preserve"> HYPERLINK \l "_Toc37843235" </w:instrText>
          </w:r>
          <w:r>
            <w:fldChar w:fldCharType="separate"/>
          </w:r>
          <w:r>
            <w:rPr>
              <w:rStyle w:val="25"/>
            </w:rPr>
            <w:t xml:space="preserve">3.1  </w:t>
          </w:r>
          <w:r>
            <w:rPr>
              <w:rStyle w:val="25"/>
              <w:rFonts w:hint="eastAsia"/>
            </w:rPr>
            <w:t>一般规定</w:t>
          </w:r>
          <w:r>
            <w:tab/>
          </w:r>
          <w:r>
            <w:fldChar w:fldCharType="begin"/>
          </w:r>
          <w:r>
            <w:instrText xml:space="preserve"> PAGEREF _Toc37843235 \h </w:instrText>
          </w:r>
          <w:r>
            <w:fldChar w:fldCharType="separate"/>
          </w:r>
          <w:r>
            <w:t>4</w:t>
          </w:r>
          <w:r>
            <w:fldChar w:fldCharType="end"/>
          </w:r>
          <w:r>
            <w:fldChar w:fldCharType="end"/>
          </w:r>
        </w:p>
        <w:p>
          <w:pPr>
            <w:pStyle w:val="21"/>
            <w:tabs>
              <w:tab w:val="right" w:leader="dot" w:pos="8296"/>
            </w:tabs>
            <w:rPr>
              <w:rFonts w:asciiTheme="minorHAnsi" w:hAnsiTheme="minorHAnsi" w:eastAsiaTheme="minorEastAsia" w:cstheme="minorBidi"/>
              <w:kern w:val="2"/>
              <w:sz w:val="21"/>
            </w:rPr>
          </w:pPr>
          <w:r>
            <w:fldChar w:fldCharType="begin"/>
          </w:r>
          <w:r>
            <w:instrText xml:space="preserve"> HYPERLINK \l "_Toc37843236" </w:instrText>
          </w:r>
          <w:r>
            <w:fldChar w:fldCharType="separate"/>
          </w:r>
          <w:r>
            <w:rPr>
              <w:rStyle w:val="25"/>
              <w:rFonts w:asciiTheme="majorBidi" w:hAnsiTheme="majorBidi"/>
            </w:rPr>
            <w:t xml:space="preserve">3.2  </w:t>
          </w:r>
          <w:r>
            <w:rPr>
              <w:rStyle w:val="25"/>
              <w:rFonts w:hint="eastAsia" w:asciiTheme="majorBidi" w:hAnsiTheme="majorBidi"/>
            </w:rPr>
            <w:t>资料收集与分析</w:t>
          </w:r>
          <w:r>
            <w:tab/>
          </w:r>
          <w:r>
            <w:fldChar w:fldCharType="begin"/>
          </w:r>
          <w:r>
            <w:instrText xml:space="preserve"> PAGEREF _Toc37843236 \h </w:instrText>
          </w:r>
          <w:r>
            <w:fldChar w:fldCharType="separate"/>
          </w:r>
          <w:r>
            <w:t>4</w:t>
          </w:r>
          <w:r>
            <w:fldChar w:fldCharType="end"/>
          </w:r>
          <w:r>
            <w:fldChar w:fldCharType="end"/>
          </w:r>
        </w:p>
        <w:p>
          <w:pPr>
            <w:pStyle w:val="21"/>
            <w:tabs>
              <w:tab w:val="right" w:leader="dot" w:pos="8296"/>
            </w:tabs>
            <w:rPr>
              <w:rFonts w:asciiTheme="minorHAnsi" w:hAnsiTheme="minorHAnsi" w:eastAsiaTheme="minorEastAsia" w:cstheme="minorBidi"/>
              <w:kern w:val="2"/>
              <w:sz w:val="21"/>
            </w:rPr>
          </w:pPr>
          <w:r>
            <w:fldChar w:fldCharType="begin"/>
          </w:r>
          <w:r>
            <w:instrText xml:space="preserve"> HYPERLINK \l "_Toc37843237" </w:instrText>
          </w:r>
          <w:r>
            <w:fldChar w:fldCharType="separate"/>
          </w:r>
          <w:r>
            <w:rPr>
              <w:rStyle w:val="25"/>
              <w:rFonts w:asciiTheme="majorBidi" w:hAnsiTheme="majorBidi"/>
            </w:rPr>
            <w:t xml:space="preserve">3.3  </w:t>
          </w:r>
          <w:r>
            <w:rPr>
              <w:rStyle w:val="25"/>
              <w:rFonts w:hint="eastAsia" w:asciiTheme="majorBidi" w:hAnsiTheme="majorBidi"/>
            </w:rPr>
            <w:t>现场踏勘</w:t>
          </w:r>
          <w:r>
            <w:tab/>
          </w:r>
          <w:r>
            <w:fldChar w:fldCharType="begin"/>
          </w:r>
          <w:r>
            <w:instrText xml:space="preserve"> PAGEREF _Toc37843237 \h </w:instrText>
          </w:r>
          <w:r>
            <w:fldChar w:fldCharType="separate"/>
          </w:r>
          <w:r>
            <w:t>5</w:t>
          </w:r>
          <w:r>
            <w:fldChar w:fldCharType="end"/>
          </w:r>
          <w:r>
            <w:fldChar w:fldCharType="end"/>
          </w:r>
        </w:p>
        <w:p>
          <w:pPr>
            <w:pStyle w:val="21"/>
            <w:tabs>
              <w:tab w:val="right" w:leader="dot" w:pos="8296"/>
            </w:tabs>
            <w:rPr>
              <w:rFonts w:asciiTheme="minorHAnsi" w:hAnsiTheme="minorHAnsi" w:eastAsiaTheme="minorEastAsia" w:cstheme="minorBidi"/>
              <w:kern w:val="2"/>
              <w:sz w:val="21"/>
            </w:rPr>
          </w:pPr>
          <w:r>
            <w:fldChar w:fldCharType="begin"/>
          </w:r>
          <w:r>
            <w:instrText xml:space="preserve"> HYPERLINK \l "_Toc37843238" </w:instrText>
          </w:r>
          <w:r>
            <w:fldChar w:fldCharType="separate"/>
          </w:r>
          <w:r>
            <w:rPr>
              <w:rStyle w:val="25"/>
            </w:rPr>
            <w:t xml:space="preserve">3.4  </w:t>
          </w:r>
          <w:r>
            <w:rPr>
              <w:rStyle w:val="25"/>
              <w:rFonts w:hint="eastAsia"/>
            </w:rPr>
            <w:t>采样点布设原则</w:t>
          </w:r>
          <w:r>
            <w:tab/>
          </w:r>
          <w:r>
            <w:fldChar w:fldCharType="begin"/>
          </w:r>
          <w:r>
            <w:instrText xml:space="preserve"> PAGEREF _Toc37843238 \h </w:instrText>
          </w:r>
          <w:r>
            <w:fldChar w:fldCharType="separate"/>
          </w:r>
          <w:r>
            <w:t>5</w:t>
          </w:r>
          <w:r>
            <w:fldChar w:fldCharType="end"/>
          </w:r>
          <w:r>
            <w:fldChar w:fldCharType="end"/>
          </w:r>
        </w:p>
        <w:p>
          <w:pPr>
            <w:pStyle w:val="21"/>
            <w:tabs>
              <w:tab w:val="right" w:leader="dot" w:pos="8296"/>
            </w:tabs>
            <w:rPr>
              <w:rFonts w:asciiTheme="minorHAnsi" w:hAnsiTheme="minorHAnsi" w:eastAsiaTheme="minorEastAsia" w:cstheme="minorBidi"/>
              <w:kern w:val="2"/>
              <w:sz w:val="21"/>
            </w:rPr>
          </w:pPr>
          <w:r>
            <w:fldChar w:fldCharType="begin"/>
          </w:r>
          <w:r>
            <w:instrText xml:space="preserve"> HYPERLINK \l "_Toc37843239" </w:instrText>
          </w:r>
          <w:r>
            <w:fldChar w:fldCharType="separate"/>
          </w:r>
          <w:r>
            <w:rPr>
              <w:rStyle w:val="25"/>
              <w:rFonts w:asciiTheme="majorBidi" w:hAnsiTheme="majorBidi"/>
            </w:rPr>
            <w:t xml:space="preserve">3.5  </w:t>
          </w:r>
          <w:r>
            <w:rPr>
              <w:rStyle w:val="25"/>
              <w:rFonts w:hint="eastAsia" w:asciiTheme="majorBidi" w:hAnsiTheme="majorBidi"/>
            </w:rPr>
            <w:t>点位布设技术路线</w:t>
          </w:r>
          <w:r>
            <w:tab/>
          </w:r>
          <w:r>
            <w:fldChar w:fldCharType="begin"/>
          </w:r>
          <w:r>
            <w:instrText xml:space="preserve"> PAGEREF _Toc37843239 \h </w:instrText>
          </w:r>
          <w:r>
            <w:fldChar w:fldCharType="separate"/>
          </w:r>
          <w:r>
            <w:t>5</w:t>
          </w:r>
          <w:r>
            <w:fldChar w:fldCharType="end"/>
          </w:r>
          <w:r>
            <w:fldChar w:fldCharType="end"/>
          </w:r>
        </w:p>
        <w:p>
          <w:pPr>
            <w:pStyle w:val="21"/>
            <w:tabs>
              <w:tab w:val="right" w:leader="dot" w:pos="8296"/>
            </w:tabs>
            <w:rPr>
              <w:rFonts w:asciiTheme="minorHAnsi" w:hAnsiTheme="minorHAnsi" w:eastAsiaTheme="minorEastAsia" w:cstheme="minorBidi"/>
              <w:kern w:val="2"/>
              <w:sz w:val="21"/>
            </w:rPr>
          </w:pPr>
          <w:r>
            <w:fldChar w:fldCharType="begin"/>
          </w:r>
          <w:r>
            <w:instrText xml:space="preserve"> HYPERLINK \l "_Toc37843240" </w:instrText>
          </w:r>
          <w:r>
            <w:fldChar w:fldCharType="separate"/>
          </w:r>
          <w:r>
            <w:rPr>
              <w:rStyle w:val="25"/>
              <w:rFonts w:asciiTheme="majorBidi" w:hAnsiTheme="majorBidi"/>
            </w:rPr>
            <w:t xml:space="preserve">3.6  </w:t>
          </w:r>
          <w:r>
            <w:rPr>
              <w:rStyle w:val="25"/>
              <w:rFonts w:hint="eastAsia" w:asciiTheme="majorBidi" w:hAnsiTheme="majorBidi"/>
            </w:rPr>
            <w:t>一般采样点布设</w:t>
          </w:r>
          <w:r>
            <w:tab/>
          </w:r>
          <w:r>
            <w:fldChar w:fldCharType="begin"/>
          </w:r>
          <w:r>
            <w:instrText xml:space="preserve"> PAGEREF _Toc37843240 \h </w:instrText>
          </w:r>
          <w:r>
            <w:fldChar w:fldCharType="separate"/>
          </w:r>
          <w:r>
            <w:t>6</w:t>
          </w:r>
          <w:r>
            <w:fldChar w:fldCharType="end"/>
          </w:r>
          <w:r>
            <w:fldChar w:fldCharType="end"/>
          </w:r>
        </w:p>
        <w:p>
          <w:pPr>
            <w:pStyle w:val="21"/>
            <w:tabs>
              <w:tab w:val="right" w:leader="dot" w:pos="8296"/>
            </w:tabs>
            <w:rPr>
              <w:rFonts w:asciiTheme="minorHAnsi" w:hAnsiTheme="minorHAnsi" w:eastAsiaTheme="minorEastAsia" w:cstheme="minorBidi"/>
              <w:kern w:val="2"/>
              <w:sz w:val="21"/>
            </w:rPr>
          </w:pPr>
          <w:r>
            <w:fldChar w:fldCharType="begin"/>
          </w:r>
          <w:r>
            <w:instrText xml:space="preserve"> HYPERLINK \l "_Toc37843241" </w:instrText>
          </w:r>
          <w:r>
            <w:fldChar w:fldCharType="separate"/>
          </w:r>
          <w:r>
            <w:rPr>
              <w:rStyle w:val="25"/>
              <w:rFonts w:asciiTheme="majorBidi" w:hAnsiTheme="majorBidi"/>
            </w:rPr>
            <w:t xml:space="preserve">3.7  </w:t>
          </w:r>
          <w:r>
            <w:rPr>
              <w:rStyle w:val="25"/>
              <w:rFonts w:hint="eastAsia" w:asciiTheme="majorBidi" w:hAnsiTheme="majorBidi"/>
            </w:rPr>
            <w:t>加密采样点布设</w:t>
          </w:r>
          <w:r>
            <w:tab/>
          </w:r>
          <w:r>
            <w:fldChar w:fldCharType="begin"/>
          </w:r>
          <w:r>
            <w:instrText xml:space="preserve"> PAGEREF _Toc37843241 \h </w:instrText>
          </w:r>
          <w:r>
            <w:fldChar w:fldCharType="separate"/>
          </w:r>
          <w:r>
            <w:t>7</w:t>
          </w:r>
          <w:r>
            <w:fldChar w:fldCharType="end"/>
          </w:r>
          <w:r>
            <w:fldChar w:fldCharType="end"/>
          </w:r>
        </w:p>
        <w:p>
          <w:pPr>
            <w:pStyle w:val="21"/>
            <w:tabs>
              <w:tab w:val="right" w:leader="dot" w:pos="8296"/>
            </w:tabs>
            <w:rPr>
              <w:rFonts w:asciiTheme="minorHAnsi" w:hAnsiTheme="minorHAnsi" w:eastAsiaTheme="minorEastAsia" w:cstheme="minorBidi"/>
              <w:kern w:val="2"/>
              <w:sz w:val="21"/>
            </w:rPr>
          </w:pPr>
          <w:r>
            <w:fldChar w:fldCharType="begin"/>
          </w:r>
          <w:r>
            <w:instrText xml:space="preserve"> HYPERLINK \l "_Toc37843242" </w:instrText>
          </w:r>
          <w:r>
            <w:fldChar w:fldCharType="separate"/>
          </w:r>
          <w:r>
            <w:rPr>
              <w:rStyle w:val="25"/>
              <w:rFonts w:asciiTheme="majorBidi" w:hAnsiTheme="majorBidi"/>
            </w:rPr>
            <w:t xml:space="preserve">3.8  </w:t>
          </w:r>
          <w:r>
            <w:rPr>
              <w:rStyle w:val="25"/>
              <w:rFonts w:hint="eastAsia" w:asciiTheme="majorBidi" w:hAnsiTheme="majorBidi"/>
            </w:rPr>
            <w:t>采样样品要求</w:t>
          </w:r>
          <w:r>
            <w:tab/>
          </w:r>
          <w:r>
            <w:fldChar w:fldCharType="begin"/>
          </w:r>
          <w:r>
            <w:instrText xml:space="preserve"> PAGEREF _Toc37843242 \h </w:instrText>
          </w:r>
          <w:r>
            <w:fldChar w:fldCharType="separate"/>
          </w:r>
          <w:r>
            <w:t>8</w:t>
          </w:r>
          <w:r>
            <w:fldChar w:fldCharType="end"/>
          </w:r>
          <w:r>
            <w:fldChar w:fldCharType="end"/>
          </w:r>
        </w:p>
        <w:p>
          <w:pPr>
            <w:pStyle w:val="21"/>
            <w:tabs>
              <w:tab w:val="right" w:leader="dot" w:pos="8296"/>
            </w:tabs>
            <w:rPr>
              <w:rFonts w:asciiTheme="minorHAnsi" w:hAnsiTheme="minorHAnsi" w:eastAsiaTheme="minorEastAsia" w:cstheme="minorBidi"/>
              <w:kern w:val="2"/>
              <w:sz w:val="21"/>
            </w:rPr>
          </w:pPr>
          <w:r>
            <w:fldChar w:fldCharType="begin"/>
          </w:r>
          <w:r>
            <w:instrText xml:space="preserve"> HYPERLINK \l "_Toc37843243" </w:instrText>
          </w:r>
          <w:r>
            <w:fldChar w:fldCharType="separate"/>
          </w:r>
          <w:r>
            <w:rPr>
              <w:rStyle w:val="25"/>
              <w:rFonts w:asciiTheme="majorBidi" w:hAnsiTheme="majorBidi"/>
            </w:rPr>
            <w:t xml:space="preserve">3.9  </w:t>
          </w:r>
          <w:r>
            <w:rPr>
              <w:rStyle w:val="25"/>
              <w:rFonts w:hint="eastAsia" w:asciiTheme="majorBidi" w:hAnsiTheme="majorBidi"/>
            </w:rPr>
            <w:t>分析测试项目</w:t>
          </w:r>
          <w:r>
            <w:tab/>
          </w:r>
          <w:r>
            <w:fldChar w:fldCharType="begin"/>
          </w:r>
          <w:r>
            <w:instrText xml:space="preserve"> PAGEREF _Toc37843243 \h </w:instrText>
          </w:r>
          <w:r>
            <w:fldChar w:fldCharType="separate"/>
          </w:r>
          <w:r>
            <w:t>8</w:t>
          </w:r>
          <w:r>
            <w:fldChar w:fldCharType="end"/>
          </w:r>
          <w:r>
            <w:fldChar w:fldCharType="end"/>
          </w:r>
        </w:p>
        <w:p>
          <w:pPr>
            <w:pStyle w:val="21"/>
            <w:tabs>
              <w:tab w:val="right" w:leader="dot" w:pos="8296"/>
            </w:tabs>
            <w:rPr>
              <w:rFonts w:asciiTheme="minorHAnsi" w:hAnsiTheme="minorHAnsi" w:eastAsiaTheme="minorEastAsia" w:cstheme="minorBidi"/>
              <w:kern w:val="2"/>
              <w:sz w:val="21"/>
            </w:rPr>
          </w:pPr>
          <w:r>
            <w:fldChar w:fldCharType="begin"/>
          </w:r>
          <w:r>
            <w:instrText xml:space="preserve"> HYPERLINK \l "_Toc37843244" </w:instrText>
          </w:r>
          <w:r>
            <w:fldChar w:fldCharType="separate"/>
          </w:r>
          <w:r>
            <w:rPr>
              <w:rStyle w:val="25"/>
              <w:rFonts w:asciiTheme="majorBidi" w:hAnsiTheme="majorBidi"/>
            </w:rPr>
            <w:t xml:space="preserve">3.10  </w:t>
          </w:r>
          <w:r>
            <w:rPr>
              <w:rStyle w:val="25"/>
              <w:rFonts w:hint="eastAsia" w:asciiTheme="majorBidi" w:hAnsiTheme="majorBidi"/>
            </w:rPr>
            <w:t>污染评价方法及标准</w:t>
          </w:r>
          <w:r>
            <w:tab/>
          </w:r>
          <w:r>
            <w:fldChar w:fldCharType="begin"/>
          </w:r>
          <w:r>
            <w:instrText xml:space="preserve"> PAGEREF _Toc37843244 \h </w:instrText>
          </w:r>
          <w:r>
            <w:fldChar w:fldCharType="separate"/>
          </w:r>
          <w:r>
            <w:t>8</w:t>
          </w:r>
          <w:r>
            <w:fldChar w:fldCharType="end"/>
          </w:r>
          <w:r>
            <w:fldChar w:fldCharType="end"/>
          </w:r>
        </w:p>
        <w:p>
          <w:pPr>
            <w:pStyle w:val="18"/>
            <w:tabs>
              <w:tab w:val="right" w:leader="dot" w:pos="8296"/>
            </w:tabs>
            <w:rPr>
              <w:rFonts w:asciiTheme="minorHAnsi" w:hAnsiTheme="minorHAnsi" w:eastAsiaTheme="minorEastAsia" w:cstheme="minorBidi"/>
              <w:kern w:val="2"/>
              <w:sz w:val="21"/>
            </w:rPr>
          </w:pPr>
          <w:r>
            <w:fldChar w:fldCharType="begin"/>
          </w:r>
          <w:r>
            <w:instrText xml:space="preserve"> HYPERLINK \l "_Toc37843245" </w:instrText>
          </w:r>
          <w:r>
            <w:fldChar w:fldCharType="separate"/>
          </w:r>
          <w:r>
            <w:rPr>
              <w:rStyle w:val="25"/>
            </w:rPr>
            <w:t xml:space="preserve">4  </w:t>
          </w:r>
          <w:r>
            <w:rPr>
              <w:rStyle w:val="25"/>
              <w:rFonts w:hint="eastAsia"/>
            </w:rPr>
            <w:t>环保清淤规模</w:t>
          </w:r>
          <w:r>
            <w:tab/>
          </w:r>
          <w:r>
            <w:fldChar w:fldCharType="begin"/>
          </w:r>
          <w:r>
            <w:instrText xml:space="preserve"> PAGEREF _Toc37843245 \h </w:instrText>
          </w:r>
          <w:r>
            <w:fldChar w:fldCharType="separate"/>
          </w:r>
          <w:r>
            <w:t>11</w:t>
          </w:r>
          <w:r>
            <w:fldChar w:fldCharType="end"/>
          </w:r>
          <w:r>
            <w:fldChar w:fldCharType="end"/>
          </w:r>
        </w:p>
        <w:p>
          <w:pPr>
            <w:pStyle w:val="21"/>
            <w:tabs>
              <w:tab w:val="right" w:leader="dot" w:pos="8296"/>
            </w:tabs>
            <w:rPr>
              <w:rFonts w:asciiTheme="minorHAnsi" w:hAnsiTheme="minorHAnsi" w:eastAsiaTheme="minorEastAsia" w:cstheme="minorBidi"/>
              <w:kern w:val="2"/>
              <w:sz w:val="21"/>
            </w:rPr>
          </w:pPr>
          <w:r>
            <w:fldChar w:fldCharType="begin"/>
          </w:r>
          <w:r>
            <w:instrText xml:space="preserve"> HYPERLINK \l "_Toc37843246" </w:instrText>
          </w:r>
          <w:r>
            <w:fldChar w:fldCharType="separate"/>
          </w:r>
          <w:r>
            <w:rPr>
              <w:rStyle w:val="25"/>
            </w:rPr>
            <w:t xml:space="preserve">4.1  </w:t>
          </w:r>
          <w:r>
            <w:rPr>
              <w:rStyle w:val="25"/>
              <w:rFonts w:hint="eastAsia"/>
            </w:rPr>
            <w:t>一般规定</w:t>
          </w:r>
          <w:r>
            <w:tab/>
          </w:r>
          <w:r>
            <w:fldChar w:fldCharType="begin"/>
          </w:r>
          <w:r>
            <w:instrText xml:space="preserve"> PAGEREF _Toc37843246 \h </w:instrText>
          </w:r>
          <w:r>
            <w:fldChar w:fldCharType="separate"/>
          </w:r>
          <w:r>
            <w:t>11</w:t>
          </w:r>
          <w:r>
            <w:fldChar w:fldCharType="end"/>
          </w:r>
          <w:r>
            <w:fldChar w:fldCharType="end"/>
          </w:r>
        </w:p>
        <w:p>
          <w:pPr>
            <w:pStyle w:val="21"/>
            <w:tabs>
              <w:tab w:val="right" w:leader="dot" w:pos="8296"/>
            </w:tabs>
            <w:rPr>
              <w:rFonts w:asciiTheme="minorHAnsi" w:hAnsiTheme="minorHAnsi" w:eastAsiaTheme="minorEastAsia" w:cstheme="minorBidi"/>
              <w:kern w:val="2"/>
              <w:sz w:val="21"/>
            </w:rPr>
          </w:pPr>
          <w:r>
            <w:fldChar w:fldCharType="begin"/>
          </w:r>
          <w:r>
            <w:instrText xml:space="preserve"> HYPERLINK \l "_Toc37843247" </w:instrText>
          </w:r>
          <w:r>
            <w:fldChar w:fldCharType="separate"/>
          </w:r>
          <w:r>
            <w:rPr>
              <w:rStyle w:val="25"/>
              <w:rFonts w:asciiTheme="majorBidi" w:hAnsiTheme="majorBidi"/>
            </w:rPr>
            <w:t xml:space="preserve">4.2  </w:t>
          </w:r>
          <w:r>
            <w:rPr>
              <w:rStyle w:val="25"/>
              <w:rFonts w:hint="eastAsia" w:asciiTheme="majorBidi" w:hAnsiTheme="majorBidi"/>
            </w:rPr>
            <w:t>环保清淤控制指标</w:t>
          </w:r>
          <w:r>
            <w:tab/>
          </w:r>
          <w:r>
            <w:fldChar w:fldCharType="begin"/>
          </w:r>
          <w:r>
            <w:instrText xml:space="preserve"> PAGEREF _Toc37843247 \h </w:instrText>
          </w:r>
          <w:r>
            <w:fldChar w:fldCharType="separate"/>
          </w:r>
          <w:r>
            <w:t>11</w:t>
          </w:r>
          <w:r>
            <w:fldChar w:fldCharType="end"/>
          </w:r>
          <w:r>
            <w:fldChar w:fldCharType="end"/>
          </w:r>
        </w:p>
        <w:p>
          <w:pPr>
            <w:pStyle w:val="21"/>
            <w:tabs>
              <w:tab w:val="right" w:leader="dot" w:pos="8296"/>
            </w:tabs>
            <w:rPr>
              <w:rFonts w:asciiTheme="minorHAnsi" w:hAnsiTheme="minorHAnsi" w:eastAsiaTheme="minorEastAsia" w:cstheme="minorBidi"/>
              <w:kern w:val="2"/>
              <w:sz w:val="21"/>
            </w:rPr>
          </w:pPr>
          <w:r>
            <w:fldChar w:fldCharType="begin"/>
          </w:r>
          <w:r>
            <w:instrText xml:space="preserve"> HYPERLINK \l "_Toc37843248" </w:instrText>
          </w:r>
          <w:r>
            <w:fldChar w:fldCharType="separate"/>
          </w:r>
          <w:r>
            <w:rPr>
              <w:rStyle w:val="25"/>
            </w:rPr>
            <w:t xml:space="preserve">4.3  </w:t>
          </w:r>
          <w:r>
            <w:rPr>
              <w:rStyle w:val="25"/>
              <w:rFonts w:hint="eastAsia"/>
            </w:rPr>
            <w:t>环保清淤范围确定</w:t>
          </w:r>
          <w:r>
            <w:tab/>
          </w:r>
          <w:r>
            <w:fldChar w:fldCharType="begin"/>
          </w:r>
          <w:r>
            <w:instrText xml:space="preserve"> PAGEREF _Toc37843248 \h </w:instrText>
          </w:r>
          <w:r>
            <w:fldChar w:fldCharType="separate"/>
          </w:r>
          <w:r>
            <w:t>11</w:t>
          </w:r>
          <w:r>
            <w:fldChar w:fldCharType="end"/>
          </w:r>
          <w:r>
            <w:fldChar w:fldCharType="end"/>
          </w:r>
        </w:p>
        <w:p>
          <w:pPr>
            <w:pStyle w:val="21"/>
            <w:tabs>
              <w:tab w:val="right" w:leader="dot" w:pos="8296"/>
            </w:tabs>
            <w:rPr>
              <w:rFonts w:asciiTheme="minorHAnsi" w:hAnsiTheme="minorHAnsi" w:eastAsiaTheme="minorEastAsia" w:cstheme="minorBidi"/>
              <w:kern w:val="2"/>
              <w:sz w:val="21"/>
            </w:rPr>
          </w:pPr>
          <w:r>
            <w:fldChar w:fldCharType="begin"/>
          </w:r>
          <w:r>
            <w:instrText xml:space="preserve"> HYPERLINK \l "_Toc37843249" </w:instrText>
          </w:r>
          <w:r>
            <w:fldChar w:fldCharType="separate"/>
          </w:r>
          <w:r>
            <w:rPr>
              <w:rStyle w:val="25"/>
            </w:rPr>
            <w:t xml:space="preserve">4.4  </w:t>
          </w:r>
          <w:r>
            <w:rPr>
              <w:rStyle w:val="25"/>
              <w:rFonts w:hint="eastAsia"/>
            </w:rPr>
            <w:t>环保清淤深度确定</w:t>
          </w:r>
          <w:r>
            <w:tab/>
          </w:r>
          <w:r>
            <w:fldChar w:fldCharType="begin"/>
          </w:r>
          <w:r>
            <w:instrText xml:space="preserve"> PAGEREF _Toc37843249 \h </w:instrText>
          </w:r>
          <w:r>
            <w:fldChar w:fldCharType="separate"/>
          </w:r>
          <w:r>
            <w:t>11</w:t>
          </w:r>
          <w:r>
            <w:fldChar w:fldCharType="end"/>
          </w:r>
          <w:r>
            <w:fldChar w:fldCharType="end"/>
          </w:r>
        </w:p>
        <w:p>
          <w:pPr>
            <w:pStyle w:val="21"/>
            <w:tabs>
              <w:tab w:val="right" w:leader="dot" w:pos="8296"/>
            </w:tabs>
            <w:rPr>
              <w:rFonts w:asciiTheme="minorHAnsi" w:hAnsiTheme="minorHAnsi" w:eastAsiaTheme="minorEastAsia" w:cstheme="minorBidi"/>
              <w:kern w:val="2"/>
              <w:sz w:val="21"/>
            </w:rPr>
          </w:pPr>
          <w:r>
            <w:fldChar w:fldCharType="begin"/>
          </w:r>
          <w:r>
            <w:instrText xml:space="preserve"> HYPERLINK \l "_Toc37843250" </w:instrText>
          </w:r>
          <w:r>
            <w:fldChar w:fldCharType="separate"/>
          </w:r>
          <w:r>
            <w:rPr>
              <w:rStyle w:val="25"/>
            </w:rPr>
            <w:t xml:space="preserve">4.5  </w:t>
          </w:r>
          <w:r>
            <w:rPr>
              <w:rStyle w:val="25"/>
              <w:rFonts w:hint="eastAsia"/>
            </w:rPr>
            <w:t>清淤工程量计算</w:t>
          </w:r>
          <w:r>
            <w:tab/>
          </w:r>
          <w:r>
            <w:fldChar w:fldCharType="begin"/>
          </w:r>
          <w:r>
            <w:instrText xml:space="preserve"> PAGEREF _Toc37843250 \h </w:instrText>
          </w:r>
          <w:r>
            <w:fldChar w:fldCharType="separate"/>
          </w:r>
          <w:r>
            <w:t>12</w:t>
          </w:r>
          <w:r>
            <w:fldChar w:fldCharType="end"/>
          </w:r>
          <w:r>
            <w:fldChar w:fldCharType="end"/>
          </w:r>
        </w:p>
        <w:p>
          <w:pPr>
            <w:pStyle w:val="18"/>
            <w:tabs>
              <w:tab w:val="right" w:leader="dot" w:pos="8296"/>
            </w:tabs>
            <w:rPr>
              <w:rFonts w:asciiTheme="minorHAnsi" w:hAnsiTheme="minorHAnsi" w:eastAsiaTheme="minorEastAsia" w:cstheme="minorBidi"/>
              <w:kern w:val="2"/>
              <w:sz w:val="21"/>
            </w:rPr>
          </w:pPr>
          <w:r>
            <w:fldChar w:fldCharType="begin"/>
          </w:r>
          <w:r>
            <w:instrText xml:space="preserve"> HYPERLINK \l "_Toc37843251" </w:instrText>
          </w:r>
          <w:r>
            <w:fldChar w:fldCharType="separate"/>
          </w:r>
          <w:r>
            <w:rPr>
              <w:rStyle w:val="25"/>
            </w:rPr>
            <w:t xml:space="preserve">5  </w:t>
          </w:r>
          <w:r>
            <w:rPr>
              <w:rStyle w:val="25"/>
              <w:rFonts w:hint="eastAsia"/>
            </w:rPr>
            <w:t>环保清淤施工</w:t>
          </w:r>
          <w:r>
            <w:tab/>
          </w:r>
          <w:r>
            <w:fldChar w:fldCharType="begin"/>
          </w:r>
          <w:r>
            <w:instrText xml:space="preserve"> PAGEREF _Toc37843251 \h </w:instrText>
          </w:r>
          <w:r>
            <w:fldChar w:fldCharType="separate"/>
          </w:r>
          <w:r>
            <w:t>16</w:t>
          </w:r>
          <w:r>
            <w:fldChar w:fldCharType="end"/>
          </w:r>
          <w:r>
            <w:fldChar w:fldCharType="end"/>
          </w:r>
        </w:p>
        <w:p>
          <w:pPr>
            <w:pStyle w:val="21"/>
            <w:tabs>
              <w:tab w:val="right" w:leader="dot" w:pos="8296"/>
            </w:tabs>
            <w:rPr>
              <w:rFonts w:asciiTheme="minorHAnsi" w:hAnsiTheme="minorHAnsi" w:eastAsiaTheme="minorEastAsia" w:cstheme="minorBidi"/>
              <w:kern w:val="2"/>
              <w:sz w:val="21"/>
            </w:rPr>
          </w:pPr>
          <w:r>
            <w:fldChar w:fldCharType="begin"/>
          </w:r>
          <w:r>
            <w:instrText xml:space="preserve"> HYPERLINK \l "_Toc37843252" </w:instrText>
          </w:r>
          <w:r>
            <w:fldChar w:fldCharType="separate"/>
          </w:r>
          <w:r>
            <w:rPr>
              <w:rStyle w:val="25"/>
            </w:rPr>
            <w:t xml:space="preserve">5.1  </w:t>
          </w:r>
          <w:r>
            <w:rPr>
              <w:rStyle w:val="25"/>
              <w:rFonts w:hint="eastAsia"/>
            </w:rPr>
            <w:t>一般规定</w:t>
          </w:r>
          <w:r>
            <w:tab/>
          </w:r>
          <w:r>
            <w:fldChar w:fldCharType="begin"/>
          </w:r>
          <w:r>
            <w:instrText xml:space="preserve"> PAGEREF _Toc37843252 \h </w:instrText>
          </w:r>
          <w:r>
            <w:fldChar w:fldCharType="separate"/>
          </w:r>
          <w:r>
            <w:t>16</w:t>
          </w:r>
          <w:r>
            <w:fldChar w:fldCharType="end"/>
          </w:r>
          <w:r>
            <w:fldChar w:fldCharType="end"/>
          </w:r>
        </w:p>
        <w:p>
          <w:pPr>
            <w:pStyle w:val="21"/>
            <w:tabs>
              <w:tab w:val="right" w:leader="dot" w:pos="8296"/>
            </w:tabs>
            <w:rPr>
              <w:rFonts w:asciiTheme="minorHAnsi" w:hAnsiTheme="minorHAnsi" w:eastAsiaTheme="minorEastAsia" w:cstheme="minorBidi"/>
              <w:kern w:val="2"/>
              <w:sz w:val="21"/>
            </w:rPr>
          </w:pPr>
          <w:r>
            <w:fldChar w:fldCharType="begin"/>
          </w:r>
          <w:r>
            <w:instrText xml:space="preserve"> HYPERLINK \l "_Toc37843253" </w:instrText>
          </w:r>
          <w:r>
            <w:fldChar w:fldCharType="separate"/>
          </w:r>
          <w:r>
            <w:rPr>
              <w:rStyle w:val="25"/>
            </w:rPr>
            <w:t xml:space="preserve">5.2  </w:t>
          </w:r>
          <w:r>
            <w:rPr>
              <w:rStyle w:val="25"/>
              <w:rFonts w:hint="eastAsia"/>
            </w:rPr>
            <w:t>环保清淤施工区划分</w:t>
          </w:r>
          <w:r>
            <w:tab/>
          </w:r>
          <w:r>
            <w:fldChar w:fldCharType="begin"/>
          </w:r>
          <w:r>
            <w:instrText xml:space="preserve"> PAGEREF _Toc37843253 \h </w:instrText>
          </w:r>
          <w:r>
            <w:fldChar w:fldCharType="separate"/>
          </w:r>
          <w:r>
            <w:t>16</w:t>
          </w:r>
          <w:r>
            <w:fldChar w:fldCharType="end"/>
          </w:r>
          <w:r>
            <w:fldChar w:fldCharType="end"/>
          </w:r>
        </w:p>
        <w:p>
          <w:pPr>
            <w:pStyle w:val="21"/>
            <w:tabs>
              <w:tab w:val="right" w:leader="dot" w:pos="8296"/>
            </w:tabs>
            <w:rPr>
              <w:rFonts w:asciiTheme="minorHAnsi" w:hAnsiTheme="minorHAnsi" w:eastAsiaTheme="minorEastAsia" w:cstheme="minorBidi"/>
              <w:kern w:val="2"/>
              <w:sz w:val="21"/>
            </w:rPr>
          </w:pPr>
          <w:r>
            <w:fldChar w:fldCharType="begin"/>
          </w:r>
          <w:r>
            <w:instrText xml:space="preserve"> HYPERLINK \l "_Toc37843254" </w:instrText>
          </w:r>
          <w:r>
            <w:fldChar w:fldCharType="separate"/>
          </w:r>
          <w:r>
            <w:rPr>
              <w:rStyle w:val="25"/>
            </w:rPr>
            <w:t xml:space="preserve">5.3  </w:t>
          </w:r>
          <w:r>
            <w:rPr>
              <w:rStyle w:val="25"/>
              <w:rFonts w:hint="eastAsia"/>
            </w:rPr>
            <w:t>清淤施工方式</w:t>
          </w:r>
          <w:r>
            <w:tab/>
          </w:r>
          <w:r>
            <w:fldChar w:fldCharType="begin"/>
          </w:r>
          <w:r>
            <w:instrText xml:space="preserve"> PAGEREF _Toc37843254 \h </w:instrText>
          </w:r>
          <w:r>
            <w:fldChar w:fldCharType="separate"/>
          </w:r>
          <w:r>
            <w:t>16</w:t>
          </w:r>
          <w:r>
            <w:fldChar w:fldCharType="end"/>
          </w:r>
          <w:r>
            <w:fldChar w:fldCharType="end"/>
          </w:r>
        </w:p>
        <w:p>
          <w:pPr>
            <w:pStyle w:val="21"/>
            <w:tabs>
              <w:tab w:val="right" w:leader="dot" w:pos="8296"/>
            </w:tabs>
            <w:rPr>
              <w:rFonts w:asciiTheme="minorHAnsi" w:hAnsiTheme="minorHAnsi" w:eastAsiaTheme="minorEastAsia" w:cstheme="minorBidi"/>
              <w:kern w:val="2"/>
              <w:sz w:val="21"/>
            </w:rPr>
          </w:pPr>
          <w:r>
            <w:fldChar w:fldCharType="begin"/>
          </w:r>
          <w:r>
            <w:instrText xml:space="preserve"> HYPERLINK \l "_Toc37843255" </w:instrText>
          </w:r>
          <w:r>
            <w:fldChar w:fldCharType="separate"/>
          </w:r>
          <w:r>
            <w:rPr>
              <w:rStyle w:val="25"/>
            </w:rPr>
            <w:t xml:space="preserve">5.4  </w:t>
          </w:r>
          <w:r>
            <w:rPr>
              <w:rStyle w:val="25"/>
              <w:rFonts w:hint="eastAsia"/>
            </w:rPr>
            <w:t>环保清淤设备</w:t>
          </w:r>
          <w:r>
            <w:tab/>
          </w:r>
          <w:r>
            <w:fldChar w:fldCharType="begin"/>
          </w:r>
          <w:r>
            <w:instrText xml:space="preserve"> PAGEREF _Toc37843255 \h </w:instrText>
          </w:r>
          <w:r>
            <w:fldChar w:fldCharType="separate"/>
          </w:r>
          <w:r>
            <w:t>17</w:t>
          </w:r>
          <w:r>
            <w:fldChar w:fldCharType="end"/>
          </w:r>
          <w:r>
            <w:fldChar w:fldCharType="end"/>
          </w:r>
        </w:p>
        <w:p>
          <w:pPr>
            <w:pStyle w:val="21"/>
            <w:tabs>
              <w:tab w:val="right" w:leader="dot" w:pos="8296"/>
            </w:tabs>
            <w:rPr>
              <w:rFonts w:asciiTheme="minorHAnsi" w:hAnsiTheme="minorHAnsi" w:eastAsiaTheme="minorEastAsia" w:cstheme="minorBidi"/>
              <w:kern w:val="2"/>
              <w:sz w:val="21"/>
            </w:rPr>
          </w:pPr>
          <w:r>
            <w:fldChar w:fldCharType="begin"/>
          </w:r>
          <w:r>
            <w:instrText xml:space="preserve"> HYPERLINK \l "_Toc37843256" </w:instrText>
          </w:r>
          <w:r>
            <w:fldChar w:fldCharType="separate"/>
          </w:r>
          <w:r>
            <w:rPr>
              <w:rStyle w:val="25"/>
            </w:rPr>
            <w:t xml:space="preserve">5.5  </w:t>
          </w:r>
          <w:r>
            <w:rPr>
              <w:rStyle w:val="25"/>
              <w:rFonts w:hint="eastAsia"/>
            </w:rPr>
            <w:t>底泥运输方式</w:t>
          </w:r>
          <w:r>
            <w:tab/>
          </w:r>
          <w:r>
            <w:fldChar w:fldCharType="begin"/>
          </w:r>
          <w:r>
            <w:instrText xml:space="preserve"> PAGEREF _Toc37843256 \h </w:instrText>
          </w:r>
          <w:r>
            <w:fldChar w:fldCharType="separate"/>
          </w:r>
          <w:r>
            <w:t>17</w:t>
          </w:r>
          <w:r>
            <w:fldChar w:fldCharType="end"/>
          </w:r>
          <w:r>
            <w:fldChar w:fldCharType="end"/>
          </w:r>
        </w:p>
        <w:p>
          <w:pPr>
            <w:pStyle w:val="21"/>
            <w:tabs>
              <w:tab w:val="right" w:leader="dot" w:pos="8296"/>
            </w:tabs>
            <w:rPr>
              <w:rFonts w:asciiTheme="minorHAnsi" w:hAnsiTheme="minorHAnsi" w:eastAsiaTheme="minorEastAsia" w:cstheme="minorBidi"/>
              <w:kern w:val="2"/>
              <w:sz w:val="21"/>
            </w:rPr>
          </w:pPr>
          <w:r>
            <w:fldChar w:fldCharType="begin"/>
          </w:r>
          <w:r>
            <w:instrText xml:space="preserve"> HYPERLINK \l "_Toc37843257" </w:instrText>
          </w:r>
          <w:r>
            <w:fldChar w:fldCharType="separate"/>
          </w:r>
          <w:r>
            <w:rPr>
              <w:rStyle w:val="25"/>
            </w:rPr>
            <w:t xml:space="preserve">5.6  </w:t>
          </w:r>
          <w:r>
            <w:rPr>
              <w:rStyle w:val="25"/>
              <w:rFonts w:hint="eastAsia"/>
            </w:rPr>
            <w:t>清淤施工指标</w:t>
          </w:r>
          <w:r>
            <w:tab/>
          </w:r>
          <w:r>
            <w:fldChar w:fldCharType="begin"/>
          </w:r>
          <w:r>
            <w:instrText xml:space="preserve"> PAGEREF _Toc37843257 \h </w:instrText>
          </w:r>
          <w:r>
            <w:fldChar w:fldCharType="separate"/>
          </w:r>
          <w:r>
            <w:t>17</w:t>
          </w:r>
          <w:r>
            <w:fldChar w:fldCharType="end"/>
          </w:r>
          <w:r>
            <w:fldChar w:fldCharType="end"/>
          </w:r>
        </w:p>
        <w:p>
          <w:pPr>
            <w:pStyle w:val="18"/>
            <w:tabs>
              <w:tab w:val="right" w:leader="dot" w:pos="8296"/>
            </w:tabs>
            <w:rPr>
              <w:rFonts w:asciiTheme="minorHAnsi" w:hAnsiTheme="minorHAnsi" w:eastAsiaTheme="minorEastAsia" w:cstheme="minorBidi"/>
              <w:kern w:val="2"/>
              <w:sz w:val="21"/>
            </w:rPr>
          </w:pPr>
          <w:r>
            <w:fldChar w:fldCharType="begin"/>
          </w:r>
          <w:r>
            <w:instrText xml:space="preserve"> HYPERLINK \l "_Toc37843258" </w:instrText>
          </w:r>
          <w:r>
            <w:fldChar w:fldCharType="separate"/>
          </w:r>
          <w:r>
            <w:rPr>
              <w:rStyle w:val="25"/>
            </w:rPr>
            <w:t xml:space="preserve">6  </w:t>
          </w:r>
          <w:r>
            <w:rPr>
              <w:rStyle w:val="25"/>
              <w:rFonts w:hint="eastAsia"/>
            </w:rPr>
            <w:t>底泥处理与处置工程</w:t>
          </w:r>
          <w:r>
            <w:tab/>
          </w:r>
          <w:r>
            <w:fldChar w:fldCharType="begin"/>
          </w:r>
          <w:r>
            <w:instrText xml:space="preserve"> PAGEREF _Toc37843258 \h </w:instrText>
          </w:r>
          <w:r>
            <w:fldChar w:fldCharType="separate"/>
          </w:r>
          <w:r>
            <w:t>19</w:t>
          </w:r>
          <w:r>
            <w:fldChar w:fldCharType="end"/>
          </w:r>
          <w:r>
            <w:fldChar w:fldCharType="end"/>
          </w:r>
        </w:p>
        <w:p>
          <w:pPr>
            <w:pStyle w:val="21"/>
            <w:tabs>
              <w:tab w:val="right" w:leader="dot" w:pos="8296"/>
            </w:tabs>
            <w:rPr>
              <w:rFonts w:asciiTheme="minorHAnsi" w:hAnsiTheme="minorHAnsi" w:eastAsiaTheme="minorEastAsia" w:cstheme="minorBidi"/>
              <w:kern w:val="2"/>
              <w:sz w:val="21"/>
            </w:rPr>
          </w:pPr>
          <w:r>
            <w:fldChar w:fldCharType="begin"/>
          </w:r>
          <w:r>
            <w:instrText xml:space="preserve"> HYPERLINK \l "_Toc37843259" </w:instrText>
          </w:r>
          <w:r>
            <w:fldChar w:fldCharType="separate"/>
          </w:r>
          <w:r>
            <w:rPr>
              <w:rStyle w:val="25"/>
            </w:rPr>
            <w:t xml:space="preserve">6.1  </w:t>
          </w:r>
          <w:r>
            <w:rPr>
              <w:rStyle w:val="25"/>
              <w:rFonts w:hint="eastAsia"/>
            </w:rPr>
            <w:t>一般规定</w:t>
          </w:r>
          <w:r>
            <w:tab/>
          </w:r>
          <w:r>
            <w:fldChar w:fldCharType="begin"/>
          </w:r>
          <w:r>
            <w:instrText xml:space="preserve"> PAGEREF _Toc37843259 \h </w:instrText>
          </w:r>
          <w:r>
            <w:fldChar w:fldCharType="separate"/>
          </w:r>
          <w:r>
            <w:t>19</w:t>
          </w:r>
          <w:r>
            <w:fldChar w:fldCharType="end"/>
          </w:r>
          <w:r>
            <w:fldChar w:fldCharType="end"/>
          </w:r>
        </w:p>
        <w:p>
          <w:pPr>
            <w:pStyle w:val="21"/>
            <w:tabs>
              <w:tab w:val="right" w:leader="dot" w:pos="8296"/>
            </w:tabs>
            <w:rPr>
              <w:rFonts w:asciiTheme="minorHAnsi" w:hAnsiTheme="minorHAnsi" w:eastAsiaTheme="minorEastAsia" w:cstheme="minorBidi"/>
              <w:kern w:val="2"/>
              <w:sz w:val="21"/>
            </w:rPr>
          </w:pPr>
          <w:r>
            <w:fldChar w:fldCharType="begin"/>
          </w:r>
          <w:r>
            <w:instrText xml:space="preserve"> HYPERLINK \l "_Toc37843260" </w:instrText>
          </w:r>
          <w:r>
            <w:fldChar w:fldCharType="separate"/>
          </w:r>
          <w:r>
            <w:rPr>
              <w:rStyle w:val="25"/>
            </w:rPr>
            <w:t xml:space="preserve">6.2  </w:t>
          </w:r>
          <w:r>
            <w:rPr>
              <w:rStyle w:val="25"/>
              <w:rFonts w:hint="eastAsia"/>
            </w:rPr>
            <w:t>处理工艺</w:t>
          </w:r>
          <w:r>
            <w:tab/>
          </w:r>
          <w:r>
            <w:fldChar w:fldCharType="begin"/>
          </w:r>
          <w:r>
            <w:instrText xml:space="preserve"> PAGEREF _Toc37843260 \h </w:instrText>
          </w:r>
          <w:r>
            <w:fldChar w:fldCharType="separate"/>
          </w:r>
          <w:r>
            <w:t>19</w:t>
          </w:r>
          <w:r>
            <w:fldChar w:fldCharType="end"/>
          </w:r>
          <w:r>
            <w:fldChar w:fldCharType="end"/>
          </w:r>
        </w:p>
        <w:p>
          <w:pPr>
            <w:pStyle w:val="21"/>
            <w:tabs>
              <w:tab w:val="right" w:leader="dot" w:pos="8296"/>
            </w:tabs>
            <w:rPr>
              <w:rFonts w:asciiTheme="minorHAnsi" w:hAnsiTheme="minorHAnsi" w:eastAsiaTheme="minorEastAsia" w:cstheme="minorBidi"/>
              <w:kern w:val="2"/>
              <w:sz w:val="21"/>
            </w:rPr>
          </w:pPr>
          <w:r>
            <w:fldChar w:fldCharType="begin"/>
          </w:r>
          <w:r>
            <w:instrText xml:space="preserve"> HYPERLINK \l "_Toc37843261" </w:instrText>
          </w:r>
          <w:r>
            <w:fldChar w:fldCharType="separate"/>
          </w:r>
          <w:r>
            <w:rPr>
              <w:rStyle w:val="25"/>
            </w:rPr>
            <w:t xml:space="preserve">6.3  </w:t>
          </w:r>
          <w:r>
            <w:rPr>
              <w:rStyle w:val="25"/>
              <w:rFonts w:hint="eastAsia"/>
            </w:rPr>
            <w:t>处理环节</w:t>
          </w:r>
          <w:r>
            <w:tab/>
          </w:r>
          <w:r>
            <w:fldChar w:fldCharType="begin"/>
          </w:r>
          <w:r>
            <w:instrText xml:space="preserve"> PAGEREF _Toc37843261 \h </w:instrText>
          </w:r>
          <w:r>
            <w:fldChar w:fldCharType="separate"/>
          </w:r>
          <w:r>
            <w:t>20</w:t>
          </w:r>
          <w:r>
            <w:fldChar w:fldCharType="end"/>
          </w:r>
          <w:r>
            <w:fldChar w:fldCharType="end"/>
          </w:r>
        </w:p>
        <w:p>
          <w:pPr>
            <w:pStyle w:val="21"/>
            <w:tabs>
              <w:tab w:val="right" w:leader="dot" w:pos="8296"/>
            </w:tabs>
            <w:rPr>
              <w:rFonts w:asciiTheme="minorHAnsi" w:hAnsiTheme="minorHAnsi" w:eastAsiaTheme="minorEastAsia" w:cstheme="minorBidi"/>
              <w:kern w:val="2"/>
              <w:sz w:val="21"/>
            </w:rPr>
          </w:pPr>
          <w:r>
            <w:fldChar w:fldCharType="begin"/>
          </w:r>
          <w:r>
            <w:instrText xml:space="preserve"> HYPERLINK \l "_Toc37843262" </w:instrText>
          </w:r>
          <w:r>
            <w:fldChar w:fldCharType="separate"/>
          </w:r>
          <w:r>
            <w:rPr>
              <w:rStyle w:val="25"/>
            </w:rPr>
            <w:t xml:space="preserve">6.4  </w:t>
          </w:r>
          <w:r>
            <w:rPr>
              <w:rStyle w:val="25"/>
              <w:rFonts w:hint="eastAsia"/>
            </w:rPr>
            <w:t>垃圾处置</w:t>
          </w:r>
          <w:r>
            <w:tab/>
          </w:r>
          <w:r>
            <w:fldChar w:fldCharType="begin"/>
          </w:r>
          <w:r>
            <w:instrText xml:space="preserve"> PAGEREF _Toc37843262 \h </w:instrText>
          </w:r>
          <w:r>
            <w:fldChar w:fldCharType="separate"/>
          </w:r>
          <w:r>
            <w:t>20</w:t>
          </w:r>
          <w:r>
            <w:fldChar w:fldCharType="end"/>
          </w:r>
          <w:r>
            <w:fldChar w:fldCharType="end"/>
          </w:r>
        </w:p>
        <w:p>
          <w:pPr>
            <w:pStyle w:val="21"/>
            <w:tabs>
              <w:tab w:val="right" w:leader="dot" w:pos="8296"/>
            </w:tabs>
            <w:rPr>
              <w:rFonts w:asciiTheme="minorHAnsi" w:hAnsiTheme="minorHAnsi" w:eastAsiaTheme="minorEastAsia" w:cstheme="minorBidi"/>
              <w:kern w:val="2"/>
              <w:sz w:val="21"/>
            </w:rPr>
          </w:pPr>
          <w:r>
            <w:fldChar w:fldCharType="begin"/>
          </w:r>
          <w:r>
            <w:instrText xml:space="preserve"> HYPERLINK \l "_Toc37843263" </w:instrText>
          </w:r>
          <w:r>
            <w:fldChar w:fldCharType="separate"/>
          </w:r>
          <w:r>
            <w:rPr>
              <w:rStyle w:val="25"/>
            </w:rPr>
            <w:t xml:space="preserve">6.5  </w:t>
          </w:r>
          <w:r>
            <w:rPr>
              <w:rStyle w:val="25"/>
              <w:rFonts w:hint="eastAsia"/>
            </w:rPr>
            <w:t>余砂处置</w:t>
          </w:r>
          <w:r>
            <w:tab/>
          </w:r>
          <w:r>
            <w:fldChar w:fldCharType="begin"/>
          </w:r>
          <w:r>
            <w:instrText xml:space="preserve"> PAGEREF _Toc37843263 \h </w:instrText>
          </w:r>
          <w:r>
            <w:fldChar w:fldCharType="separate"/>
          </w:r>
          <w:r>
            <w:t>21</w:t>
          </w:r>
          <w:r>
            <w:fldChar w:fldCharType="end"/>
          </w:r>
          <w:r>
            <w:fldChar w:fldCharType="end"/>
          </w:r>
        </w:p>
        <w:p>
          <w:pPr>
            <w:pStyle w:val="21"/>
            <w:tabs>
              <w:tab w:val="right" w:leader="dot" w:pos="8296"/>
            </w:tabs>
            <w:rPr>
              <w:rFonts w:asciiTheme="minorHAnsi" w:hAnsiTheme="minorHAnsi" w:eastAsiaTheme="minorEastAsia" w:cstheme="minorBidi"/>
              <w:kern w:val="2"/>
              <w:sz w:val="21"/>
            </w:rPr>
          </w:pPr>
          <w:r>
            <w:fldChar w:fldCharType="begin"/>
          </w:r>
          <w:r>
            <w:instrText xml:space="preserve"> HYPERLINK \l "_Toc37843264" </w:instrText>
          </w:r>
          <w:r>
            <w:fldChar w:fldCharType="separate"/>
          </w:r>
          <w:r>
            <w:rPr>
              <w:rStyle w:val="25"/>
            </w:rPr>
            <w:t xml:space="preserve">6.6  </w:t>
          </w:r>
          <w:r>
            <w:rPr>
              <w:rStyle w:val="25"/>
              <w:rFonts w:hint="eastAsia"/>
            </w:rPr>
            <w:t>余土处置</w:t>
          </w:r>
          <w:r>
            <w:tab/>
          </w:r>
          <w:r>
            <w:fldChar w:fldCharType="begin"/>
          </w:r>
          <w:r>
            <w:instrText xml:space="preserve"> PAGEREF _Toc37843264 \h </w:instrText>
          </w:r>
          <w:r>
            <w:fldChar w:fldCharType="separate"/>
          </w:r>
          <w:r>
            <w:t>22</w:t>
          </w:r>
          <w:r>
            <w:fldChar w:fldCharType="end"/>
          </w:r>
          <w:r>
            <w:fldChar w:fldCharType="end"/>
          </w:r>
        </w:p>
        <w:p>
          <w:pPr>
            <w:pStyle w:val="21"/>
            <w:tabs>
              <w:tab w:val="right" w:leader="dot" w:pos="8296"/>
            </w:tabs>
            <w:rPr>
              <w:rFonts w:asciiTheme="minorHAnsi" w:hAnsiTheme="minorHAnsi" w:eastAsiaTheme="minorEastAsia" w:cstheme="minorBidi"/>
              <w:kern w:val="2"/>
              <w:sz w:val="21"/>
            </w:rPr>
          </w:pPr>
          <w:r>
            <w:fldChar w:fldCharType="begin"/>
          </w:r>
          <w:r>
            <w:instrText xml:space="preserve"> HYPERLINK \l "_Toc37843265" </w:instrText>
          </w:r>
          <w:r>
            <w:fldChar w:fldCharType="separate"/>
          </w:r>
          <w:r>
            <w:rPr>
              <w:rStyle w:val="25"/>
            </w:rPr>
            <w:t xml:space="preserve">6.7  </w:t>
          </w:r>
          <w:r>
            <w:rPr>
              <w:rStyle w:val="25"/>
              <w:rFonts w:hint="eastAsia"/>
            </w:rPr>
            <w:t>余水处理与排放</w:t>
          </w:r>
          <w:r>
            <w:tab/>
          </w:r>
          <w:r>
            <w:fldChar w:fldCharType="begin"/>
          </w:r>
          <w:r>
            <w:instrText xml:space="preserve"> PAGEREF _Toc37843265 \h </w:instrText>
          </w:r>
          <w:r>
            <w:fldChar w:fldCharType="separate"/>
          </w:r>
          <w:r>
            <w:t>23</w:t>
          </w:r>
          <w:r>
            <w:fldChar w:fldCharType="end"/>
          </w:r>
          <w:r>
            <w:fldChar w:fldCharType="end"/>
          </w:r>
        </w:p>
        <w:p>
          <w:pPr>
            <w:pStyle w:val="18"/>
            <w:tabs>
              <w:tab w:val="right" w:leader="dot" w:pos="8296"/>
            </w:tabs>
            <w:rPr>
              <w:rFonts w:asciiTheme="minorHAnsi" w:hAnsiTheme="minorHAnsi" w:eastAsiaTheme="minorEastAsia" w:cstheme="minorBidi"/>
              <w:kern w:val="2"/>
              <w:sz w:val="21"/>
            </w:rPr>
          </w:pPr>
          <w:r>
            <w:fldChar w:fldCharType="begin"/>
          </w:r>
          <w:r>
            <w:instrText xml:space="preserve"> HYPERLINK \l "_Toc37843266" </w:instrText>
          </w:r>
          <w:r>
            <w:fldChar w:fldCharType="separate"/>
          </w:r>
          <w:r>
            <w:rPr>
              <w:rStyle w:val="25"/>
            </w:rPr>
            <w:t xml:space="preserve">7  </w:t>
          </w:r>
          <w:r>
            <w:rPr>
              <w:rStyle w:val="25"/>
              <w:rFonts w:hint="eastAsia"/>
            </w:rPr>
            <w:t>底泥处理厂建设</w:t>
          </w:r>
          <w:r>
            <w:tab/>
          </w:r>
          <w:r>
            <w:fldChar w:fldCharType="begin"/>
          </w:r>
          <w:r>
            <w:instrText xml:space="preserve"> PAGEREF _Toc37843266 \h </w:instrText>
          </w:r>
          <w:r>
            <w:fldChar w:fldCharType="separate"/>
          </w:r>
          <w:r>
            <w:t>25</w:t>
          </w:r>
          <w:r>
            <w:fldChar w:fldCharType="end"/>
          </w:r>
          <w:r>
            <w:fldChar w:fldCharType="end"/>
          </w:r>
        </w:p>
        <w:p>
          <w:pPr>
            <w:pStyle w:val="21"/>
            <w:tabs>
              <w:tab w:val="right" w:leader="dot" w:pos="8296"/>
            </w:tabs>
            <w:rPr>
              <w:rFonts w:asciiTheme="minorHAnsi" w:hAnsiTheme="minorHAnsi" w:eastAsiaTheme="minorEastAsia" w:cstheme="minorBidi"/>
              <w:kern w:val="2"/>
              <w:sz w:val="21"/>
            </w:rPr>
          </w:pPr>
          <w:r>
            <w:fldChar w:fldCharType="begin"/>
          </w:r>
          <w:r>
            <w:instrText xml:space="preserve"> HYPERLINK \l "_Toc37843267" </w:instrText>
          </w:r>
          <w:r>
            <w:fldChar w:fldCharType="separate"/>
          </w:r>
          <w:r>
            <w:rPr>
              <w:rStyle w:val="25"/>
              <w:rFonts w:asciiTheme="majorBidi" w:hAnsiTheme="majorBidi"/>
            </w:rPr>
            <w:t xml:space="preserve">7.1  </w:t>
          </w:r>
          <w:r>
            <w:rPr>
              <w:rStyle w:val="25"/>
              <w:rFonts w:hint="eastAsia" w:asciiTheme="majorBidi" w:hAnsiTheme="majorBidi"/>
            </w:rPr>
            <w:t>一般规定</w:t>
          </w:r>
          <w:r>
            <w:tab/>
          </w:r>
          <w:r>
            <w:fldChar w:fldCharType="begin"/>
          </w:r>
          <w:r>
            <w:instrText xml:space="preserve"> PAGEREF _Toc37843267 \h </w:instrText>
          </w:r>
          <w:r>
            <w:fldChar w:fldCharType="separate"/>
          </w:r>
          <w:r>
            <w:t>25</w:t>
          </w:r>
          <w:r>
            <w:fldChar w:fldCharType="end"/>
          </w:r>
          <w:r>
            <w:fldChar w:fldCharType="end"/>
          </w:r>
        </w:p>
        <w:p>
          <w:pPr>
            <w:pStyle w:val="21"/>
            <w:tabs>
              <w:tab w:val="right" w:leader="dot" w:pos="8296"/>
            </w:tabs>
            <w:rPr>
              <w:rFonts w:asciiTheme="minorHAnsi" w:hAnsiTheme="minorHAnsi" w:eastAsiaTheme="minorEastAsia" w:cstheme="minorBidi"/>
              <w:kern w:val="2"/>
              <w:sz w:val="21"/>
            </w:rPr>
          </w:pPr>
          <w:r>
            <w:fldChar w:fldCharType="begin"/>
          </w:r>
          <w:r>
            <w:instrText xml:space="preserve"> HYPERLINK \l "_Toc37843268" </w:instrText>
          </w:r>
          <w:r>
            <w:fldChar w:fldCharType="separate"/>
          </w:r>
          <w:r>
            <w:rPr>
              <w:rStyle w:val="25"/>
              <w:rFonts w:asciiTheme="majorBidi" w:hAnsiTheme="majorBidi"/>
            </w:rPr>
            <w:t xml:space="preserve">7.2  </w:t>
          </w:r>
          <w:r>
            <w:rPr>
              <w:rStyle w:val="25"/>
              <w:rFonts w:hint="eastAsia" w:asciiTheme="majorBidi" w:hAnsiTheme="majorBidi"/>
            </w:rPr>
            <w:t>项目构成</w:t>
          </w:r>
          <w:r>
            <w:tab/>
          </w:r>
          <w:r>
            <w:fldChar w:fldCharType="begin"/>
          </w:r>
          <w:r>
            <w:instrText xml:space="preserve"> PAGEREF _Toc37843268 \h </w:instrText>
          </w:r>
          <w:r>
            <w:fldChar w:fldCharType="separate"/>
          </w:r>
          <w:r>
            <w:t>25</w:t>
          </w:r>
          <w:r>
            <w:fldChar w:fldCharType="end"/>
          </w:r>
          <w:r>
            <w:fldChar w:fldCharType="end"/>
          </w:r>
        </w:p>
        <w:p>
          <w:pPr>
            <w:pStyle w:val="21"/>
            <w:tabs>
              <w:tab w:val="right" w:leader="dot" w:pos="8296"/>
            </w:tabs>
            <w:rPr>
              <w:rFonts w:asciiTheme="minorHAnsi" w:hAnsiTheme="minorHAnsi" w:eastAsiaTheme="minorEastAsia" w:cstheme="minorBidi"/>
              <w:kern w:val="2"/>
              <w:sz w:val="21"/>
            </w:rPr>
          </w:pPr>
          <w:r>
            <w:fldChar w:fldCharType="begin"/>
          </w:r>
          <w:r>
            <w:instrText xml:space="preserve"> HYPERLINK \l "_Toc37843269" </w:instrText>
          </w:r>
          <w:r>
            <w:fldChar w:fldCharType="separate"/>
          </w:r>
          <w:r>
            <w:rPr>
              <w:rStyle w:val="25"/>
              <w:rFonts w:asciiTheme="majorBidi" w:hAnsiTheme="majorBidi"/>
            </w:rPr>
            <w:t xml:space="preserve">7.3  </w:t>
          </w:r>
          <w:r>
            <w:rPr>
              <w:rStyle w:val="25"/>
              <w:rFonts w:hint="eastAsia" w:asciiTheme="majorBidi" w:hAnsiTheme="majorBidi"/>
            </w:rPr>
            <w:t>厂址选择</w:t>
          </w:r>
          <w:r>
            <w:tab/>
          </w:r>
          <w:r>
            <w:fldChar w:fldCharType="begin"/>
          </w:r>
          <w:r>
            <w:instrText xml:space="preserve"> PAGEREF _Toc37843269 \h </w:instrText>
          </w:r>
          <w:r>
            <w:fldChar w:fldCharType="separate"/>
          </w:r>
          <w:r>
            <w:t>25</w:t>
          </w:r>
          <w:r>
            <w:fldChar w:fldCharType="end"/>
          </w:r>
          <w:r>
            <w:fldChar w:fldCharType="end"/>
          </w:r>
        </w:p>
        <w:p>
          <w:pPr>
            <w:pStyle w:val="21"/>
            <w:tabs>
              <w:tab w:val="right" w:leader="dot" w:pos="8296"/>
            </w:tabs>
            <w:rPr>
              <w:rFonts w:asciiTheme="minorHAnsi" w:hAnsiTheme="minorHAnsi" w:eastAsiaTheme="minorEastAsia" w:cstheme="minorBidi"/>
              <w:kern w:val="2"/>
              <w:sz w:val="21"/>
            </w:rPr>
          </w:pPr>
          <w:r>
            <w:fldChar w:fldCharType="begin"/>
          </w:r>
          <w:r>
            <w:instrText xml:space="preserve"> HYPERLINK \l "_Toc37843270" </w:instrText>
          </w:r>
          <w:r>
            <w:fldChar w:fldCharType="separate"/>
          </w:r>
          <w:r>
            <w:rPr>
              <w:rStyle w:val="25"/>
              <w:rFonts w:asciiTheme="majorBidi" w:hAnsiTheme="majorBidi"/>
            </w:rPr>
            <w:t xml:space="preserve">7.4  </w:t>
          </w:r>
          <w:r>
            <w:rPr>
              <w:rStyle w:val="25"/>
              <w:rFonts w:hint="eastAsia" w:asciiTheme="majorBidi" w:hAnsiTheme="majorBidi"/>
            </w:rPr>
            <w:t>工艺及生产系统</w:t>
          </w:r>
          <w:r>
            <w:tab/>
          </w:r>
          <w:r>
            <w:fldChar w:fldCharType="begin"/>
          </w:r>
          <w:r>
            <w:instrText xml:space="preserve"> PAGEREF _Toc37843270 \h </w:instrText>
          </w:r>
          <w:r>
            <w:fldChar w:fldCharType="separate"/>
          </w:r>
          <w:r>
            <w:t>26</w:t>
          </w:r>
          <w:r>
            <w:fldChar w:fldCharType="end"/>
          </w:r>
          <w:r>
            <w:fldChar w:fldCharType="end"/>
          </w:r>
        </w:p>
        <w:p>
          <w:pPr>
            <w:pStyle w:val="21"/>
            <w:tabs>
              <w:tab w:val="right" w:leader="dot" w:pos="8296"/>
            </w:tabs>
            <w:rPr>
              <w:rFonts w:asciiTheme="minorHAnsi" w:hAnsiTheme="minorHAnsi" w:eastAsiaTheme="minorEastAsia" w:cstheme="minorBidi"/>
              <w:kern w:val="2"/>
              <w:sz w:val="21"/>
            </w:rPr>
          </w:pPr>
          <w:r>
            <w:fldChar w:fldCharType="begin"/>
          </w:r>
          <w:r>
            <w:instrText xml:space="preserve"> HYPERLINK \l "_Toc37843271" </w:instrText>
          </w:r>
          <w:r>
            <w:fldChar w:fldCharType="separate"/>
          </w:r>
          <w:r>
            <w:rPr>
              <w:rStyle w:val="25"/>
            </w:rPr>
            <w:t xml:space="preserve">7.5  </w:t>
          </w:r>
          <w:r>
            <w:rPr>
              <w:rStyle w:val="25"/>
              <w:rFonts w:hint="eastAsia"/>
            </w:rPr>
            <w:t>辅助配套设施</w:t>
          </w:r>
          <w:r>
            <w:tab/>
          </w:r>
          <w:r>
            <w:fldChar w:fldCharType="begin"/>
          </w:r>
          <w:r>
            <w:instrText xml:space="preserve"> PAGEREF _Toc37843271 \h </w:instrText>
          </w:r>
          <w:r>
            <w:fldChar w:fldCharType="separate"/>
          </w:r>
          <w:r>
            <w:t>27</w:t>
          </w:r>
          <w:r>
            <w:fldChar w:fldCharType="end"/>
          </w:r>
          <w:r>
            <w:fldChar w:fldCharType="end"/>
          </w:r>
        </w:p>
        <w:p>
          <w:pPr>
            <w:pStyle w:val="21"/>
            <w:tabs>
              <w:tab w:val="right" w:leader="dot" w:pos="8296"/>
            </w:tabs>
            <w:rPr>
              <w:rFonts w:asciiTheme="minorHAnsi" w:hAnsiTheme="minorHAnsi" w:eastAsiaTheme="minorEastAsia" w:cstheme="minorBidi"/>
              <w:kern w:val="2"/>
              <w:sz w:val="21"/>
            </w:rPr>
          </w:pPr>
          <w:r>
            <w:fldChar w:fldCharType="begin"/>
          </w:r>
          <w:r>
            <w:instrText xml:space="preserve"> HYPERLINK \l "_Toc37843272" </w:instrText>
          </w:r>
          <w:r>
            <w:fldChar w:fldCharType="separate"/>
          </w:r>
          <w:r>
            <w:rPr>
              <w:rStyle w:val="25"/>
            </w:rPr>
            <w:t xml:space="preserve">7.6  </w:t>
          </w:r>
          <w:r>
            <w:rPr>
              <w:rStyle w:val="25"/>
              <w:rFonts w:hint="eastAsia"/>
            </w:rPr>
            <w:t>土建工程及建设用地</w:t>
          </w:r>
          <w:r>
            <w:tab/>
          </w:r>
          <w:r>
            <w:fldChar w:fldCharType="begin"/>
          </w:r>
          <w:r>
            <w:instrText xml:space="preserve"> PAGEREF _Toc37843272 \h </w:instrText>
          </w:r>
          <w:r>
            <w:fldChar w:fldCharType="separate"/>
          </w:r>
          <w:r>
            <w:t>28</w:t>
          </w:r>
          <w:r>
            <w:fldChar w:fldCharType="end"/>
          </w:r>
          <w:r>
            <w:fldChar w:fldCharType="end"/>
          </w:r>
        </w:p>
        <w:p>
          <w:pPr>
            <w:pStyle w:val="21"/>
            <w:tabs>
              <w:tab w:val="right" w:leader="dot" w:pos="8296"/>
            </w:tabs>
            <w:rPr>
              <w:rFonts w:asciiTheme="minorHAnsi" w:hAnsiTheme="minorHAnsi" w:eastAsiaTheme="minorEastAsia" w:cstheme="minorBidi"/>
              <w:kern w:val="2"/>
              <w:sz w:val="21"/>
            </w:rPr>
          </w:pPr>
          <w:r>
            <w:fldChar w:fldCharType="begin"/>
          </w:r>
          <w:r>
            <w:instrText xml:space="preserve"> HYPERLINK \l "_Toc37843273" </w:instrText>
          </w:r>
          <w:r>
            <w:fldChar w:fldCharType="separate"/>
          </w:r>
          <w:r>
            <w:rPr>
              <w:rStyle w:val="25"/>
            </w:rPr>
            <w:t xml:space="preserve">7.7  </w:t>
          </w:r>
          <w:r>
            <w:rPr>
              <w:rStyle w:val="25"/>
              <w:rFonts w:hint="eastAsia"/>
            </w:rPr>
            <w:t>环境保护与水土保持</w:t>
          </w:r>
          <w:r>
            <w:tab/>
          </w:r>
          <w:r>
            <w:fldChar w:fldCharType="begin"/>
          </w:r>
          <w:r>
            <w:instrText xml:space="preserve"> PAGEREF _Toc37843273 \h </w:instrText>
          </w:r>
          <w:r>
            <w:fldChar w:fldCharType="separate"/>
          </w:r>
          <w:r>
            <w:t>28</w:t>
          </w:r>
          <w:r>
            <w:fldChar w:fldCharType="end"/>
          </w:r>
          <w:r>
            <w:fldChar w:fldCharType="end"/>
          </w:r>
        </w:p>
        <w:p>
          <w:pPr>
            <w:pStyle w:val="18"/>
            <w:tabs>
              <w:tab w:val="right" w:leader="dot" w:pos="8296"/>
            </w:tabs>
            <w:rPr>
              <w:rFonts w:asciiTheme="minorHAnsi" w:hAnsiTheme="minorHAnsi" w:eastAsiaTheme="minorEastAsia" w:cstheme="minorBidi"/>
              <w:kern w:val="2"/>
              <w:sz w:val="21"/>
            </w:rPr>
          </w:pPr>
          <w:r>
            <w:fldChar w:fldCharType="begin"/>
          </w:r>
          <w:r>
            <w:instrText xml:space="preserve"> HYPERLINK \l "_Toc37843274" </w:instrText>
          </w:r>
          <w:r>
            <w:fldChar w:fldCharType="separate"/>
          </w:r>
          <w:r>
            <w:rPr>
              <w:rStyle w:val="25"/>
              <w:rFonts w:hint="eastAsia"/>
            </w:rPr>
            <w:t>本规程用词说明</w:t>
          </w:r>
          <w:r>
            <w:tab/>
          </w:r>
          <w:r>
            <w:fldChar w:fldCharType="begin"/>
          </w:r>
          <w:r>
            <w:instrText xml:space="preserve"> PAGEREF _Toc37843274 \h </w:instrText>
          </w:r>
          <w:r>
            <w:fldChar w:fldCharType="separate"/>
          </w:r>
          <w:r>
            <w:t>30</w:t>
          </w:r>
          <w:r>
            <w:fldChar w:fldCharType="end"/>
          </w:r>
          <w:r>
            <w:fldChar w:fldCharType="end"/>
          </w:r>
        </w:p>
        <w:p>
          <w:pPr>
            <w:pStyle w:val="18"/>
            <w:tabs>
              <w:tab w:val="right" w:leader="dot" w:pos="8296"/>
            </w:tabs>
            <w:rPr>
              <w:rFonts w:asciiTheme="minorHAnsi" w:hAnsiTheme="minorHAnsi" w:eastAsiaTheme="minorEastAsia" w:cstheme="minorBidi"/>
              <w:kern w:val="2"/>
              <w:sz w:val="21"/>
            </w:rPr>
          </w:pPr>
          <w:r>
            <w:fldChar w:fldCharType="begin"/>
          </w:r>
          <w:r>
            <w:instrText xml:space="preserve"> HYPERLINK \l "_Toc37843275" </w:instrText>
          </w:r>
          <w:r>
            <w:fldChar w:fldCharType="separate"/>
          </w:r>
          <w:r>
            <w:rPr>
              <w:rStyle w:val="25"/>
              <w:rFonts w:hint="eastAsia"/>
            </w:rPr>
            <w:t>引用标准名录</w:t>
          </w:r>
          <w:r>
            <w:tab/>
          </w:r>
          <w:r>
            <w:fldChar w:fldCharType="begin"/>
          </w:r>
          <w:r>
            <w:instrText xml:space="preserve"> PAGEREF _Toc37843275 \h </w:instrText>
          </w:r>
          <w:r>
            <w:fldChar w:fldCharType="separate"/>
          </w:r>
          <w:r>
            <w:t>31</w:t>
          </w:r>
          <w:r>
            <w:fldChar w:fldCharType="end"/>
          </w:r>
          <w:r>
            <w:fldChar w:fldCharType="end"/>
          </w:r>
        </w:p>
        <w:p>
          <w:pPr>
            <w:pStyle w:val="18"/>
            <w:tabs>
              <w:tab w:val="right" w:leader="dot" w:pos="8296"/>
            </w:tabs>
            <w:rPr>
              <w:rFonts w:asciiTheme="minorHAnsi" w:hAnsiTheme="minorHAnsi" w:eastAsiaTheme="minorEastAsia" w:cstheme="minorBidi"/>
              <w:kern w:val="2"/>
              <w:sz w:val="21"/>
            </w:rPr>
          </w:pPr>
          <w:r>
            <w:rPr>
              <w:rStyle w:val="25"/>
              <w:rFonts w:hint="eastAsia"/>
              <w:color w:val="auto"/>
              <w:u w:val="none"/>
            </w:rPr>
            <w:t>附录：</w:t>
          </w:r>
          <w:r>
            <w:fldChar w:fldCharType="begin"/>
          </w:r>
          <w:r>
            <w:instrText xml:space="preserve"> HYPERLINK \l "_Toc37843276" </w:instrText>
          </w:r>
          <w:r>
            <w:fldChar w:fldCharType="separate"/>
          </w:r>
          <w:r>
            <w:rPr>
              <w:rStyle w:val="25"/>
              <w:rFonts w:hint="eastAsia"/>
            </w:rPr>
            <w:t>条文说明</w:t>
          </w:r>
          <w:r>
            <w:tab/>
          </w:r>
          <w:r>
            <w:fldChar w:fldCharType="begin"/>
          </w:r>
          <w:r>
            <w:instrText xml:space="preserve"> PAGEREF _Toc37843276 \h </w:instrText>
          </w:r>
          <w:r>
            <w:fldChar w:fldCharType="separate"/>
          </w:r>
          <w:r>
            <w:t>32</w:t>
          </w:r>
          <w:r>
            <w:fldChar w:fldCharType="end"/>
          </w:r>
          <w:r>
            <w:fldChar w:fldCharType="end"/>
          </w:r>
        </w:p>
        <w:p>
          <w:pPr>
            <w:ind w:firstLine="440"/>
          </w:pPr>
          <w:r>
            <w:rPr>
              <w:rFonts w:cs="Times New Roman"/>
              <w:kern w:val="0"/>
              <w:sz w:val="22"/>
            </w:rPr>
            <w:fldChar w:fldCharType="end"/>
          </w:r>
        </w:p>
      </w:sdtContent>
    </w:sdt>
    <w:p>
      <w:pPr>
        <w:ind w:firstLine="640"/>
        <w:jc w:val="center"/>
        <w:rPr>
          <w:sz w:val="32"/>
          <w:szCs w:val="32"/>
        </w:rPr>
      </w:pPr>
    </w:p>
    <w:p>
      <w:pPr>
        <w:autoSpaceDE w:val="0"/>
        <w:autoSpaceDN w:val="0"/>
        <w:adjustRightInd w:val="0"/>
        <w:ind w:firstLine="537" w:firstLineChars="192"/>
        <w:jc w:val="left"/>
        <w:rPr>
          <w:sz w:val="28"/>
          <w:szCs w:val="28"/>
        </w:rPr>
      </w:pPr>
    </w:p>
    <w:p>
      <w:pPr>
        <w:autoSpaceDE w:val="0"/>
        <w:autoSpaceDN w:val="0"/>
        <w:adjustRightInd w:val="0"/>
        <w:ind w:firstLine="537" w:firstLineChars="192"/>
        <w:jc w:val="left"/>
        <w:rPr>
          <w:sz w:val="28"/>
          <w:szCs w:val="28"/>
        </w:rPr>
      </w:pPr>
    </w:p>
    <w:p>
      <w:pPr>
        <w:autoSpaceDE w:val="0"/>
        <w:autoSpaceDN w:val="0"/>
        <w:adjustRightInd w:val="0"/>
        <w:ind w:firstLine="537" w:firstLineChars="192"/>
        <w:jc w:val="left"/>
        <w:rPr>
          <w:sz w:val="28"/>
          <w:szCs w:val="28"/>
        </w:rPr>
      </w:pPr>
    </w:p>
    <w:p>
      <w:pPr>
        <w:autoSpaceDE w:val="0"/>
        <w:autoSpaceDN w:val="0"/>
        <w:adjustRightInd w:val="0"/>
        <w:ind w:firstLine="537" w:firstLineChars="192"/>
        <w:jc w:val="left"/>
        <w:rPr>
          <w:sz w:val="28"/>
          <w:szCs w:val="28"/>
        </w:rPr>
      </w:pPr>
    </w:p>
    <w:p>
      <w:pPr>
        <w:autoSpaceDE w:val="0"/>
        <w:autoSpaceDN w:val="0"/>
        <w:adjustRightInd w:val="0"/>
        <w:ind w:firstLine="537" w:firstLineChars="192"/>
        <w:jc w:val="left"/>
        <w:rPr>
          <w:sz w:val="28"/>
          <w:szCs w:val="28"/>
        </w:rPr>
      </w:pPr>
    </w:p>
    <w:p>
      <w:pPr>
        <w:autoSpaceDE w:val="0"/>
        <w:autoSpaceDN w:val="0"/>
        <w:adjustRightInd w:val="0"/>
        <w:ind w:firstLine="537" w:firstLineChars="192"/>
        <w:jc w:val="left"/>
        <w:rPr>
          <w:sz w:val="28"/>
          <w:szCs w:val="28"/>
        </w:rPr>
      </w:pPr>
    </w:p>
    <w:p>
      <w:pPr>
        <w:autoSpaceDE w:val="0"/>
        <w:autoSpaceDN w:val="0"/>
        <w:adjustRightInd w:val="0"/>
        <w:ind w:firstLine="537" w:firstLineChars="192"/>
        <w:jc w:val="left"/>
        <w:rPr>
          <w:sz w:val="28"/>
          <w:szCs w:val="28"/>
        </w:rPr>
      </w:pPr>
    </w:p>
    <w:p>
      <w:pPr>
        <w:autoSpaceDE w:val="0"/>
        <w:autoSpaceDN w:val="0"/>
        <w:adjustRightInd w:val="0"/>
        <w:ind w:firstLine="537" w:firstLineChars="192"/>
        <w:jc w:val="left"/>
        <w:rPr>
          <w:sz w:val="28"/>
          <w:szCs w:val="28"/>
        </w:rPr>
      </w:pPr>
    </w:p>
    <w:sdt>
      <w:sdtPr>
        <w:rPr>
          <w:rFonts w:asciiTheme="minorHAnsi" w:hAnsiTheme="minorHAnsi" w:eastAsiaTheme="minorEastAsia" w:cstheme="minorBidi"/>
          <w:color w:val="auto"/>
          <w:kern w:val="2"/>
          <w:sz w:val="21"/>
          <w:szCs w:val="22"/>
          <w:lang w:val="zh-CN"/>
        </w:rPr>
        <w:id w:val="1460685111"/>
        <w:docPartObj>
          <w:docPartGallery w:val="Table of Contents"/>
          <w:docPartUnique/>
        </w:docPartObj>
      </w:sdtPr>
      <w:sdtEndPr>
        <w:rPr>
          <w:rFonts w:ascii="Times New Roman" w:hAnsi="Times New Roman" w:eastAsia="宋体" w:cstheme="minorBidi"/>
          <w:b/>
          <w:bCs/>
          <w:color w:val="auto"/>
          <w:kern w:val="2"/>
          <w:sz w:val="24"/>
          <w:szCs w:val="22"/>
          <w:lang w:val="zh-CN"/>
        </w:rPr>
      </w:sdtEndPr>
      <w:sdtContent>
        <w:p>
          <w:pPr>
            <w:pStyle w:val="36"/>
            <w:ind w:firstLine="420"/>
            <w:rPr>
              <w:rFonts w:ascii="Times New Roman" w:hAnsi="Times New Roman" w:eastAsia="黑体" w:cs="Times New Roman"/>
              <w:b/>
              <w:color w:val="auto"/>
            </w:rPr>
          </w:pPr>
          <w:r>
            <w:rPr>
              <w:rFonts w:ascii="Times New Roman" w:hAnsi="Times New Roman" w:eastAsia="黑体" w:cs="Times New Roman"/>
              <w:b/>
              <w:color w:val="auto"/>
              <w:lang w:val="zh-CN"/>
            </w:rPr>
            <w:t>CONTENTS</w:t>
          </w:r>
        </w:p>
        <w:p>
          <w:pPr>
            <w:pStyle w:val="18"/>
            <w:tabs>
              <w:tab w:val="right" w:leader="dot" w:pos="8296"/>
            </w:tabs>
            <w:rPr>
              <w:rFonts w:asciiTheme="minorHAnsi" w:hAnsiTheme="minorHAnsi" w:eastAsiaTheme="minorEastAsia" w:cstheme="minorBidi"/>
              <w:kern w:val="2"/>
              <w:sz w:val="21"/>
            </w:rPr>
          </w:pPr>
          <w:r>
            <w:fldChar w:fldCharType="begin"/>
          </w:r>
          <w:r>
            <w:instrText xml:space="preserve"> TOC \o "1-2" \h \z \u </w:instrText>
          </w:r>
          <w:r>
            <w:fldChar w:fldCharType="separate"/>
          </w:r>
          <w:r>
            <w:fldChar w:fldCharType="begin"/>
          </w:r>
          <w:r>
            <w:instrText xml:space="preserve"> HYPERLINK \l "_Toc37843232" </w:instrText>
          </w:r>
          <w:r>
            <w:fldChar w:fldCharType="separate"/>
          </w:r>
          <w:r>
            <w:rPr>
              <w:rStyle w:val="25"/>
            </w:rPr>
            <w:t xml:space="preserve">1  </w:t>
          </w:r>
          <w:r>
            <w:rPr>
              <w:rStyle w:val="25"/>
              <w:rFonts w:hint="eastAsia"/>
            </w:rPr>
            <w:t>G</w:t>
          </w:r>
          <w:r>
            <w:rPr>
              <w:rStyle w:val="25"/>
            </w:rPr>
            <w:t>eneral Provision</w:t>
          </w:r>
          <w:r>
            <w:tab/>
          </w:r>
          <w:r>
            <w:fldChar w:fldCharType="begin"/>
          </w:r>
          <w:r>
            <w:instrText xml:space="preserve"> PAGEREF _Toc37843232 \h </w:instrText>
          </w:r>
          <w:r>
            <w:fldChar w:fldCharType="separate"/>
          </w:r>
          <w:r>
            <w:t>1</w:t>
          </w:r>
          <w:r>
            <w:fldChar w:fldCharType="end"/>
          </w:r>
          <w:r>
            <w:fldChar w:fldCharType="end"/>
          </w:r>
        </w:p>
        <w:p>
          <w:pPr>
            <w:pStyle w:val="18"/>
            <w:tabs>
              <w:tab w:val="right" w:leader="dot" w:pos="8296"/>
            </w:tabs>
            <w:rPr>
              <w:rFonts w:asciiTheme="minorHAnsi" w:hAnsiTheme="minorHAnsi" w:eastAsiaTheme="minorEastAsia" w:cstheme="minorBidi"/>
              <w:kern w:val="2"/>
              <w:sz w:val="21"/>
            </w:rPr>
          </w:pPr>
          <w:r>
            <w:fldChar w:fldCharType="begin"/>
          </w:r>
          <w:r>
            <w:instrText xml:space="preserve"> HYPERLINK \l "_Toc37843233" </w:instrText>
          </w:r>
          <w:r>
            <w:fldChar w:fldCharType="separate"/>
          </w:r>
          <w:r>
            <w:rPr>
              <w:rStyle w:val="25"/>
              <w:rFonts w:asciiTheme="majorBidi" w:hAnsiTheme="majorBidi" w:cstheme="majorBidi"/>
            </w:rPr>
            <w:t>2  T</w:t>
          </w:r>
          <w:r>
            <w:rPr>
              <w:rStyle w:val="25"/>
              <w:rFonts w:hint="eastAsia" w:asciiTheme="majorBidi" w:hAnsiTheme="majorBidi" w:cstheme="majorBidi"/>
            </w:rPr>
            <w:t>erm</w:t>
          </w:r>
          <w:r>
            <w:tab/>
          </w:r>
          <w:r>
            <w:fldChar w:fldCharType="begin"/>
          </w:r>
          <w:r>
            <w:instrText xml:space="preserve"> PAGEREF _Toc37843233 \h </w:instrText>
          </w:r>
          <w:r>
            <w:fldChar w:fldCharType="separate"/>
          </w:r>
          <w:r>
            <w:t>2</w:t>
          </w:r>
          <w:r>
            <w:fldChar w:fldCharType="end"/>
          </w:r>
          <w:r>
            <w:fldChar w:fldCharType="end"/>
          </w:r>
        </w:p>
        <w:p>
          <w:pPr>
            <w:pStyle w:val="18"/>
            <w:tabs>
              <w:tab w:val="right" w:leader="dot" w:pos="8296"/>
            </w:tabs>
            <w:rPr>
              <w:rFonts w:asciiTheme="minorHAnsi" w:hAnsiTheme="minorHAnsi" w:eastAsiaTheme="minorEastAsia" w:cstheme="minorBidi"/>
              <w:kern w:val="2"/>
              <w:sz w:val="21"/>
            </w:rPr>
          </w:pPr>
          <w:r>
            <w:fldChar w:fldCharType="begin"/>
          </w:r>
          <w:r>
            <w:instrText xml:space="preserve"> HYPERLINK \l "_Toc37843234" </w:instrText>
          </w:r>
          <w:r>
            <w:fldChar w:fldCharType="separate"/>
          </w:r>
          <w:r>
            <w:rPr>
              <w:rStyle w:val="25"/>
            </w:rPr>
            <w:t>3  Sediment Survey and Pollution Status Survey and Evaluation</w:t>
          </w:r>
          <w:r>
            <w:tab/>
          </w:r>
          <w:r>
            <w:fldChar w:fldCharType="begin"/>
          </w:r>
          <w:r>
            <w:instrText xml:space="preserve"> PAGEREF _Toc37843234 \h </w:instrText>
          </w:r>
          <w:r>
            <w:fldChar w:fldCharType="separate"/>
          </w:r>
          <w:r>
            <w:t>4</w:t>
          </w:r>
          <w:r>
            <w:fldChar w:fldCharType="end"/>
          </w:r>
          <w:r>
            <w:fldChar w:fldCharType="end"/>
          </w:r>
        </w:p>
        <w:p>
          <w:pPr>
            <w:pStyle w:val="21"/>
            <w:tabs>
              <w:tab w:val="right" w:leader="dot" w:pos="8296"/>
            </w:tabs>
            <w:rPr>
              <w:rFonts w:asciiTheme="minorHAnsi" w:hAnsiTheme="minorHAnsi" w:eastAsiaTheme="minorEastAsia" w:cstheme="minorBidi"/>
              <w:kern w:val="2"/>
              <w:sz w:val="21"/>
            </w:rPr>
          </w:pPr>
          <w:r>
            <w:fldChar w:fldCharType="begin"/>
          </w:r>
          <w:r>
            <w:instrText xml:space="preserve"> HYPERLINK \l "_Toc37843235" </w:instrText>
          </w:r>
          <w:r>
            <w:fldChar w:fldCharType="separate"/>
          </w:r>
          <w:r>
            <w:rPr>
              <w:rStyle w:val="25"/>
            </w:rPr>
            <w:t xml:space="preserve">3.1  </w:t>
          </w:r>
          <w:r>
            <w:rPr>
              <w:rFonts w:ascii="TimesNewRomanPSMT" w:eastAsia="TimesNewRomanPSMT" w:cs="TimesNewRomanPSMT" w:hAnsiTheme="minorHAnsi"/>
              <w:sz w:val="21"/>
              <w:szCs w:val="21"/>
            </w:rPr>
            <w:t>General Requirement</w:t>
          </w:r>
          <w:r>
            <w:tab/>
          </w:r>
          <w:r>
            <w:fldChar w:fldCharType="begin"/>
          </w:r>
          <w:r>
            <w:instrText xml:space="preserve"> PAGEREF _Toc37843235 \h </w:instrText>
          </w:r>
          <w:r>
            <w:fldChar w:fldCharType="separate"/>
          </w:r>
          <w:r>
            <w:t>4</w:t>
          </w:r>
          <w:r>
            <w:fldChar w:fldCharType="end"/>
          </w:r>
          <w:r>
            <w:fldChar w:fldCharType="end"/>
          </w:r>
        </w:p>
        <w:p>
          <w:pPr>
            <w:pStyle w:val="21"/>
            <w:tabs>
              <w:tab w:val="right" w:leader="dot" w:pos="8296"/>
            </w:tabs>
            <w:rPr>
              <w:rFonts w:asciiTheme="minorHAnsi" w:hAnsiTheme="minorHAnsi" w:eastAsiaTheme="minorEastAsia" w:cstheme="minorBidi"/>
              <w:kern w:val="2"/>
              <w:sz w:val="21"/>
            </w:rPr>
          </w:pPr>
          <w:r>
            <w:fldChar w:fldCharType="begin"/>
          </w:r>
          <w:r>
            <w:instrText xml:space="preserve"> HYPERLINK \l "_Toc37843236" </w:instrText>
          </w:r>
          <w:r>
            <w:fldChar w:fldCharType="separate"/>
          </w:r>
          <w:r>
            <w:rPr>
              <w:rStyle w:val="25"/>
              <w:rFonts w:asciiTheme="majorBidi" w:hAnsiTheme="majorBidi"/>
            </w:rPr>
            <w:t>3.2  Data Collection and Analysis</w:t>
          </w:r>
          <w:r>
            <w:tab/>
          </w:r>
          <w:r>
            <w:fldChar w:fldCharType="begin"/>
          </w:r>
          <w:r>
            <w:instrText xml:space="preserve"> PAGEREF _Toc37843236 \h </w:instrText>
          </w:r>
          <w:r>
            <w:fldChar w:fldCharType="separate"/>
          </w:r>
          <w:r>
            <w:t>4</w:t>
          </w:r>
          <w:r>
            <w:fldChar w:fldCharType="end"/>
          </w:r>
          <w:r>
            <w:fldChar w:fldCharType="end"/>
          </w:r>
        </w:p>
        <w:p>
          <w:pPr>
            <w:pStyle w:val="21"/>
            <w:tabs>
              <w:tab w:val="right" w:leader="dot" w:pos="8296"/>
            </w:tabs>
            <w:rPr>
              <w:rFonts w:asciiTheme="minorHAnsi" w:hAnsiTheme="minorHAnsi" w:eastAsiaTheme="minorEastAsia" w:cstheme="minorBidi"/>
              <w:kern w:val="2"/>
              <w:sz w:val="21"/>
            </w:rPr>
          </w:pPr>
          <w:r>
            <w:fldChar w:fldCharType="begin"/>
          </w:r>
          <w:r>
            <w:instrText xml:space="preserve"> HYPERLINK \l "_Toc37843237" </w:instrText>
          </w:r>
          <w:r>
            <w:fldChar w:fldCharType="separate"/>
          </w:r>
          <w:r>
            <w:rPr>
              <w:rStyle w:val="25"/>
              <w:rFonts w:asciiTheme="majorBidi" w:hAnsiTheme="majorBidi"/>
            </w:rPr>
            <w:t>3.3  Site Survey</w:t>
          </w:r>
          <w:r>
            <w:tab/>
          </w:r>
          <w:r>
            <w:fldChar w:fldCharType="begin"/>
          </w:r>
          <w:r>
            <w:instrText xml:space="preserve"> PAGEREF _Toc37843237 \h </w:instrText>
          </w:r>
          <w:r>
            <w:fldChar w:fldCharType="separate"/>
          </w:r>
          <w:r>
            <w:t>5</w:t>
          </w:r>
          <w:r>
            <w:fldChar w:fldCharType="end"/>
          </w:r>
          <w:r>
            <w:fldChar w:fldCharType="end"/>
          </w:r>
        </w:p>
        <w:p>
          <w:pPr>
            <w:pStyle w:val="21"/>
            <w:tabs>
              <w:tab w:val="right" w:leader="dot" w:pos="8296"/>
            </w:tabs>
            <w:rPr>
              <w:rFonts w:asciiTheme="minorHAnsi" w:hAnsiTheme="minorHAnsi" w:eastAsiaTheme="minorEastAsia" w:cstheme="minorBidi"/>
              <w:kern w:val="2"/>
              <w:sz w:val="21"/>
            </w:rPr>
          </w:pPr>
          <w:r>
            <w:fldChar w:fldCharType="begin"/>
          </w:r>
          <w:r>
            <w:instrText xml:space="preserve"> HYPERLINK \l "_Toc37843238" </w:instrText>
          </w:r>
          <w:r>
            <w:fldChar w:fldCharType="separate"/>
          </w:r>
          <w:r>
            <w:rPr>
              <w:rStyle w:val="25"/>
            </w:rPr>
            <w:t>3.4  Sampling Point Aarrangement Principle</w:t>
          </w:r>
          <w:r>
            <w:tab/>
          </w:r>
          <w:r>
            <w:fldChar w:fldCharType="begin"/>
          </w:r>
          <w:r>
            <w:instrText xml:space="preserve"> PAGEREF _Toc37843238 \h </w:instrText>
          </w:r>
          <w:r>
            <w:fldChar w:fldCharType="separate"/>
          </w:r>
          <w:r>
            <w:t>5</w:t>
          </w:r>
          <w:r>
            <w:fldChar w:fldCharType="end"/>
          </w:r>
          <w:r>
            <w:fldChar w:fldCharType="end"/>
          </w:r>
        </w:p>
        <w:p>
          <w:pPr>
            <w:pStyle w:val="21"/>
            <w:tabs>
              <w:tab w:val="right" w:leader="dot" w:pos="8296"/>
            </w:tabs>
            <w:rPr>
              <w:rFonts w:asciiTheme="minorHAnsi" w:hAnsiTheme="minorHAnsi" w:eastAsiaTheme="minorEastAsia" w:cstheme="minorBidi"/>
              <w:kern w:val="2"/>
              <w:sz w:val="21"/>
            </w:rPr>
          </w:pPr>
          <w:r>
            <w:fldChar w:fldCharType="begin"/>
          </w:r>
          <w:r>
            <w:instrText xml:space="preserve"> HYPERLINK \l "_Toc37843239" </w:instrText>
          </w:r>
          <w:r>
            <w:fldChar w:fldCharType="separate"/>
          </w:r>
          <w:r>
            <w:rPr>
              <w:rStyle w:val="25"/>
              <w:rFonts w:asciiTheme="majorBidi" w:hAnsiTheme="majorBidi"/>
            </w:rPr>
            <w:t xml:space="preserve">3.5  The Technical Route </w:t>
          </w:r>
          <w:r>
            <w:rPr>
              <w:rStyle w:val="25"/>
              <w:rFonts w:hint="eastAsia" w:asciiTheme="majorBidi" w:hAnsiTheme="majorBidi"/>
            </w:rPr>
            <w:t>of</w:t>
          </w:r>
          <w:r>
            <w:rPr>
              <w:rStyle w:val="25"/>
              <w:rFonts w:asciiTheme="majorBidi" w:hAnsiTheme="majorBidi"/>
            </w:rPr>
            <w:t xml:space="preserve"> Sampling Point Laid Out</w:t>
          </w:r>
          <w:r>
            <w:tab/>
          </w:r>
          <w:r>
            <w:fldChar w:fldCharType="begin"/>
          </w:r>
          <w:r>
            <w:instrText xml:space="preserve"> PAGEREF _Toc37843239 \h </w:instrText>
          </w:r>
          <w:r>
            <w:fldChar w:fldCharType="separate"/>
          </w:r>
          <w:r>
            <w:t>5</w:t>
          </w:r>
          <w:r>
            <w:fldChar w:fldCharType="end"/>
          </w:r>
          <w:r>
            <w:fldChar w:fldCharType="end"/>
          </w:r>
        </w:p>
        <w:p>
          <w:pPr>
            <w:pStyle w:val="21"/>
            <w:tabs>
              <w:tab w:val="right" w:leader="dot" w:pos="8296"/>
            </w:tabs>
            <w:rPr>
              <w:rFonts w:asciiTheme="minorHAnsi" w:hAnsiTheme="minorHAnsi" w:eastAsiaTheme="minorEastAsia" w:cstheme="minorBidi"/>
              <w:kern w:val="2"/>
              <w:sz w:val="21"/>
            </w:rPr>
          </w:pPr>
          <w:r>
            <w:fldChar w:fldCharType="begin"/>
          </w:r>
          <w:r>
            <w:instrText xml:space="preserve"> HYPERLINK \l "_Toc37843240" </w:instrText>
          </w:r>
          <w:r>
            <w:fldChar w:fldCharType="separate"/>
          </w:r>
          <w:r>
            <w:rPr>
              <w:rStyle w:val="25"/>
              <w:rFonts w:asciiTheme="majorBidi" w:hAnsiTheme="majorBidi"/>
            </w:rPr>
            <w:t>3.6  General Sampling Point Layout</w:t>
          </w:r>
          <w:r>
            <w:tab/>
          </w:r>
          <w:r>
            <w:fldChar w:fldCharType="begin"/>
          </w:r>
          <w:r>
            <w:instrText xml:space="preserve"> PAGEREF _Toc37843240 \h </w:instrText>
          </w:r>
          <w:r>
            <w:fldChar w:fldCharType="separate"/>
          </w:r>
          <w:r>
            <w:t>6</w:t>
          </w:r>
          <w:r>
            <w:fldChar w:fldCharType="end"/>
          </w:r>
          <w:r>
            <w:fldChar w:fldCharType="end"/>
          </w:r>
        </w:p>
        <w:p>
          <w:pPr>
            <w:pStyle w:val="21"/>
            <w:tabs>
              <w:tab w:val="right" w:leader="dot" w:pos="8296"/>
            </w:tabs>
            <w:rPr>
              <w:rFonts w:asciiTheme="minorHAnsi" w:hAnsiTheme="minorHAnsi" w:eastAsiaTheme="minorEastAsia" w:cstheme="minorBidi"/>
              <w:kern w:val="2"/>
              <w:sz w:val="21"/>
            </w:rPr>
          </w:pPr>
          <w:r>
            <w:fldChar w:fldCharType="begin"/>
          </w:r>
          <w:r>
            <w:instrText xml:space="preserve"> HYPERLINK \l "_Toc37843241" </w:instrText>
          </w:r>
          <w:r>
            <w:fldChar w:fldCharType="separate"/>
          </w:r>
          <w:r>
            <w:rPr>
              <w:rStyle w:val="25"/>
              <w:rFonts w:asciiTheme="majorBidi" w:hAnsiTheme="majorBidi"/>
            </w:rPr>
            <w:t>3.7  Encrypt Sampling Point Layout</w:t>
          </w:r>
          <w:r>
            <w:tab/>
          </w:r>
          <w:r>
            <w:fldChar w:fldCharType="begin"/>
          </w:r>
          <w:r>
            <w:instrText xml:space="preserve"> PAGEREF _Toc37843241 \h </w:instrText>
          </w:r>
          <w:r>
            <w:fldChar w:fldCharType="separate"/>
          </w:r>
          <w:r>
            <w:t>7</w:t>
          </w:r>
          <w:r>
            <w:fldChar w:fldCharType="end"/>
          </w:r>
          <w:r>
            <w:fldChar w:fldCharType="end"/>
          </w:r>
        </w:p>
        <w:p>
          <w:pPr>
            <w:pStyle w:val="21"/>
            <w:tabs>
              <w:tab w:val="right" w:leader="dot" w:pos="8296"/>
            </w:tabs>
            <w:rPr>
              <w:rFonts w:asciiTheme="minorHAnsi" w:hAnsiTheme="minorHAnsi" w:eastAsiaTheme="minorEastAsia" w:cstheme="minorBidi"/>
              <w:kern w:val="2"/>
              <w:sz w:val="21"/>
            </w:rPr>
          </w:pPr>
          <w:r>
            <w:fldChar w:fldCharType="begin"/>
          </w:r>
          <w:r>
            <w:instrText xml:space="preserve"> HYPERLINK \l "_Toc37843242" </w:instrText>
          </w:r>
          <w:r>
            <w:fldChar w:fldCharType="separate"/>
          </w:r>
          <w:r>
            <w:rPr>
              <w:rStyle w:val="25"/>
              <w:rFonts w:asciiTheme="majorBidi" w:hAnsiTheme="majorBidi"/>
            </w:rPr>
            <w:t>3.8  Sampling Requirements</w:t>
          </w:r>
          <w:r>
            <w:tab/>
          </w:r>
          <w:r>
            <w:fldChar w:fldCharType="begin"/>
          </w:r>
          <w:r>
            <w:instrText xml:space="preserve"> PAGEREF _Toc37843242 \h </w:instrText>
          </w:r>
          <w:r>
            <w:fldChar w:fldCharType="separate"/>
          </w:r>
          <w:r>
            <w:t>8</w:t>
          </w:r>
          <w:r>
            <w:fldChar w:fldCharType="end"/>
          </w:r>
          <w:r>
            <w:fldChar w:fldCharType="end"/>
          </w:r>
        </w:p>
        <w:p>
          <w:pPr>
            <w:pStyle w:val="21"/>
            <w:tabs>
              <w:tab w:val="right" w:leader="dot" w:pos="8296"/>
            </w:tabs>
            <w:rPr>
              <w:rFonts w:asciiTheme="minorHAnsi" w:hAnsiTheme="minorHAnsi" w:eastAsiaTheme="minorEastAsia" w:cstheme="minorBidi"/>
              <w:kern w:val="2"/>
              <w:sz w:val="21"/>
            </w:rPr>
          </w:pPr>
          <w:r>
            <w:fldChar w:fldCharType="begin"/>
          </w:r>
          <w:r>
            <w:instrText xml:space="preserve"> HYPERLINK \l "_Toc37843243" </w:instrText>
          </w:r>
          <w:r>
            <w:fldChar w:fldCharType="separate"/>
          </w:r>
          <w:r>
            <w:rPr>
              <w:rStyle w:val="25"/>
              <w:rFonts w:asciiTheme="majorBidi" w:hAnsiTheme="majorBidi"/>
            </w:rPr>
            <w:t>3.9  Analysis Test Item</w:t>
          </w:r>
          <w:r>
            <w:tab/>
          </w:r>
          <w:r>
            <w:fldChar w:fldCharType="begin"/>
          </w:r>
          <w:r>
            <w:instrText xml:space="preserve"> PAGEREF _Toc37843243 \h </w:instrText>
          </w:r>
          <w:r>
            <w:fldChar w:fldCharType="separate"/>
          </w:r>
          <w:r>
            <w:t>8</w:t>
          </w:r>
          <w:r>
            <w:fldChar w:fldCharType="end"/>
          </w:r>
          <w:r>
            <w:fldChar w:fldCharType="end"/>
          </w:r>
        </w:p>
        <w:p>
          <w:pPr>
            <w:pStyle w:val="21"/>
            <w:tabs>
              <w:tab w:val="right" w:leader="dot" w:pos="8296"/>
            </w:tabs>
            <w:rPr>
              <w:rFonts w:asciiTheme="minorHAnsi" w:hAnsiTheme="minorHAnsi" w:eastAsiaTheme="minorEastAsia" w:cstheme="minorBidi"/>
              <w:kern w:val="2"/>
              <w:sz w:val="21"/>
            </w:rPr>
          </w:pPr>
          <w:r>
            <w:fldChar w:fldCharType="begin"/>
          </w:r>
          <w:r>
            <w:instrText xml:space="preserve"> HYPERLINK \l "_Toc37843244" </w:instrText>
          </w:r>
          <w:r>
            <w:fldChar w:fldCharType="separate"/>
          </w:r>
          <w:r>
            <w:rPr>
              <w:rStyle w:val="25"/>
              <w:rFonts w:asciiTheme="majorBidi" w:hAnsiTheme="majorBidi"/>
            </w:rPr>
            <w:t>3.10  Pollution assessment methods and standards</w:t>
          </w:r>
          <w:r>
            <w:tab/>
          </w:r>
          <w:r>
            <w:fldChar w:fldCharType="begin"/>
          </w:r>
          <w:r>
            <w:instrText xml:space="preserve"> PAGEREF _Toc37843244 \h </w:instrText>
          </w:r>
          <w:r>
            <w:fldChar w:fldCharType="separate"/>
          </w:r>
          <w:r>
            <w:t>8</w:t>
          </w:r>
          <w:r>
            <w:fldChar w:fldCharType="end"/>
          </w:r>
          <w:r>
            <w:fldChar w:fldCharType="end"/>
          </w:r>
        </w:p>
        <w:p>
          <w:pPr>
            <w:pStyle w:val="18"/>
            <w:tabs>
              <w:tab w:val="right" w:leader="dot" w:pos="8296"/>
            </w:tabs>
            <w:rPr>
              <w:rFonts w:asciiTheme="minorHAnsi" w:hAnsiTheme="minorHAnsi" w:eastAsiaTheme="minorEastAsia" w:cstheme="minorBidi"/>
              <w:kern w:val="2"/>
              <w:sz w:val="21"/>
            </w:rPr>
          </w:pPr>
          <w:r>
            <w:fldChar w:fldCharType="begin"/>
          </w:r>
          <w:r>
            <w:instrText xml:space="preserve"> HYPERLINK \l "_Toc37843245" </w:instrText>
          </w:r>
          <w:r>
            <w:fldChar w:fldCharType="separate"/>
          </w:r>
          <w:r>
            <w:rPr>
              <w:rStyle w:val="25"/>
            </w:rPr>
            <w:t xml:space="preserve">4  Scale of </w:t>
          </w:r>
          <w:r>
            <w:t>Environmental Friendly Dredging</w:t>
          </w:r>
          <w:r>
            <w:tab/>
          </w:r>
          <w:r>
            <w:fldChar w:fldCharType="begin"/>
          </w:r>
          <w:r>
            <w:instrText xml:space="preserve"> PAGEREF _Toc37843245 \h </w:instrText>
          </w:r>
          <w:r>
            <w:fldChar w:fldCharType="separate"/>
          </w:r>
          <w:r>
            <w:t>11</w:t>
          </w:r>
          <w:r>
            <w:fldChar w:fldCharType="end"/>
          </w:r>
          <w:r>
            <w:fldChar w:fldCharType="end"/>
          </w:r>
        </w:p>
        <w:p>
          <w:pPr>
            <w:pStyle w:val="21"/>
            <w:tabs>
              <w:tab w:val="right" w:leader="dot" w:pos="8296"/>
            </w:tabs>
            <w:rPr>
              <w:rFonts w:asciiTheme="minorHAnsi" w:hAnsiTheme="minorHAnsi" w:eastAsiaTheme="minorEastAsia" w:cstheme="minorBidi"/>
              <w:kern w:val="2"/>
              <w:sz w:val="21"/>
            </w:rPr>
          </w:pPr>
          <w:r>
            <w:fldChar w:fldCharType="begin"/>
          </w:r>
          <w:r>
            <w:instrText xml:space="preserve"> HYPERLINK \l "_Toc37843246" </w:instrText>
          </w:r>
          <w:r>
            <w:fldChar w:fldCharType="separate"/>
          </w:r>
          <w:r>
            <w:rPr>
              <w:rStyle w:val="25"/>
            </w:rPr>
            <w:t xml:space="preserve">4.1  </w:t>
          </w:r>
          <w:r>
            <w:rPr>
              <w:rFonts w:ascii="TimesNewRomanPSMT" w:eastAsia="TimesNewRomanPSMT" w:cs="TimesNewRomanPSMT" w:hAnsiTheme="minorHAnsi"/>
              <w:sz w:val="21"/>
              <w:szCs w:val="21"/>
            </w:rPr>
            <w:t>General Requirement</w:t>
          </w:r>
          <w:r>
            <w:tab/>
          </w:r>
          <w:r>
            <w:fldChar w:fldCharType="begin"/>
          </w:r>
          <w:r>
            <w:instrText xml:space="preserve"> PAGEREF _Toc37843246 \h </w:instrText>
          </w:r>
          <w:r>
            <w:fldChar w:fldCharType="separate"/>
          </w:r>
          <w:r>
            <w:t>11</w:t>
          </w:r>
          <w:r>
            <w:fldChar w:fldCharType="end"/>
          </w:r>
          <w:r>
            <w:fldChar w:fldCharType="end"/>
          </w:r>
        </w:p>
        <w:p>
          <w:pPr>
            <w:pStyle w:val="21"/>
            <w:tabs>
              <w:tab w:val="right" w:leader="dot" w:pos="8296"/>
            </w:tabs>
            <w:rPr>
              <w:rFonts w:asciiTheme="minorHAnsi" w:hAnsiTheme="minorHAnsi" w:eastAsiaTheme="minorEastAsia" w:cstheme="minorBidi"/>
              <w:kern w:val="2"/>
              <w:sz w:val="21"/>
            </w:rPr>
          </w:pPr>
          <w:r>
            <w:fldChar w:fldCharType="begin"/>
          </w:r>
          <w:r>
            <w:instrText xml:space="preserve"> HYPERLINK \l "_Toc37843247" </w:instrText>
          </w:r>
          <w:r>
            <w:fldChar w:fldCharType="separate"/>
          </w:r>
          <w:r>
            <w:rPr>
              <w:rStyle w:val="25"/>
              <w:rFonts w:asciiTheme="majorBidi" w:hAnsiTheme="majorBidi"/>
            </w:rPr>
            <w:t>4.2  control Index of Environmental Friendly Dredging</w:t>
          </w:r>
          <w:r>
            <w:tab/>
          </w:r>
          <w:r>
            <w:fldChar w:fldCharType="begin"/>
          </w:r>
          <w:r>
            <w:instrText xml:space="preserve"> PAGEREF _Toc37843247 \h </w:instrText>
          </w:r>
          <w:r>
            <w:fldChar w:fldCharType="separate"/>
          </w:r>
          <w:r>
            <w:t>11</w:t>
          </w:r>
          <w:r>
            <w:fldChar w:fldCharType="end"/>
          </w:r>
          <w:r>
            <w:fldChar w:fldCharType="end"/>
          </w:r>
        </w:p>
        <w:p>
          <w:pPr>
            <w:pStyle w:val="21"/>
            <w:tabs>
              <w:tab w:val="right" w:leader="dot" w:pos="8296"/>
            </w:tabs>
            <w:rPr>
              <w:rFonts w:asciiTheme="minorHAnsi" w:hAnsiTheme="minorHAnsi" w:eastAsiaTheme="minorEastAsia" w:cstheme="minorBidi"/>
              <w:kern w:val="2"/>
              <w:sz w:val="21"/>
            </w:rPr>
          </w:pPr>
          <w:r>
            <w:fldChar w:fldCharType="begin"/>
          </w:r>
          <w:r>
            <w:instrText xml:space="preserve"> HYPERLINK \l "_Toc37843248" </w:instrText>
          </w:r>
          <w:r>
            <w:fldChar w:fldCharType="separate"/>
          </w:r>
          <w:r>
            <w:rPr>
              <w:rStyle w:val="25"/>
            </w:rPr>
            <w:t>4.3  Scale Determination of Environmental Friendly Dredging</w:t>
          </w:r>
          <w:r>
            <w:tab/>
          </w:r>
          <w:r>
            <w:fldChar w:fldCharType="begin"/>
          </w:r>
          <w:r>
            <w:instrText xml:space="preserve"> PAGEREF _Toc37843248 \h </w:instrText>
          </w:r>
          <w:r>
            <w:fldChar w:fldCharType="separate"/>
          </w:r>
          <w:r>
            <w:t>11</w:t>
          </w:r>
          <w:r>
            <w:fldChar w:fldCharType="end"/>
          </w:r>
          <w:r>
            <w:fldChar w:fldCharType="end"/>
          </w:r>
        </w:p>
        <w:p>
          <w:pPr>
            <w:pStyle w:val="21"/>
            <w:tabs>
              <w:tab w:val="right" w:leader="dot" w:pos="8296"/>
            </w:tabs>
            <w:rPr>
              <w:rFonts w:asciiTheme="minorHAnsi" w:hAnsiTheme="minorHAnsi" w:eastAsiaTheme="minorEastAsia" w:cstheme="minorBidi"/>
              <w:kern w:val="2"/>
              <w:sz w:val="21"/>
            </w:rPr>
          </w:pPr>
          <w:r>
            <w:fldChar w:fldCharType="begin"/>
          </w:r>
          <w:r>
            <w:instrText xml:space="preserve"> HYPERLINK \l "_Toc37843249" </w:instrText>
          </w:r>
          <w:r>
            <w:fldChar w:fldCharType="separate"/>
          </w:r>
          <w:r>
            <w:rPr>
              <w:rStyle w:val="25"/>
            </w:rPr>
            <w:t>4.4  Depth Determination of Environmental Friendly Dredging</w:t>
          </w:r>
          <w:r>
            <w:tab/>
          </w:r>
          <w:r>
            <w:fldChar w:fldCharType="begin"/>
          </w:r>
          <w:r>
            <w:instrText xml:space="preserve"> PAGEREF _Toc37843249 \h </w:instrText>
          </w:r>
          <w:r>
            <w:fldChar w:fldCharType="separate"/>
          </w:r>
          <w:r>
            <w:t>11</w:t>
          </w:r>
          <w:r>
            <w:fldChar w:fldCharType="end"/>
          </w:r>
          <w:r>
            <w:fldChar w:fldCharType="end"/>
          </w:r>
        </w:p>
        <w:p>
          <w:pPr>
            <w:pStyle w:val="21"/>
            <w:tabs>
              <w:tab w:val="right" w:leader="dot" w:pos="8296"/>
            </w:tabs>
            <w:rPr>
              <w:rFonts w:asciiTheme="minorHAnsi" w:hAnsiTheme="minorHAnsi" w:eastAsiaTheme="minorEastAsia" w:cstheme="minorBidi"/>
              <w:kern w:val="2"/>
              <w:sz w:val="21"/>
            </w:rPr>
          </w:pPr>
          <w:r>
            <w:fldChar w:fldCharType="begin"/>
          </w:r>
          <w:r>
            <w:instrText xml:space="preserve"> HYPERLINK \l "_Toc37843250" </w:instrText>
          </w:r>
          <w:r>
            <w:fldChar w:fldCharType="separate"/>
          </w:r>
          <w:r>
            <w:rPr>
              <w:rStyle w:val="25"/>
            </w:rPr>
            <w:t>4.5  Quantity Calculation</w:t>
          </w:r>
          <w:r>
            <w:t xml:space="preserve"> </w:t>
          </w:r>
          <w:r>
            <w:rPr>
              <w:rStyle w:val="25"/>
            </w:rPr>
            <w:t>of Environmental Friendly Dredging</w:t>
          </w:r>
          <w:r>
            <w:tab/>
          </w:r>
          <w:r>
            <w:fldChar w:fldCharType="begin"/>
          </w:r>
          <w:r>
            <w:instrText xml:space="preserve"> PAGEREF _Toc37843250 \h </w:instrText>
          </w:r>
          <w:r>
            <w:fldChar w:fldCharType="separate"/>
          </w:r>
          <w:r>
            <w:t>12</w:t>
          </w:r>
          <w:r>
            <w:fldChar w:fldCharType="end"/>
          </w:r>
          <w:r>
            <w:fldChar w:fldCharType="end"/>
          </w:r>
        </w:p>
        <w:p>
          <w:pPr>
            <w:pStyle w:val="18"/>
            <w:tabs>
              <w:tab w:val="right" w:leader="dot" w:pos="8296"/>
            </w:tabs>
            <w:rPr>
              <w:rFonts w:asciiTheme="minorHAnsi" w:hAnsiTheme="minorHAnsi" w:eastAsiaTheme="minorEastAsia" w:cstheme="minorBidi"/>
              <w:kern w:val="2"/>
              <w:sz w:val="21"/>
            </w:rPr>
          </w:pPr>
          <w:r>
            <w:fldChar w:fldCharType="begin"/>
          </w:r>
          <w:r>
            <w:instrText xml:space="preserve"> HYPERLINK \l "_Toc37843251" </w:instrText>
          </w:r>
          <w:r>
            <w:fldChar w:fldCharType="separate"/>
          </w:r>
          <w:r>
            <w:rPr>
              <w:rStyle w:val="25"/>
            </w:rPr>
            <w:t>5  Environmental Friendly Dredging Construction</w:t>
          </w:r>
          <w:r>
            <w:tab/>
          </w:r>
          <w:r>
            <w:fldChar w:fldCharType="begin"/>
          </w:r>
          <w:r>
            <w:instrText xml:space="preserve"> PAGEREF _Toc37843251 \h </w:instrText>
          </w:r>
          <w:r>
            <w:fldChar w:fldCharType="separate"/>
          </w:r>
          <w:r>
            <w:t>16</w:t>
          </w:r>
          <w:r>
            <w:fldChar w:fldCharType="end"/>
          </w:r>
          <w:r>
            <w:fldChar w:fldCharType="end"/>
          </w:r>
        </w:p>
        <w:p>
          <w:pPr>
            <w:pStyle w:val="21"/>
            <w:tabs>
              <w:tab w:val="right" w:leader="dot" w:pos="8296"/>
            </w:tabs>
            <w:rPr>
              <w:rFonts w:asciiTheme="minorHAnsi" w:hAnsiTheme="minorHAnsi" w:eastAsiaTheme="minorEastAsia" w:cstheme="minorBidi"/>
              <w:kern w:val="2"/>
              <w:sz w:val="21"/>
            </w:rPr>
          </w:pPr>
          <w:r>
            <w:fldChar w:fldCharType="begin"/>
          </w:r>
          <w:r>
            <w:instrText xml:space="preserve"> HYPERLINK \l "_Toc37843252" </w:instrText>
          </w:r>
          <w:r>
            <w:fldChar w:fldCharType="separate"/>
          </w:r>
          <w:r>
            <w:rPr>
              <w:rStyle w:val="25"/>
            </w:rPr>
            <w:t xml:space="preserve">5.1  </w:t>
          </w:r>
          <w:r>
            <w:rPr>
              <w:rFonts w:ascii="TimesNewRomanPSMT" w:eastAsia="TimesNewRomanPSMT" w:cs="TimesNewRomanPSMT" w:hAnsiTheme="minorHAnsi"/>
              <w:sz w:val="21"/>
              <w:szCs w:val="21"/>
            </w:rPr>
            <w:t>General Requirement</w:t>
          </w:r>
          <w:r>
            <w:tab/>
          </w:r>
          <w:r>
            <w:fldChar w:fldCharType="begin"/>
          </w:r>
          <w:r>
            <w:instrText xml:space="preserve"> PAGEREF _Toc37843252 \h </w:instrText>
          </w:r>
          <w:r>
            <w:fldChar w:fldCharType="separate"/>
          </w:r>
          <w:r>
            <w:t>16</w:t>
          </w:r>
          <w:r>
            <w:fldChar w:fldCharType="end"/>
          </w:r>
          <w:r>
            <w:fldChar w:fldCharType="end"/>
          </w:r>
        </w:p>
        <w:p>
          <w:pPr>
            <w:pStyle w:val="21"/>
            <w:tabs>
              <w:tab w:val="right" w:leader="dot" w:pos="8296"/>
            </w:tabs>
            <w:rPr>
              <w:rFonts w:asciiTheme="minorHAnsi" w:hAnsiTheme="minorHAnsi" w:eastAsiaTheme="minorEastAsia" w:cstheme="minorBidi"/>
              <w:kern w:val="2"/>
              <w:sz w:val="21"/>
            </w:rPr>
          </w:pPr>
          <w:r>
            <w:fldChar w:fldCharType="begin"/>
          </w:r>
          <w:r>
            <w:instrText xml:space="preserve"> HYPERLINK \l "_Toc37843253" </w:instrText>
          </w:r>
          <w:r>
            <w:fldChar w:fldCharType="separate"/>
          </w:r>
          <w:r>
            <w:rPr>
              <w:rStyle w:val="25"/>
            </w:rPr>
            <w:t>5.2  Environmental Friendly Dredging Construction Area Division</w:t>
          </w:r>
          <w:r>
            <w:tab/>
          </w:r>
          <w:r>
            <w:fldChar w:fldCharType="begin"/>
          </w:r>
          <w:r>
            <w:instrText xml:space="preserve"> PAGEREF _Toc37843253 \h </w:instrText>
          </w:r>
          <w:r>
            <w:fldChar w:fldCharType="separate"/>
          </w:r>
          <w:r>
            <w:t>16</w:t>
          </w:r>
          <w:r>
            <w:fldChar w:fldCharType="end"/>
          </w:r>
          <w:r>
            <w:fldChar w:fldCharType="end"/>
          </w:r>
        </w:p>
        <w:p>
          <w:pPr>
            <w:pStyle w:val="21"/>
            <w:tabs>
              <w:tab w:val="right" w:leader="dot" w:pos="8296"/>
            </w:tabs>
            <w:rPr>
              <w:rFonts w:asciiTheme="minorHAnsi" w:hAnsiTheme="minorHAnsi" w:eastAsiaTheme="minorEastAsia" w:cstheme="minorBidi"/>
              <w:kern w:val="2"/>
              <w:sz w:val="21"/>
            </w:rPr>
          </w:pPr>
          <w:r>
            <w:fldChar w:fldCharType="begin"/>
          </w:r>
          <w:r>
            <w:instrText xml:space="preserve"> HYPERLINK \l "_Toc37843254" </w:instrText>
          </w:r>
          <w:r>
            <w:fldChar w:fldCharType="separate"/>
          </w:r>
          <w:r>
            <w:rPr>
              <w:rStyle w:val="25"/>
            </w:rPr>
            <w:t>5.3  Dredging Construction Method</w:t>
          </w:r>
          <w:r>
            <w:tab/>
          </w:r>
          <w:r>
            <w:fldChar w:fldCharType="begin"/>
          </w:r>
          <w:r>
            <w:instrText xml:space="preserve"> PAGEREF _Toc37843254 \h </w:instrText>
          </w:r>
          <w:r>
            <w:fldChar w:fldCharType="separate"/>
          </w:r>
          <w:r>
            <w:t>16</w:t>
          </w:r>
          <w:r>
            <w:fldChar w:fldCharType="end"/>
          </w:r>
          <w:r>
            <w:fldChar w:fldCharType="end"/>
          </w:r>
        </w:p>
        <w:p>
          <w:pPr>
            <w:pStyle w:val="21"/>
            <w:tabs>
              <w:tab w:val="right" w:leader="dot" w:pos="8296"/>
            </w:tabs>
            <w:rPr>
              <w:rFonts w:asciiTheme="minorHAnsi" w:hAnsiTheme="minorHAnsi" w:eastAsiaTheme="minorEastAsia" w:cstheme="minorBidi"/>
              <w:kern w:val="2"/>
              <w:sz w:val="21"/>
            </w:rPr>
          </w:pPr>
          <w:r>
            <w:fldChar w:fldCharType="begin"/>
          </w:r>
          <w:r>
            <w:instrText xml:space="preserve"> HYPERLINK \l "_Toc37843255" </w:instrText>
          </w:r>
          <w:r>
            <w:fldChar w:fldCharType="separate"/>
          </w:r>
          <w:r>
            <w:rPr>
              <w:rStyle w:val="25"/>
            </w:rPr>
            <w:t>5.4  Environmentally Friendly Dredging Equipment</w:t>
          </w:r>
          <w:r>
            <w:tab/>
          </w:r>
          <w:r>
            <w:fldChar w:fldCharType="begin"/>
          </w:r>
          <w:r>
            <w:instrText xml:space="preserve"> PAGEREF _Toc37843255 \h </w:instrText>
          </w:r>
          <w:r>
            <w:fldChar w:fldCharType="separate"/>
          </w:r>
          <w:r>
            <w:t>17</w:t>
          </w:r>
          <w:r>
            <w:fldChar w:fldCharType="end"/>
          </w:r>
          <w:r>
            <w:fldChar w:fldCharType="end"/>
          </w:r>
        </w:p>
        <w:p>
          <w:pPr>
            <w:pStyle w:val="21"/>
            <w:tabs>
              <w:tab w:val="right" w:leader="dot" w:pos="8296"/>
            </w:tabs>
            <w:rPr>
              <w:rFonts w:asciiTheme="minorHAnsi" w:hAnsiTheme="minorHAnsi" w:eastAsiaTheme="minorEastAsia" w:cstheme="minorBidi"/>
              <w:kern w:val="2"/>
              <w:sz w:val="21"/>
            </w:rPr>
          </w:pPr>
          <w:r>
            <w:fldChar w:fldCharType="begin"/>
          </w:r>
          <w:r>
            <w:instrText xml:space="preserve"> HYPERLINK \l "_Toc37843256" </w:instrText>
          </w:r>
          <w:r>
            <w:fldChar w:fldCharType="separate"/>
          </w:r>
          <w:r>
            <w:rPr>
              <w:rStyle w:val="25"/>
            </w:rPr>
            <w:t>5.5  Sediment Transport Mode</w:t>
          </w:r>
          <w:r>
            <w:tab/>
          </w:r>
          <w:r>
            <w:fldChar w:fldCharType="begin"/>
          </w:r>
          <w:r>
            <w:instrText xml:space="preserve"> PAGEREF _Toc37843256 \h </w:instrText>
          </w:r>
          <w:r>
            <w:fldChar w:fldCharType="separate"/>
          </w:r>
          <w:r>
            <w:t>17</w:t>
          </w:r>
          <w:r>
            <w:fldChar w:fldCharType="end"/>
          </w:r>
          <w:r>
            <w:fldChar w:fldCharType="end"/>
          </w:r>
        </w:p>
        <w:p>
          <w:pPr>
            <w:pStyle w:val="21"/>
            <w:tabs>
              <w:tab w:val="right" w:leader="dot" w:pos="8296"/>
            </w:tabs>
            <w:rPr>
              <w:rFonts w:asciiTheme="minorHAnsi" w:hAnsiTheme="minorHAnsi" w:eastAsiaTheme="minorEastAsia" w:cstheme="minorBidi"/>
              <w:kern w:val="2"/>
              <w:sz w:val="21"/>
            </w:rPr>
          </w:pPr>
          <w:r>
            <w:fldChar w:fldCharType="begin"/>
          </w:r>
          <w:r>
            <w:instrText xml:space="preserve"> HYPERLINK \l "_Toc37843257" </w:instrText>
          </w:r>
          <w:r>
            <w:fldChar w:fldCharType="separate"/>
          </w:r>
          <w:r>
            <w:rPr>
              <w:rStyle w:val="25"/>
            </w:rPr>
            <w:t>5.6  Drdging Construction Index</w:t>
          </w:r>
          <w:r>
            <w:tab/>
          </w:r>
          <w:r>
            <w:fldChar w:fldCharType="begin"/>
          </w:r>
          <w:r>
            <w:instrText xml:space="preserve"> PAGEREF _Toc37843257 \h </w:instrText>
          </w:r>
          <w:r>
            <w:fldChar w:fldCharType="separate"/>
          </w:r>
          <w:r>
            <w:t>17</w:t>
          </w:r>
          <w:r>
            <w:fldChar w:fldCharType="end"/>
          </w:r>
          <w:r>
            <w:fldChar w:fldCharType="end"/>
          </w:r>
        </w:p>
        <w:p>
          <w:pPr>
            <w:pStyle w:val="18"/>
            <w:tabs>
              <w:tab w:val="right" w:leader="dot" w:pos="8296"/>
            </w:tabs>
            <w:rPr>
              <w:rFonts w:asciiTheme="minorHAnsi" w:hAnsiTheme="minorHAnsi" w:eastAsiaTheme="minorEastAsia" w:cstheme="minorBidi"/>
              <w:kern w:val="2"/>
              <w:sz w:val="21"/>
            </w:rPr>
          </w:pPr>
          <w:r>
            <w:fldChar w:fldCharType="begin"/>
          </w:r>
          <w:r>
            <w:instrText xml:space="preserve"> HYPERLINK \l "_Toc37843258" </w:instrText>
          </w:r>
          <w:r>
            <w:fldChar w:fldCharType="separate"/>
          </w:r>
          <w:r>
            <w:rPr>
              <w:rStyle w:val="25"/>
            </w:rPr>
            <w:t>6  Sediment Treatment and Disposal Engineering</w:t>
          </w:r>
          <w:r>
            <w:tab/>
          </w:r>
          <w:r>
            <w:fldChar w:fldCharType="begin"/>
          </w:r>
          <w:r>
            <w:instrText xml:space="preserve"> PAGEREF _Toc37843258 \h </w:instrText>
          </w:r>
          <w:r>
            <w:fldChar w:fldCharType="separate"/>
          </w:r>
          <w:r>
            <w:t>19</w:t>
          </w:r>
          <w:r>
            <w:fldChar w:fldCharType="end"/>
          </w:r>
          <w:r>
            <w:fldChar w:fldCharType="end"/>
          </w:r>
        </w:p>
        <w:p>
          <w:pPr>
            <w:pStyle w:val="21"/>
            <w:tabs>
              <w:tab w:val="right" w:leader="dot" w:pos="8296"/>
            </w:tabs>
            <w:rPr>
              <w:rFonts w:asciiTheme="minorHAnsi" w:hAnsiTheme="minorHAnsi" w:eastAsiaTheme="minorEastAsia" w:cstheme="minorBidi"/>
              <w:kern w:val="2"/>
              <w:sz w:val="21"/>
            </w:rPr>
          </w:pPr>
          <w:r>
            <w:fldChar w:fldCharType="begin"/>
          </w:r>
          <w:r>
            <w:instrText xml:space="preserve"> HYPERLINK \l "_Toc37843259" </w:instrText>
          </w:r>
          <w:r>
            <w:fldChar w:fldCharType="separate"/>
          </w:r>
          <w:r>
            <w:rPr>
              <w:rStyle w:val="25"/>
            </w:rPr>
            <w:t xml:space="preserve">6.1  </w:t>
          </w:r>
          <w:r>
            <w:rPr>
              <w:rFonts w:ascii="TimesNewRomanPSMT" w:eastAsia="TimesNewRomanPSMT" w:cs="TimesNewRomanPSMT" w:hAnsiTheme="minorHAnsi"/>
              <w:sz w:val="21"/>
              <w:szCs w:val="21"/>
            </w:rPr>
            <w:t>General Requirement</w:t>
          </w:r>
          <w:r>
            <w:tab/>
          </w:r>
          <w:r>
            <w:fldChar w:fldCharType="begin"/>
          </w:r>
          <w:r>
            <w:instrText xml:space="preserve"> PAGEREF _Toc37843259 \h </w:instrText>
          </w:r>
          <w:r>
            <w:fldChar w:fldCharType="separate"/>
          </w:r>
          <w:r>
            <w:t>19</w:t>
          </w:r>
          <w:r>
            <w:fldChar w:fldCharType="end"/>
          </w:r>
          <w:r>
            <w:fldChar w:fldCharType="end"/>
          </w:r>
        </w:p>
        <w:p>
          <w:pPr>
            <w:pStyle w:val="21"/>
            <w:tabs>
              <w:tab w:val="right" w:leader="dot" w:pos="8296"/>
            </w:tabs>
            <w:rPr>
              <w:rFonts w:asciiTheme="minorHAnsi" w:hAnsiTheme="minorHAnsi" w:eastAsiaTheme="minorEastAsia" w:cstheme="minorBidi"/>
              <w:kern w:val="2"/>
              <w:sz w:val="21"/>
            </w:rPr>
          </w:pPr>
          <w:r>
            <w:fldChar w:fldCharType="begin"/>
          </w:r>
          <w:r>
            <w:instrText xml:space="preserve"> HYPERLINK \l "_Toc37843260" </w:instrText>
          </w:r>
          <w:r>
            <w:fldChar w:fldCharType="separate"/>
          </w:r>
          <w:r>
            <w:rPr>
              <w:rStyle w:val="25"/>
            </w:rPr>
            <w:t>6.2</w:t>
          </w:r>
          <w:r>
            <w:t xml:space="preserve">  </w:t>
          </w:r>
          <w:r>
            <w:rPr>
              <w:rStyle w:val="25"/>
            </w:rPr>
            <w:t>Treatment Technology</w:t>
          </w:r>
          <w:r>
            <w:tab/>
          </w:r>
          <w:r>
            <w:fldChar w:fldCharType="begin"/>
          </w:r>
          <w:r>
            <w:instrText xml:space="preserve"> PAGEREF _Toc37843260 \h </w:instrText>
          </w:r>
          <w:r>
            <w:fldChar w:fldCharType="separate"/>
          </w:r>
          <w:r>
            <w:t>19</w:t>
          </w:r>
          <w:r>
            <w:fldChar w:fldCharType="end"/>
          </w:r>
          <w:r>
            <w:fldChar w:fldCharType="end"/>
          </w:r>
        </w:p>
        <w:p>
          <w:pPr>
            <w:pStyle w:val="21"/>
            <w:tabs>
              <w:tab w:val="right" w:leader="dot" w:pos="8296"/>
            </w:tabs>
            <w:rPr>
              <w:rFonts w:asciiTheme="minorHAnsi" w:hAnsiTheme="minorHAnsi" w:eastAsiaTheme="minorEastAsia" w:cstheme="minorBidi"/>
              <w:kern w:val="2"/>
              <w:sz w:val="21"/>
            </w:rPr>
          </w:pPr>
          <w:r>
            <w:fldChar w:fldCharType="begin"/>
          </w:r>
          <w:r>
            <w:instrText xml:space="preserve"> HYPERLINK \l "_Toc37843261" </w:instrText>
          </w:r>
          <w:r>
            <w:fldChar w:fldCharType="separate"/>
          </w:r>
          <w:r>
            <w:rPr>
              <w:rStyle w:val="25"/>
            </w:rPr>
            <w:t>6.3  Treatment Steps</w:t>
          </w:r>
          <w:r>
            <w:tab/>
          </w:r>
          <w:r>
            <w:fldChar w:fldCharType="begin"/>
          </w:r>
          <w:r>
            <w:instrText xml:space="preserve"> PAGEREF _Toc37843261 \h </w:instrText>
          </w:r>
          <w:r>
            <w:fldChar w:fldCharType="separate"/>
          </w:r>
          <w:r>
            <w:t>20</w:t>
          </w:r>
          <w:r>
            <w:fldChar w:fldCharType="end"/>
          </w:r>
          <w:r>
            <w:fldChar w:fldCharType="end"/>
          </w:r>
        </w:p>
        <w:p>
          <w:pPr>
            <w:pStyle w:val="21"/>
            <w:tabs>
              <w:tab w:val="right" w:leader="dot" w:pos="8296"/>
            </w:tabs>
            <w:rPr>
              <w:rFonts w:asciiTheme="minorHAnsi" w:hAnsiTheme="minorHAnsi" w:eastAsiaTheme="minorEastAsia" w:cstheme="minorBidi"/>
              <w:kern w:val="2"/>
              <w:sz w:val="21"/>
            </w:rPr>
          </w:pPr>
          <w:r>
            <w:fldChar w:fldCharType="begin"/>
          </w:r>
          <w:r>
            <w:instrText xml:space="preserve"> HYPERLINK \l "_Toc37843262" </w:instrText>
          </w:r>
          <w:r>
            <w:fldChar w:fldCharType="separate"/>
          </w:r>
          <w:r>
            <w:rPr>
              <w:rStyle w:val="25"/>
            </w:rPr>
            <w:t xml:space="preserve">6.4  </w:t>
          </w:r>
          <w:r>
            <w:t>G</w:t>
          </w:r>
          <w:r>
            <w:rPr>
              <w:rFonts w:hint="eastAsia"/>
            </w:rPr>
            <w:t>arbage</w:t>
          </w:r>
          <w:r>
            <w:t xml:space="preserve"> Disposal</w:t>
          </w:r>
          <w:r>
            <w:tab/>
          </w:r>
          <w:r>
            <w:fldChar w:fldCharType="begin"/>
          </w:r>
          <w:r>
            <w:instrText xml:space="preserve"> PAGEREF _Toc37843262 \h </w:instrText>
          </w:r>
          <w:r>
            <w:fldChar w:fldCharType="separate"/>
          </w:r>
          <w:r>
            <w:t>20</w:t>
          </w:r>
          <w:r>
            <w:fldChar w:fldCharType="end"/>
          </w:r>
          <w:r>
            <w:fldChar w:fldCharType="end"/>
          </w:r>
        </w:p>
        <w:p>
          <w:pPr>
            <w:pStyle w:val="21"/>
            <w:tabs>
              <w:tab w:val="right" w:leader="dot" w:pos="8296"/>
            </w:tabs>
            <w:rPr>
              <w:rFonts w:asciiTheme="minorHAnsi" w:hAnsiTheme="minorHAnsi" w:eastAsiaTheme="minorEastAsia" w:cstheme="minorBidi"/>
              <w:kern w:val="2"/>
              <w:sz w:val="21"/>
            </w:rPr>
          </w:pPr>
          <w:r>
            <w:fldChar w:fldCharType="begin"/>
          </w:r>
          <w:r>
            <w:instrText xml:space="preserve"> HYPERLINK \l "_Toc37843263" </w:instrText>
          </w:r>
          <w:r>
            <w:fldChar w:fldCharType="separate"/>
          </w:r>
          <w:r>
            <w:rPr>
              <w:rStyle w:val="25"/>
            </w:rPr>
            <w:t xml:space="preserve">6.5  </w:t>
          </w:r>
          <w:r>
            <w:t>R</w:t>
          </w:r>
          <w:r>
            <w:rPr>
              <w:rFonts w:hint="eastAsia"/>
            </w:rPr>
            <w:t>e</w:t>
          </w:r>
          <w:r>
            <w:t>sidue Sand Disposal</w:t>
          </w:r>
          <w:r>
            <w:tab/>
          </w:r>
          <w:r>
            <w:fldChar w:fldCharType="begin"/>
          </w:r>
          <w:r>
            <w:instrText xml:space="preserve"> PAGEREF _Toc37843263 \h </w:instrText>
          </w:r>
          <w:r>
            <w:fldChar w:fldCharType="separate"/>
          </w:r>
          <w:r>
            <w:t>21</w:t>
          </w:r>
          <w:r>
            <w:fldChar w:fldCharType="end"/>
          </w:r>
          <w:r>
            <w:fldChar w:fldCharType="end"/>
          </w:r>
        </w:p>
        <w:p>
          <w:pPr>
            <w:pStyle w:val="21"/>
            <w:tabs>
              <w:tab w:val="right" w:leader="dot" w:pos="8296"/>
            </w:tabs>
            <w:rPr>
              <w:rFonts w:asciiTheme="minorHAnsi" w:hAnsiTheme="minorHAnsi" w:eastAsiaTheme="minorEastAsia" w:cstheme="minorBidi"/>
              <w:kern w:val="2"/>
              <w:sz w:val="21"/>
            </w:rPr>
          </w:pPr>
          <w:r>
            <w:fldChar w:fldCharType="begin"/>
          </w:r>
          <w:r>
            <w:instrText xml:space="preserve"> HYPERLINK \l "_Toc37843264" </w:instrText>
          </w:r>
          <w:r>
            <w:fldChar w:fldCharType="separate"/>
          </w:r>
          <w:r>
            <w:rPr>
              <w:rStyle w:val="25"/>
            </w:rPr>
            <w:t xml:space="preserve">6.6  </w:t>
          </w:r>
          <w:r>
            <w:t>Residue Soil Disposal</w:t>
          </w:r>
          <w:r>
            <w:tab/>
          </w:r>
          <w:r>
            <w:fldChar w:fldCharType="begin"/>
          </w:r>
          <w:r>
            <w:instrText xml:space="preserve"> PAGEREF _Toc37843264 \h </w:instrText>
          </w:r>
          <w:r>
            <w:fldChar w:fldCharType="separate"/>
          </w:r>
          <w:r>
            <w:t>22</w:t>
          </w:r>
          <w:r>
            <w:fldChar w:fldCharType="end"/>
          </w:r>
          <w:r>
            <w:fldChar w:fldCharType="end"/>
          </w:r>
        </w:p>
        <w:p>
          <w:pPr>
            <w:pStyle w:val="21"/>
            <w:tabs>
              <w:tab w:val="right" w:leader="dot" w:pos="8296"/>
            </w:tabs>
            <w:rPr>
              <w:rFonts w:asciiTheme="minorHAnsi" w:hAnsiTheme="minorHAnsi" w:eastAsiaTheme="minorEastAsia" w:cstheme="minorBidi"/>
              <w:kern w:val="2"/>
              <w:sz w:val="21"/>
            </w:rPr>
          </w:pPr>
          <w:r>
            <w:fldChar w:fldCharType="begin"/>
          </w:r>
          <w:r>
            <w:instrText xml:space="preserve"> HYPERLINK \l "_Toc37843265" </w:instrText>
          </w:r>
          <w:r>
            <w:fldChar w:fldCharType="separate"/>
          </w:r>
          <w:r>
            <w:rPr>
              <w:rStyle w:val="25"/>
            </w:rPr>
            <w:t xml:space="preserve">6.7  </w:t>
          </w:r>
          <w:r>
            <w:t>Residue Water</w:t>
          </w:r>
          <w:r>
            <w:rPr>
              <w:rStyle w:val="25"/>
            </w:rPr>
            <w:t xml:space="preserve"> Reatment and Discharge</w:t>
          </w:r>
          <w:r>
            <w:tab/>
          </w:r>
          <w:r>
            <w:fldChar w:fldCharType="begin"/>
          </w:r>
          <w:r>
            <w:instrText xml:space="preserve"> PAGEREF _Toc37843265 \h </w:instrText>
          </w:r>
          <w:r>
            <w:fldChar w:fldCharType="separate"/>
          </w:r>
          <w:r>
            <w:t>23</w:t>
          </w:r>
          <w:r>
            <w:fldChar w:fldCharType="end"/>
          </w:r>
          <w:r>
            <w:fldChar w:fldCharType="end"/>
          </w:r>
        </w:p>
        <w:p>
          <w:pPr>
            <w:pStyle w:val="18"/>
            <w:tabs>
              <w:tab w:val="right" w:leader="dot" w:pos="8296"/>
            </w:tabs>
            <w:rPr>
              <w:rFonts w:asciiTheme="minorHAnsi" w:hAnsiTheme="minorHAnsi" w:eastAsiaTheme="minorEastAsia" w:cstheme="minorBidi"/>
              <w:kern w:val="2"/>
              <w:sz w:val="21"/>
            </w:rPr>
          </w:pPr>
          <w:r>
            <w:fldChar w:fldCharType="begin"/>
          </w:r>
          <w:r>
            <w:instrText xml:space="preserve"> HYPERLINK \l "_Toc37843266" </w:instrText>
          </w:r>
          <w:r>
            <w:fldChar w:fldCharType="separate"/>
          </w:r>
          <w:r>
            <w:rPr>
              <w:rStyle w:val="25"/>
            </w:rPr>
            <w:t xml:space="preserve">7  </w:t>
          </w:r>
          <w:r>
            <w:t>Construction of S</w:t>
          </w:r>
          <w:r>
            <w:rPr>
              <w:rFonts w:hint="eastAsia"/>
            </w:rPr>
            <w:t>ediment</w:t>
          </w:r>
          <w:r>
            <w:t xml:space="preserve"> Treatment Plant</w:t>
          </w:r>
          <w:r>
            <w:tab/>
          </w:r>
          <w:r>
            <w:fldChar w:fldCharType="begin"/>
          </w:r>
          <w:r>
            <w:instrText xml:space="preserve"> PAGEREF _Toc37843266 \h </w:instrText>
          </w:r>
          <w:r>
            <w:fldChar w:fldCharType="separate"/>
          </w:r>
          <w:r>
            <w:t>25</w:t>
          </w:r>
          <w:r>
            <w:fldChar w:fldCharType="end"/>
          </w:r>
          <w:r>
            <w:fldChar w:fldCharType="end"/>
          </w:r>
        </w:p>
        <w:p>
          <w:pPr>
            <w:pStyle w:val="21"/>
            <w:tabs>
              <w:tab w:val="right" w:leader="dot" w:pos="8296"/>
            </w:tabs>
            <w:rPr>
              <w:rFonts w:asciiTheme="minorHAnsi" w:hAnsiTheme="minorHAnsi" w:eastAsiaTheme="minorEastAsia" w:cstheme="minorBidi"/>
              <w:kern w:val="2"/>
              <w:sz w:val="21"/>
            </w:rPr>
          </w:pPr>
          <w:r>
            <w:fldChar w:fldCharType="begin"/>
          </w:r>
          <w:r>
            <w:instrText xml:space="preserve"> HYPERLINK \l "_Toc37843267" </w:instrText>
          </w:r>
          <w:r>
            <w:fldChar w:fldCharType="separate"/>
          </w:r>
          <w:r>
            <w:rPr>
              <w:rStyle w:val="25"/>
              <w:rFonts w:asciiTheme="majorBidi" w:hAnsiTheme="majorBidi"/>
            </w:rPr>
            <w:t xml:space="preserve">7.1  </w:t>
          </w:r>
          <w:r>
            <w:rPr>
              <w:rFonts w:ascii="TimesNewRomanPSMT" w:eastAsia="TimesNewRomanPSMT" w:cs="TimesNewRomanPSMT" w:hAnsiTheme="minorHAnsi"/>
              <w:sz w:val="21"/>
              <w:szCs w:val="21"/>
            </w:rPr>
            <w:t>General Requirement</w:t>
          </w:r>
          <w:r>
            <w:tab/>
          </w:r>
          <w:r>
            <w:fldChar w:fldCharType="begin"/>
          </w:r>
          <w:r>
            <w:instrText xml:space="preserve"> PAGEREF _Toc37843267 \h </w:instrText>
          </w:r>
          <w:r>
            <w:fldChar w:fldCharType="separate"/>
          </w:r>
          <w:r>
            <w:t>25</w:t>
          </w:r>
          <w:r>
            <w:fldChar w:fldCharType="end"/>
          </w:r>
          <w:r>
            <w:fldChar w:fldCharType="end"/>
          </w:r>
        </w:p>
        <w:p>
          <w:pPr>
            <w:pStyle w:val="21"/>
            <w:tabs>
              <w:tab w:val="right" w:leader="dot" w:pos="8296"/>
            </w:tabs>
            <w:rPr>
              <w:rFonts w:asciiTheme="minorHAnsi" w:hAnsiTheme="minorHAnsi" w:eastAsiaTheme="minorEastAsia" w:cstheme="minorBidi"/>
              <w:kern w:val="2"/>
              <w:sz w:val="21"/>
            </w:rPr>
          </w:pPr>
          <w:r>
            <w:fldChar w:fldCharType="begin"/>
          </w:r>
          <w:r>
            <w:instrText xml:space="preserve"> HYPERLINK \l "_Toc37843268" </w:instrText>
          </w:r>
          <w:r>
            <w:fldChar w:fldCharType="separate"/>
          </w:r>
          <w:r>
            <w:rPr>
              <w:rStyle w:val="25"/>
              <w:rFonts w:asciiTheme="majorBidi" w:hAnsiTheme="majorBidi"/>
            </w:rPr>
            <w:t>7.2  Project Compositions</w:t>
          </w:r>
          <w:r>
            <w:tab/>
          </w:r>
          <w:r>
            <w:fldChar w:fldCharType="begin"/>
          </w:r>
          <w:r>
            <w:instrText xml:space="preserve"> PAGEREF _Toc37843268 \h </w:instrText>
          </w:r>
          <w:r>
            <w:fldChar w:fldCharType="separate"/>
          </w:r>
          <w:r>
            <w:t>25</w:t>
          </w:r>
          <w:r>
            <w:fldChar w:fldCharType="end"/>
          </w:r>
          <w:r>
            <w:fldChar w:fldCharType="end"/>
          </w:r>
        </w:p>
        <w:p>
          <w:pPr>
            <w:pStyle w:val="21"/>
            <w:tabs>
              <w:tab w:val="right" w:leader="dot" w:pos="8296"/>
            </w:tabs>
            <w:rPr>
              <w:rFonts w:asciiTheme="minorHAnsi" w:hAnsiTheme="minorHAnsi" w:eastAsiaTheme="minorEastAsia" w:cstheme="minorBidi"/>
              <w:kern w:val="2"/>
              <w:sz w:val="21"/>
            </w:rPr>
          </w:pPr>
          <w:r>
            <w:fldChar w:fldCharType="begin"/>
          </w:r>
          <w:r>
            <w:instrText xml:space="preserve"> HYPERLINK \l "_Toc37843269" </w:instrText>
          </w:r>
          <w:r>
            <w:fldChar w:fldCharType="separate"/>
          </w:r>
          <w:r>
            <w:rPr>
              <w:rStyle w:val="25"/>
              <w:rFonts w:asciiTheme="majorBidi" w:hAnsiTheme="majorBidi"/>
            </w:rPr>
            <w:t>7.3  Site Selection</w:t>
          </w:r>
          <w:r>
            <w:tab/>
          </w:r>
          <w:r>
            <w:fldChar w:fldCharType="begin"/>
          </w:r>
          <w:r>
            <w:instrText xml:space="preserve"> PAGEREF _Toc37843269 \h </w:instrText>
          </w:r>
          <w:r>
            <w:fldChar w:fldCharType="separate"/>
          </w:r>
          <w:r>
            <w:t>25</w:t>
          </w:r>
          <w:r>
            <w:fldChar w:fldCharType="end"/>
          </w:r>
          <w:r>
            <w:fldChar w:fldCharType="end"/>
          </w:r>
        </w:p>
        <w:p>
          <w:pPr>
            <w:pStyle w:val="21"/>
            <w:tabs>
              <w:tab w:val="right" w:leader="dot" w:pos="8296"/>
            </w:tabs>
            <w:rPr>
              <w:rFonts w:asciiTheme="minorHAnsi" w:hAnsiTheme="minorHAnsi" w:eastAsiaTheme="minorEastAsia" w:cstheme="minorBidi"/>
              <w:kern w:val="2"/>
              <w:sz w:val="21"/>
            </w:rPr>
          </w:pPr>
          <w:r>
            <w:fldChar w:fldCharType="begin"/>
          </w:r>
          <w:r>
            <w:instrText xml:space="preserve"> HYPERLINK \l "_Toc37843270" </w:instrText>
          </w:r>
          <w:r>
            <w:fldChar w:fldCharType="separate"/>
          </w:r>
          <w:r>
            <w:rPr>
              <w:rStyle w:val="25"/>
              <w:rFonts w:asciiTheme="majorBidi" w:hAnsiTheme="majorBidi"/>
            </w:rPr>
            <w:t>7.4  Technology and Production System</w:t>
          </w:r>
          <w:r>
            <w:tab/>
          </w:r>
          <w:r>
            <w:fldChar w:fldCharType="begin"/>
          </w:r>
          <w:r>
            <w:instrText xml:space="preserve"> PAGEREF _Toc37843270 \h </w:instrText>
          </w:r>
          <w:r>
            <w:fldChar w:fldCharType="separate"/>
          </w:r>
          <w:r>
            <w:t>26</w:t>
          </w:r>
          <w:r>
            <w:fldChar w:fldCharType="end"/>
          </w:r>
          <w:r>
            <w:fldChar w:fldCharType="end"/>
          </w:r>
        </w:p>
        <w:p>
          <w:pPr>
            <w:pStyle w:val="21"/>
            <w:tabs>
              <w:tab w:val="right" w:leader="dot" w:pos="8296"/>
            </w:tabs>
            <w:rPr>
              <w:rFonts w:asciiTheme="minorHAnsi" w:hAnsiTheme="minorHAnsi" w:eastAsiaTheme="minorEastAsia" w:cstheme="minorBidi"/>
              <w:kern w:val="2"/>
              <w:sz w:val="21"/>
            </w:rPr>
          </w:pPr>
          <w:r>
            <w:fldChar w:fldCharType="begin"/>
          </w:r>
          <w:r>
            <w:instrText xml:space="preserve"> HYPERLINK \l "_Toc37843271" </w:instrText>
          </w:r>
          <w:r>
            <w:fldChar w:fldCharType="separate"/>
          </w:r>
          <w:r>
            <w:rPr>
              <w:rStyle w:val="25"/>
            </w:rPr>
            <w:t>7.5  Auxiliary Facilities</w:t>
          </w:r>
          <w:r>
            <w:tab/>
          </w:r>
          <w:r>
            <w:fldChar w:fldCharType="begin"/>
          </w:r>
          <w:r>
            <w:instrText xml:space="preserve"> PAGEREF _Toc37843271 \h </w:instrText>
          </w:r>
          <w:r>
            <w:fldChar w:fldCharType="separate"/>
          </w:r>
          <w:r>
            <w:t>27</w:t>
          </w:r>
          <w:r>
            <w:fldChar w:fldCharType="end"/>
          </w:r>
          <w:r>
            <w:fldChar w:fldCharType="end"/>
          </w:r>
        </w:p>
        <w:p>
          <w:pPr>
            <w:pStyle w:val="21"/>
            <w:tabs>
              <w:tab w:val="right" w:leader="dot" w:pos="8296"/>
            </w:tabs>
            <w:rPr>
              <w:rFonts w:asciiTheme="minorHAnsi" w:hAnsiTheme="minorHAnsi" w:eastAsiaTheme="minorEastAsia" w:cstheme="minorBidi"/>
              <w:kern w:val="2"/>
              <w:sz w:val="21"/>
            </w:rPr>
          </w:pPr>
          <w:r>
            <w:fldChar w:fldCharType="begin"/>
          </w:r>
          <w:r>
            <w:instrText xml:space="preserve"> HYPERLINK \l "_Toc37843272" </w:instrText>
          </w:r>
          <w:r>
            <w:fldChar w:fldCharType="separate"/>
          </w:r>
          <w:r>
            <w:rPr>
              <w:rStyle w:val="25"/>
            </w:rPr>
            <w:t>7.6  Civil Engineering and Construction Land</w:t>
          </w:r>
          <w:r>
            <w:tab/>
          </w:r>
          <w:r>
            <w:fldChar w:fldCharType="begin"/>
          </w:r>
          <w:r>
            <w:instrText xml:space="preserve"> PAGEREF _Toc37843272 \h </w:instrText>
          </w:r>
          <w:r>
            <w:fldChar w:fldCharType="separate"/>
          </w:r>
          <w:r>
            <w:t>28</w:t>
          </w:r>
          <w:r>
            <w:fldChar w:fldCharType="end"/>
          </w:r>
          <w:r>
            <w:fldChar w:fldCharType="end"/>
          </w:r>
        </w:p>
        <w:p>
          <w:pPr>
            <w:pStyle w:val="21"/>
            <w:tabs>
              <w:tab w:val="right" w:leader="dot" w:pos="8296"/>
            </w:tabs>
            <w:rPr>
              <w:rFonts w:asciiTheme="minorHAnsi" w:hAnsiTheme="minorHAnsi" w:eastAsiaTheme="minorEastAsia" w:cstheme="minorBidi"/>
              <w:kern w:val="2"/>
              <w:sz w:val="21"/>
            </w:rPr>
          </w:pPr>
          <w:r>
            <w:fldChar w:fldCharType="begin"/>
          </w:r>
          <w:r>
            <w:instrText xml:space="preserve"> HYPERLINK \l "_Toc37843273" </w:instrText>
          </w:r>
          <w:r>
            <w:fldChar w:fldCharType="separate"/>
          </w:r>
          <w:r>
            <w:rPr>
              <w:rStyle w:val="25"/>
            </w:rPr>
            <w:t>7.7  Environmental Protection and Water and Soil Conservation</w:t>
          </w:r>
          <w:r>
            <w:tab/>
          </w:r>
          <w:r>
            <w:fldChar w:fldCharType="begin"/>
          </w:r>
          <w:r>
            <w:instrText xml:space="preserve"> PAGEREF _Toc37843273 \h </w:instrText>
          </w:r>
          <w:r>
            <w:fldChar w:fldCharType="separate"/>
          </w:r>
          <w:r>
            <w:t>28</w:t>
          </w:r>
          <w:r>
            <w:fldChar w:fldCharType="end"/>
          </w:r>
          <w:r>
            <w:fldChar w:fldCharType="end"/>
          </w:r>
        </w:p>
        <w:p>
          <w:pPr>
            <w:pStyle w:val="18"/>
            <w:tabs>
              <w:tab w:val="right" w:leader="dot" w:pos="8296"/>
            </w:tabs>
            <w:rPr>
              <w:rFonts w:asciiTheme="minorHAnsi" w:hAnsiTheme="minorHAnsi" w:eastAsiaTheme="minorEastAsia" w:cstheme="minorBidi"/>
              <w:kern w:val="2"/>
              <w:sz w:val="21"/>
            </w:rPr>
          </w:pPr>
          <w:r>
            <w:fldChar w:fldCharType="begin"/>
          </w:r>
          <w:r>
            <w:instrText xml:space="preserve"> HYPERLINK \l "_Toc37843274" </w:instrText>
          </w:r>
          <w:r>
            <w:fldChar w:fldCharType="separate"/>
          </w:r>
          <w:r>
            <w:rPr>
              <w:rFonts w:ascii="TimesNewRomanPSMT" w:eastAsia="TimesNewRomanPSMT" w:cs="TimesNewRomanPSMT" w:hAnsiTheme="minorHAnsi"/>
              <w:sz w:val="21"/>
              <w:szCs w:val="21"/>
            </w:rPr>
            <w:t>Explanation of Wording in This Specification</w:t>
          </w:r>
          <w:r>
            <w:tab/>
          </w:r>
          <w:r>
            <w:fldChar w:fldCharType="begin"/>
          </w:r>
          <w:r>
            <w:instrText xml:space="preserve"> PAGEREF _Toc37843274 \h </w:instrText>
          </w:r>
          <w:r>
            <w:fldChar w:fldCharType="separate"/>
          </w:r>
          <w:r>
            <w:t>30</w:t>
          </w:r>
          <w:r>
            <w:fldChar w:fldCharType="end"/>
          </w:r>
          <w:r>
            <w:fldChar w:fldCharType="end"/>
          </w:r>
        </w:p>
        <w:p>
          <w:pPr>
            <w:pStyle w:val="18"/>
            <w:tabs>
              <w:tab w:val="right" w:leader="dot" w:pos="8296"/>
            </w:tabs>
            <w:rPr>
              <w:rFonts w:asciiTheme="minorHAnsi" w:hAnsiTheme="minorHAnsi" w:eastAsiaTheme="minorEastAsia" w:cstheme="minorBidi"/>
              <w:kern w:val="2"/>
              <w:sz w:val="21"/>
            </w:rPr>
          </w:pPr>
          <w:r>
            <w:fldChar w:fldCharType="begin"/>
          </w:r>
          <w:r>
            <w:instrText xml:space="preserve"> HYPERLINK \l "_Toc37843275" </w:instrText>
          </w:r>
          <w:r>
            <w:fldChar w:fldCharType="separate"/>
          </w:r>
          <w:r>
            <w:rPr>
              <w:rFonts w:ascii="TimesNewRomanPSMT" w:eastAsia="TimesNewRomanPSMT" w:cs="TimesNewRomanPSMT" w:hAnsiTheme="minorHAnsi"/>
              <w:sz w:val="21"/>
              <w:szCs w:val="21"/>
            </w:rPr>
            <w:t>List of Quoted Standards</w:t>
          </w:r>
          <w:r>
            <w:tab/>
          </w:r>
          <w:r>
            <w:fldChar w:fldCharType="begin"/>
          </w:r>
          <w:r>
            <w:instrText xml:space="preserve"> PAGEREF _Toc37843275 \h </w:instrText>
          </w:r>
          <w:r>
            <w:fldChar w:fldCharType="separate"/>
          </w:r>
          <w:r>
            <w:t>31</w:t>
          </w:r>
          <w:r>
            <w:fldChar w:fldCharType="end"/>
          </w:r>
          <w:r>
            <w:fldChar w:fldCharType="end"/>
          </w:r>
        </w:p>
        <w:p>
          <w:pPr>
            <w:pStyle w:val="18"/>
            <w:tabs>
              <w:tab w:val="right" w:leader="dot" w:pos="8296"/>
            </w:tabs>
            <w:rPr>
              <w:rFonts w:asciiTheme="minorHAnsi" w:hAnsiTheme="minorHAnsi" w:eastAsiaTheme="minorEastAsia" w:cstheme="minorBidi"/>
              <w:kern w:val="2"/>
              <w:sz w:val="21"/>
            </w:rPr>
          </w:pPr>
          <w:r>
            <w:fldChar w:fldCharType="begin"/>
          </w:r>
          <w:r>
            <w:instrText xml:space="preserve"> HYPERLINK \l "_Toc37843276" </w:instrText>
          </w:r>
          <w:r>
            <w:fldChar w:fldCharType="separate"/>
          </w:r>
          <w:r>
            <w:rPr>
              <w:rFonts w:ascii="TimesNewRomanPSMT" w:eastAsia="TimesNewRomanPSMT" w:cs="TimesNewRomanPSMT" w:hAnsiTheme="minorHAnsi"/>
              <w:sz w:val="21"/>
              <w:szCs w:val="21"/>
            </w:rPr>
            <w:t>Addition: Explanation of Provisions</w:t>
          </w:r>
          <w:r>
            <w:tab/>
          </w:r>
          <w:r>
            <w:fldChar w:fldCharType="begin"/>
          </w:r>
          <w:r>
            <w:instrText xml:space="preserve"> PAGEREF _Toc37843276 \h </w:instrText>
          </w:r>
          <w:r>
            <w:fldChar w:fldCharType="separate"/>
          </w:r>
          <w:r>
            <w:t>32</w:t>
          </w:r>
          <w:r>
            <w:fldChar w:fldCharType="end"/>
          </w:r>
          <w:r>
            <w:fldChar w:fldCharType="end"/>
          </w:r>
        </w:p>
        <w:p>
          <w:pPr>
            <w:ind w:firstLine="440"/>
            <w:rPr>
              <w:b/>
              <w:bCs/>
              <w:lang w:val="zh-CN"/>
            </w:rPr>
          </w:pPr>
          <w:r>
            <w:rPr>
              <w:rFonts w:cs="Times New Roman"/>
              <w:kern w:val="0"/>
              <w:sz w:val="22"/>
            </w:rPr>
            <w:fldChar w:fldCharType="end"/>
          </w:r>
        </w:p>
      </w:sdtContent>
    </w:sdt>
    <w:p>
      <w:pPr>
        <w:autoSpaceDE w:val="0"/>
        <w:autoSpaceDN w:val="0"/>
        <w:adjustRightInd w:val="0"/>
        <w:ind w:firstLine="537" w:firstLineChars="192"/>
        <w:jc w:val="left"/>
        <w:rPr>
          <w:sz w:val="28"/>
          <w:szCs w:val="28"/>
        </w:rPr>
        <w:sectPr>
          <w:footerReference r:id="rId9" w:type="default"/>
          <w:pgSz w:w="11906" w:h="16838"/>
          <w:pgMar w:top="1440" w:right="1800" w:bottom="1440" w:left="1800" w:header="851" w:footer="992" w:gutter="0"/>
          <w:pgNumType w:fmt="upperRoman" w:start="1"/>
          <w:cols w:space="425" w:num="1"/>
          <w:docGrid w:type="lines" w:linePitch="312" w:charSpace="0"/>
        </w:sectPr>
      </w:pPr>
    </w:p>
    <w:p>
      <w:pPr>
        <w:pStyle w:val="2"/>
      </w:pPr>
      <w:bookmarkStart w:id="3" w:name="_Toc37843232"/>
      <w:bookmarkStart w:id="4" w:name="_Toc4769411"/>
      <w:r>
        <w:rPr>
          <w:rFonts w:hint="eastAsia"/>
        </w:rPr>
        <w:t>1</w:t>
      </w:r>
      <w:r>
        <w:t xml:space="preserve">  </w:t>
      </w:r>
      <w:r>
        <w:rPr>
          <w:rFonts w:hint="eastAsia"/>
        </w:rPr>
        <w:t>总则</w:t>
      </w:r>
      <w:bookmarkEnd w:id="3"/>
      <w:bookmarkEnd w:id="4"/>
    </w:p>
    <w:p>
      <w:r>
        <w:rPr>
          <w:rFonts w:hint="eastAsia"/>
          <w:b/>
        </w:rPr>
        <w:t>1</w:t>
      </w:r>
      <w:r>
        <w:rPr>
          <w:b/>
        </w:rPr>
        <w:t>.0.1</w:t>
      </w:r>
      <w:r>
        <w:t xml:space="preserve">  为</w:t>
      </w:r>
      <w:r>
        <w:rPr>
          <w:rFonts w:hint="eastAsia"/>
        </w:rPr>
        <w:t>指导城市规划区</w:t>
      </w:r>
      <w:r>
        <w:t>湖泊</w:t>
      </w:r>
      <w:r>
        <w:rPr>
          <w:rFonts w:hint="eastAsia"/>
        </w:rPr>
        <w:t>、</w:t>
      </w:r>
      <w:r>
        <w:t>河流环保</w:t>
      </w:r>
      <w:r>
        <w:rPr>
          <w:rFonts w:hint="eastAsia"/>
        </w:rPr>
        <w:t>清淤</w:t>
      </w:r>
      <w:r>
        <w:t>工程的方案编制</w:t>
      </w:r>
      <w:r>
        <w:rPr>
          <w:rFonts w:hint="eastAsia"/>
        </w:rPr>
        <w:t>、</w:t>
      </w:r>
      <w:r>
        <w:t>工程</w:t>
      </w:r>
      <w:r>
        <w:rPr>
          <w:rFonts w:hint="eastAsia"/>
        </w:rPr>
        <w:t>设计和</w:t>
      </w:r>
      <w:r>
        <w:t>施工</w:t>
      </w:r>
      <w:r>
        <w:rPr>
          <w:rFonts w:hint="eastAsia"/>
        </w:rPr>
        <w:t>，</w:t>
      </w:r>
      <w:r>
        <w:t>促进生态环境的改善和健康生态系统的恢复，提高</w:t>
      </w:r>
      <w:r>
        <w:rPr>
          <w:rFonts w:hint="eastAsia"/>
        </w:rPr>
        <w:t>水体</w:t>
      </w:r>
      <w:r>
        <w:t>自净能力，维持</w:t>
      </w:r>
      <w:r>
        <w:rPr>
          <w:rFonts w:hint="eastAsia"/>
        </w:rPr>
        <w:t>城市河湖</w:t>
      </w:r>
      <w:r>
        <w:t>生态系统健康状态提供保障</w:t>
      </w:r>
      <w:r>
        <w:rPr>
          <w:rFonts w:hint="eastAsia"/>
        </w:rPr>
        <w:t>，</w:t>
      </w:r>
      <w:r>
        <w:t>制定本</w:t>
      </w:r>
      <w:r>
        <w:rPr>
          <w:rFonts w:hint="eastAsia"/>
        </w:rPr>
        <w:t>规程</w:t>
      </w:r>
      <w:r>
        <w:t>。</w:t>
      </w:r>
    </w:p>
    <w:p>
      <w:r>
        <w:rPr>
          <w:b/>
        </w:rPr>
        <w:t>1.0.2</w:t>
      </w:r>
      <w:r>
        <w:t xml:space="preserve">  </w:t>
      </w:r>
      <w:r>
        <w:rPr>
          <w:rFonts w:hint="eastAsia"/>
        </w:rPr>
        <w:t>本</w:t>
      </w:r>
      <w:r>
        <w:t>规程适用于</w:t>
      </w:r>
      <w:r>
        <w:rPr>
          <w:rFonts w:hint="eastAsia"/>
        </w:rPr>
        <w:t>城市规划区湖泊、</w:t>
      </w:r>
      <w:r>
        <w:t>河流污染底泥的污染状况调查</w:t>
      </w:r>
      <w:r>
        <w:rPr>
          <w:rFonts w:hint="eastAsia"/>
        </w:rPr>
        <w:t>、清淤、底泥集中</w:t>
      </w:r>
      <w:r>
        <w:t>处理</w:t>
      </w:r>
      <w:r>
        <w:rPr>
          <w:rFonts w:hint="eastAsia"/>
        </w:rPr>
        <w:t>、取样检测、处置与底泥处理厂的建设</w:t>
      </w:r>
      <w:r>
        <w:t>等</w:t>
      </w:r>
      <w:r>
        <w:rPr>
          <w:rFonts w:hint="eastAsia"/>
        </w:rPr>
        <w:t>。</w:t>
      </w:r>
    </w:p>
    <w:p>
      <w:r>
        <w:rPr>
          <w:b/>
        </w:rPr>
        <w:t>1.0.3</w:t>
      </w:r>
      <w:r>
        <w:t xml:space="preserve">  </w:t>
      </w:r>
      <w:r>
        <w:rPr>
          <w:rFonts w:hint="eastAsia"/>
        </w:rPr>
        <w:t>底泥的</w:t>
      </w:r>
      <w:r>
        <w:t>污染状况调查</w:t>
      </w:r>
      <w:r>
        <w:rPr>
          <w:rFonts w:hint="eastAsia"/>
        </w:rPr>
        <w:t>、清淤、底泥集中</w:t>
      </w:r>
      <w:r>
        <w:t>处理</w:t>
      </w:r>
      <w:r>
        <w:rPr>
          <w:rFonts w:hint="eastAsia"/>
        </w:rPr>
        <w:t>、取样检测、处置与底泥处理厂的建设，除应符合本规程外，尚应符合国家现行有关标准的规定。</w:t>
      </w:r>
    </w:p>
    <w:p>
      <w:pPr>
        <w:ind w:firstLine="560"/>
        <w:jc w:val="left"/>
        <w:rPr>
          <w:sz w:val="28"/>
          <w:szCs w:val="28"/>
        </w:rPr>
      </w:pPr>
    </w:p>
    <w:p>
      <w:pPr>
        <w:ind w:firstLine="560"/>
        <w:jc w:val="left"/>
        <w:rPr>
          <w:sz w:val="28"/>
          <w:szCs w:val="28"/>
        </w:rPr>
        <w:sectPr>
          <w:footerReference r:id="rId10" w:type="default"/>
          <w:pgSz w:w="11906" w:h="16838"/>
          <w:pgMar w:top="1440" w:right="1800" w:bottom="1440" w:left="1800" w:header="851" w:footer="992" w:gutter="0"/>
          <w:pgNumType w:start="1"/>
          <w:cols w:space="425" w:num="1"/>
          <w:docGrid w:type="lines" w:linePitch="312" w:charSpace="0"/>
        </w:sectPr>
      </w:pPr>
    </w:p>
    <w:p>
      <w:pPr>
        <w:pStyle w:val="2"/>
        <w:rPr>
          <w:rFonts w:asciiTheme="majorBidi" w:hAnsiTheme="majorBidi" w:cstheme="majorBidi"/>
        </w:rPr>
      </w:pPr>
      <w:bookmarkStart w:id="5" w:name="_Toc37843233"/>
      <w:r>
        <w:rPr>
          <w:rFonts w:asciiTheme="majorBidi" w:hAnsiTheme="majorBidi" w:cstheme="majorBidi"/>
        </w:rPr>
        <w:t>2</w:t>
      </w:r>
      <w:r>
        <w:rPr>
          <w:rFonts w:hint="eastAsia" w:asciiTheme="majorBidi" w:hAnsiTheme="majorBidi" w:cstheme="majorBidi"/>
        </w:rPr>
        <w:t xml:space="preserve"> </w:t>
      </w:r>
      <w:r>
        <w:rPr>
          <w:rFonts w:asciiTheme="majorBidi" w:hAnsiTheme="majorBidi" w:cstheme="majorBidi"/>
        </w:rPr>
        <w:t xml:space="preserve"> 术语</w:t>
      </w:r>
      <w:bookmarkEnd w:id="5"/>
    </w:p>
    <w:p>
      <w:pPr>
        <w:pStyle w:val="4"/>
      </w:pPr>
      <w:bookmarkStart w:id="6" w:name="_Toc4769415"/>
      <w:r>
        <w:rPr>
          <w:rFonts w:hint="eastAsia"/>
        </w:rPr>
        <w:t>2</w:t>
      </w:r>
      <w:r>
        <w:t>.0.1  河湖底泥</w:t>
      </w:r>
      <w:r>
        <w:rPr>
          <w:rFonts w:hint="eastAsia"/>
        </w:rPr>
        <w:t xml:space="preserve"> </w:t>
      </w:r>
      <w:r>
        <w:t xml:space="preserve">river and lake </w:t>
      </w:r>
      <w:bookmarkEnd w:id="6"/>
      <w:r>
        <w:t>sediment</w:t>
      </w:r>
    </w:p>
    <w:p>
      <w:pPr>
        <w:ind w:firstLine="480"/>
      </w:pPr>
      <w:r>
        <w:rPr>
          <w:rFonts w:hint="eastAsia"/>
        </w:rPr>
        <w:t>河流</w:t>
      </w:r>
      <w:r>
        <w:t>湖泊</w:t>
      </w:r>
      <w:r>
        <w:rPr>
          <w:rFonts w:hint="eastAsia"/>
        </w:rPr>
        <w:t>中在静水或缓慢的流水环境中沉积，经物理、化学和生物作用形成的、未固结的细粒或极细粒土，一般含有建筑、生活、固体危废物等垃圾。</w:t>
      </w:r>
    </w:p>
    <w:p>
      <w:pPr>
        <w:pStyle w:val="4"/>
      </w:pPr>
      <w:r>
        <w:rPr>
          <w:rFonts w:hint="eastAsia"/>
        </w:rPr>
        <w:t>2</w:t>
      </w:r>
      <w:r>
        <w:t xml:space="preserve">.0.2  </w:t>
      </w:r>
      <w:r>
        <w:rPr>
          <w:rFonts w:hint="eastAsia"/>
        </w:rPr>
        <w:t>初始点位布设first stage mornitoring location layout</w:t>
      </w:r>
    </w:p>
    <w:p>
      <w:pPr>
        <w:ind w:firstLine="480"/>
      </w:pPr>
      <w:r>
        <w:rPr>
          <w:rFonts w:hint="eastAsia"/>
        </w:rPr>
        <w:t>调查初期依据背景资料在调查区域内进行点位布设。通过采样分析可初步确定底泥是否受到污染。</w:t>
      </w:r>
    </w:p>
    <w:p>
      <w:pPr>
        <w:pStyle w:val="4"/>
      </w:pPr>
      <w:r>
        <w:rPr>
          <w:rFonts w:hint="eastAsia"/>
        </w:rPr>
        <w:t>2</w:t>
      </w:r>
      <w:r>
        <w:t xml:space="preserve">.0.3  </w:t>
      </w:r>
      <w:r>
        <w:rPr>
          <w:rFonts w:hint="eastAsia"/>
        </w:rPr>
        <w:t>加密点位布设 refined monitoring location layout</w:t>
      </w:r>
    </w:p>
    <w:p>
      <w:pPr>
        <w:ind w:firstLine="480"/>
      </w:pPr>
      <w:r>
        <w:rPr>
          <w:rFonts w:hint="eastAsia"/>
        </w:rPr>
        <w:t>针对初始点位采样分析发现的底泥污染点位，根据河流、湖泊和滩涂的水文参数和周围污染源分布情况，向周边进一步进行点位布设。通过进一步采样分析可确定受污染底泥的具体范围。</w:t>
      </w:r>
    </w:p>
    <w:p>
      <w:pPr>
        <w:pStyle w:val="4"/>
      </w:pPr>
      <w:r>
        <w:rPr>
          <w:rFonts w:hint="eastAsia"/>
        </w:rPr>
        <w:t>2</w:t>
      </w:r>
      <w:r>
        <w:t xml:space="preserve">.0.4  </w:t>
      </w:r>
      <w:r>
        <w:rPr>
          <w:rFonts w:hint="eastAsia"/>
        </w:rPr>
        <w:t>潜在生态危害指数法 potential ecological hazard index method</w:t>
      </w:r>
    </w:p>
    <w:p>
      <w:pPr>
        <w:ind w:firstLine="480"/>
      </w:pPr>
      <w:r>
        <w:rPr>
          <w:rFonts w:hint="eastAsia"/>
        </w:rPr>
        <w:t>引入毒性响应系数，将重金属的环境生态效应与毒理学联系起来，使评价更侧重于毒理方面，对其潜在的生态危害做出评价。</w:t>
      </w:r>
    </w:p>
    <w:p>
      <w:pPr>
        <w:pStyle w:val="4"/>
      </w:pPr>
      <w:r>
        <w:rPr>
          <w:rFonts w:hint="eastAsia"/>
        </w:rPr>
        <w:t>2</w:t>
      </w:r>
      <w:r>
        <w:t>.0.5  危险废物</w:t>
      </w:r>
      <w:r>
        <w:rPr>
          <w:rFonts w:hint="eastAsia"/>
        </w:rPr>
        <w:t xml:space="preserve"> ha</w:t>
      </w:r>
      <w:r>
        <w:t>zardous wastes</w:t>
      </w:r>
    </w:p>
    <w:p>
      <w:pPr>
        <w:ind w:firstLine="480"/>
      </w:pPr>
      <w:r>
        <w:rPr>
          <w:rFonts w:hint="eastAsia"/>
        </w:rPr>
        <w:t>列入国家危险废物名录或者根据国家规定的危险废物鉴别标准和鉴别方法认定具有危险特性的废物。</w:t>
      </w:r>
    </w:p>
    <w:p>
      <w:pPr>
        <w:pStyle w:val="4"/>
      </w:pPr>
      <w:r>
        <w:rPr>
          <w:rFonts w:hint="eastAsia"/>
        </w:rPr>
        <w:t>2</w:t>
      </w:r>
      <w:r>
        <w:t>.0.6  环保清淤</w:t>
      </w:r>
      <w:r>
        <w:rPr>
          <w:rFonts w:hint="eastAsia"/>
        </w:rPr>
        <w:t xml:space="preserve"> e</w:t>
      </w:r>
      <w:r>
        <w:t>nvironmental friendly dredging</w:t>
      </w:r>
    </w:p>
    <w:p>
      <w:pPr>
        <w:ind w:firstLine="480"/>
      </w:pPr>
      <w:r>
        <w:rPr>
          <w:rFonts w:hint="eastAsia"/>
        </w:rPr>
        <w:t>指以水质提升为目的对水体中的污染底泥进行清淤，在清淤过程中注重环境保护，最大化减少“二次污染”。</w:t>
      </w:r>
    </w:p>
    <w:p>
      <w:pPr>
        <w:pStyle w:val="4"/>
      </w:pPr>
      <w:r>
        <w:rPr>
          <w:rFonts w:hint="eastAsia"/>
        </w:rPr>
        <w:t>2</w:t>
      </w:r>
      <w:r>
        <w:t>.0.7  超深</w:t>
      </w:r>
      <w:r>
        <w:rPr>
          <w:rFonts w:hint="eastAsia"/>
        </w:rPr>
        <w:t xml:space="preserve"> va</w:t>
      </w:r>
      <w:r>
        <w:t>lue of over - depth</w:t>
      </w:r>
    </w:p>
    <w:p>
      <w:pPr>
        <w:ind w:firstLine="480"/>
      </w:pPr>
      <w:r>
        <w:rPr>
          <w:rFonts w:hint="eastAsia"/>
        </w:rPr>
        <w:t>由于施工误差而在清淤设计深度之外增加的深度。</w:t>
      </w:r>
    </w:p>
    <w:p>
      <w:pPr>
        <w:pStyle w:val="4"/>
      </w:pPr>
      <w:r>
        <w:t>2.0.8  底泥预处理</w:t>
      </w:r>
      <w:r>
        <w:rPr>
          <w:rFonts w:hint="eastAsia"/>
        </w:rPr>
        <w:t xml:space="preserve"> sediment</w:t>
      </w:r>
      <w:r>
        <w:t xml:space="preserve"> pretreatment</w:t>
      </w:r>
    </w:p>
    <w:p>
      <w:pPr>
        <w:ind w:firstLine="480"/>
      </w:pPr>
      <w:r>
        <w:t>对河湖清淤出来的底泥进行筛分</w:t>
      </w:r>
      <w:r>
        <w:rPr>
          <w:rFonts w:hint="eastAsia"/>
        </w:rPr>
        <w:t>、</w:t>
      </w:r>
      <w:r>
        <w:t>调理</w:t>
      </w:r>
      <w:r>
        <w:rPr>
          <w:rFonts w:hint="eastAsia"/>
        </w:rPr>
        <w:t>和垃圾处理过程。</w:t>
      </w:r>
    </w:p>
    <w:p>
      <w:pPr>
        <w:pStyle w:val="4"/>
      </w:pPr>
      <w:bookmarkStart w:id="7" w:name="_Toc4769416"/>
      <w:r>
        <w:t xml:space="preserve">2.0.9  </w:t>
      </w:r>
      <w:r>
        <w:rPr>
          <w:rFonts w:hint="eastAsia"/>
        </w:rPr>
        <w:t>底泥</w:t>
      </w:r>
      <w:r>
        <w:t>处理</w:t>
      </w:r>
      <w:r>
        <w:rPr>
          <w:rFonts w:hint="eastAsia"/>
        </w:rPr>
        <w:t xml:space="preserve"> sediment </w:t>
      </w:r>
      <w:r>
        <w:t>treatment</w:t>
      </w:r>
      <w:bookmarkEnd w:id="7"/>
    </w:p>
    <w:p>
      <w:pPr>
        <w:ind w:firstLine="480"/>
      </w:pPr>
      <w:r>
        <w:t>为满足底泥处置要求对预处理后的底泥进行脱水</w:t>
      </w:r>
      <w:r>
        <w:rPr>
          <w:rFonts w:hint="eastAsia"/>
        </w:rPr>
        <w:t>、固化、钝化等物理、化学或生物处理过程。</w:t>
      </w:r>
    </w:p>
    <w:p>
      <w:pPr>
        <w:pStyle w:val="4"/>
      </w:pPr>
      <w:r>
        <w:t xml:space="preserve">2.0.10  </w:t>
      </w:r>
      <w:r>
        <w:rPr>
          <w:rFonts w:hint="eastAsia"/>
        </w:rPr>
        <w:t>底泥固化 sediment</w:t>
      </w:r>
      <w:r>
        <w:t xml:space="preserve"> solidification</w:t>
      </w:r>
    </w:p>
    <w:p>
      <w:pPr>
        <w:ind w:firstLine="480"/>
      </w:pPr>
      <w:r>
        <w:rPr>
          <w:rFonts w:hint="eastAsia"/>
        </w:rPr>
        <w:t>通过物理或化学处理方法，使松软高含水量的底泥变成具有一定力学强度且避免造成二次污染的底泥处理过程。</w:t>
      </w:r>
    </w:p>
    <w:p>
      <w:pPr>
        <w:pStyle w:val="4"/>
      </w:pPr>
      <w:r>
        <w:t>2.0.11  底泥钝化</w:t>
      </w:r>
      <w:r>
        <w:rPr>
          <w:rFonts w:hint="eastAsia"/>
        </w:rPr>
        <w:t xml:space="preserve"> sediment</w:t>
      </w:r>
      <w:r>
        <w:t xml:space="preserve"> passivation</w:t>
      </w:r>
    </w:p>
    <w:p>
      <w:pPr>
        <w:ind w:firstLine="480"/>
      </w:pPr>
      <w:r>
        <w:t>通过物理</w:t>
      </w:r>
      <w:r>
        <w:rPr>
          <w:rFonts w:hint="eastAsia"/>
        </w:rPr>
        <w:t>、</w:t>
      </w:r>
      <w:r>
        <w:t>化学</w:t>
      </w:r>
      <w:r>
        <w:rPr>
          <w:rFonts w:hint="eastAsia"/>
        </w:rPr>
        <w:t>或</w:t>
      </w:r>
      <w:r>
        <w:t>生物处理方法</w:t>
      </w:r>
      <w:r>
        <w:rPr>
          <w:rFonts w:hint="eastAsia"/>
        </w:rPr>
        <w:t>，</w:t>
      </w:r>
      <w:r>
        <w:t>使底泥中的重金属物质化学活性降低的处理过程</w:t>
      </w:r>
      <w:r>
        <w:rPr>
          <w:rFonts w:hint="eastAsia"/>
        </w:rPr>
        <w:t>。</w:t>
      </w:r>
    </w:p>
    <w:p>
      <w:pPr>
        <w:pStyle w:val="4"/>
      </w:pPr>
      <w:r>
        <w:rPr>
          <w:rFonts w:hint="eastAsia"/>
        </w:rPr>
        <w:t>2</w:t>
      </w:r>
      <w:r>
        <w:t xml:space="preserve">.0.12  </w:t>
      </w:r>
      <w:r>
        <w:rPr>
          <w:rFonts w:hint="eastAsia"/>
        </w:rPr>
        <w:t>底泥垃圾 sediment</w:t>
      </w:r>
      <w:r>
        <w:t xml:space="preserve"> garbage</w:t>
      </w:r>
    </w:p>
    <w:p>
      <w:pPr>
        <w:ind w:firstLine="480"/>
      </w:pPr>
      <w:r>
        <w:rPr>
          <w:rFonts w:hint="eastAsia"/>
        </w:rPr>
        <w:t>河湖底泥经格栅、振筛等设备分选出来的固体物质。</w:t>
      </w:r>
    </w:p>
    <w:p>
      <w:pPr>
        <w:pStyle w:val="4"/>
      </w:pPr>
      <w:r>
        <w:rPr>
          <w:rFonts w:hint="eastAsia"/>
        </w:rPr>
        <w:t>2</w:t>
      </w:r>
      <w:r>
        <w:t>.0.13  垃圾处置</w:t>
      </w:r>
      <w:r>
        <w:rPr>
          <w:rFonts w:hint="eastAsia"/>
        </w:rPr>
        <w:t xml:space="preserve"> garbage</w:t>
      </w:r>
      <w:r>
        <w:t xml:space="preserve"> disposal</w:t>
      </w:r>
    </w:p>
    <w:p>
      <w:pPr>
        <w:ind w:firstLine="480"/>
      </w:pPr>
      <w:r>
        <w:rPr>
          <w:rFonts w:hint="eastAsia"/>
        </w:rPr>
        <w:t>对</w:t>
      </w:r>
      <w:r>
        <w:t>底泥垃圾进行分类回收</w:t>
      </w:r>
      <w:r>
        <w:rPr>
          <w:rFonts w:hint="eastAsia"/>
        </w:rPr>
        <w:t>、</w:t>
      </w:r>
      <w:r>
        <w:t>资源再生</w:t>
      </w:r>
      <w:r>
        <w:rPr>
          <w:rFonts w:hint="eastAsia"/>
        </w:rPr>
        <w:t>、</w:t>
      </w:r>
      <w:r>
        <w:t>填埋或焚烧等处理过程</w:t>
      </w:r>
      <w:r>
        <w:rPr>
          <w:rFonts w:hint="eastAsia"/>
        </w:rPr>
        <w:t>。</w:t>
      </w:r>
    </w:p>
    <w:p>
      <w:pPr>
        <w:pStyle w:val="4"/>
      </w:pPr>
      <w:r>
        <w:rPr>
          <w:rFonts w:hint="eastAsia"/>
        </w:rPr>
        <w:t>2</w:t>
      </w:r>
      <w:r>
        <w:t>.0.14  余土</w:t>
      </w:r>
      <w:r>
        <w:rPr>
          <w:rFonts w:hint="eastAsia"/>
        </w:rPr>
        <w:t xml:space="preserve"> </w:t>
      </w:r>
      <w:r>
        <w:t>residue soil</w:t>
      </w:r>
    </w:p>
    <w:p>
      <w:pPr>
        <w:ind w:firstLine="480"/>
      </w:pPr>
      <w:r>
        <w:t>底泥经垃圾筛除</w:t>
      </w:r>
      <w:r>
        <w:rPr>
          <w:rFonts w:hint="eastAsia"/>
        </w:rPr>
        <w:t>、</w:t>
      </w:r>
      <w:r>
        <w:t>余砂分离</w:t>
      </w:r>
      <w:r>
        <w:rPr>
          <w:rFonts w:hint="eastAsia"/>
        </w:rPr>
        <w:t>、</w:t>
      </w:r>
      <w:r>
        <w:t>泥水分离</w:t>
      </w:r>
      <w:r>
        <w:rPr>
          <w:rFonts w:hint="eastAsia"/>
        </w:rPr>
        <w:t>、</w:t>
      </w:r>
      <w:r>
        <w:t>调理调质</w:t>
      </w:r>
      <w:r>
        <w:rPr>
          <w:rFonts w:hint="eastAsia"/>
        </w:rPr>
        <w:t>、</w:t>
      </w:r>
      <w:r>
        <w:t>脱水固化等工艺处理后得到的细集料固体混合物</w:t>
      </w:r>
      <w:r>
        <w:rPr>
          <w:rFonts w:hint="eastAsia"/>
        </w:rPr>
        <w:t>。</w:t>
      </w:r>
    </w:p>
    <w:p>
      <w:pPr>
        <w:pStyle w:val="4"/>
      </w:pPr>
      <w:r>
        <w:rPr>
          <w:rFonts w:hint="eastAsia"/>
        </w:rPr>
        <w:t>2</w:t>
      </w:r>
      <w:r>
        <w:t>.0.15  余土处置</w:t>
      </w:r>
      <w:r>
        <w:rPr>
          <w:rFonts w:hint="eastAsia"/>
        </w:rPr>
        <w:t xml:space="preserve"> </w:t>
      </w:r>
      <w:r>
        <w:t>residue soil disposal</w:t>
      </w:r>
    </w:p>
    <w:p>
      <w:pPr>
        <w:ind w:firstLine="480"/>
      </w:pPr>
      <w:r>
        <w:t>将余土置于符合环境保护规定要求场所或者设施的活动</w:t>
      </w:r>
      <w:r>
        <w:rPr>
          <w:rFonts w:hint="eastAsia"/>
        </w:rPr>
        <w:t>。</w:t>
      </w:r>
    </w:p>
    <w:p>
      <w:pPr>
        <w:pStyle w:val="4"/>
      </w:pPr>
      <w:r>
        <w:rPr>
          <w:rFonts w:hint="eastAsia"/>
        </w:rPr>
        <w:t>2</w:t>
      </w:r>
      <w:r>
        <w:t>.0.16  余砂</w:t>
      </w:r>
      <w:r>
        <w:rPr>
          <w:rFonts w:hint="eastAsia"/>
        </w:rPr>
        <w:t xml:space="preserve"> re</w:t>
      </w:r>
      <w:r>
        <w:t xml:space="preserve">sidue sand </w:t>
      </w:r>
    </w:p>
    <w:p>
      <w:pPr>
        <w:ind w:firstLine="480"/>
      </w:pPr>
      <w:r>
        <w:t>底泥筛除垃圾和漂浮物后</w:t>
      </w:r>
      <w:r>
        <w:rPr>
          <w:rFonts w:hint="eastAsia"/>
        </w:rPr>
        <w:t>，</w:t>
      </w:r>
      <w:r>
        <w:t>经重力沉淀或离心式旋流设备筛选出来的粗集料固体混合物</w:t>
      </w:r>
      <w:r>
        <w:rPr>
          <w:rFonts w:hint="eastAsia"/>
        </w:rPr>
        <w:t>。</w:t>
      </w:r>
    </w:p>
    <w:p>
      <w:pPr>
        <w:pStyle w:val="4"/>
      </w:pPr>
      <w:r>
        <w:rPr>
          <w:rFonts w:hint="eastAsia"/>
        </w:rPr>
        <w:t>2</w:t>
      </w:r>
      <w:r>
        <w:t>.0.17  余砂处置</w:t>
      </w:r>
      <w:r>
        <w:rPr>
          <w:rFonts w:hint="eastAsia"/>
        </w:rPr>
        <w:t xml:space="preserve"> re</w:t>
      </w:r>
      <w:r>
        <w:t>sidue sand disposal</w:t>
      </w:r>
    </w:p>
    <w:p>
      <w:pPr>
        <w:ind w:firstLine="480"/>
      </w:pPr>
      <w:r>
        <w:t>将余砂进行资源化利用或将其置于符合环境安全规定要求场所的活动</w:t>
      </w:r>
      <w:r>
        <w:rPr>
          <w:rFonts w:hint="eastAsia"/>
        </w:rPr>
        <w:t>。</w:t>
      </w:r>
    </w:p>
    <w:p>
      <w:pPr>
        <w:pStyle w:val="4"/>
      </w:pPr>
      <w:r>
        <w:rPr>
          <w:rFonts w:hint="eastAsia"/>
        </w:rPr>
        <w:t>2</w:t>
      </w:r>
      <w:r>
        <w:t>.0.18  余水</w:t>
      </w:r>
      <w:r>
        <w:rPr>
          <w:rFonts w:hint="eastAsia"/>
        </w:rPr>
        <w:t xml:space="preserve"> r</w:t>
      </w:r>
      <w:r>
        <w:t xml:space="preserve">esidue water </w:t>
      </w:r>
    </w:p>
    <w:p>
      <w:pPr>
        <w:ind w:firstLine="480"/>
      </w:pPr>
      <w:r>
        <w:rPr>
          <w:rFonts w:hint="eastAsia"/>
        </w:rPr>
        <w:t>底泥处理工程中，从淤泥中分离出的水的总称，不包括工程过程产生的机修和冲洗废水。</w:t>
      </w:r>
    </w:p>
    <w:p>
      <w:pPr>
        <w:pStyle w:val="4"/>
      </w:pPr>
      <w:bookmarkStart w:id="8" w:name="_Toc4769418"/>
      <w:r>
        <w:t>2.0.19  资源化利用</w:t>
      </w:r>
      <w:r>
        <w:rPr>
          <w:rFonts w:hint="eastAsia"/>
        </w:rPr>
        <w:t xml:space="preserve"> </w:t>
      </w:r>
      <w:r>
        <w:t>resource utilization</w:t>
      </w:r>
      <w:bookmarkEnd w:id="8"/>
    </w:p>
    <w:p>
      <w:pPr>
        <w:ind w:firstLine="480"/>
      </w:pPr>
      <w:r>
        <w:rPr>
          <w:rFonts w:hint="eastAsia"/>
        </w:rPr>
        <w:t>将处理后的底泥作为原料使用或进行再生利用的过程。底泥资源化</w:t>
      </w:r>
      <w:r>
        <w:t>利用</w:t>
      </w:r>
      <w:r>
        <w:rPr>
          <w:rFonts w:hint="eastAsia"/>
        </w:rPr>
        <w:t>途径</w:t>
      </w:r>
      <w:r>
        <w:t>主要包括</w:t>
      </w:r>
      <w:r>
        <w:rPr>
          <w:rFonts w:hint="eastAsia"/>
        </w:rPr>
        <w:t>土地利用和建筑材料。</w:t>
      </w:r>
    </w:p>
    <w:p>
      <w:pPr>
        <w:pStyle w:val="4"/>
      </w:pPr>
      <w:r>
        <w:t>2.0.20  底泥处理厂</w:t>
      </w:r>
      <w:r>
        <w:rPr>
          <w:rFonts w:hint="eastAsia"/>
        </w:rPr>
        <w:t xml:space="preserve"> sediment</w:t>
      </w:r>
      <w:r>
        <w:t xml:space="preserve"> treatment plant</w:t>
      </w:r>
    </w:p>
    <w:p>
      <w:pPr>
        <w:ind w:firstLine="480"/>
      </w:pPr>
      <w:r>
        <w:t>按照特定的标准设计</w:t>
      </w:r>
      <w:r>
        <w:rPr>
          <w:rFonts w:hint="eastAsia"/>
        </w:rPr>
        <w:t>、</w:t>
      </w:r>
      <w:r>
        <w:t>施工</w:t>
      </w:r>
      <w:r>
        <w:rPr>
          <w:rFonts w:hint="eastAsia"/>
        </w:rPr>
        <w:t>，</w:t>
      </w:r>
      <w:r>
        <w:t>专门集中处理底泥的工厂</w:t>
      </w:r>
      <w:r>
        <w:rPr>
          <w:rFonts w:hint="eastAsia"/>
        </w:rPr>
        <w:t>。</w:t>
      </w:r>
    </w:p>
    <w:p>
      <w:pPr>
        <w:ind w:firstLine="480"/>
      </w:pPr>
    </w:p>
    <w:p>
      <w:pPr>
        <w:ind w:firstLine="560"/>
        <w:jc w:val="left"/>
        <w:rPr>
          <w:sz w:val="28"/>
          <w:szCs w:val="28"/>
        </w:rPr>
        <w:sectPr>
          <w:pgSz w:w="11906" w:h="16838"/>
          <w:pgMar w:top="1440" w:right="1800" w:bottom="1440" w:left="1800" w:header="851" w:footer="992" w:gutter="0"/>
          <w:cols w:space="425" w:num="1"/>
          <w:docGrid w:type="lines" w:linePitch="312" w:charSpace="0"/>
        </w:sectPr>
      </w:pPr>
    </w:p>
    <w:p>
      <w:pPr>
        <w:pStyle w:val="2"/>
      </w:pPr>
      <w:bookmarkStart w:id="9" w:name="_Toc4769421"/>
      <w:bookmarkStart w:id="10" w:name="_Toc37843234"/>
      <w:bookmarkStart w:id="11" w:name="_Toc4769427"/>
      <w:bookmarkStart w:id="12" w:name="_Toc17276469"/>
      <w:bookmarkStart w:id="13" w:name="_Toc4769433"/>
      <w:r>
        <w:t>3  底泥勘测与污染状况调查</w:t>
      </w:r>
      <w:bookmarkEnd w:id="9"/>
      <w:r>
        <w:t>评价</w:t>
      </w:r>
      <w:bookmarkEnd w:id="10"/>
    </w:p>
    <w:p>
      <w:pPr>
        <w:pStyle w:val="3"/>
      </w:pPr>
      <w:bookmarkStart w:id="14" w:name="_Toc37843235"/>
      <w:bookmarkStart w:id="15" w:name="_Toc4769422"/>
      <w:r>
        <w:t>3.1  一般规定</w:t>
      </w:r>
      <w:bookmarkEnd w:id="14"/>
      <w:bookmarkEnd w:id="15"/>
    </w:p>
    <w:p>
      <w:pPr>
        <w:outlineLvl w:val="2"/>
      </w:pPr>
      <w:r>
        <w:rPr>
          <w:b/>
        </w:rPr>
        <w:t xml:space="preserve">3.1.1  </w:t>
      </w:r>
      <w:r>
        <w:rPr>
          <w:rFonts w:hint="eastAsia"/>
        </w:rPr>
        <w:t>清淤前应对底泥进行勘测与污染状况调查评价，工作深度应满足设计和施工要求。</w:t>
      </w:r>
    </w:p>
    <w:p>
      <w:pPr>
        <w:outlineLvl w:val="2"/>
      </w:pPr>
      <w:r>
        <w:rPr>
          <w:b/>
        </w:rPr>
        <w:t xml:space="preserve">3.1.2  </w:t>
      </w:r>
      <w:r>
        <w:t>底泥勘测应包括</w:t>
      </w:r>
      <w:r>
        <w:rPr>
          <w:rFonts w:hint="eastAsia"/>
        </w:rPr>
        <w:t>工程</w:t>
      </w:r>
      <w:r>
        <w:t>区地形测量</w:t>
      </w:r>
      <w:r>
        <w:rPr>
          <w:rFonts w:hint="eastAsia"/>
        </w:rPr>
        <w:t>、</w:t>
      </w:r>
      <w:r>
        <w:t>地质勘探等内容</w:t>
      </w:r>
      <w:r>
        <w:rPr>
          <w:rFonts w:hint="eastAsia"/>
        </w:rPr>
        <w:t>。</w:t>
      </w:r>
    </w:p>
    <w:p>
      <w:pPr>
        <w:outlineLvl w:val="2"/>
      </w:pPr>
      <w:r>
        <w:rPr>
          <w:b/>
        </w:rPr>
        <w:t xml:space="preserve">3.1.3  </w:t>
      </w:r>
      <w:r>
        <w:t>底泥污染状况调查应包括污染底泥的污染来源</w:t>
      </w:r>
      <w:r>
        <w:rPr>
          <w:rFonts w:hint="eastAsia"/>
        </w:rPr>
        <w:t>、</w:t>
      </w:r>
      <w:r>
        <w:t>污染物类型</w:t>
      </w:r>
      <w:r>
        <w:rPr>
          <w:rFonts w:hint="eastAsia"/>
        </w:rPr>
        <w:t>、污染物含量</w:t>
      </w:r>
      <w:r>
        <w:t>、污染</w:t>
      </w:r>
      <w:r>
        <w:rPr>
          <w:rFonts w:hint="eastAsia"/>
        </w:rPr>
        <w:t>物</w:t>
      </w:r>
      <w:r>
        <w:t>分布、上覆水污染状况等内容</w:t>
      </w:r>
      <w:r>
        <w:rPr>
          <w:rFonts w:hint="eastAsia"/>
        </w:rPr>
        <w:t>。</w:t>
      </w:r>
    </w:p>
    <w:p>
      <w:pPr>
        <w:outlineLvl w:val="2"/>
      </w:pPr>
      <w:r>
        <w:rPr>
          <w:b/>
        </w:rPr>
        <w:t xml:space="preserve">3.1.4  </w:t>
      </w:r>
      <w:r>
        <w:t>底泥污染状况评价应包括底泥污染</w:t>
      </w:r>
      <w:r>
        <w:rPr>
          <w:rFonts w:hint="eastAsia"/>
        </w:rPr>
        <w:t>等级</w:t>
      </w:r>
      <w:r>
        <w:t>及</w:t>
      </w:r>
      <w:r>
        <w:rPr>
          <w:rFonts w:hint="eastAsia"/>
        </w:rPr>
        <w:t>污染</w:t>
      </w:r>
      <w:r>
        <w:t>层厚度</w:t>
      </w:r>
      <w:r>
        <w:rPr>
          <w:rFonts w:hint="eastAsia"/>
        </w:rPr>
        <w:t>。</w:t>
      </w:r>
    </w:p>
    <w:p>
      <w:pPr>
        <w:pStyle w:val="3"/>
        <w:rPr>
          <w:rFonts w:asciiTheme="majorBidi" w:hAnsiTheme="majorBidi"/>
          <w:szCs w:val="28"/>
        </w:rPr>
      </w:pPr>
      <w:bookmarkStart w:id="16" w:name="_Toc37843236"/>
      <w:bookmarkStart w:id="17" w:name="_Toc4769424"/>
      <w:r>
        <w:rPr>
          <w:rFonts w:asciiTheme="majorBidi" w:hAnsiTheme="majorBidi"/>
          <w:szCs w:val="28"/>
        </w:rPr>
        <w:t>3.2  资料收集与分析</w:t>
      </w:r>
      <w:bookmarkEnd w:id="16"/>
    </w:p>
    <w:p>
      <w:r>
        <w:rPr>
          <w:rFonts w:hint="eastAsia"/>
          <w:b/>
        </w:rPr>
        <w:t>3.</w:t>
      </w:r>
      <w:r>
        <w:rPr>
          <w:b/>
        </w:rPr>
        <w:t>2</w:t>
      </w:r>
      <w:r>
        <w:rPr>
          <w:rFonts w:hint="eastAsia"/>
          <w:b/>
        </w:rPr>
        <w:t>.1</w:t>
      </w:r>
      <w:r>
        <w:rPr>
          <w:b/>
        </w:rPr>
        <w:t xml:space="preserve">  </w:t>
      </w:r>
      <w:r>
        <w:t>收集</w:t>
      </w:r>
      <w:r>
        <w:rPr>
          <w:rFonts w:hint="eastAsia"/>
        </w:rPr>
        <w:t>相关</w:t>
      </w:r>
      <w:r>
        <w:t>河道、</w:t>
      </w:r>
      <w:r>
        <w:rPr>
          <w:rFonts w:hint="eastAsia"/>
        </w:rPr>
        <w:t>湖泊地区</w:t>
      </w:r>
      <w:r>
        <w:t>及周边</w:t>
      </w:r>
      <w:r>
        <w:rPr>
          <w:rFonts w:hint="eastAsia"/>
        </w:rPr>
        <w:t>地区信息资料</w:t>
      </w:r>
      <w:r>
        <w:t>，包括</w:t>
      </w:r>
      <w:r>
        <w:rPr>
          <w:rFonts w:hint="eastAsia"/>
        </w:rPr>
        <w:t>河道</w:t>
      </w:r>
      <w:r>
        <w:t>、湖泊</w:t>
      </w:r>
      <w:r>
        <w:rPr>
          <w:rFonts w:hint="eastAsia"/>
        </w:rPr>
        <w:t>的</w:t>
      </w:r>
      <w:r>
        <w:t>利用及规划管理资料</w:t>
      </w:r>
      <w:r>
        <w:rPr>
          <w:rFonts w:hint="eastAsia"/>
        </w:rPr>
        <w:t>、</w:t>
      </w:r>
      <w:r>
        <w:t>环境资料</w:t>
      </w:r>
      <w:r>
        <w:rPr>
          <w:rFonts w:hint="eastAsia"/>
        </w:rPr>
        <w:t>、</w:t>
      </w:r>
      <w:r>
        <w:t>底泥特征资料</w:t>
      </w:r>
      <w:r>
        <w:rPr>
          <w:rFonts w:hint="eastAsia"/>
        </w:rPr>
        <w:t>、</w:t>
      </w:r>
      <w:r>
        <w:t>水文特征资料</w:t>
      </w:r>
      <w:r>
        <w:rPr>
          <w:rFonts w:hint="eastAsia"/>
        </w:rPr>
        <w:t>、</w:t>
      </w:r>
      <w:r>
        <w:t>周围环境</w:t>
      </w:r>
      <w:r>
        <w:rPr>
          <w:rFonts w:hint="eastAsia"/>
        </w:rPr>
        <w:t>状况</w:t>
      </w:r>
      <w:r>
        <w:t>资料</w:t>
      </w:r>
      <w:r>
        <w:rPr>
          <w:rFonts w:hint="eastAsia"/>
        </w:rPr>
        <w:t>、周围</w:t>
      </w:r>
      <w:r>
        <w:t>企业</w:t>
      </w:r>
      <w:r>
        <w:rPr>
          <w:rFonts w:hint="eastAsia"/>
        </w:rPr>
        <w:t>生产废弃物</w:t>
      </w:r>
      <w:r>
        <w:t>处置与排放资料</w:t>
      </w:r>
      <w:r>
        <w:rPr>
          <w:rFonts w:hint="eastAsia"/>
        </w:rPr>
        <w:t>等。</w:t>
      </w:r>
    </w:p>
    <w:p>
      <w:r>
        <w:rPr>
          <w:rFonts w:hint="eastAsia"/>
          <w:b/>
        </w:rPr>
        <w:t>3.</w:t>
      </w:r>
      <w:r>
        <w:rPr>
          <w:b/>
        </w:rPr>
        <w:t>2</w:t>
      </w:r>
      <w:r>
        <w:rPr>
          <w:rFonts w:hint="eastAsia"/>
          <w:b/>
        </w:rPr>
        <w:t>.</w:t>
      </w:r>
      <w:r>
        <w:rPr>
          <w:b/>
        </w:rPr>
        <w:t>2</w:t>
      </w:r>
      <w:r>
        <w:rPr>
          <w:rFonts w:hint="eastAsia"/>
        </w:rPr>
        <w:t xml:space="preserve"> </w:t>
      </w:r>
      <w:r>
        <w:t xml:space="preserve"> </w:t>
      </w:r>
      <w:r>
        <w:rPr>
          <w:rFonts w:hint="eastAsia"/>
        </w:rPr>
        <w:t>地理位置及环境资料：河道及湖泊所属的流域、市，河道及湖泊的水质断面污染记录、周边土壤及地下水污染记录，河道及湖泊与自然保护区和水源地保护区的位置关系等。</w:t>
      </w:r>
    </w:p>
    <w:p>
      <w:r>
        <w:rPr>
          <w:rFonts w:hint="eastAsia"/>
          <w:b/>
        </w:rPr>
        <w:t>3.</w:t>
      </w:r>
      <w:r>
        <w:rPr>
          <w:b/>
        </w:rPr>
        <w:t>2</w:t>
      </w:r>
      <w:r>
        <w:rPr>
          <w:rFonts w:hint="eastAsia"/>
          <w:b/>
        </w:rPr>
        <w:t>.</w:t>
      </w:r>
      <w:r>
        <w:rPr>
          <w:b/>
        </w:rPr>
        <w:t>3</w:t>
      </w:r>
      <w:r>
        <w:rPr>
          <w:rFonts w:hint="eastAsia"/>
        </w:rPr>
        <w:t xml:space="preserve"> </w:t>
      </w:r>
      <w:r>
        <w:t xml:space="preserve"> </w:t>
      </w:r>
      <w:r>
        <w:rPr>
          <w:rFonts w:hint="eastAsia"/>
        </w:rPr>
        <w:t>河道、湖泊的利用及规划管理资料：水系图、利用现状的航片或卫星图片、规划资料及历史资料。</w:t>
      </w:r>
    </w:p>
    <w:p>
      <w:r>
        <w:rPr>
          <w:rFonts w:hint="eastAsia"/>
          <w:b/>
        </w:rPr>
        <w:t>3.</w:t>
      </w:r>
      <w:r>
        <w:rPr>
          <w:b/>
        </w:rPr>
        <w:t>2</w:t>
      </w:r>
      <w:r>
        <w:rPr>
          <w:rFonts w:hint="eastAsia"/>
          <w:b/>
        </w:rPr>
        <w:t>.4</w:t>
      </w:r>
      <w:r>
        <w:rPr>
          <w:rFonts w:hint="eastAsia"/>
        </w:rPr>
        <w:t xml:space="preserve"> </w:t>
      </w:r>
      <w:r>
        <w:t xml:space="preserve"> </w:t>
      </w:r>
      <w:r>
        <w:rPr>
          <w:rFonts w:hint="eastAsia"/>
        </w:rPr>
        <w:t>河道沿线及湖泊周边主要相关污染企业资料：企业基本概况、生产工艺、年产量、化学品储存及使用清单、泄漏记录、废物管理记录、环境监测记录、环境影响报告书或表、出水</w:t>
      </w:r>
      <w:r>
        <w:t>浓度检测记录、出水口位置</w:t>
      </w:r>
      <w:r>
        <w:rPr>
          <w:rFonts w:hint="eastAsia"/>
        </w:rPr>
        <w:t>等。</w:t>
      </w:r>
    </w:p>
    <w:p>
      <w:r>
        <w:rPr>
          <w:rFonts w:hint="eastAsia"/>
          <w:b/>
        </w:rPr>
        <w:t>3.</w:t>
      </w:r>
      <w:r>
        <w:rPr>
          <w:b/>
        </w:rPr>
        <w:t>2</w:t>
      </w:r>
      <w:r>
        <w:rPr>
          <w:rFonts w:hint="eastAsia"/>
          <w:b/>
        </w:rPr>
        <w:t>.5</w:t>
      </w:r>
      <w:r>
        <w:rPr>
          <w:rFonts w:hint="eastAsia"/>
        </w:rPr>
        <w:t xml:space="preserve"> </w:t>
      </w:r>
      <w:r>
        <w:t xml:space="preserve"> </w:t>
      </w:r>
      <w:r>
        <w:rPr>
          <w:rFonts w:hint="eastAsia"/>
        </w:rPr>
        <w:t>底泥特征资料：底泥厚度、底泥主要组成、底泥颜色、底泥气味等。</w:t>
      </w:r>
    </w:p>
    <w:p>
      <w:r>
        <w:rPr>
          <w:rFonts w:hint="eastAsia"/>
          <w:b/>
        </w:rPr>
        <w:t>3.</w:t>
      </w:r>
      <w:r>
        <w:rPr>
          <w:b/>
        </w:rPr>
        <w:t>2</w:t>
      </w:r>
      <w:r>
        <w:rPr>
          <w:rFonts w:hint="eastAsia"/>
          <w:b/>
        </w:rPr>
        <w:t>.6</w:t>
      </w:r>
      <w:r>
        <w:rPr>
          <w:rFonts w:hint="eastAsia"/>
        </w:rPr>
        <w:t xml:space="preserve"> </w:t>
      </w:r>
      <w:r>
        <w:t xml:space="preserve"> </w:t>
      </w:r>
      <w:r>
        <w:rPr>
          <w:rFonts w:hint="eastAsia"/>
        </w:rPr>
        <w:t>水文特征资料：河道的平（枯）水期河面宽度、水深、流速、河水来源及流量；湖泊的径流量、补给方式、水位、含砂量、透明度、矿化度、盐度等。</w:t>
      </w:r>
    </w:p>
    <w:p>
      <w:r>
        <w:rPr>
          <w:rFonts w:hint="eastAsia"/>
          <w:b/>
        </w:rPr>
        <w:t>3.</w:t>
      </w:r>
      <w:r>
        <w:rPr>
          <w:b/>
        </w:rPr>
        <w:t>2</w:t>
      </w:r>
      <w:r>
        <w:rPr>
          <w:rFonts w:hint="eastAsia"/>
          <w:b/>
        </w:rPr>
        <w:t>.7</w:t>
      </w:r>
      <w:r>
        <w:rPr>
          <w:b/>
        </w:rPr>
        <w:t xml:space="preserve"> </w:t>
      </w:r>
      <w:r>
        <w:rPr>
          <w:rFonts w:hint="eastAsia"/>
        </w:rPr>
        <w:t xml:space="preserve"> 周围环境状况资料：河道及湖泊周边交通状况、居民点分布情况、土地利用方式分布</w:t>
      </w:r>
      <w:r>
        <w:t>、</w:t>
      </w:r>
      <w:r>
        <w:rPr>
          <w:rFonts w:hint="eastAsia"/>
        </w:rPr>
        <w:t>岸边是否有可供临时处置底泥的场地、周边是否有环境敏感点等。</w:t>
      </w:r>
    </w:p>
    <w:p>
      <w:r>
        <w:rPr>
          <w:rFonts w:hint="eastAsia"/>
          <w:b/>
        </w:rPr>
        <w:t>3.</w:t>
      </w:r>
      <w:r>
        <w:rPr>
          <w:b/>
        </w:rPr>
        <w:t>2</w:t>
      </w:r>
      <w:r>
        <w:rPr>
          <w:rFonts w:hint="eastAsia"/>
          <w:b/>
        </w:rPr>
        <w:t>.8</w:t>
      </w:r>
      <w:r>
        <w:rPr>
          <w:rFonts w:hint="eastAsia"/>
        </w:rPr>
        <w:t xml:space="preserve"> </w:t>
      </w:r>
      <w:r>
        <w:t xml:space="preserve"> </w:t>
      </w:r>
      <w:r>
        <w:rPr>
          <w:rFonts w:hint="eastAsia"/>
        </w:rPr>
        <w:t>其他特征资料：跨河基础设施情况、河道与湖泊通航状况、河道与湖泊内养殖状况、水环境功能区划情况等。</w:t>
      </w:r>
    </w:p>
    <w:p>
      <w:r>
        <w:rPr>
          <w:rFonts w:hint="eastAsia"/>
          <w:b/>
        </w:rPr>
        <w:t>3.</w:t>
      </w:r>
      <w:r>
        <w:rPr>
          <w:b/>
        </w:rPr>
        <w:t>2</w:t>
      </w:r>
      <w:r>
        <w:rPr>
          <w:rFonts w:hint="eastAsia"/>
          <w:b/>
        </w:rPr>
        <w:t>.9</w:t>
      </w:r>
      <w:r>
        <w:rPr>
          <w:rFonts w:hint="eastAsia"/>
        </w:rPr>
        <w:t xml:space="preserve"> </w:t>
      </w:r>
      <w:r>
        <w:t xml:space="preserve"> </w:t>
      </w:r>
      <w:r>
        <w:rPr>
          <w:rFonts w:hint="eastAsia"/>
        </w:rPr>
        <w:t>资料</w:t>
      </w:r>
      <w:r>
        <w:t>分析：</w:t>
      </w:r>
      <w:r>
        <w:rPr>
          <w:rFonts w:hint="eastAsia"/>
        </w:rPr>
        <w:t>通过</w:t>
      </w:r>
      <w:r>
        <w:t>专业人员对收集资料的</w:t>
      </w:r>
      <w:r>
        <w:rPr>
          <w:rFonts w:hint="eastAsia"/>
        </w:rPr>
        <w:t>整理</w:t>
      </w:r>
      <w:r>
        <w:t>分析</w:t>
      </w:r>
      <w:r>
        <w:rPr>
          <w:rFonts w:hint="eastAsia"/>
        </w:rPr>
        <w:t>，</w:t>
      </w:r>
      <w:r>
        <w:t>剔除错误及不合理信息，</w:t>
      </w:r>
      <w:r>
        <w:rPr>
          <w:rFonts w:hint="eastAsia"/>
        </w:rPr>
        <w:t>初步形成采样点</w:t>
      </w:r>
      <w:r>
        <w:t>位信息图。</w:t>
      </w:r>
    </w:p>
    <w:p>
      <w:pPr>
        <w:pStyle w:val="3"/>
        <w:rPr>
          <w:rFonts w:asciiTheme="majorBidi" w:hAnsiTheme="majorBidi"/>
          <w:szCs w:val="28"/>
        </w:rPr>
      </w:pPr>
      <w:bookmarkStart w:id="18" w:name="_Toc37843237"/>
      <w:r>
        <w:rPr>
          <w:rFonts w:asciiTheme="majorBidi" w:hAnsiTheme="majorBidi"/>
          <w:szCs w:val="28"/>
        </w:rPr>
        <w:t>3.3  现场踏勘</w:t>
      </w:r>
      <w:bookmarkEnd w:id="18"/>
    </w:p>
    <w:p>
      <w:r>
        <w:rPr>
          <w:rFonts w:hint="eastAsia"/>
          <w:b/>
        </w:rPr>
        <w:t>3.</w:t>
      </w:r>
      <w:r>
        <w:rPr>
          <w:b/>
        </w:rPr>
        <w:t>3</w:t>
      </w:r>
      <w:r>
        <w:rPr>
          <w:rFonts w:hint="eastAsia"/>
          <w:b/>
        </w:rPr>
        <w:t>.1</w:t>
      </w:r>
      <w:r>
        <w:rPr>
          <w:rFonts w:hint="eastAsia"/>
        </w:rPr>
        <w:t xml:space="preserve"> </w:t>
      </w:r>
      <w:r>
        <w:t xml:space="preserve"> </w:t>
      </w:r>
      <w:r>
        <w:rPr>
          <w:rFonts w:hint="eastAsia"/>
        </w:rPr>
        <w:t>对</w:t>
      </w:r>
      <w:r>
        <w:t>通过资料</w:t>
      </w:r>
      <w:r>
        <w:rPr>
          <w:rFonts w:hint="eastAsia"/>
        </w:rPr>
        <w:t>收集</w:t>
      </w:r>
      <w:r>
        <w:t>分析</w:t>
      </w:r>
      <w:r>
        <w:rPr>
          <w:rFonts w:hint="eastAsia"/>
        </w:rPr>
        <w:t>后</w:t>
      </w:r>
      <w:r>
        <w:t>初步形成的采样点位进行现场踏勘</w:t>
      </w:r>
      <w:r>
        <w:rPr>
          <w:rFonts w:hint="eastAsia"/>
        </w:rPr>
        <w:t>，用以校正</w:t>
      </w:r>
      <w:r>
        <w:t>、</w:t>
      </w:r>
      <w:r>
        <w:rPr>
          <w:rFonts w:hint="eastAsia"/>
        </w:rPr>
        <w:t>删除</w:t>
      </w:r>
      <w:r>
        <w:t>不合理及无法到达的点位</w:t>
      </w:r>
      <w:r>
        <w:rPr>
          <w:rFonts w:hint="eastAsia"/>
        </w:rPr>
        <w:t>。</w:t>
      </w:r>
    </w:p>
    <w:p>
      <w:r>
        <w:rPr>
          <w:rFonts w:hint="eastAsia"/>
          <w:b/>
        </w:rPr>
        <w:t>3.</w:t>
      </w:r>
      <w:r>
        <w:rPr>
          <w:b/>
        </w:rPr>
        <w:t>3</w:t>
      </w:r>
      <w:r>
        <w:rPr>
          <w:rFonts w:hint="eastAsia"/>
          <w:b/>
        </w:rPr>
        <w:t>.2</w:t>
      </w:r>
      <w:r>
        <w:rPr>
          <w:b/>
        </w:rPr>
        <w:t xml:space="preserve"> </w:t>
      </w:r>
      <w:r>
        <w:rPr>
          <w:rFonts w:hint="eastAsia"/>
        </w:rPr>
        <w:t xml:space="preserve"> 现场</w:t>
      </w:r>
      <w:r>
        <w:t>踏勘</w:t>
      </w:r>
      <w:r>
        <w:rPr>
          <w:rFonts w:hint="eastAsia"/>
        </w:rPr>
        <w:t>对提高</w:t>
      </w:r>
      <w:r>
        <w:t>布点</w:t>
      </w:r>
      <w:r>
        <w:rPr>
          <w:rFonts w:hint="eastAsia"/>
        </w:rPr>
        <w:t>的</w:t>
      </w:r>
      <w:r>
        <w:t>代表性</w:t>
      </w:r>
      <w:r>
        <w:rPr>
          <w:rFonts w:hint="eastAsia"/>
        </w:rPr>
        <w:t>、</w:t>
      </w:r>
      <w:r>
        <w:t>可操作性等具有重要意义。</w:t>
      </w:r>
      <w:r>
        <w:rPr>
          <w:rFonts w:hint="eastAsia"/>
        </w:rPr>
        <w:t>结合资料</w:t>
      </w:r>
      <w:r>
        <w:t>分析可</w:t>
      </w:r>
      <w:r>
        <w:rPr>
          <w:rFonts w:hint="eastAsia"/>
        </w:rPr>
        <w:t>给出更合理、</w:t>
      </w:r>
      <w:r>
        <w:t>更具代表性的初始采样点位</w:t>
      </w:r>
      <w:r>
        <w:rPr>
          <w:rFonts w:hint="eastAsia"/>
        </w:rPr>
        <w:t>布设</w:t>
      </w:r>
      <w:r>
        <w:t>。</w:t>
      </w:r>
      <w:r>
        <w:rPr>
          <w:rFonts w:hint="eastAsia"/>
        </w:rPr>
        <w:t>现场踏勘</w:t>
      </w:r>
      <w:r>
        <w:t xml:space="preserve">的主要内容如下： </w:t>
      </w:r>
    </w:p>
    <w:p>
      <w:pPr>
        <w:ind w:firstLine="482" w:firstLineChars="200"/>
      </w:pPr>
      <w:r>
        <w:rPr>
          <w:b/>
        </w:rPr>
        <w:t>1</w:t>
      </w:r>
      <w:r>
        <w:t xml:space="preserve">  </w:t>
      </w:r>
      <w:r>
        <w:rPr>
          <w:rFonts w:hint="eastAsia"/>
        </w:rPr>
        <w:t>河流、</w:t>
      </w:r>
      <w:r>
        <w:t>湖泊</w:t>
      </w:r>
      <w:r>
        <w:rPr>
          <w:rFonts w:hint="eastAsia"/>
        </w:rPr>
        <w:t>采样可达性：周边</w:t>
      </w:r>
      <w:r>
        <w:t>交通及</w:t>
      </w:r>
      <w:r>
        <w:rPr>
          <w:rFonts w:hint="eastAsia"/>
        </w:rPr>
        <w:t>通航</w:t>
      </w:r>
      <w:r>
        <w:t>状况</w:t>
      </w:r>
      <w:r>
        <w:rPr>
          <w:rFonts w:hint="eastAsia"/>
        </w:rPr>
        <w:t>、周围土地</w:t>
      </w:r>
      <w:r>
        <w:t>利用</w:t>
      </w:r>
      <w:r>
        <w:rPr>
          <w:rFonts w:hint="eastAsia"/>
        </w:rPr>
        <w:t>现状等；</w:t>
      </w:r>
    </w:p>
    <w:p>
      <w:pPr>
        <w:ind w:firstLine="482" w:firstLineChars="200"/>
        <w:rPr>
          <w:rFonts w:asciiTheme="majorBidi" w:hAnsiTheme="majorBidi" w:cstheme="majorBidi"/>
        </w:rPr>
      </w:pPr>
      <w:r>
        <w:rPr>
          <w:b/>
        </w:rPr>
        <w:t>2</w:t>
      </w:r>
      <w:r>
        <w:t xml:space="preserve">  </w:t>
      </w:r>
      <w:r>
        <w:rPr>
          <w:rFonts w:hint="eastAsia"/>
        </w:rPr>
        <w:t>河流、湖泊周边</w:t>
      </w:r>
      <w:r>
        <w:t>污染源：</w:t>
      </w:r>
      <w:r>
        <w:rPr>
          <w:rFonts w:hint="eastAsia"/>
        </w:rPr>
        <w:t>周边工业生产状况</w:t>
      </w:r>
      <w:r>
        <w:t>，</w:t>
      </w:r>
      <w:r>
        <w:rPr>
          <w:rFonts w:hint="eastAsia"/>
        </w:rPr>
        <w:t>工业污染源的排放去向，</w:t>
      </w:r>
      <w:r>
        <w:t>水质</w:t>
      </w:r>
      <w:r>
        <w:rPr>
          <w:rFonts w:hint="eastAsia"/>
        </w:rPr>
        <w:t>状况，</w:t>
      </w:r>
      <w:r>
        <w:t>包括</w:t>
      </w:r>
      <w:r>
        <w:rPr>
          <w:rFonts w:hint="eastAsia"/>
        </w:rPr>
        <w:t>是否</w:t>
      </w:r>
      <w:r>
        <w:t>在生产</w:t>
      </w:r>
      <w:r>
        <w:rPr>
          <w:rFonts w:hint="eastAsia"/>
        </w:rPr>
        <w:t>、排污口</w:t>
      </w:r>
      <w:r>
        <w:t>位置、排水</w:t>
      </w:r>
      <w:r>
        <w:rPr>
          <w:rFonts w:hint="eastAsia"/>
        </w:rPr>
        <w:t>颜色、</w:t>
      </w:r>
      <w:r>
        <w:t>气味</w:t>
      </w:r>
      <w:r>
        <w:rPr>
          <w:rFonts w:hint="eastAsia"/>
        </w:rPr>
        <w:t>，</w:t>
      </w:r>
      <w:r>
        <w:t>周边水体</w:t>
      </w:r>
      <w:r>
        <w:rPr>
          <w:rFonts w:hint="eastAsia"/>
        </w:rPr>
        <w:t>现状、</w:t>
      </w:r>
      <w:r>
        <w:t>疑似</w:t>
      </w:r>
      <w:r>
        <w:rPr>
          <w:rFonts w:asciiTheme="majorBidi" w:hAnsiTheme="majorBidi" w:cstheme="majorBidi"/>
        </w:rPr>
        <w:t>污染源等。</w:t>
      </w:r>
    </w:p>
    <w:p>
      <w:pPr>
        <w:pStyle w:val="3"/>
      </w:pPr>
      <w:bookmarkStart w:id="19" w:name="_Toc37843238"/>
      <w:r>
        <w:t xml:space="preserve">3.4  </w:t>
      </w:r>
      <w:r>
        <w:rPr>
          <w:rFonts w:hint="eastAsia"/>
        </w:rPr>
        <w:t>采样点布设原则</w:t>
      </w:r>
      <w:bookmarkEnd w:id="19"/>
    </w:p>
    <w:p>
      <w:pPr>
        <w:outlineLvl w:val="2"/>
      </w:pPr>
      <w:r>
        <w:rPr>
          <w:rFonts w:hint="eastAsia"/>
          <w:b/>
        </w:rPr>
        <w:t>3.</w:t>
      </w:r>
      <w:r>
        <w:rPr>
          <w:b/>
        </w:rPr>
        <w:t>4</w:t>
      </w:r>
      <w:r>
        <w:rPr>
          <w:rFonts w:hint="eastAsia"/>
          <w:b/>
        </w:rPr>
        <w:t>.1</w:t>
      </w:r>
      <w:r>
        <w:rPr>
          <w:b/>
        </w:rPr>
        <w:t xml:space="preserve">  </w:t>
      </w:r>
      <w:r>
        <w:t>采样点的布</w:t>
      </w:r>
      <w:r>
        <w:rPr>
          <w:rFonts w:hint="eastAsia"/>
        </w:rPr>
        <w:t>设</w:t>
      </w:r>
      <w:r>
        <w:t>要充分满足</w:t>
      </w:r>
      <w:r>
        <w:rPr>
          <w:rFonts w:hint="eastAsia"/>
        </w:rPr>
        <w:t>底泥污染状况调查</w:t>
      </w:r>
      <w:r>
        <w:t>的</w:t>
      </w:r>
      <w:r>
        <w:rPr>
          <w:rFonts w:hint="eastAsia"/>
        </w:rPr>
        <w:t>目的，并</w:t>
      </w:r>
      <w:r>
        <w:t>综合</w:t>
      </w:r>
      <w:r>
        <w:rPr>
          <w:rFonts w:hint="eastAsia"/>
        </w:rPr>
        <w:t>考虑</w:t>
      </w:r>
      <w:r>
        <w:t>水文、</w:t>
      </w:r>
      <w:r>
        <w:rPr>
          <w:rFonts w:hint="eastAsia"/>
        </w:rPr>
        <w:t>技术</w:t>
      </w:r>
      <w:r>
        <w:t>水平</w:t>
      </w:r>
      <w:r>
        <w:rPr>
          <w:rFonts w:hint="eastAsia"/>
        </w:rPr>
        <w:t>、</w:t>
      </w:r>
      <w:r>
        <w:t>采样</w:t>
      </w:r>
      <w:r>
        <w:rPr>
          <w:rFonts w:hint="eastAsia"/>
        </w:rPr>
        <w:t>可达性、</w:t>
      </w:r>
      <w:r>
        <w:t>监测周期</w:t>
      </w:r>
      <w:r>
        <w:rPr>
          <w:rFonts w:hint="eastAsia"/>
        </w:rPr>
        <w:t>等因素，</w:t>
      </w:r>
      <w:r>
        <w:t>优化</w:t>
      </w:r>
      <w:r>
        <w:rPr>
          <w:rFonts w:hint="eastAsia"/>
        </w:rPr>
        <w:t>点位</w:t>
      </w:r>
      <w:r>
        <w:t>布设</w:t>
      </w:r>
      <w:r>
        <w:rPr>
          <w:rFonts w:hint="eastAsia"/>
        </w:rPr>
        <w:t>，</w:t>
      </w:r>
      <w:r>
        <w:t>兼顾技术指标和投资费用。</w:t>
      </w:r>
    </w:p>
    <w:p>
      <w:pPr>
        <w:outlineLvl w:val="2"/>
      </w:pPr>
      <w:r>
        <w:rPr>
          <w:rFonts w:hint="eastAsia"/>
          <w:b/>
        </w:rPr>
        <w:t>3.</w:t>
      </w:r>
      <w:r>
        <w:rPr>
          <w:b/>
        </w:rPr>
        <w:t>4</w:t>
      </w:r>
      <w:r>
        <w:rPr>
          <w:rFonts w:hint="eastAsia"/>
          <w:b/>
        </w:rPr>
        <w:t>.2</w:t>
      </w:r>
      <w:r>
        <w:rPr>
          <w:b/>
        </w:rPr>
        <w:t xml:space="preserve">  </w:t>
      </w:r>
      <w:r>
        <w:t>样品的采集要对整个调查区域</w:t>
      </w:r>
      <w:r>
        <w:rPr>
          <w:rFonts w:hint="eastAsia"/>
        </w:rPr>
        <w:t>底泥</w:t>
      </w:r>
      <w:r>
        <w:t>某项指标或多项指标有较好的代表性</w:t>
      </w:r>
      <w:r>
        <w:rPr>
          <w:rFonts w:hint="eastAsia"/>
        </w:rPr>
        <w:t>，</w:t>
      </w:r>
      <w:r>
        <w:t>可客观</w:t>
      </w:r>
      <w:r>
        <w:rPr>
          <w:rFonts w:hint="eastAsia"/>
        </w:rPr>
        <w:t>反映一定</w:t>
      </w:r>
      <w:r>
        <w:t>范围内底泥</w:t>
      </w:r>
      <w:r>
        <w:rPr>
          <w:rFonts w:hint="eastAsia"/>
        </w:rPr>
        <w:t>污染</w:t>
      </w:r>
      <w:r>
        <w:t>状况</w:t>
      </w:r>
      <w:r>
        <w:rPr>
          <w:rFonts w:hint="eastAsia"/>
        </w:rPr>
        <w:t>。</w:t>
      </w:r>
    </w:p>
    <w:p>
      <w:pPr>
        <w:outlineLvl w:val="2"/>
      </w:pPr>
      <w:r>
        <w:rPr>
          <w:rFonts w:hint="eastAsia"/>
          <w:b/>
        </w:rPr>
        <w:t>3.</w:t>
      </w:r>
      <w:r>
        <w:rPr>
          <w:b/>
        </w:rPr>
        <w:t>4</w:t>
      </w:r>
      <w:r>
        <w:rPr>
          <w:rFonts w:hint="eastAsia"/>
          <w:b/>
        </w:rPr>
        <w:t>.3</w:t>
      </w:r>
      <w:r>
        <w:rPr>
          <w:b/>
        </w:rPr>
        <w:t xml:space="preserve">  </w:t>
      </w:r>
      <w:r>
        <w:rPr>
          <w:rFonts w:hint="eastAsia"/>
        </w:rPr>
        <w:t>同类型</w:t>
      </w:r>
      <w:r>
        <w:t>采样</w:t>
      </w:r>
      <w:r>
        <w:rPr>
          <w:rFonts w:hint="eastAsia"/>
        </w:rPr>
        <w:t>点位的设置条件应一致，并宜与历史</w:t>
      </w:r>
      <w:r>
        <w:t>采样</w:t>
      </w:r>
      <w:r>
        <w:rPr>
          <w:rFonts w:hint="eastAsia"/>
        </w:rPr>
        <w:t>点位一致。</w:t>
      </w:r>
    </w:p>
    <w:p>
      <w:r>
        <w:rPr>
          <w:rFonts w:hint="eastAsia"/>
          <w:b/>
        </w:rPr>
        <w:t>3.</w:t>
      </w:r>
      <w:r>
        <w:rPr>
          <w:b/>
        </w:rPr>
        <w:t>4</w:t>
      </w:r>
      <w:r>
        <w:rPr>
          <w:rFonts w:hint="eastAsia"/>
          <w:b/>
        </w:rPr>
        <w:t>.4</w:t>
      </w:r>
      <w:r>
        <w:rPr>
          <w:b/>
        </w:rPr>
        <w:t xml:space="preserve">  </w:t>
      </w:r>
      <w:r>
        <w:rPr>
          <w:rFonts w:hint="eastAsia"/>
        </w:rPr>
        <w:t>底泥</w:t>
      </w:r>
      <w:r>
        <w:t>的采样点位</w:t>
      </w:r>
      <w:r>
        <w:rPr>
          <w:rFonts w:hint="eastAsia"/>
        </w:rPr>
        <w:t>布设应</w:t>
      </w:r>
      <w:r>
        <w:t>考虑</w:t>
      </w:r>
      <w:r>
        <w:rPr>
          <w:rFonts w:hint="eastAsia"/>
        </w:rPr>
        <w:t>水文</w:t>
      </w:r>
      <w:r>
        <w:t>水质</w:t>
      </w:r>
      <w:r>
        <w:rPr>
          <w:rFonts w:hint="eastAsia"/>
        </w:rPr>
        <w:t>条件</w:t>
      </w:r>
      <w:r>
        <w:t>、</w:t>
      </w:r>
      <w:r>
        <w:rPr>
          <w:rFonts w:hint="eastAsia"/>
        </w:rPr>
        <w:t>主要</w:t>
      </w:r>
      <w:r>
        <w:t>监测断面、</w:t>
      </w:r>
      <w:r>
        <w:rPr>
          <w:rFonts w:hint="eastAsia"/>
        </w:rPr>
        <w:t>重要流入/流出</w:t>
      </w:r>
      <w:r>
        <w:t>河湖支流、</w:t>
      </w:r>
      <w:r>
        <w:rPr>
          <w:rFonts w:hint="eastAsia"/>
        </w:rPr>
        <w:t>重要</w:t>
      </w:r>
      <w:r>
        <w:t>闸坝等</w:t>
      </w:r>
      <w:r>
        <w:rPr>
          <w:rFonts w:hint="eastAsia"/>
        </w:rPr>
        <w:t>综合</w:t>
      </w:r>
      <w:r>
        <w:t>因素，</w:t>
      </w:r>
      <w:r>
        <w:rPr>
          <w:rFonts w:hint="eastAsia"/>
        </w:rPr>
        <w:t>以及</w:t>
      </w:r>
      <w:r>
        <w:t>工业布局、农业分布、人口聚集</w:t>
      </w:r>
      <w:r>
        <w:rPr>
          <w:rFonts w:hint="eastAsia"/>
        </w:rPr>
        <w:t>等社会</w:t>
      </w:r>
      <w:r>
        <w:t>经济</w:t>
      </w:r>
      <w:r>
        <w:rPr>
          <w:rFonts w:hint="eastAsia"/>
        </w:rPr>
        <w:t>特点</w:t>
      </w:r>
      <w:r>
        <w:t>，</w:t>
      </w:r>
      <w:r>
        <w:rPr>
          <w:rFonts w:hint="eastAsia"/>
        </w:rPr>
        <w:t>在</w:t>
      </w:r>
      <w:r>
        <w:t>布局上</w:t>
      </w:r>
      <w:r>
        <w:rPr>
          <w:rFonts w:hint="eastAsia"/>
        </w:rPr>
        <w:t>涵盖水体</w:t>
      </w:r>
      <w:r>
        <w:t>主要</w:t>
      </w:r>
      <w:r>
        <w:rPr>
          <w:rFonts w:hint="eastAsia"/>
        </w:rPr>
        <w:t>功能区</w:t>
      </w:r>
      <w:r>
        <w:t>、面源、</w:t>
      </w:r>
      <w:r>
        <w:rPr>
          <w:rFonts w:hint="eastAsia"/>
        </w:rPr>
        <w:t>点源</w:t>
      </w:r>
      <w:r>
        <w:t>等</w:t>
      </w:r>
      <w:r>
        <w:rPr>
          <w:rFonts w:hint="eastAsia"/>
        </w:rPr>
        <w:t>污染物</w:t>
      </w:r>
      <w:r>
        <w:t>对</w:t>
      </w:r>
      <w:r>
        <w:rPr>
          <w:rFonts w:hint="eastAsia"/>
        </w:rPr>
        <w:t>底泥</w:t>
      </w:r>
      <w:r>
        <w:t>的</w:t>
      </w:r>
      <w:r>
        <w:rPr>
          <w:rFonts w:hint="eastAsia"/>
        </w:rPr>
        <w:t>影响</w:t>
      </w:r>
      <w:r>
        <w:t>现状、变化趋势</w:t>
      </w:r>
      <w:r>
        <w:rPr>
          <w:rFonts w:hint="eastAsia"/>
        </w:rPr>
        <w:t>及城市行政</w:t>
      </w:r>
      <w:r>
        <w:t>管理区界</w:t>
      </w:r>
      <w:r>
        <w:rPr>
          <w:rFonts w:hint="eastAsia"/>
        </w:rPr>
        <w:t>等，</w:t>
      </w:r>
      <w:r>
        <w:t>从</w:t>
      </w:r>
      <w:r>
        <w:rPr>
          <w:rFonts w:hint="eastAsia"/>
        </w:rPr>
        <w:t>整体出发合理</w:t>
      </w:r>
      <w:r>
        <w:t>布局</w:t>
      </w:r>
      <w:r>
        <w:rPr>
          <w:rFonts w:hint="eastAsia"/>
        </w:rPr>
        <w:t>，</w:t>
      </w:r>
      <w:r>
        <w:t>监测点之间相互协调。</w:t>
      </w:r>
    </w:p>
    <w:p>
      <w:pPr>
        <w:pStyle w:val="3"/>
        <w:rPr>
          <w:rFonts w:asciiTheme="majorBidi" w:hAnsiTheme="majorBidi"/>
          <w:szCs w:val="28"/>
        </w:rPr>
      </w:pPr>
      <w:bookmarkStart w:id="20" w:name="_Toc37843239"/>
      <w:r>
        <w:rPr>
          <w:rFonts w:asciiTheme="majorBidi" w:hAnsiTheme="majorBidi"/>
          <w:szCs w:val="28"/>
        </w:rPr>
        <w:t xml:space="preserve">3.5  </w:t>
      </w:r>
      <w:r>
        <w:rPr>
          <w:rFonts w:hint="eastAsia" w:asciiTheme="majorBidi" w:hAnsiTheme="majorBidi"/>
          <w:szCs w:val="28"/>
        </w:rPr>
        <w:t>点位布设技术路线</w:t>
      </w:r>
      <w:bookmarkEnd w:id="20"/>
    </w:p>
    <w:p>
      <w:pPr>
        <w:outlineLvl w:val="2"/>
      </w:pPr>
      <w:r>
        <w:rPr>
          <w:rFonts w:hint="eastAsia"/>
          <w:b/>
        </w:rPr>
        <w:t>3.</w:t>
      </w:r>
      <w:r>
        <w:rPr>
          <w:b/>
        </w:rPr>
        <w:t>5</w:t>
      </w:r>
      <w:r>
        <w:rPr>
          <w:rFonts w:hint="eastAsia"/>
          <w:b/>
        </w:rPr>
        <w:t>.1</w:t>
      </w:r>
      <w:r>
        <w:rPr>
          <w:rFonts w:hint="eastAsia"/>
        </w:rPr>
        <w:t xml:space="preserve"> </w:t>
      </w:r>
      <w:r>
        <w:t xml:space="preserve"> </w:t>
      </w:r>
      <w:r>
        <w:rPr>
          <w:rFonts w:hint="eastAsia"/>
        </w:rPr>
        <w:t>采样点位底泥污染判定</w:t>
      </w:r>
      <w:r>
        <w:t>应按GB</w:t>
      </w:r>
      <w:r>
        <w:rPr>
          <w:rFonts w:hint="eastAsia"/>
        </w:rPr>
        <w:t xml:space="preserve"> </w:t>
      </w:r>
      <w:r>
        <w:t>15618</w:t>
      </w:r>
      <w:r>
        <w:rPr>
          <w:rFonts w:hint="eastAsia"/>
        </w:rPr>
        <w:t>中农用地土壤污染风险筛选值执行。</w:t>
      </w:r>
    </w:p>
    <w:p>
      <w:pPr>
        <w:outlineLvl w:val="2"/>
      </w:pPr>
      <w:r>
        <w:rPr>
          <w:rFonts w:hint="eastAsia"/>
          <w:b/>
        </w:rPr>
        <w:t>3.</w:t>
      </w:r>
      <w:r>
        <w:rPr>
          <w:b/>
        </w:rPr>
        <w:t>5</w:t>
      </w:r>
      <w:r>
        <w:rPr>
          <w:rFonts w:hint="eastAsia"/>
          <w:b/>
        </w:rPr>
        <w:t>.2</w:t>
      </w:r>
      <w:r>
        <w:rPr>
          <w:b/>
        </w:rPr>
        <w:t xml:space="preserve">  </w:t>
      </w:r>
      <w:r>
        <w:rPr>
          <w:rFonts w:hint="eastAsia"/>
        </w:rPr>
        <w:t>采样监测发现一般采样点位底泥受到污染，则应开展加密点位布设和监测，加密采样点</w:t>
      </w:r>
      <w:r>
        <w:t>布设可根据二分法</w:t>
      </w:r>
      <w:r>
        <w:rPr>
          <w:rFonts w:hint="eastAsia"/>
        </w:rPr>
        <w:t>及网格</w:t>
      </w:r>
      <w:r>
        <w:t>布点</w:t>
      </w:r>
      <w:r>
        <w:rPr>
          <w:rFonts w:hint="eastAsia"/>
        </w:rPr>
        <w:t>方法实施；采样监测发现一般采样点位底泥未受到污染，则无需开展下一阶段的加采样点位布设。见图3.</w:t>
      </w:r>
      <w:r>
        <w:t>5</w:t>
      </w:r>
      <w:r>
        <w:rPr>
          <w:rFonts w:hint="eastAsia"/>
        </w:rPr>
        <w:t>.</w:t>
      </w:r>
      <w:r>
        <w:t>2</w:t>
      </w:r>
      <w:r>
        <w:rPr>
          <w:rFonts w:hint="eastAsia"/>
        </w:rPr>
        <w:t>。</w:t>
      </w:r>
    </w:p>
    <w:p>
      <w:pPr>
        <w:ind w:firstLine="199" w:firstLineChars="83"/>
        <w:jc w:val="center"/>
      </w:pPr>
    </w:p>
    <w:p>
      <w:pPr>
        <w:jc w:val="center"/>
      </w:pPr>
      <w:r>
        <w:object>
          <v:shape id="_x0000_i1025" o:spt="75" type="#_x0000_t75" style="height:243pt;width:281.25pt;" o:ole="t" filled="f" o:preferrelative="t" stroked="f" coordsize="21600,21600">
            <v:path/>
            <v:fill on="f" focussize="0,0"/>
            <v:stroke on="f" joinstyle="miter"/>
            <v:imagedata r:id="rId14" o:title=""/>
            <o:lock v:ext="edit" aspectratio="t"/>
            <w10:wrap type="none"/>
            <w10:anchorlock/>
          </v:shape>
          <o:OLEObject Type="Embed" ProgID="Visio.Drawing.11" ShapeID="_x0000_i1025" DrawAspect="Content" ObjectID="_1468075725" r:id="rId13">
            <o:LockedField>false</o:LockedField>
          </o:OLEObject>
        </w:object>
      </w:r>
    </w:p>
    <w:p>
      <w:pPr>
        <w:jc w:val="center"/>
        <w:rPr>
          <w:b/>
        </w:rPr>
      </w:pPr>
      <w:r>
        <w:rPr>
          <w:rFonts w:hint="eastAsia"/>
          <w:b/>
        </w:rPr>
        <w:t>图</w:t>
      </w:r>
      <w:r>
        <w:rPr>
          <w:b/>
        </w:rPr>
        <w:t>3.5</w:t>
      </w:r>
      <w:r>
        <w:rPr>
          <w:rFonts w:hint="eastAsia"/>
          <w:b/>
        </w:rPr>
        <w:t>.</w:t>
      </w:r>
      <w:r>
        <w:rPr>
          <w:b/>
        </w:rPr>
        <w:t xml:space="preserve">2  </w:t>
      </w:r>
      <w:r>
        <w:rPr>
          <w:rFonts w:hint="eastAsia"/>
          <w:b/>
        </w:rPr>
        <w:t>底泥污染物调查点位布设技术路线图</w:t>
      </w:r>
    </w:p>
    <w:p>
      <w:pPr>
        <w:pStyle w:val="3"/>
        <w:rPr>
          <w:rFonts w:asciiTheme="majorBidi" w:hAnsiTheme="majorBidi"/>
          <w:szCs w:val="28"/>
        </w:rPr>
      </w:pPr>
      <w:bookmarkStart w:id="21" w:name="_Toc37843240"/>
      <w:r>
        <w:rPr>
          <w:rFonts w:asciiTheme="majorBidi" w:hAnsiTheme="majorBidi"/>
          <w:szCs w:val="28"/>
        </w:rPr>
        <w:t xml:space="preserve">3.6  </w:t>
      </w:r>
      <w:r>
        <w:rPr>
          <w:rFonts w:hint="eastAsia" w:asciiTheme="majorBidi" w:hAnsiTheme="majorBidi"/>
          <w:szCs w:val="28"/>
        </w:rPr>
        <w:t>一般采样点</w:t>
      </w:r>
      <w:r>
        <w:rPr>
          <w:rFonts w:asciiTheme="majorBidi" w:hAnsiTheme="majorBidi"/>
          <w:szCs w:val="28"/>
        </w:rPr>
        <w:t>布设</w:t>
      </w:r>
      <w:bookmarkEnd w:id="21"/>
    </w:p>
    <w:p>
      <w:r>
        <w:rPr>
          <w:rFonts w:hint="eastAsia"/>
          <w:b/>
        </w:rPr>
        <w:t>3.</w:t>
      </w:r>
      <w:r>
        <w:rPr>
          <w:b/>
        </w:rPr>
        <w:t>6</w:t>
      </w:r>
      <w:r>
        <w:rPr>
          <w:rFonts w:hint="eastAsia"/>
          <w:b/>
        </w:rPr>
        <w:t>.1</w:t>
      </w:r>
      <w:r>
        <w:t xml:space="preserve">  </w:t>
      </w:r>
      <w:r>
        <w:rPr>
          <w:rFonts w:hint="eastAsia"/>
        </w:rPr>
        <w:t>河流底泥一般采样点布设应符合以下要求。</w:t>
      </w:r>
    </w:p>
    <w:p>
      <w:pPr>
        <w:ind w:firstLine="480"/>
      </w:pPr>
      <w:r>
        <w:rPr>
          <w:b/>
          <w:bCs/>
        </w:rPr>
        <w:t>1</w:t>
      </w:r>
      <w:r>
        <w:t xml:space="preserve">  </w:t>
      </w:r>
      <w:r>
        <w:rPr>
          <w:rFonts w:hint="eastAsia"/>
        </w:rPr>
        <w:t>在河流的国控、省控、市控、或县控断面应布设采样断面。</w:t>
      </w:r>
    </w:p>
    <w:p>
      <w:pPr>
        <w:ind w:firstLine="480"/>
      </w:pPr>
      <w:r>
        <w:rPr>
          <w:b/>
        </w:rPr>
        <w:t>2</w:t>
      </w:r>
      <w:r>
        <w:t xml:space="preserve">  </w:t>
      </w:r>
      <w:r>
        <w:rPr>
          <w:rFonts w:hint="eastAsia"/>
        </w:rPr>
        <w:t>在工业园区、环境风险源企业排放口下游0.5km、1.5 km应各布设1个采样断面。</w:t>
      </w:r>
    </w:p>
    <w:p>
      <w:pPr>
        <w:ind w:firstLine="480"/>
      </w:pPr>
      <w:r>
        <w:rPr>
          <w:rFonts w:hint="eastAsia"/>
          <w:b/>
        </w:rPr>
        <w:t>3</w:t>
      </w:r>
      <w:r>
        <w:rPr>
          <w:rFonts w:hint="eastAsia"/>
        </w:rPr>
        <w:t xml:space="preserve"> </w:t>
      </w:r>
      <w:r>
        <w:t xml:space="preserve"> </w:t>
      </w:r>
      <w:r>
        <w:rPr>
          <w:rFonts w:hint="eastAsia"/>
        </w:rPr>
        <w:t>在居民</w:t>
      </w:r>
      <w:r>
        <w:t>聚集</w:t>
      </w:r>
      <w:r>
        <w:rPr>
          <w:rFonts w:hint="eastAsia"/>
        </w:rPr>
        <w:t>区</w:t>
      </w:r>
      <w:r>
        <w:t>、农业</w:t>
      </w:r>
      <w:r>
        <w:rPr>
          <w:rFonts w:hint="eastAsia"/>
        </w:rPr>
        <w:t>分布区、</w:t>
      </w:r>
      <w:r>
        <w:t>支流汇入处下游</w:t>
      </w:r>
      <w:r>
        <w:rPr>
          <w:rFonts w:hint="eastAsia"/>
        </w:rPr>
        <w:t>0.5</w:t>
      </w:r>
      <w:r>
        <w:t>km内各布设</w:t>
      </w:r>
      <w:r>
        <w:rPr>
          <w:rFonts w:hint="eastAsia"/>
        </w:rPr>
        <w:t>1个</w:t>
      </w:r>
      <w:r>
        <w:t>采样</w:t>
      </w:r>
      <w:r>
        <w:rPr>
          <w:rFonts w:hint="eastAsia"/>
        </w:rPr>
        <w:t>断面</w:t>
      </w:r>
      <w:r>
        <w:t>。</w:t>
      </w:r>
    </w:p>
    <w:p>
      <w:pPr>
        <w:ind w:firstLine="480"/>
      </w:pPr>
      <w:r>
        <w:rPr>
          <w:rFonts w:hint="eastAsia"/>
          <w:b/>
        </w:rPr>
        <w:t>4</w:t>
      </w:r>
      <w:r>
        <w:rPr>
          <w:rFonts w:hint="eastAsia"/>
        </w:rPr>
        <w:t xml:space="preserve"> </w:t>
      </w:r>
      <w:r>
        <w:t xml:space="preserve"> </w:t>
      </w:r>
      <w:r>
        <w:rPr>
          <w:rFonts w:hint="eastAsia"/>
        </w:rPr>
        <w:t>近20年发生</w:t>
      </w:r>
      <w:r>
        <w:t>污染</w:t>
      </w:r>
      <w:r>
        <w:rPr>
          <w:rFonts w:hint="eastAsia"/>
        </w:rPr>
        <w:t>事故的</w:t>
      </w:r>
      <w:r>
        <w:t>河段</w:t>
      </w:r>
      <w:r>
        <w:rPr>
          <w:rFonts w:hint="eastAsia"/>
        </w:rPr>
        <w:t>，于</w:t>
      </w:r>
      <w:r>
        <w:t>污染物汇入处布设</w:t>
      </w:r>
      <w:r>
        <w:rPr>
          <w:rFonts w:hint="eastAsia"/>
        </w:rPr>
        <w:t>1个</w:t>
      </w:r>
      <w:r>
        <w:t>采样</w:t>
      </w:r>
      <w:r>
        <w:rPr>
          <w:rFonts w:hint="eastAsia"/>
        </w:rPr>
        <w:t>断面</w:t>
      </w:r>
      <w:r>
        <w:t>，并</w:t>
      </w:r>
      <w:r>
        <w:rPr>
          <w:rFonts w:hint="eastAsia"/>
        </w:rPr>
        <w:t>在其</w:t>
      </w:r>
      <w:r>
        <w:t>下游</w:t>
      </w:r>
      <w:r>
        <w:rPr>
          <w:rFonts w:hint="eastAsia"/>
        </w:rPr>
        <w:t>5</w:t>
      </w:r>
      <w:r>
        <w:t>km内</w:t>
      </w:r>
      <w:r>
        <w:rPr>
          <w:rFonts w:hint="eastAsia"/>
        </w:rPr>
        <w:t>等间距</w:t>
      </w:r>
      <w:r>
        <w:t>布设</w:t>
      </w:r>
      <w:r>
        <w:rPr>
          <w:rFonts w:hint="eastAsia"/>
        </w:rPr>
        <w:t>2个</w:t>
      </w:r>
      <w:r>
        <w:t>采样</w:t>
      </w:r>
      <w:r>
        <w:rPr>
          <w:rFonts w:hint="eastAsia"/>
        </w:rPr>
        <w:t>断面</w:t>
      </w:r>
      <w:r>
        <w:t>。</w:t>
      </w:r>
    </w:p>
    <w:p>
      <w:pPr>
        <w:ind w:firstLine="480"/>
      </w:pPr>
      <w:r>
        <w:rPr>
          <w:rFonts w:hint="eastAsia"/>
          <w:b/>
        </w:rPr>
        <w:t>5</w:t>
      </w:r>
      <w:r>
        <w:rPr>
          <w:rFonts w:hint="eastAsia"/>
        </w:rPr>
        <w:t xml:space="preserve"> </w:t>
      </w:r>
      <w:r>
        <w:t xml:space="preserve"> </w:t>
      </w:r>
      <w:r>
        <w:rPr>
          <w:rFonts w:hint="eastAsia"/>
        </w:rPr>
        <w:t>河流沿线存在投饵网箱养殖、畜禽养殖的河段，应在疑似污染区域布设1 个采样断面。</w:t>
      </w:r>
    </w:p>
    <w:p>
      <w:pPr>
        <w:ind w:firstLine="480"/>
      </w:pPr>
      <w:r>
        <w:rPr>
          <w:rFonts w:hint="eastAsia"/>
          <w:b/>
        </w:rPr>
        <w:t>6</w:t>
      </w:r>
      <w:r>
        <w:rPr>
          <w:rFonts w:hint="eastAsia"/>
        </w:rPr>
        <w:t xml:space="preserve"> </w:t>
      </w:r>
      <w:r>
        <w:t xml:space="preserve"> </w:t>
      </w:r>
      <w:r>
        <w:rPr>
          <w:rFonts w:hint="eastAsia"/>
        </w:rPr>
        <w:t>河道周围存在疑似污染源时，应根据地表径流汇入方向在下游布设1个</w:t>
      </w:r>
      <w:r>
        <w:t>采样</w:t>
      </w:r>
      <w:r>
        <w:rPr>
          <w:rFonts w:hint="eastAsia"/>
        </w:rPr>
        <w:t>断面</w:t>
      </w:r>
      <w:r>
        <w:t>。</w:t>
      </w:r>
    </w:p>
    <w:p>
      <w:pPr>
        <w:ind w:firstLine="480"/>
      </w:pPr>
      <w:r>
        <w:rPr>
          <w:rFonts w:hint="eastAsia"/>
          <w:b/>
        </w:rPr>
        <w:t>7</w:t>
      </w:r>
      <w:r>
        <w:rPr>
          <w:rFonts w:hint="eastAsia"/>
        </w:rPr>
        <w:t xml:space="preserve"> </w:t>
      </w:r>
      <w:r>
        <w:t xml:space="preserve"> </w:t>
      </w:r>
      <w:r>
        <w:rPr>
          <w:rFonts w:hint="eastAsia"/>
        </w:rPr>
        <w:t>同一采样断面上采样点位的位置及数量</w:t>
      </w:r>
      <w:r>
        <w:t>应符合</w:t>
      </w:r>
      <w:r>
        <w:rPr>
          <w:rFonts w:hint="eastAsia"/>
        </w:rPr>
        <w:t>HJ/T 91的规定。</w:t>
      </w:r>
    </w:p>
    <w:p>
      <w:r>
        <w:rPr>
          <w:b/>
        </w:rPr>
        <w:t>3.6.2</w:t>
      </w:r>
      <w:r>
        <w:t xml:space="preserve">  </w:t>
      </w:r>
      <w:r>
        <w:rPr>
          <w:rFonts w:hint="eastAsia"/>
        </w:rPr>
        <w:t>湖泊底泥一般采样点布设应符合以下要求。</w:t>
      </w:r>
    </w:p>
    <w:p>
      <w:pPr>
        <w:ind w:firstLine="482"/>
      </w:pPr>
      <w:r>
        <w:rPr>
          <w:b/>
        </w:rPr>
        <w:t>1</w:t>
      </w:r>
      <w:r>
        <w:rPr>
          <w:rFonts w:hint="eastAsia"/>
        </w:rPr>
        <w:t xml:space="preserve"> </w:t>
      </w:r>
      <w:r>
        <w:t xml:space="preserve"> </w:t>
      </w:r>
      <w:r>
        <w:rPr>
          <w:rFonts w:hint="eastAsia"/>
        </w:rPr>
        <w:t>湖泊内应采用网格布点设置监测垂线。大中型湖泊（面积≥100 km</w:t>
      </w:r>
      <w:r>
        <w:rPr>
          <w:vertAlign w:val="superscript"/>
        </w:rPr>
        <w:t>2</w:t>
      </w:r>
      <w:r>
        <w:rPr>
          <w:rFonts w:hint="eastAsia"/>
        </w:rPr>
        <w:t>）内采样点位数量应不少于20个；小型湖泊（面积&lt;100 km</w:t>
      </w:r>
      <w:r>
        <w:rPr>
          <w:vertAlign w:val="superscript"/>
        </w:rPr>
        <w:t>2</w:t>
      </w:r>
      <w:r>
        <w:rPr>
          <w:rFonts w:hint="eastAsia"/>
        </w:rPr>
        <w:t>）内采样点位数量应不少于10个。</w:t>
      </w:r>
    </w:p>
    <w:p>
      <w:pPr>
        <w:ind w:firstLine="482"/>
      </w:pPr>
      <w:r>
        <w:rPr>
          <w:b/>
        </w:rPr>
        <w:t>2</w:t>
      </w:r>
      <w:r>
        <w:rPr>
          <w:rFonts w:hint="eastAsia"/>
        </w:rPr>
        <w:t xml:space="preserve"> </w:t>
      </w:r>
      <w:r>
        <w:t xml:space="preserve"> 河流</w:t>
      </w:r>
      <w:r>
        <w:rPr>
          <w:rFonts w:hint="eastAsia"/>
        </w:rPr>
        <w:t>入</w:t>
      </w:r>
      <w:r>
        <w:t>湖泊</w:t>
      </w:r>
      <w:r>
        <w:rPr>
          <w:rFonts w:hint="eastAsia"/>
        </w:rPr>
        <w:t>口</w:t>
      </w:r>
      <w:r>
        <w:t>和</w:t>
      </w:r>
      <w:r>
        <w:rPr>
          <w:rFonts w:hint="eastAsia"/>
        </w:rPr>
        <w:t>出</w:t>
      </w:r>
      <w:r>
        <w:t>湖泊口</w:t>
      </w:r>
      <w:r>
        <w:rPr>
          <w:rFonts w:hint="eastAsia"/>
        </w:rPr>
        <w:t>处</w:t>
      </w:r>
      <w:r>
        <w:t>分别</w:t>
      </w:r>
      <w:r>
        <w:rPr>
          <w:rFonts w:hint="eastAsia"/>
        </w:rPr>
        <w:t>设置1个采样断面</w:t>
      </w:r>
      <w:r>
        <w:t>。</w:t>
      </w:r>
    </w:p>
    <w:p>
      <w:pPr>
        <w:ind w:firstLine="482"/>
      </w:pPr>
      <w:r>
        <w:rPr>
          <w:b/>
        </w:rPr>
        <w:t>3</w:t>
      </w:r>
      <w:r>
        <w:rPr>
          <w:rFonts w:hint="eastAsia"/>
        </w:rPr>
        <w:t xml:space="preserve"> </w:t>
      </w:r>
      <w:r>
        <w:t xml:space="preserve"> </w:t>
      </w:r>
      <w:r>
        <w:rPr>
          <w:rFonts w:hint="eastAsia"/>
        </w:rPr>
        <w:t>污染源</w:t>
      </w:r>
      <w:r>
        <w:t>排放口</w:t>
      </w:r>
      <w:r>
        <w:rPr>
          <w:rFonts w:hint="eastAsia"/>
        </w:rPr>
        <w:t>汇入</w:t>
      </w:r>
      <w:r>
        <w:t>湖泊</w:t>
      </w:r>
      <w:r>
        <w:rPr>
          <w:rFonts w:hint="eastAsia"/>
        </w:rPr>
        <w:t>处应</w:t>
      </w:r>
      <w:r>
        <w:t>设置</w:t>
      </w:r>
      <w:r>
        <w:rPr>
          <w:rFonts w:hint="eastAsia"/>
        </w:rPr>
        <w:t>1个</w:t>
      </w:r>
      <w:r>
        <w:t>采样断面。</w:t>
      </w:r>
    </w:p>
    <w:p>
      <w:pPr>
        <w:ind w:firstLine="482"/>
      </w:pPr>
      <w:r>
        <w:rPr>
          <w:b/>
        </w:rPr>
        <w:t>4</w:t>
      </w:r>
      <w:r>
        <w:rPr>
          <w:rFonts w:hint="eastAsia"/>
        </w:rPr>
        <w:t xml:space="preserve"> </w:t>
      </w:r>
      <w:r>
        <w:t xml:space="preserve"> </w:t>
      </w:r>
      <w:r>
        <w:rPr>
          <w:rFonts w:hint="eastAsia"/>
        </w:rPr>
        <w:t>底泥采样点位应位于水质采样点垂线的正下方，</w:t>
      </w:r>
      <w:r>
        <w:t>当</w:t>
      </w:r>
      <w:r>
        <w:rPr>
          <w:rFonts w:hint="eastAsia"/>
        </w:rPr>
        <w:t>正下方</w:t>
      </w:r>
      <w:r>
        <w:t>无法取样时</w:t>
      </w:r>
      <w:r>
        <w:rPr>
          <w:rFonts w:hint="eastAsia"/>
        </w:rPr>
        <w:t>就近偏移，</w:t>
      </w:r>
      <w:r>
        <w:t>应符合</w:t>
      </w:r>
      <w:r>
        <w:rPr>
          <w:rFonts w:hint="eastAsia"/>
        </w:rPr>
        <w:t>HJ/T 91的规定。</w:t>
      </w:r>
    </w:p>
    <w:p>
      <w:pPr>
        <w:pStyle w:val="3"/>
        <w:rPr>
          <w:rFonts w:asciiTheme="majorBidi" w:hAnsiTheme="majorBidi"/>
          <w:szCs w:val="28"/>
        </w:rPr>
      </w:pPr>
      <w:bookmarkStart w:id="22" w:name="_Toc37843241"/>
      <w:r>
        <w:rPr>
          <w:rFonts w:asciiTheme="majorBidi" w:hAnsiTheme="majorBidi"/>
          <w:szCs w:val="28"/>
        </w:rPr>
        <w:t>3.7  加密</w:t>
      </w:r>
      <w:r>
        <w:rPr>
          <w:rFonts w:hint="eastAsia" w:asciiTheme="majorBidi" w:hAnsiTheme="majorBidi"/>
          <w:szCs w:val="28"/>
        </w:rPr>
        <w:t>采样点</w:t>
      </w:r>
      <w:r>
        <w:rPr>
          <w:rFonts w:asciiTheme="majorBidi" w:hAnsiTheme="majorBidi"/>
          <w:szCs w:val="28"/>
        </w:rPr>
        <w:t>布设</w:t>
      </w:r>
      <w:bookmarkEnd w:id="22"/>
    </w:p>
    <w:p>
      <w:r>
        <w:rPr>
          <w:b/>
        </w:rPr>
        <w:t>3.7.</w:t>
      </w:r>
      <w:r>
        <w:rPr>
          <w:rFonts w:hint="eastAsia"/>
          <w:b/>
        </w:rPr>
        <w:t>1</w:t>
      </w:r>
      <w:r>
        <w:t xml:space="preserve">  </w:t>
      </w:r>
      <w:r>
        <w:rPr>
          <w:rFonts w:hint="eastAsia"/>
        </w:rPr>
        <w:t>河流底泥加密采样点布设应符合以下要求。</w:t>
      </w:r>
    </w:p>
    <w:p>
      <w:pPr>
        <w:ind w:firstLine="480"/>
      </w:pPr>
      <w:r>
        <w:rPr>
          <w:rFonts w:hint="eastAsia"/>
          <w:b/>
        </w:rPr>
        <w:t>1</w:t>
      </w:r>
      <w:r>
        <w:rPr>
          <w:rFonts w:hint="eastAsia"/>
        </w:rPr>
        <w:t xml:space="preserve"> </w:t>
      </w:r>
      <w:r>
        <w:t xml:space="preserve"> </w:t>
      </w:r>
      <w:r>
        <w:rPr>
          <w:rFonts w:hint="eastAsia"/>
        </w:rPr>
        <w:t>一般采样点位受污染时，应在相应点位周边加密布设采样点位。</w:t>
      </w:r>
    </w:p>
    <w:p>
      <w:pPr>
        <w:ind w:firstLine="480"/>
      </w:pPr>
      <w:r>
        <w:rPr>
          <w:rFonts w:hint="eastAsia"/>
          <w:b/>
        </w:rPr>
        <w:t>2</w:t>
      </w:r>
      <w:r>
        <w:rPr>
          <w:rFonts w:hint="eastAsia"/>
        </w:rPr>
        <w:t xml:space="preserve"> </w:t>
      </w:r>
      <w:r>
        <w:t xml:space="preserve"> </w:t>
      </w:r>
      <w:r>
        <w:rPr>
          <w:rFonts w:hint="eastAsia"/>
        </w:rPr>
        <w:t>与受污染点位相邻的监测断面未发现污染点位时，应在两个采样断面之间按二分法加密布设监测断面；与受污染点位相邻的监测断面发现污染点位时，应在两个监测断面之间等间距加密布设监测断面。</w:t>
      </w:r>
    </w:p>
    <w:p>
      <w:pPr>
        <w:ind w:firstLine="480"/>
      </w:pPr>
      <w:r>
        <w:rPr>
          <w:rFonts w:hint="eastAsia"/>
          <w:b/>
        </w:rPr>
        <w:t>3</w:t>
      </w:r>
      <w:r>
        <w:rPr>
          <w:rFonts w:hint="eastAsia"/>
        </w:rPr>
        <w:t xml:space="preserve"> </w:t>
      </w:r>
      <w:r>
        <w:t xml:space="preserve"> </w:t>
      </w:r>
      <w:r>
        <w:rPr>
          <w:rFonts w:hint="eastAsia"/>
        </w:rPr>
        <w:t>某一河段最上游一个点位属于污染点位，应向其河道上游方向等间距加密布设监测断面，追溯至上游未受污染的监测断面。</w:t>
      </w:r>
    </w:p>
    <w:p>
      <w:pPr>
        <w:ind w:firstLine="480"/>
      </w:pPr>
      <w:r>
        <w:rPr>
          <w:rFonts w:hint="eastAsia"/>
          <w:b/>
        </w:rPr>
        <w:t>4</w:t>
      </w:r>
      <w:r>
        <w:rPr>
          <w:rFonts w:hint="eastAsia"/>
        </w:rPr>
        <w:t xml:space="preserve"> </w:t>
      </w:r>
      <w:r>
        <w:t xml:space="preserve"> </w:t>
      </w:r>
      <w:r>
        <w:rPr>
          <w:rFonts w:hint="eastAsia"/>
        </w:rPr>
        <w:t>某一河段的最下游一个点位属于污染点位，应向其河道下游方向等间距加密布设监测断面，追溯至下游未受污染的监测断面。</w:t>
      </w:r>
    </w:p>
    <w:p>
      <w:pPr>
        <w:ind w:firstLine="480"/>
      </w:pPr>
      <w:r>
        <w:rPr>
          <w:b/>
        </w:rPr>
        <w:t>5</w:t>
      </w:r>
      <w:r>
        <w:rPr>
          <w:rFonts w:hint="eastAsia"/>
        </w:rPr>
        <w:t xml:space="preserve"> </w:t>
      </w:r>
      <w:r>
        <w:t xml:space="preserve"> </w:t>
      </w:r>
      <w:r>
        <w:rPr>
          <w:rFonts w:hint="eastAsia"/>
        </w:rPr>
        <w:t>可根据河道水文条件及调查目的，分批次加密布设监测断面，并通过采样分析确定受污染底泥的边界。河流底泥污染边界的断面误差原则上应不超过500m。</w:t>
      </w:r>
    </w:p>
    <w:p>
      <w:pPr>
        <w:ind w:firstLine="480"/>
      </w:pPr>
      <w:r>
        <w:rPr>
          <w:b/>
        </w:rPr>
        <w:t>6</w:t>
      </w:r>
      <w:r>
        <w:rPr>
          <w:rFonts w:hint="eastAsia"/>
        </w:rPr>
        <w:t xml:space="preserve"> </w:t>
      </w:r>
      <w:r>
        <w:t xml:space="preserve"> </w:t>
      </w:r>
      <w:r>
        <w:rPr>
          <w:rFonts w:hint="eastAsia"/>
        </w:rPr>
        <w:t>同一断面上设置采样点位的位置及数量，</w:t>
      </w:r>
      <w:r>
        <w:t>应符合</w:t>
      </w:r>
      <w:r>
        <w:rPr>
          <w:rFonts w:hint="eastAsia"/>
        </w:rPr>
        <w:t>HJ/T91的规定。</w:t>
      </w:r>
    </w:p>
    <w:p>
      <w:r>
        <w:rPr>
          <w:b/>
          <w:bCs/>
        </w:rPr>
        <w:t>3.7.</w:t>
      </w:r>
      <w:r>
        <w:rPr>
          <w:rFonts w:hint="eastAsia"/>
          <w:b/>
          <w:bCs/>
        </w:rPr>
        <w:t>2</w:t>
      </w:r>
      <w:r>
        <w:t xml:space="preserve">  </w:t>
      </w:r>
      <w:r>
        <w:rPr>
          <w:rFonts w:hint="eastAsia"/>
        </w:rPr>
        <w:t>湖泊底泥加密采样点布设应符合以下要求。</w:t>
      </w:r>
    </w:p>
    <w:p>
      <w:pPr>
        <w:ind w:firstLine="480"/>
      </w:pPr>
      <w:r>
        <w:rPr>
          <w:rFonts w:hint="eastAsia"/>
          <w:b/>
          <w:bCs/>
        </w:rPr>
        <w:t>1</w:t>
      </w:r>
      <w:r>
        <w:rPr>
          <w:rFonts w:hint="eastAsia"/>
        </w:rPr>
        <w:t xml:space="preserve"> </w:t>
      </w:r>
      <w:r>
        <w:t xml:space="preserve"> </w:t>
      </w:r>
      <w:r>
        <w:rPr>
          <w:rFonts w:hint="eastAsia"/>
        </w:rPr>
        <w:t>初始点位布设阶段发现点位受污染的，应在相应的点位周边采用网格布点方法进行加密布点。一般</w:t>
      </w:r>
      <w:r>
        <w:t>按100-200m网格状或梅花状布设，不规则水域根据实际情况按上述间距确定原则布设。</w:t>
      </w:r>
    </w:p>
    <w:p>
      <w:pPr>
        <w:ind w:firstLine="480"/>
      </w:pPr>
      <w:r>
        <w:rPr>
          <w:rFonts w:hint="eastAsia"/>
          <w:b/>
        </w:rPr>
        <w:t>2</w:t>
      </w:r>
      <w:r>
        <w:rPr>
          <w:rFonts w:hint="eastAsia"/>
        </w:rPr>
        <w:t xml:space="preserve"> </w:t>
      </w:r>
      <w:r>
        <w:t xml:space="preserve"> </w:t>
      </w:r>
      <w:r>
        <w:rPr>
          <w:rFonts w:hint="eastAsia"/>
        </w:rPr>
        <w:t>如初始点位布设阶段的连续相邻点位均发现受到污染（且有一定的围合区域时），可认为其围合区域内底泥均为受污染区域，可不在该围合区域内进一步加密布点。</w:t>
      </w:r>
    </w:p>
    <w:p>
      <w:pPr>
        <w:ind w:firstLine="480"/>
      </w:pPr>
      <w:r>
        <w:rPr>
          <w:rFonts w:hint="eastAsia"/>
          <w:b/>
        </w:rPr>
        <w:t>3</w:t>
      </w:r>
      <w:r>
        <w:rPr>
          <w:rFonts w:hint="eastAsia"/>
        </w:rPr>
        <w:t xml:space="preserve"> </w:t>
      </w:r>
      <w:r>
        <w:t xml:space="preserve"> </w:t>
      </w:r>
      <w:r>
        <w:rPr>
          <w:rFonts w:hint="eastAsia"/>
        </w:rPr>
        <w:t>可根据湖泊水文条件及底泥调查的目的，分批次实施湖泊的加密点位布设，并通过采样分析确定受污染底泥的边界，湖泊底泥污染边界的误差原则上应控制在网格密度0.25 km</w:t>
      </w:r>
      <w:r>
        <w:rPr>
          <w:vertAlign w:val="superscript"/>
        </w:rPr>
        <w:t>2</w:t>
      </w:r>
      <w:r>
        <w:rPr>
          <w:rFonts w:hint="eastAsia"/>
        </w:rPr>
        <w:t>以内。</w:t>
      </w:r>
    </w:p>
    <w:p>
      <w:pPr>
        <w:ind w:firstLine="480"/>
      </w:pPr>
      <w:r>
        <w:rPr>
          <w:rFonts w:hint="eastAsia"/>
          <w:b/>
        </w:rPr>
        <w:t>4</w:t>
      </w:r>
      <w:r>
        <w:rPr>
          <w:rFonts w:hint="eastAsia"/>
        </w:rPr>
        <w:t xml:space="preserve"> </w:t>
      </w:r>
      <w:r>
        <w:t xml:space="preserve"> </w:t>
      </w:r>
      <w:r>
        <w:rPr>
          <w:rFonts w:hint="eastAsia"/>
        </w:rPr>
        <w:t>针对湖泊</w:t>
      </w:r>
      <w:r>
        <w:rPr>
          <w:rFonts w:cs="Times New Roman"/>
          <w:szCs w:val="24"/>
        </w:rPr>
        <w:t>小区域、孤立区域的布设点不得少于3个。</w:t>
      </w:r>
    </w:p>
    <w:p>
      <w:pPr>
        <w:pStyle w:val="3"/>
        <w:rPr>
          <w:rFonts w:asciiTheme="majorBidi" w:hAnsiTheme="majorBidi"/>
          <w:szCs w:val="28"/>
        </w:rPr>
      </w:pPr>
      <w:bookmarkStart w:id="23" w:name="_Toc37843242"/>
      <w:r>
        <w:rPr>
          <w:rFonts w:asciiTheme="majorBidi" w:hAnsiTheme="majorBidi"/>
          <w:szCs w:val="28"/>
        </w:rPr>
        <w:t>3.8  采样样品要求</w:t>
      </w:r>
      <w:bookmarkEnd w:id="23"/>
    </w:p>
    <w:p>
      <w:r>
        <w:rPr>
          <w:rFonts w:hint="eastAsia"/>
          <w:b/>
          <w:bCs/>
        </w:rPr>
        <w:t>3.</w:t>
      </w:r>
      <w:r>
        <w:rPr>
          <w:b/>
          <w:bCs/>
        </w:rPr>
        <w:t>8</w:t>
      </w:r>
      <w:r>
        <w:rPr>
          <w:rFonts w:hint="eastAsia"/>
          <w:b/>
          <w:bCs/>
        </w:rPr>
        <w:t>.</w:t>
      </w:r>
      <w:r>
        <w:rPr>
          <w:b/>
          <w:bCs/>
        </w:rPr>
        <w:t>1</w:t>
      </w:r>
      <w:r>
        <w:rPr>
          <w:b/>
        </w:rPr>
        <w:t xml:space="preserve">  </w:t>
      </w:r>
      <w:r>
        <w:t>一般</w:t>
      </w:r>
      <w:r>
        <w:rPr>
          <w:rFonts w:hint="eastAsia"/>
        </w:rPr>
        <w:t>采用</w:t>
      </w:r>
      <w:r>
        <w:t>柱状</w:t>
      </w:r>
      <w:r>
        <w:rPr>
          <w:rFonts w:hint="eastAsia"/>
        </w:rPr>
        <w:t>采样器</w:t>
      </w:r>
      <w:r>
        <w:t>采样</w:t>
      </w:r>
      <w:r>
        <w:rPr>
          <w:rFonts w:hint="eastAsia"/>
        </w:rPr>
        <w:t>，</w:t>
      </w:r>
      <w:r>
        <w:t>采样深度</w:t>
      </w:r>
      <w:r>
        <w:rPr>
          <w:rFonts w:hint="eastAsia"/>
        </w:rPr>
        <w:t>宜</w:t>
      </w:r>
      <w:r>
        <w:t>穿透污染层进入正常层</w:t>
      </w:r>
      <w:r>
        <w:rPr>
          <w:rFonts w:hint="eastAsia"/>
        </w:rPr>
        <w:t>。</w:t>
      </w:r>
    </w:p>
    <w:p>
      <w:pPr>
        <w:rPr>
          <w:b/>
          <w:bCs/>
        </w:rPr>
      </w:pPr>
      <w:r>
        <w:rPr>
          <w:b/>
          <w:bCs/>
        </w:rPr>
        <w:t xml:space="preserve">3.8.2  </w:t>
      </w:r>
      <w:r>
        <w:rPr>
          <w:rFonts w:hint="eastAsia"/>
          <w:bCs/>
        </w:rPr>
        <w:t>采样点采集的样品分层后制成混合样进行检测，</w:t>
      </w:r>
      <w:r>
        <w:rPr>
          <w:bCs/>
        </w:rPr>
        <w:t>并</w:t>
      </w:r>
      <w:r>
        <w:rPr>
          <w:rFonts w:hint="eastAsia"/>
          <w:bCs/>
        </w:rPr>
        <w:t>分析底泥垂直污染特征。</w:t>
      </w:r>
    </w:p>
    <w:bookmarkEnd w:id="17"/>
    <w:p>
      <w:pPr>
        <w:pStyle w:val="3"/>
        <w:rPr>
          <w:rFonts w:asciiTheme="majorBidi" w:hAnsiTheme="majorBidi"/>
          <w:szCs w:val="28"/>
        </w:rPr>
      </w:pPr>
      <w:bookmarkStart w:id="24" w:name="_Toc4769425"/>
      <w:bookmarkStart w:id="25" w:name="_Toc37843243"/>
      <w:r>
        <w:rPr>
          <w:rFonts w:asciiTheme="majorBidi" w:hAnsiTheme="majorBidi"/>
          <w:szCs w:val="28"/>
        </w:rPr>
        <w:t>3.9  分析测试项目</w:t>
      </w:r>
      <w:bookmarkEnd w:id="24"/>
      <w:bookmarkEnd w:id="25"/>
    </w:p>
    <w:p>
      <w:r>
        <w:rPr>
          <w:rFonts w:hint="eastAsia"/>
          <w:b/>
          <w:bCs/>
        </w:rPr>
        <w:t>3.</w:t>
      </w:r>
      <w:r>
        <w:rPr>
          <w:b/>
          <w:bCs/>
        </w:rPr>
        <w:t>9</w:t>
      </w:r>
      <w:r>
        <w:rPr>
          <w:rFonts w:hint="eastAsia"/>
          <w:b/>
          <w:bCs/>
        </w:rPr>
        <w:t>.1</w:t>
      </w:r>
      <w:r>
        <w:rPr>
          <w:rFonts w:hint="eastAsia"/>
        </w:rPr>
        <w:t xml:space="preserve"> </w:t>
      </w:r>
      <w:r>
        <w:t xml:space="preserve"> </w:t>
      </w:r>
      <w:r>
        <w:rPr>
          <w:rFonts w:hint="eastAsia"/>
        </w:rPr>
        <w:t>底泥基本测试项目的包括底泥层厚度、天然密度、天然含水率、土粒比重、颗粒级配、孔隙比、砂的相对密度、底泥颜色、底泥气味、pH值、氧化还原电位、有机质、全氮、全磷和重金属，其中重金属根据河湖污染现状，一般宜选择Cu、Zn、Hg、As、Ni、Pb、Cd、Cr。</w:t>
      </w:r>
    </w:p>
    <w:p>
      <w:r>
        <w:rPr>
          <w:rFonts w:hint="eastAsia"/>
          <w:b/>
          <w:bCs/>
        </w:rPr>
        <w:t>3.</w:t>
      </w:r>
      <w:r>
        <w:rPr>
          <w:b/>
          <w:bCs/>
        </w:rPr>
        <w:t>9</w:t>
      </w:r>
      <w:r>
        <w:rPr>
          <w:rFonts w:hint="eastAsia"/>
          <w:b/>
          <w:bCs/>
        </w:rPr>
        <w:t>.2</w:t>
      </w:r>
      <w:r>
        <w:rPr>
          <w:rFonts w:hint="eastAsia"/>
        </w:rPr>
        <w:t xml:space="preserve"> </w:t>
      </w:r>
      <w:r>
        <w:t xml:space="preserve"> </w:t>
      </w:r>
      <w:r>
        <w:rPr>
          <w:rFonts w:hint="eastAsia"/>
        </w:rPr>
        <w:t>底泥特定测试项目根据河湖污染源、历史上发生的重大污染事件等分析确定。</w:t>
      </w:r>
    </w:p>
    <w:p>
      <w:r>
        <w:rPr>
          <w:rFonts w:hint="eastAsia"/>
          <w:b/>
          <w:bCs/>
        </w:rPr>
        <w:t>3.</w:t>
      </w:r>
      <w:r>
        <w:rPr>
          <w:b/>
          <w:bCs/>
        </w:rPr>
        <w:t>9</w:t>
      </w:r>
      <w:r>
        <w:rPr>
          <w:rFonts w:hint="eastAsia"/>
          <w:b/>
          <w:bCs/>
        </w:rPr>
        <w:t>.3</w:t>
      </w:r>
      <w:r>
        <w:rPr>
          <w:rFonts w:hint="eastAsia"/>
        </w:rPr>
        <w:t xml:space="preserve"> </w:t>
      </w:r>
      <w:r>
        <w:t xml:space="preserve"> </w:t>
      </w:r>
      <w:r>
        <w:rPr>
          <w:rFonts w:hint="eastAsia"/>
        </w:rPr>
        <w:t>对于存在大量产生G</w:t>
      </w:r>
      <w:r>
        <w:t>B5085.3</w:t>
      </w:r>
      <w:r>
        <w:rPr>
          <w:rFonts w:hint="eastAsia"/>
        </w:rPr>
        <w:t>中50项危害成分项目中一项及以上污染源的河湖应根据污染物迁移规律设置浸出毒性试验。</w:t>
      </w:r>
    </w:p>
    <w:p>
      <w:r>
        <w:rPr>
          <w:b/>
        </w:rPr>
        <w:t xml:space="preserve">3.9.4  </w:t>
      </w:r>
      <w:r>
        <w:t>上覆水水质分析应包括</w:t>
      </w:r>
      <w:r>
        <w:rPr>
          <w:rFonts w:hint="eastAsia"/>
        </w:rPr>
        <w:t>pH值、C</w:t>
      </w:r>
      <w:r>
        <w:t>ODcr</w:t>
      </w:r>
      <w:r>
        <w:rPr>
          <w:rFonts w:hint="eastAsia"/>
        </w:rPr>
        <w:t>、B</w:t>
      </w:r>
      <w:r>
        <w:t>OD</w:t>
      </w:r>
      <w:r>
        <w:rPr>
          <w:vertAlign w:val="subscript"/>
        </w:rPr>
        <w:t>5</w:t>
      </w:r>
      <w:r>
        <w:rPr>
          <w:rFonts w:hint="eastAsia"/>
        </w:rPr>
        <w:t>、S</w:t>
      </w:r>
      <w:r>
        <w:t>S值</w:t>
      </w:r>
      <w:r>
        <w:rPr>
          <w:rFonts w:hint="eastAsia"/>
        </w:rPr>
        <w:t>、</w:t>
      </w:r>
      <w:r>
        <w:t>总磷</w:t>
      </w:r>
      <w:r>
        <w:rPr>
          <w:rFonts w:hint="eastAsia"/>
        </w:rPr>
        <w:t>、氨氮、</w:t>
      </w:r>
      <w:r>
        <w:t>总氮等</w:t>
      </w:r>
      <w:r>
        <w:rPr>
          <w:rFonts w:hint="eastAsia"/>
        </w:rPr>
        <w:t>。</w:t>
      </w:r>
    </w:p>
    <w:p>
      <w:pPr>
        <w:pStyle w:val="3"/>
        <w:rPr>
          <w:rFonts w:asciiTheme="majorBidi" w:hAnsiTheme="majorBidi"/>
          <w:szCs w:val="28"/>
        </w:rPr>
      </w:pPr>
      <w:bookmarkStart w:id="26" w:name="_Toc4769426"/>
      <w:bookmarkStart w:id="27" w:name="_Toc37843244"/>
      <w:r>
        <w:rPr>
          <w:rFonts w:asciiTheme="majorBidi" w:hAnsiTheme="majorBidi"/>
          <w:szCs w:val="28"/>
        </w:rPr>
        <w:t>3.10  污染评价方法及</w:t>
      </w:r>
      <w:bookmarkEnd w:id="26"/>
      <w:r>
        <w:rPr>
          <w:rFonts w:asciiTheme="majorBidi" w:hAnsiTheme="majorBidi"/>
          <w:szCs w:val="28"/>
        </w:rPr>
        <w:t>标准</w:t>
      </w:r>
      <w:bookmarkEnd w:id="27"/>
    </w:p>
    <w:p>
      <w:pPr>
        <w:adjustRightInd w:val="0"/>
        <w:snapToGrid w:val="0"/>
        <w:rPr>
          <w:rFonts w:cs="Times New Roman"/>
          <w:b/>
          <w:bCs/>
          <w:szCs w:val="24"/>
        </w:rPr>
      </w:pPr>
      <w:r>
        <w:rPr>
          <w:rFonts w:hint="eastAsia" w:cs="Times New Roman"/>
          <w:b/>
          <w:bCs/>
          <w:szCs w:val="24"/>
        </w:rPr>
        <w:t>3</w:t>
      </w:r>
      <w:r>
        <w:rPr>
          <w:rFonts w:cs="Times New Roman"/>
          <w:b/>
          <w:bCs/>
          <w:szCs w:val="24"/>
        </w:rPr>
        <w:t xml:space="preserve">.10.1  </w:t>
      </w:r>
      <w:r>
        <w:rPr>
          <w:rFonts w:cs="Times New Roman"/>
          <w:bCs/>
          <w:szCs w:val="24"/>
        </w:rPr>
        <w:t>单项污染指数评价法适用于底泥中</w:t>
      </w:r>
      <w:r>
        <w:rPr>
          <w:rFonts w:hint="eastAsia" w:cs="Times New Roman"/>
          <w:bCs/>
          <w:szCs w:val="24"/>
        </w:rPr>
        <w:t>氮磷的评价，计算公式如下：</w:t>
      </w:r>
    </w:p>
    <w:p>
      <w:pPr>
        <w:adjustRightInd w:val="0"/>
        <w:snapToGrid w:val="0"/>
        <w:ind w:firstLine="480"/>
        <w:jc w:val="right"/>
      </w:pPr>
      <w:r>
        <w:rPr>
          <w:i/>
        </w:rPr>
        <w:t>S</w:t>
      </w:r>
      <w:r>
        <w:rPr>
          <w:i/>
          <w:vertAlign w:val="subscript"/>
        </w:rPr>
        <w:t>j</w:t>
      </w:r>
      <w:r>
        <w:t>=</w:t>
      </w:r>
      <w:r>
        <w:rPr>
          <w:i/>
        </w:rPr>
        <w:t>C</w:t>
      </w:r>
      <w:r>
        <w:rPr>
          <w:i/>
          <w:vertAlign w:val="subscript"/>
        </w:rPr>
        <w:t>j</w:t>
      </w:r>
      <w:r>
        <w:rPr>
          <w:vertAlign w:val="subscript"/>
        </w:rPr>
        <w:t xml:space="preserve"> </w:t>
      </w:r>
      <w:r>
        <w:t>/</w:t>
      </w:r>
      <w:r>
        <w:rPr>
          <w:i/>
        </w:rPr>
        <w:t>C</w:t>
      </w:r>
      <w:r>
        <w:rPr>
          <w:i/>
          <w:vertAlign w:val="subscript"/>
        </w:rPr>
        <w:t>s</w:t>
      </w:r>
      <w:r>
        <w:t xml:space="preserve">                        </w:t>
      </w:r>
      <w:r>
        <w:rPr>
          <w:rFonts w:hint="eastAsia"/>
        </w:rPr>
        <w:t>（</w:t>
      </w:r>
      <w:r>
        <w:t>3.10.1</w:t>
      </w:r>
      <w:r>
        <w:rPr>
          <w:rFonts w:hint="eastAsia"/>
        </w:rPr>
        <w:t>）</w:t>
      </w:r>
    </w:p>
    <w:p>
      <w:pPr>
        <w:adjustRightInd w:val="0"/>
        <w:snapToGrid w:val="0"/>
        <w:ind w:firstLine="480"/>
        <w:rPr>
          <w:rFonts w:cs="Times New Roman"/>
          <w:szCs w:val="24"/>
        </w:rPr>
      </w:pPr>
      <w:r>
        <w:rPr>
          <w:rFonts w:cs="Times New Roman"/>
          <w:i/>
          <w:szCs w:val="24"/>
        </w:rPr>
        <w:t>S</w:t>
      </w:r>
      <w:r>
        <w:rPr>
          <w:rFonts w:cs="Times New Roman"/>
          <w:i/>
          <w:szCs w:val="24"/>
          <w:vertAlign w:val="subscript"/>
        </w:rPr>
        <w:t>j</w:t>
      </w:r>
      <w:r>
        <w:rPr>
          <w:rFonts w:cs="Times New Roman"/>
          <w:szCs w:val="24"/>
        </w:rPr>
        <w:t>——单项评价指数或标准指数</w:t>
      </w:r>
      <w:r>
        <w:rPr>
          <w:rFonts w:hint="eastAsia" w:cs="Times New Roman"/>
          <w:szCs w:val="24"/>
        </w:rPr>
        <w:t>；</w:t>
      </w:r>
    </w:p>
    <w:p>
      <w:pPr>
        <w:adjustRightInd w:val="0"/>
        <w:snapToGrid w:val="0"/>
        <w:ind w:firstLine="480"/>
        <w:rPr>
          <w:rFonts w:cs="Times New Roman"/>
          <w:szCs w:val="24"/>
        </w:rPr>
      </w:pPr>
      <w:r>
        <w:rPr>
          <w:rFonts w:cs="Times New Roman"/>
          <w:i/>
          <w:szCs w:val="24"/>
        </w:rPr>
        <w:t>C</w:t>
      </w:r>
      <w:r>
        <w:rPr>
          <w:rFonts w:cs="Times New Roman"/>
          <w:i/>
          <w:szCs w:val="24"/>
          <w:vertAlign w:val="subscript"/>
        </w:rPr>
        <w:t>s</w:t>
      </w:r>
      <w:r>
        <w:rPr>
          <w:rFonts w:cs="Times New Roman"/>
          <w:szCs w:val="24"/>
        </w:rPr>
        <w:t>——评价因子</w:t>
      </w:r>
      <w:r>
        <w:rPr>
          <w:rFonts w:cs="Times New Roman"/>
          <w:i/>
          <w:szCs w:val="24"/>
        </w:rPr>
        <w:t>j</w:t>
      </w:r>
      <w:r>
        <w:rPr>
          <w:rFonts w:cs="Times New Roman"/>
          <w:szCs w:val="24"/>
        </w:rPr>
        <w:t>的</w:t>
      </w:r>
      <w:r>
        <w:rPr>
          <w:rFonts w:hint="eastAsia" w:cs="Times New Roman"/>
          <w:szCs w:val="24"/>
        </w:rPr>
        <w:t>背景值，</w:t>
      </w:r>
      <w:r>
        <w:rPr>
          <w:rFonts w:cs="Times New Roman"/>
          <w:szCs w:val="24"/>
        </w:rPr>
        <w:t>宜以河</w:t>
      </w:r>
      <w:r>
        <w:rPr>
          <w:rFonts w:hint="eastAsia" w:cs="Times New Roman"/>
          <w:szCs w:val="24"/>
        </w:rPr>
        <w:t>湖</w:t>
      </w:r>
      <w:r>
        <w:rPr>
          <w:rFonts w:cs="Times New Roman"/>
          <w:szCs w:val="24"/>
        </w:rPr>
        <w:t>未受人类行为干扰（污染）和破坏时河</w:t>
      </w:r>
      <w:r>
        <w:rPr>
          <w:rFonts w:hint="eastAsia" w:cs="Times New Roman"/>
          <w:szCs w:val="24"/>
        </w:rPr>
        <w:t>湖底泥</w:t>
      </w:r>
      <w:r>
        <w:rPr>
          <w:rFonts w:cs="Times New Roman"/>
          <w:szCs w:val="24"/>
        </w:rPr>
        <w:t>中实测值的平均值为背景值</w:t>
      </w:r>
      <w:r>
        <w:rPr>
          <w:rFonts w:hint="eastAsia" w:cs="Times New Roman"/>
          <w:szCs w:val="24"/>
        </w:rPr>
        <w:t xml:space="preserve">； </w:t>
      </w:r>
    </w:p>
    <w:p>
      <w:pPr>
        <w:adjustRightInd w:val="0"/>
        <w:snapToGrid w:val="0"/>
        <w:ind w:firstLine="480"/>
        <w:rPr>
          <w:rFonts w:cs="Times New Roman"/>
          <w:szCs w:val="24"/>
        </w:rPr>
      </w:pPr>
      <w:r>
        <w:rPr>
          <w:rFonts w:cs="Times New Roman"/>
          <w:i/>
          <w:szCs w:val="24"/>
        </w:rPr>
        <w:t>C</w:t>
      </w:r>
      <w:r>
        <w:rPr>
          <w:rFonts w:cs="Times New Roman"/>
          <w:i/>
          <w:szCs w:val="24"/>
          <w:vertAlign w:val="subscript"/>
        </w:rPr>
        <w:t>j</w:t>
      </w:r>
      <w:r>
        <w:rPr>
          <w:rFonts w:cs="Times New Roman"/>
          <w:szCs w:val="24"/>
        </w:rPr>
        <w:t>——评价因子</w:t>
      </w:r>
      <w:r>
        <w:rPr>
          <w:rFonts w:cs="Times New Roman"/>
          <w:i/>
          <w:szCs w:val="24"/>
        </w:rPr>
        <w:t>j</w:t>
      </w:r>
      <w:r>
        <w:rPr>
          <w:rFonts w:cs="Times New Roman"/>
          <w:szCs w:val="24"/>
        </w:rPr>
        <w:t>的实测值；</w:t>
      </w:r>
      <w:r>
        <w:rPr>
          <w:rFonts w:hint="eastAsia" w:cs="Times New Roman"/>
          <w:szCs w:val="24"/>
        </w:rPr>
        <w:t>若该地区之前无背景实测值；则按表</w:t>
      </w:r>
      <w:r>
        <w:rPr>
          <w:rFonts w:cs="Times New Roman"/>
          <w:szCs w:val="24"/>
        </w:rPr>
        <w:t>3.10</w:t>
      </w:r>
      <w:r>
        <w:rPr>
          <w:rFonts w:hint="eastAsia" w:cs="Times New Roman"/>
          <w:szCs w:val="24"/>
        </w:rPr>
        <w:t>.</w:t>
      </w:r>
      <w:r>
        <w:rPr>
          <w:rFonts w:cs="Times New Roman"/>
          <w:szCs w:val="24"/>
        </w:rPr>
        <w:t>1</w:t>
      </w:r>
      <w:r>
        <w:rPr>
          <w:rFonts w:hint="eastAsia" w:cs="Times New Roman"/>
          <w:szCs w:val="24"/>
        </w:rPr>
        <w:t>-2来判定。</w:t>
      </w:r>
    </w:p>
    <w:p>
      <w:pPr>
        <w:adjustRightInd w:val="0"/>
        <w:snapToGrid w:val="0"/>
        <w:ind w:firstLine="480"/>
        <w:rPr>
          <w:rFonts w:cs="Times New Roman"/>
          <w:szCs w:val="24"/>
        </w:rPr>
      </w:pPr>
      <w:r>
        <w:rPr>
          <w:rFonts w:hint="eastAsia" w:cs="Times New Roman"/>
          <w:szCs w:val="24"/>
        </w:rPr>
        <w:t>根据有无背景值参照表3</w:t>
      </w:r>
      <w:r>
        <w:rPr>
          <w:rFonts w:cs="Times New Roman"/>
          <w:szCs w:val="24"/>
        </w:rPr>
        <w:t>.10.1-1和表</w:t>
      </w:r>
      <w:r>
        <w:rPr>
          <w:rFonts w:hint="eastAsia" w:cs="Times New Roman"/>
          <w:szCs w:val="24"/>
        </w:rPr>
        <w:t>3</w:t>
      </w:r>
      <w:r>
        <w:rPr>
          <w:rFonts w:cs="Times New Roman"/>
          <w:szCs w:val="24"/>
        </w:rPr>
        <w:t>.10.1</w:t>
      </w:r>
      <w:r>
        <w:rPr>
          <w:rFonts w:hint="eastAsia" w:cs="Times New Roman"/>
          <w:szCs w:val="24"/>
        </w:rPr>
        <w:t>-</w:t>
      </w:r>
      <w:r>
        <w:rPr>
          <w:rFonts w:cs="Times New Roman"/>
          <w:szCs w:val="24"/>
        </w:rPr>
        <w:t>2进行</w:t>
      </w:r>
      <w:r>
        <w:rPr>
          <w:rFonts w:hint="eastAsia" w:cs="Times New Roman"/>
          <w:szCs w:val="24"/>
        </w:rPr>
        <w:t>底泥氮磷污染程度分级。</w:t>
      </w:r>
    </w:p>
    <w:p>
      <w:pPr>
        <w:adjustRightInd w:val="0"/>
        <w:snapToGrid w:val="0"/>
        <w:spacing w:line="560" w:lineRule="exact"/>
        <w:jc w:val="center"/>
        <w:rPr>
          <w:rFonts w:cs="Times New Roman" w:asciiTheme="minorEastAsia" w:hAnsiTheme="minorEastAsia" w:eastAsiaTheme="minorEastAsia"/>
          <w:b/>
          <w:bCs/>
          <w:szCs w:val="24"/>
        </w:rPr>
      </w:pPr>
      <w:r>
        <w:rPr>
          <w:rFonts w:hint="eastAsia" w:cs="Times New Roman" w:asciiTheme="minorEastAsia" w:hAnsiTheme="minorEastAsia" w:eastAsiaTheme="minorEastAsia"/>
          <w:b/>
          <w:bCs/>
          <w:szCs w:val="24"/>
        </w:rPr>
        <w:t>表</w:t>
      </w:r>
      <w:r>
        <w:rPr>
          <w:rFonts w:asciiTheme="majorBidi" w:hAnsiTheme="majorBidi" w:eastAsiaTheme="minorEastAsia" w:cstheme="majorBidi"/>
          <w:b/>
          <w:bCs/>
          <w:szCs w:val="24"/>
        </w:rPr>
        <w:t>3.10.1-1</w:t>
      </w:r>
      <w:r>
        <w:rPr>
          <w:rFonts w:hint="eastAsia" w:cs="Times New Roman" w:asciiTheme="minorEastAsia" w:hAnsiTheme="minorEastAsia" w:eastAsiaTheme="minorEastAsia"/>
          <w:b/>
          <w:bCs/>
          <w:szCs w:val="24"/>
        </w:rPr>
        <w:t xml:space="preserve"> </w:t>
      </w:r>
      <w:r>
        <w:rPr>
          <w:rFonts w:cs="Times New Roman" w:asciiTheme="minorEastAsia" w:hAnsiTheme="minorEastAsia" w:eastAsiaTheme="minorEastAsia"/>
          <w:b/>
          <w:bCs/>
          <w:szCs w:val="24"/>
        </w:rPr>
        <w:t xml:space="preserve"> </w:t>
      </w:r>
      <w:r>
        <w:rPr>
          <w:rFonts w:hint="eastAsia" w:cs="Times New Roman" w:asciiTheme="minorEastAsia" w:hAnsiTheme="minorEastAsia" w:eastAsiaTheme="minorEastAsia"/>
          <w:b/>
          <w:bCs/>
          <w:szCs w:val="24"/>
        </w:rPr>
        <w:t>底泥氮磷污染程度分级（有背景值）</w:t>
      </w:r>
    </w:p>
    <w:tbl>
      <w:tblPr>
        <w:tblStyle w:val="28"/>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30"/>
        <w:gridCol w:w="2361"/>
        <w:gridCol w:w="2180"/>
        <w:gridCol w:w="2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30" w:type="dxa"/>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等级划分</w:t>
            </w:r>
          </w:p>
        </w:tc>
        <w:tc>
          <w:tcPr>
            <w:tcW w:w="2361" w:type="dxa"/>
            <w:vAlign w:val="center"/>
          </w:tcPr>
          <w:p>
            <w:pPr>
              <w:jc w:val="center"/>
              <w:rPr>
                <w:rFonts w:ascii="Times New Roman" w:hAnsi="Times New Roman" w:cs="Times New Roman" w:eastAsiaTheme="minorEastAsia"/>
                <w:i/>
                <w:sz w:val="21"/>
                <w:szCs w:val="21"/>
              </w:rPr>
            </w:pPr>
            <w:r>
              <w:rPr>
                <w:rFonts w:ascii="Times New Roman" w:hAnsi="Times New Roman" w:cs="Times New Roman" w:eastAsiaTheme="minorEastAsia"/>
                <w:i/>
                <w:sz w:val="21"/>
                <w:szCs w:val="21"/>
              </w:rPr>
              <w:t>S</w:t>
            </w:r>
            <w:r>
              <w:rPr>
                <w:rFonts w:ascii="Times New Roman" w:hAnsi="Times New Roman" w:cs="Times New Roman" w:eastAsiaTheme="minorEastAsia"/>
                <w:i/>
                <w:sz w:val="21"/>
                <w:szCs w:val="21"/>
                <w:vertAlign w:val="subscript"/>
              </w:rPr>
              <w:t>TN</w:t>
            </w:r>
          </w:p>
        </w:tc>
        <w:tc>
          <w:tcPr>
            <w:tcW w:w="2180" w:type="dxa"/>
            <w:vAlign w:val="center"/>
          </w:tcPr>
          <w:p>
            <w:pPr>
              <w:jc w:val="center"/>
              <w:rPr>
                <w:rFonts w:ascii="Times New Roman" w:hAnsi="Times New Roman" w:cs="Times New Roman" w:eastAsiaTheme="minorEastAsia"/>
                <w:i/>
                <w:sz w:val="21"/>
                <w:szCs w:val="21"/>
              </w:rPr>
            </w:pPr>
            <w:r>
              <w:rPr>
                <w:rFonts w:ascii="Times New Roman" w:hAnsi="Times New Roman" w:cs="Times New Roman" w:eastAsiaTheme="minorEastAsia"/>
                <w:i/>
                <w:sz w:val="21"/>
                <w:szCs w:val="21"/>
              </w:rPr>
              <w:t>S</w:t>
            </w:r>
            <w:r>
              <w:rPr>
                <w:rFonts w:ascii="Times New Roman" w:hAnsi="Times New Roman" w:cs="Times New Roman" w:eastAsiaTheme="minorEastAsia"/>
                <w:i/>
                <w:sz w:val="21"/>
                <w:szCs w:val="21"/>
                <w:vertAlign w:val="subscript"/>
              </w:rPr>
              <w:t>TP</w:t>
            </w:r>
          </w:p>
        </w:tc>
        <w:tc>
          <w:tcPr>
            <w:tcW w:w="2125" w:type="dxa"/>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30" w:type="dxa"/>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1</w:t>
            </w:r>
          </w:p>
        </w:tc>
        <w:tc>
          <w:tcPr>
            <w:tcW w:w="2361" w:type="dxa"/>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i/>
                <w:sz w:val="21"/>
                <w:szCs w:val="21"/>
              </w:rPr>
              <w:t>S</w:t>
            </w:r>
            <w:r>
              <w:rPr>
                <w:rFonts w:ascii="Times New Roman" w:hAnsi="Times New Roman" w:cs="Times New Roman" w:eastAsiaTheme="minorEastAsia"/>
                <w:i/>
                <w:sz w:val="21"/>
                <w:szCs w:val="21"/>
                <w:vertAlign w:val="subscript"/>
              </w:rPr>
              <w:t>TN</w:t>
            </w:r>
            <w:r>
              <w:rPr>
                <w:rFonts w:ascii="Times New Roman" w:hAnsi="Times New Roman" w:cs="Times New Roman" w:eastAsiaTheme="minorEastAsia"/>
                <w:sz w:val="21"/>
                <w:szCs w:val="21"/>
              </w:rPr>
              <w:t>&lt;1</w:t>
            </w:r>
          </w:p>
        </w:tc>
        <w:tc>
          <w:tcPr>
            <w:tcW w:w="2180" w:type="dxa"/>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i/>
                <w:sz w:val="21"/>
                <w:szCs w:val="21"/>
              </w:rPr>
              <w:t>S</w:t>
            </w:r>
            <w:r>
              <w:rPr>
                <w:rFonts w:ascii="Times New Roman" w:hAnsi="Times New Roman" w:cs="Times New Roman" w:eastAsiaTheme="minorEastAsia"/>
                <w:i/>
                <w:sz w:val="21"/>
                <w:szCs w:val="21"/>
                <w:vertAlign w:val="subscript"/>
              </w:rPr>
              <w:t>TP</w:t>
            </w:r>
            <w:r>
              <w:rPr>
                <w:rFonts w:ascii="Times New Roman" w:hAnsi="Times New Roman" w:cs="Times New Roman" w:eastAsiaTheme="minorEastAsia"/>
                <w:sz w:val="21"/>
                <w:szCs w:val="21"/>
              </w:rPr>
              <w:t>&lt;0.5</w:t>
            </w:r>
          </w:p>
        </w:tc>
        <w:tc>
          <w:tcPr>
            <w:tcW w:w="2125" w:type="dxa"/>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清洁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30" w:type="dxa"/>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2</w:t>
            </w:r>
          </w:p>
        </w:tc>
        <w:tc>
          <w:tcPr>
            <w:tcW w:w="2361" w:type="dxa"/>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1.0≤</w:t>
            </w:r>
            <w:r>
              <w:rPr>
                <w:rFonts w:ascii="Times New Roman" w:hAnsi="Times New Roman" w:cs="Times New Roman" w:eastAsiaTheme="minorEastAsia"/>
                <w:i/>
                <w:sz w:val="21"/>
                <w:szCs w:val="21"/>
              </w:rPr>
              <w:t>S</w:t>
            </w:r>
            <w:r>
              <w:rPr>
                <w:rFonts w:ascii="Times New Roman" w:hAnsi="Times New Roman" w:cs="Times New Roman" w:eastAsiaTheme="minorEastAsia"/>
                <w:i/>
                <w:sz w:val="21"/>
                <w:szCs w:val="21"/>
                <w:vertAlign w:val="subscript"/>
              </w:rPr>
              <w:t>TN</w:t>
            </w:r>
            <w:r>
              <w:rPr>
                <w:rFonts w:ascii="Times New Roman" w:hAnsi="Times New Roman" w:cs="Times New Roman" w:eastAsiaTheme="minorEastAsia"/>
                <w:sz w:val="21"/>
                <w:szCs w:val="21"/>
              </w:rPr>
              <w:t>≤1.5</w:t>
            </w:r>
          </w:p>
        </w:tc>
        <w:tc>
          <w:tcPr>
            <w:tcW w:w="2180" w:type="dxa"/>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0.5≤</w:t>
            </w:r>
            <w:r>
              <w:rPr>
                <w:rFonts w:ascii="Times New Roman" w:hAnsi="Times New Roman" w:cs="Times New Roman" w:eastAsiaTheme="minorEastAsia"/>
                <w:i/>
                <w:sz w:val="21"/>
                <w:szCs w:val="21"/>
              </w:rPr>
              <w:t>S</w:t>
            </w:r>
            <w:r>
              <w:rPr>
                <w:rFonts w:ascii="Times New Roman" w:hAnsi="Times New Roman" w:cs="Times New Roman" w:eastAsiaTheme="minorEastAsia"/>
                <w:i/>
                <w:sz w:val="21"/>
                <w:szCs w:val="21"/>
                <w:vertAlign w:val="subscript"/>
              </w:rPr>
              <w:t>TP</w:t>
            </w:r>
            <w:r>
              <w:rPr>
                <w:rFonts w:ascii="Times New Roman" w:hAnsi="Times New Roman" w:cs="Times New Roman" w:eastAsiaTheme="minorEastAsia"/>
                <w:sz w:val="21"/>
                <w:szCs w:val="21"/>
              </w:rPr>
              <w:t>≤1.0</w:t>
            </w:r>
          </w:p>
        </w:tc>
        <w:tc>
          <w:tcPr>
            <w:tcW w:w="2125" w:type="dxa"/>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轻度污染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30" w:type="dxa"/>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3</w:t>
            </w:r>
          </w:p>
        </w:tc>
        <w:tc>
          <w:tcPr>
            <w:tcW w:w="2361" w:type="dxa"/>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1.5&lt;</w:t>
            </w:r>
            <w:r>
              <w:rPr>
                <w:rFonts w:ascii="Times New Roman" w:hAnsi="Times New Roman" w:cs="Times New Roman" w:eastAsiaTheme="minorEastAsia"/>
                <w:i/>
                <w:sz w:val="21"/>
                <w:szCs w:val="21"/>
              </w:rPr>
              <w:t>S</w:t>
            </w:r>
            <w:r>
              <w:rPr>
                <w:rFonts w:ascii="Times New Roman" w:hAnsi="Times New Roman" w:cs="Times New Roman" w:eastAsiaTheme="minorEastAsia"/>
                <w:i/>
                <w:sz w:val="21"/>
                <w:szCs w:val="21"/>
                <w:vertAlign w:val="subscript"/>
              </w:rPr>
              <w:t>TN</w:t>
            </w:r>
            <w:r>
              <w:rPr>
                <w:rFonts w:ascii="Times New Roman" w:hAnsi="Times New Roman" w:cs="Times New Roman" w:eastAsiaTheme="minorEastAsia"/>
                <w:sz w:val="21"/>
                <w:szCs w:val="21"/>
              </w:rPr>
              <w:t>≤2</w:t>
            </w:r>
          </w:p>
        </w:tc>
        <w:tc>
          <w:tcPr>
            <w:tcW w:w="2180" w:type="dxa"/>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1.0&lt;</w:t>
            </w:r>
            <w:r>
              <w:rPr>
                <w:rFonts w:ascii="Times New Roman" w:hAnsi="Times New Roman" w:cs="Times New Roman" w:eastAsiaTheme="minorEastAsia"/>
                <w:i/>
                <w:sz w:val="21"/>
                <w:szCs w:val="21"/>
              </w:rPr>
              <w:t>S</w:t>
            </w:r>
            <w:r>
              <w:rPr>
                <w:rFonts w:ascii="Times New Roman" w:hAnsi="Times New Roman" w:cs="Times New Roman" w:eastAsiaTheme="minorEastAsia"/>
                <w:i/>
                <w:sz w:val="21"/>
                <w:szCs w:val="21"/>
                <w:vertAlign w:val="subscript"/>
              </w:rPr>
              <w:t>TP</w:t>
            </w:r>
            <w:r>
              <w:rPr>
                <w:rFonts w:ascii="Times New Roman" w:hAnsi="Times New Roman" w:cs="Times New Roman" w:eastAsiaTheme="minorEastAsia"/>
                <w:sz w:val="21"/>
                <w:szCs w:val="21"/>
              </w:rPr>
              <w:t>≤1.5</w:t>
            </w:r>
          </w:p>
        </w:tc>
        <w:tc>
          <w:tcPr>
            <w:tcW w:w="2125" w:type="dxa"/>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中度污染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30" w:type="dxa"/>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4</w:t>
            </w:r>
          </w:p>
        </w:tc>
        <w:tc>
          <w:tcPr>
            <w:tcW w:w="2361" w:type="dxa"/>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i/>
                <w:sz w:val="21"/>
                <w:szCs w:val="21"/>
              </w:rPr>
              <w:t>S</w:t>
            </w:r>
            <w:r>
              <w:rPr>
                <w:rFonts w:ascii="Times New Roman" w:hAnsi="Times New Roman" w:cs="Times New Roman" w:eastAsiaTheme="minorEastAsia"/>
                <w:i/>
                <w:sz w:val="21"/>
                <w:szCs w:val="21"/>
                <w:vertAlign w:val="subscript"/>
              </w:rPr>
              <w:t>TN</w:t>
            </w:r>
            <w:r>
              <w:rPr>
                <w:rFonts w:ascii="Times New Roman" w:hAnsi="Times New Roman" w:cs="Times New Roman" w:eastAsiaTheme="minorEastAsia"/>
                <w:i/>
                <w:sz w:val="21"/>
                <w:szCs w:val="21"/>
              </w:rPr>
              <w:t>&gt;</w:t>
            </w:r>
            <w:r>
              <w:rPr>
                <w:rFonts w:ascii="Times New Roman" w:hAnsi="Times New Roman" w:cs="Times New Roman" w:eastAsiaTheme="minorEastAsia"/>
                <w:sz w:val="21"/>
                <w:szCs w:val="21"/>
              </w:rPr>
              <w:t>2</w:t>
            </w:r>
          </w:p>
        </w:tc>
        <w:tc>
          <w:tcPr>
            <w:tcW w:w="2180" w:type="dxa"/>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i/>
                <w:sz w:val="21"/>
                <w:szCs w:val="21"/>
              </w:rPr>
              <w:t>S</w:t>
            </w:r>
            <w:r>
              <w:rPr>
                <w:rFonts w:ascii="Times New Roman" w:hAnsi="Times New Roman" w:cs="Times New Roman" w:eastAsiaTheme="minorEastAsia"/>
                <w:i/>
                <w:sz w:val="21"/>
                <w:szCs w:val="21"/>
                <w:vertAlign w:val="subscript"/>
              </w:rPr>
              <w:t>TP</w:t>
            </w:r>
            <w:r>
              <w:rPr>
                <w:rFonts w:ascii="Times New Roman" w:hAnsi="Times New Roman" w:cs="Times New Roman" w:eastAsiaTheme="minorEastAsia"/>
                <w:sz w:val="21"/>
                <w:szCs w:val="21"/>
              </w:rPr>
              <w:t>&gt;1.5</w:t>
            </w:r>
          </w:p>
        </w:tc>
        <w:tc>
          <w:tcPr>
            <w:tcW w:w="2125" w:type="dxa"/>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重度污染</w:t>
            </w:r>
          </w:p>
        </w:tc>
      </w:tr>
    </w:tbl>
    <w:p>
      <w:pPr>
        <w:adjustRightInd w:val="0"/>
        <w:snapToGrid w:val="0"/>
        <w:spacing w:line="560" w:lineRule="exact"/>
        <w:jc w:val="center"/>
        <w:rPr>
          <w:rFonts w:cs="Times New Roman" w:asciiTheme="minorEastAsia" w:hAnsiTheme="minorEastAsia" w:eastAsiaTheme="minorEastAsia"/>
          <w:b/>
          <w:bCs/>
          <w:szCs w:val="24"/>
        </w:rPr>
      </w:pPr>
      <w:r>
        <w:rPr>
          <w:rFonts w:hint="eastAsia" w:cs="Times New Roman" w:asciiTheme="minorEastAsia" w:hAnsiTheme="minorEastAsia" w:eastAsiaTheme="minorEastAsia"/>
          <w:b/>
          <w:bCs/>
          <w:szCs w:val="24"/>
        </w:rPr>
        <w:t>表</w:t>
      </w:r>
      <w:r>
        <w:rPr>
          <w:rFonts w:asciiTheme="majorBidi" w:hAnsiTheme="majorBidi" w:eastAsiaTheme="minorEastAsia" w:cstheme="majorBidi"/>
          <w:b/>
          <w:bCs/>
          <w:szCs w:val="24"/>
        </w:rPr>
        <w:t>3.10.1-2</w:t>
      </w:r>
      <w:r>
        <w:rPr>
          <w:rFonts w:cs="Times New Roman" w:asciiTheme="minorEastAsia" w:hAnsiTheme="minorEastAsia" w:eastAsiaTheme="minorEastAsia"/>
          <w:b/>
          <w:bCs/>
          <w:szCs w:val="24"/>
        </w:rPr>
        <w:t xml:space="preserve">  </w:t>
      </w:r>
      <w:r>
        <w:rPr>
          <w:rFonts w:hint="eastAsia" w:cs="Times New Roman" w:asciiTheme="minorEastAsia" w:hAnsiTheme="minorEastAsia" w:eastAsiaTheme="minorEastAsia"/>
          <w:b/>
          <w:bCs/>
          <w:szCs w:val="24"/>
        </w:rPr>
        <w:t>底泥氮磷污染程度分级（无背景值）</w:t>
      </w:r>
    </w:p>
    <w:tbl>
      <w:tblPr>
        <w:tblStyle w:val="28"/>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30"/>
        <w:gridCol w:w="2361"/>
        <w:gridCol w:w="2180"/>
        <w:gridCol w:w="2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30" w:type="dxa"/>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等级划分</w:t>
            </w:r>
          </w:p>
        </w:tc>
        <w:tc>
          <w:tcPr>
            <w:tcW w:w="4541" w:type="dxa"/>
            <w:gridSpan w:val="2"/>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含量(mg/kg)</w:t>
            </w:r>
          </w:p>
        </w:tc>
        <w:tc>
          <w:tcPr>
            <w:tcW w:w="2125" w:type="dxa"/>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30" w:type="dxa"/>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1</w:t>
            </w:r>
          </w:p>
        </w:tc>
        <w:tc>
          <w:tcPr>
            <w:tcW w:w="2361" w:type="dxa"/>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i/>
                <w:sz w:val="21"/>
                <w:szCs w:val="21"/>
              </w:rPr>
              <w:t>TN</w:t>
            </w:r>
            <w:r>
              <w:rPr>
                <w:rFonts w:ascii="Times New Roman" w:hAnsi="Times New Roman" w:cs="Times New Roman" w:eastAsiaTheme="minorEastAsia"/>
                <w:sz w:val="21"/>
                <w:szCs w:val="21"/>
              </w:rPr>
              <w:t>&lt;1000</w:t>
            </w:r>
          </w:p>
        </w:tc>
        <w:tc>
          <w:tcPr>
            <w:tcW w:w="2180" w:type="dxa"/>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i/>
                <w:sz w:val="21"/>
                <w:szCs w:val="21"/>
              </w:rPr>
              <w:t>TP</w:t>
            </w:r>
            <w:r>
              <w:rPr>
                <w:rFonts w:ascii="Times New Roman" w:hAnsi="Times New Roman" w:cs="Times New Roman" w:eastAsiaTheme="minorEastAsia"/>
                <w:sz w:val="21"/>
                <w:szCs w:val="21"/>
              </w:rPr>
              <w:t>&lt;420</w:t>
            </w:r>
          </w:p>
        </w:tc>
        <w:tc>
          <w:tcPr>
            <w:tcW w:w="2125" w:type="dxa"/>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轻度污染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30" w:type="dxa"/>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2</w:t>
            </w:r>
          </w:p>
        </w:tc>
        <w:tc>
          <w:tcPr>
            <w:tcW w:w="2361" w:type="dxa"/>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1000≤</w:t>
            </w:r>
            <w:r>
              <w:rPr>
                <w:rFonts w:ascii="Times New Roman" w:hAnsi="Times New Roman" w:cs="Times New Roman" w:eastAsiaTheme="minorEastAsia"/>
                <w:i/>
                <w:sz w:val="21"/>
                <w:szCs w:val="21"/>
              </w:rPr>
              <w:t>TN</w:t>
            </w:r>
            <w:r>
              <w:rPr>
                <w:rFonts w:ascii="Times New Roman" w:hAnsi="Times New Roman" w:cs="Times New Roman" w:eastAsiaTheme="minorEastAsia"/>
                <w:sz w:val="21"/>
                <w:szCs w:val="21"/>
              </w:rPr>
              <w:t>≤2000</w:t>
            </w:r>
          </w:p>
        </w:tc>
        <w:tc>
          <w:tcPr>
            <w:tcW w:w="2180" w:type="dxa"/>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420≤</w:t>
            </w:r>
            <w:r>
              <w:rPr>
                <w:rFonts w:ascii="Times New Roman" w:hAnsi="Times New Roman" w:cs="Times New Roman" w:eastAsiaTheme="minorEastAsia"/>
                <w:i/>
                <w:sz w:val="21"/>
                <w:szCs w:val="21"/>
              </w:rPr>
              <w:t>TP</w:t>
            </w:r>
            <w:r>
              <w:rPr>
                <w:rFonts w:ascii="Times New Roman" w:hAnsi="Times New Roman" w:cs="Times New Roman" w:eastAsiaTheme="minorEastAsia"/>
                <w:sz w:val="21"/>
                <w:szCs w:val="21"/>
              </w:rPr>
              <w:t>≤640</w:t>
            </w:r>
          </w:p>
        </w:tc>
        <w:tc>
          <w:tcPr>
            <w:tcW w:w="2125" w:type="dxa"/>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中度污染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630" w:type="dxa"/>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3</w:t>
            </w:r>
          </w:p>
        </w:tc>
        <w:tc>
          <w:tcPr>
            <w:tcW w:w="2361" w:type="dxa"/>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i/>
                <w:sz w:val="21"/>
                <w:szCs w:val="21"/>
              </w:rPr>
              <w:t>TN</w:t>
            </w:r>
            <w:r>
              <w:rPr>
                <w:rFonts w:ascii="Times New Roman" w:hAnsi="Times New Roman" w:cs="Times New Roman" w:eastAsiaTheme="minorEastAsia"/>
                <w:sz w:val="21"/>
                <w:szCs w:val="21"/>
              </w:rPr>
              <w:t>&gt;2000</w:t>
            </w:r>
          </w:p>
        </w:tc>
        <w:tc>
          <w:tcPr>
            <w:tcW w:w="2180" w:type="dxa"/>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i/>
                <w:sz w:val="21"/>
                <w:szCs w:val="21"/>
              </w:rPr>
              <w:t>TP</w:t>
            </w:r>
            <w:r>
              <w:rPr>
                <w:rFonts w:ascii="Times New Roman" w:hAnsi="Times New Roman" w:cs="Times New Roman" w:eastAsiaTheme="minorEastAsia"/>
                <w:sz w:val="21"/>
                <w:szCs w:val="21"/>
              </w:rPr>
              <w:t>&gt;640</w:t>
            </w:r>
          </w:p>
        </w:tc>
        <w:tc>
          <w:tcPr>
            <w:tcW w:w="2125" w:type="dxa"/>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重度污染</w:t>
            </w:r>
          </w:p>
        </w:tc>
      </w:tr>
    </w:tbl>
    <w:p>
      <w:pPr>
        <w:adjustRightInd w:val="0"/>
        <w:snapToGrid w:val="0"/>
        <w:outlineLvl w:val="2"/>
        <w:rPr>
          <w:rFonts w:cs="Times New Roman"/>
          <w:szCs w:val="24"/>
        </w:rPr>
      </w:pPr>
      <w:r>
        <w:rPr>
          <w:rFonts w:cs="Times New Roman"/>
          <w:b/>
          <w:bCs/>
          <w:szCs w:val="24"/>
        </w:rPr>
        <w:t>3.10.2</w:t>
      </w:r>
      <w:r>
        <w:rPr>
          <w:rFonts w:hint="eastAsia" w:cs="Times New Roman"/>
          <w:b/>
          <w:bCs/>
          <w:szCs w:val="24"/>
        </w:rPr>
        <w:t xml:space="preserve"> </w:t>
      </w:r>
      <w:r>
        <w:rPr>
          <w:rFonts w:cs="Times New Roman"/>
          <w:b/>
          <w:bCs/>
          <w:szCs w:val="24"/>
        </w:rPr>
        <w:t xml:space="preserve"> </w:t>
      </w:r>
      <w:r>
        <w:rPr>
          <w:rFonts w:hint="eastAsia" w:cs="Times New Roman"/>
          <w:szCs w:val="24"/>
        </w:rPr>
        <w:t>有机指数（</w:t>
      </w:r>
      <w:r>
        <w:rPr>
          <w:rFonts w:cs="Times New Roman"/>
          <w:i/>
          <w:szCs w:val="24"/>
        </w:rPr>
        <w:t>OI</w:t>
      </w:r>
      <w:r>
        <w:rPr>
          <w:rFonts w:hint="eastAsia" w:cs="Times New Roman"/>
          <w:szCs w:val="24"/>
        </w:rPr>
        <w:t>）为底泥有机污染评价的指标，有机</w:t>
      </w:r>
      <w:r>
        <w:rPr>
          <w:rFonts w:cs="Times New Roman"/>
          <w:szCs w:val="24"/>
        </w:rPr>
        <w:t>指数评价</w:t>
      </w:r>
      <w:r>
        <w:rPr>
          <w:rFonts w:hint="eastAsia" w:cs="Times New Roman"/>
          <w:szCs w:val="24"/>
        </w:rPr>
        <w:t>标准</w:t>
      </w:r>
      <w:r>
        <w:rPr>
          <w:rFonts w:cs="Times New Roman"/>
          <w:szCs w:val="24"/>
        </w:rPr>
        <w:t>见表</w:t>
      </w:r>
      <w:r>
        <w:rPr>
          <w:rFonts w:hint="eastAsia" w:cs="Times New Roman"/>
          <w:szCs w:val="24"/>
        </w:rPr>
        <w:t>3.1</w:t>
      </w:r>
      <w:r>
        <w:rPr>
          <w:rFonts w:cs="Times New Roman"/>
          <w:szCs w:val="24"/>
        </w:rPr>
        <w:t>0</w:t>
      </w:r>
      <w:r>
        <w:rPr>
          <w:rFonts w:hint="eastAsia" w:cs="Times New Roman"/>
          <w:szCs w:val="24"/>
        </w:rPr>
        <w:t>.</w:t>
      </w:r>
      <w:r>
        <w:rPr>
          <w:rFonts w:cs="Times New Roman"/>
          <w:szCs w:val="24"/>
        </w:rPr>
        <w:t>2</w:t>
      </w:r>
      <w:r>
        <w:rPr>
          <w:rFonts w:hint="eastAsia" w:cs="Times New Roman"/>
          <w:szCs w:val="24"/>
        </w:rPr>
        <w:t>。计算公式如下：</w:t>
      </w:r>
    </w:p>
    <w:p>
      <w:pPr>
        <w:adjustRightInd w:val="0"/>
        <w:snapToGrid w:val="0"/>
        <w:ind w:firstLine="2040" w:firstLineChars="850"/>
        <w:jc w:val="right"/>
        <w:rPr>
          <w:rFonts w:cs="Times New Roman"/>
          <w:szCs w:val="24"/>
        </w:rPr>
      </w:pPr>
      <w:r>
        <w:rPr>
          <w:rFonts w:cs="Times New Roman"/>
          <w:i/>
          <w:szCs w:val="24"/>
        </w:rPr>
        <w:t>OI</w:t>
      </w:r>
      <w:r>
        <w:rPr>
          <w:rFonts w:hint="eastAsia" w:cs="Times New Roman"/>
          <w:szCs w:val="24"/>
        </w:rPr>
        <w:t>=</w:t>
      </w:r>
      <w:r>
        <w:rPr>
          <w:rFonts w:cs="Times New Roman"/>
          <w:i/>
          <w:szCs w:val="24"/>
        </w:rPr>
        <w:t>OC</w:t>
      </w:r>
      <w:r>
        <w:rPr>
          <w:rFonts w:hint="eastAsia" w:cs="Times New Roman"/>
          <w:szCs w:val="24"/>
        </w:rPr>
        <w:t>（%）×</w:t>
      </w:r>
      <w:r>
        <w:rPr>
          <w:rFonts w:cs="Times New Roman"/>
          <w:i/>
          <w:szCs w:val="24"/>
        </w:rPr>
        <w:t>ON</w:t>
      </w:r>
      <w:r>
        <w:rPr>
          <w:rFonts w:hint="eastAsia" w:cs="Times New Roman"/>
          <w:szCs w:val="24"/>
        </w:rPr>
        <w:t xml:space="preserve">（%） </w:t>
      </w:r>
      <w:r>
        <w:rPr>
          <w:rFonts w:cs="Times New Roman"/>
          <w:szCs w:val="24"/>
        </w:rPr>
        <w:t xml:space="preserve">                 </w:t>
      </w:r>
      <w:r>
        <w:rPr>
          <w:rFonts w:hint="eastAsia" w:cs="Times New Roman"/>
          <w:szCs w:val="24"/>
        </w:rPr>
        <w:t>（</w:t>
      </w:r>
      <w:r>
        <w:rPr>
          <w:rFonts w:cs="Times New Roman"/>
          <w:szCs w:val="24"/>
        </w:rPr>
        <w:t>3.10.2</w:t>
      </w:r>
      <w:r>
        <w:rPr>
          <w:rFonts w:hint="eastAsia" w:cs="Times New Roman"/>
          <w:szCs w:val="24"/>
        </w:rPr>
        <w:t>-</w:t>
      </w:r>
      <w:r>
        <w:rPr>
          <w:rFonts w:cs="Times New Roman"/>
          <w:szCs w:val="24"/>
        </w:rPr>
        <w:t>1</w:t>
      </w:r>
      <w:r>
        <w:rPr>
          <w:rFonts w:hint="eastAsia" w:cs="Times New Roman"/>
          <w:szCs w:val="24"/>
        </w:rPr>
        <w:t>）</w:t>
      </w:r>
    </w:p>
    <w:p>
      <w:pPr>
        <w:adjustRightInd w:val="0"/>
        <w:snapToGrid w:val="0"/>
        <w:ind w:firstLine="2040" w:firstLineChars="850"/>
        <w:jc w:val="right"/>
        <w:rPr>
          <w:rFonts w:cs="Times New Roman"/>
          <w:szCs w:val="24"/>
        </w:rPr>
      </w:pPr>
      <w:r>
        <w:rPr>
          <w:rFonts w:cs="Times New Roman"/>
          <w:i/>
          <w:szCs w:val="24"/>
        </w:rPr>
        <w:t>ON</w:t>
      </w:r>
      <w:r>
        <w:rPr>
          <w:rFonts w:hint="eastAsia" w:cs="Times New Roman"/>
          <w:szCs w:val="24"/>
        </w:rPr>
        <w:t>=</w:t>
      </w:r>
      <w:r>
        <w:rPr>
          <w:rFonts w:cs="Times New Roman"/>
          <w:i/>
          <w:szCs w:val="24"/>
        </w:rPr>
        <w:t>TN</w:t>
      </w:r>
      <w:r>
        <w:rPr>
          <w:rFonts w:hint="eastAsia" w:cs="Times New Roman"/>
          <w:szCs w:val="24"/>
        </w:rPr>
        <w:t xml:space="preserve">（%）×0.95 </w:t>
      </w:r>
      <w:r>
        <w:rPr>
          <w:rFonts w:cs="Times New Roman"/>
          <w:szCs w:val="24"/>
        </w:rPr>
        <w:t xml:space="preserve">                   </w:t>
      </w:r>
      <w:r>
        <w:rPr>
          <w:rFonts w:hint="eastAsia" w:cs="Times New Roman"/>
          <w:szCs w:val="24"/>
        </w:rPr>
        <w:t>（</w:t>
      </w:r>
      <w:r>
        <w:rPr>
          <w:rFonts w:cs="Times New Roman"/>
          <w:szCs w:val="24"/>
        </w:rPr>
        <w:t>3.10.2</w:t>
      </w:r>
      <w:r>
        <w:rPr>
          <w:rFonts w:hint="eastAsia" w:cs="Times New Roman"/>
          <w:szCs w:val="24"/>
        </w:rPr>
        <w:t>-</w:t>
      </w:r>
      <w:r>
        <w:rPr>
          <w:rFonts w:cs="Times New Roman"/>
          <w:szCs w:val="24"/>
        </w:rPr>
        <w:t>2</w:t>
      </w:r>
      <w:r>
        <w:rPr>
          <w:rFonts w:hint="eastAsia" w:cs="Times New Roman"/>
          <w:szCs w:val="24"/>
        </w:rPr>
        <w:t>）</w:t>
      </w:r>
    </w:p>
    <w:p>
      <w:pPr>
        <w:adjustRightInd w:val="0"/>
        <w:snapToGrid w:val="0"/>
        <w:ind w:firstLine="2040" w:firstLineChars="850"/>
        <w:jc w:val="right"/>
        <w:rPr>
          <w:rFonts w:cs="Times New Roman"/>
          <w:szCs w:val="24"/>
        </w:rPr>
      </w:pPr>
      <w:r>
        <w:rPr>
          <w:rFonts w:cs="Times New Roman"/>
          <w:i/>
          <w:szCs w:val="24"/>
        </w:rPr>
        <w:t>OC</w:t>
      </w:r>
      <w:r>
        <w:rPr>
          <w:rFonts w:hint="eastAsia" w:cs="Times New Roman"/>
          <w:szCs w:val="24"/>
        </w:rPr>
        <w:t>=</w:t>
      </w:r>
      <w:r>
        <w:rPr>
          <w:rFonts w:cs="Times New Roman"/>
          <w:i/>
          <w:szCs w:val="24"/>
        </w:rPr>
        <w:t>OM</w:t>
      </w:r>
      <w:r>
        <w:rPr>
          <w:rFonts w:hint="eastAsia" w:cs="Times New Roman"/>
          <w:szCs w:val="24"/>
        </w:rPr>
        <w:t xml:space="preserve">（%）/1.724 </w:t>
      </w:r>
      <w:r>
        <w:rPr>
          <w:rFonts w:cs="Times New Roman"/>
          <w:szCs w:val="24"/>
        </w:rPr>
        <w:t xml:space="preserve">                   </w:t>
      </w:r>
      <w:r>
        <w:rPr>
          <w:rFonts w:hint="eastAsia" w:cs="Times New Roman"/>
          <w:szCs w:val="24"/>
        </w:rPr>
        <w:t>（</w:t>
      </w:r>
      <w:r>
        <w:rPr>
          <w:rFonts w:cs="Times New Roman"/>
          <w:szCs w:val="24"/>
        </w:rPr>
        <w:t>3.10.2</w:t>
      </w:r>
      <w:r>
        <w:rPr>
          <w:rFonts w:hint="eastAsia" w:cs="Times New Roman"/>
          <w:szCs w:val="24"/>
        </w:rPr>
        <w:t>-</w:t>
      </w:r>
      <w:r>
        <w:rPr>
          <w:rFonts w:cs="Times New Roman"/>
          <w:szCs w:val="24"/>
        </w:rPr>
        <w:t>3</w:t>
      </w:r>
      <w:r>
        <w:rPr>
          <w:rFonts w:hint="eastAsia" w:cs="Times New Roman"/>
          <w:szCs w:val="24"/>
        </w:rPr>
        <w:t>）</w:t>
      </w:r>
    </w:p>
    <w:p>
      <w:pPr>
        <w:adjustRightInd w:val="0"/>
        <w:snapToGrid w:val="0"/>
        <w:ind w:firstLine="480" w:firstLineChars="200"/>
        <w:rPr>
          <w:rFonts w:cs="Times New Roman"/>
          <w:szCs w:val="24"/>
        </w:rPr>
      </w:pPr>
      <w:r>
        <w:rPr>
          <w:rFonts w:cs="Times New Roman"/>
          <w:i/>
          <w:szCs w:val="24"/>
        </w:rPr>
        <w:t>OC</w:t>
      </w:r>
      <w:r>
        <w:rPr>
          <w:rFonts w:cs="Times New Roman"/>
          <w:szCs w:val="24"/>
        </w:rPr>
        <w:t>——</w:t>
      </w:r>
      <w:r>
        <w:rPr>
          <w:rFonts w:hint="eastAsia" w:cs="Times New Roman"/>
          <w:szCs w:val="24"/>
        </w:rPr>
        <w:t>有机碳</w:t>
      </w:r>
      <w:r>
        <w:rPr>
          <w:rFonts w:cs="Times New Roman"/>
          <w:szCs w:val="24"/>
        </w:rPr>
        <w:t>物质质量分数</w:t>
      </w:r>
      <w:r>
        <w:rPr>
          <w:rFonts w:hint="eastAsia" w:cs="Times New Roman"/>
          <w:szCs w:val="24"/>
        </w:rPr>
        <w:t>，%；</w:t>
      </w:r>
    </w:p>
    <w:p>
      <w:pPr>
        <w:adjustRightInd w:val="0"/>
        <w:snapToGrid w:val="0"/>
        <w:ind w:firstLine="480" w:firstLineChars="200"/>
        <w:rPr>
          <w:rFonts w:cs="Times New Roman"/>
          <w:szCs w:val="24"/>
        </w:rPr>
      </w:pPr>
      <w:r>
        <w:rPr>
          <w:rFonts w:cs="Times New Roman"/>
          <w:i/>
          <w:szCs w:val="24"/>
        </w:rPr>
        <w:t>ON</w:t>
      </w:r>
      <w:r>
        <w:rPr>
          <w:rFonts w:cs="Times New Roman"/>
          <w:szCs w:val="24"/>
        </w:rPr>
        <w:t>——</w:t>
      </w:r>
      <w:r>
        <w:rPr>
          <w:rFonts w:hint="eastAsia" w:cs="Times New Roman"/>
          <w:szCs w:val="24"/>
        </w:rPr>
        <w:t>有机氮</w:t>
      </w:r>
      <w:r>
        <w:rPr>
          <w:rFonts w:cs="Times New Roman"/>
          <w:szCs w:val="24"/>
        </w:rPr>
        <w:t>物质质量分数</w:t>
      </w:r>
      <w:r>
        <w:rPr>
          <w:rFonts w:hint="eastAsia" w:cs="Times New Roman"/>
          <w:szCs w:val="24"/>
        </w:rPr>
        <w:t>，%；</w:t>
      </w:r>
    </w:p>
    <w:p>
      <w:pPr>
        <w:adjustRightInd w:val="0"/>
        <w:snapToGrid w:val="0"/>
        <w:ind w:firstLine="480" w:firstLineChars="200"/>
        <w:rPr>
          <w:rFonts w:cs="Times New Roman"/>
          <w:szCs w:val="24"/>
        </w:rPr>
      </w:pPr>
      <w:r>
        <w:rPr>
          <w:rFonts w:hint="eastAsia" w:cs="Times New Roman"/>
          <w:szCs w:val="24"/>
        </w:rPr>
        <w:t>T</w:t>
      </w:r>
      <w:r>
        <w:rPr>
          <w:rFonts w:cs="Times New Roman"/>
          <w:szCs w:val="24"/>
        </w:rPr>
        <w:t>N——</w:t>
      </w:r>
      <w:r>
        <w:rPr>
          <w:rFonts w:hint="eastAsia" w:cs="Times New Roman"/>
          <w:szCs w:val="24"/>
        </w:rPr>
        <w:t>总氮</w:t>
      </w:r>
      <w:r>
        <w:rPr>
          <w:rFonts w:cs="Times New Roman"/>
          <w:szCs w:val="24"/>
        </w:rPr>
        <w:t>物质质量分数</w:t>
      </w:r>
      <w:r>
        <w:rPr>
          <w:rFonts w:hint="eastAsia" w:cs="Times New Roman"/>
          <w:szCs w:val="24"/>
        </w:rPr>
        <w:t>，%；</w:t>
      </w:r>
    </w:p>
    <w:p>
      <w:pPr>
        <w:adjustRightInd w:val="0"/>
        <w:snapToGrid w:val="0"/>
        <w:ind w:firstLine="480" w:firstLineChars="200"/>
        <w:rPr>
          <w:rFonts w:cs="Times New Roman"/>
          <w:szCs w:val="24"/>
        </w:rPr>
      </w:pPr>
      <w:r>
        <w:rPr>
          <w:rFonts w:cs="Times New Roman"/>
          <w:i/>
          <w:szCs w:val="24"/>
        </w:rPr>
        <w:t>OM</w:t>
      </w:r>
      <w:r>
        <w:rPr>
          <w:rFonts w:cs="Times New Roman"/>
          <w:szCs w:val="24"/>
        </w:rPr>
        <w:t>——</w:t>
      </w:r>
      <w:r>
        <w:rPr>
          <w:rFonts w:hint="eastAsia" w:cs="Times New Roman"/>
          <w:szCs w:val="24"/>
        </w:rPr>
        <w:t>有机质</w:t>
      </w:r>
      <w:r>
        <w:rPr>
          <w:rFonts w:cs="Times New Roman"/>
          <w:szCs w:val="24"/>
        </w:rPr>
        <w:t>物质质量分数</w:t>
      </w:r>
      <w:r>
        <w:rPr>
          <w:rFonts w:hint="eastAsia" w:cs="Times New Roman"/>
          <w:szCs w:val="24"/>
        </w:rPr>
        <w:t>，%。</w:t>
      </w:r>
    </w:p>
    <w:p>
      <w:pPr>
        <w:adjustRightInd w:val="0"/>
        <w:snapToGrid w:val="0"/>
        <w:spacing w:line="560" w:lineRule="exact"/>
        <w:jc w:val="center"/>
        <w:rPr>
          <w:rFonts w:cs="Times New Roman" w:asciiTheme="minorEastAsia" w:hAnsiTheme="minorEastAsia" w:eastAsiaTheme="minorEastAsia"/>
          <w:b/>
          <w:bCs/>
          <w:szCs w:val="24"/>
        </w:rPr>
      </w:pPr>
      <w:r>
        <w:rPr>
          <w:rFonts w:hint="eastAsia" w:cs="Times New Roman" w:asciiTheme="minorEastAsia" w:hAnsiTheme="minorEastAsia" w:eastAsiaTheme="minorEastAsia"/>
          <w:b/>
          <w:bCs/>
          <w:szCs w:val="24"/>
        </w:rPr>
        <w:t>表</w:t>
      </w:r>
      <w:r>
        <w:rPr>
          <w:rFonts w:asciiTheme="majorBidi" w:hAnsiTheme="majorBidi" w:eastAsiaTheme="minorEastAsia" w:cstheme="majorBidi"/>
          <w:b/>
          <w:bCs/>
          <w:szCs w:val="24"/>
        </w:rPr>
        <w:t>3.10.2</w:t>
      </w:r>
      <w:r>
        <w:rPr>
          <w:rFonts w:cs="Times New Roman" w:asciiTheme="minorEastAsia" w:hAnsiTheme="minorEastAsia" w:eastAsiaTheme="minorEastAsia"/>
          <w:b/>
          <w:bCs/>
          <w:szCs w:val="24"/>
        </w:rPr>
        <w:t xml:space="preserve">  </w:t>
      </w:r>
      <w:r>
        <w:rPr>
          <w:rFonts w:hint="eastAsia" w:cs="Times New Roman" w:asciiTheme="minorEastAsia" w:hAnsiTheme="minorEastAsia" w:eastAsiaTheme="minorEastAsia"/>
          <w:b/>
          <w:bCs/>
          <w:szCs w:val="24"/>
        </w:rPr>
        <w:t>底泥有机指数评价标准</w:t>
      </w:r>
    </w:p>
    <w:tbl>
      <w:tblPr>
        <w:tblStyle w:val="28"/>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90"/>
        <w:gridCol w:w="3174"/>
        <w:gridCol w:w="29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90" w:type="dxa"/>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等级</w:t>
            </w:r>
          </w:p>
        </w:tc>
        <w:tc>
          <w:tcPr>
            <w:tcW w:w="3174" w:type="dxa"/>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有机指数（</w:t>
            </w:r>
            <w:r>
              <w:rPr>
                <w:rFonts w:ascii="Times New Roman" w:hAnsi="Times New Roman" w:cs="Times New Roman" w:eastAsiaTheme="minorEastAsia"/>
                <w:i/>
                <w:sz w:val="21"/>
                <w:szCs w:val="21"/>
              </w:rPr>
              <w:t>OI</w:t>
            </w:r>
            <w:r>
              <w:rPr>
                <w:rFonts w:ascii="Times New Roman" w:hAnsi="Times New Roman" w:cs="Times New Roman" w:eastAsiaTheme="minorEastAsia"/>
                <w:sz w:val="21"/>
                <w:szCs w:val="21"/>
              </w:rPr>
              <w:t>）</w:t>
            </w:r>
          </w:p>
        </w:tc>
        <w:tc>
          <w:tcPr>
            <w:tcW w:w="2932" w:type="dxa"/>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90" w:type="dxa"/>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1</w:t>
            </w:r>
          </w:p>
        </w:tc>
        <w:tc>
          <w:tcPr>
            <w:tcW w:w="3174" w:type="dxa"/>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i/>
                <w:sz w:val="21"/>
                <w:szCs w:val="21"/>
              </w:rPr>
              <w:t>OI</w:t>
            </w:r>
            <w:r>
              <w:rPr>
                <w:rFonts w:ascii="Times New Roman" w:hAnsi="Times New Roman" w:cs="Times New Roman" w:eastAsiaTheme="minorEastAsia"/>
                <w:sz w:val="21"/>
                <w:szCs w:val="21"/>
              </w:rPr>
              <w:t>&lt;0.05</w:t>
            </w:r>
          </w:p>
        </w:tc>
        <w:tc>
          <w:tcPr>
            <w:tcW w:w="2932" w:type="dxa"/>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清洁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90" w:type="dxa"/>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2</w:t>
            </w:r>
          </w:p>
        </w:tc>
        <w:tc>
          <w:tcPr>
            <w:tcW w:w="3174" w:type="dxa"/>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0.05≤</w:t>
            </w:r>
            <w:r>
              <w:rPr>
                <w:rFonts w:ascii="Times New Roman" w:hAnsi="Times New Roman" w:cs="Times New Roman" w:eastAsiaTheme="minorEastAsia"/>
                <w:i/>
                <w:sz w:val="21"/>
                <w:szCs w:val="21"/>
              </w:rPr>
              <w:t>OI</w:t>
            </w:r>
            <w:r>
              <w:rPr>
                <w:rFonts w:ascii="Times New Roman" w:hAnsi="Times New Roman" w:cs="Times New Roman" w:eastAsiaTheme="minorEastAsia"/>
                <w:sz w:val="21"/>
                <w:szCs w:val="21"/>
              </w:rPr>
              <w:t>&lt;0.2</w:t>
            </w:r>
          </w:p>
        </w:tc>
        <w:tc>
          <w:tcPr>
            <w:tcW w:w="2932" w:type="dxa"/>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轻度污染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90" w:type="dxa"/>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3</w:t>
            </w:r>
          </w:p>
        </w:tc>
        <w:tc>
          <w:tcPr>
            <w:tcW w:w="3174" w:type="dxa"/>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0.2≤</w:t>
            </w:r>
            <w:r>
              <w:rPr>
                <w:rFonts w:ascii="Times New Roman" w:hAnsi="Times New Roman" w:cs="Times New Roman" w:eastAsiaTheme="minorEastAsia"/>
                <w:i/>
                <w:sz w:val="21"/>
                <w:szCs w:val="21"/>
              </w:rPr>
              <w:t>OI</w:t>
            </w:r>
            <w:r>
              <w:rPr>
                <w:rFonts w:ascii="Times New Roman" w:hAnsi="Times New Roman" w:cs="Times New Roman" w:eastAsiaTheme="minorEastAsia"/>
                <w:sz w:val="21"/>
                <w:szCs w:val="21"/>
              </w:rPr>
              <w:t>&lt;0.5</w:t>
            </w:r>
          </w:p>
        </w:tc>
        <w:tc>
          <w:tcPr>
            <w:tcW w:w="2932" w:type="dxa"/>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中度污染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90" w:type="dxa"/>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4</w:t>
            </w:r>
          </w:p>
        </w:tc>
        <w:tc>
          <w:tcPr>
            <w:tcW w:w="3174" w:type="dxa"/>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i/>
                <w:sz w:val="21"/>
                <w:szCs w:val="21"/>
              </w:rPr>
              <w:t>OI</w:t>
            </w:r>
            <w:r>
              <w:rPr>
                <w:rFonts w:ascii="Times New Roman" w:hAnsi="Times New Roman" w:cs="Times New Roman" w:eastAsiaTheme="minorEastAsia"/>
                <w:sz w:val="21"/>
                <w:szCs w:val="21"/>
              </w:rPr>
              <w:t>≥0.5</w:t>
            </w:r>
          </w:p>
        </w:tc>
        <w:tc>
          <w:tcPr>
            <w:tcW w:w="2932" w:type="dxa"/>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重度污染</w:t>
            </w:r>
          </w:p>
        </w:tc>
      </w:tr>
    </w:tbl>
    <w:p>
      <w:pPr>
        <w:adjustRightInd w:val="0"/>
        <w:snapToGrid w:val="0"/>
        <w:outlineLvl w:val="2"/>
        <w:rPr>
          <w:rFonts w:cs="Times New Roman"/>
          <w:szCs w:val="24"/>
        </w:rPr>
      </w:pPr>
      <w:r>
        <w:rPr>
          <w:rFonts w:hint="eastAsia" w:cs="Times New Roman"/>
          <w:b/>
          <w:bCs/>
          <w:szCs w:val="24"/>
        </w:rPr>
        <w:t>3</w:t>
      </w:r>
      <w:r>
        <w:rPr>
          <w:rFonts w:cs="Times New Roman"/>
          <w:b/>
          <w:bCs/>
          <w:szCs w:val="24"/>
        </w:rPr>
        <w:t>.10.3</w:t>
      </w:r>
      <w:r>
        <w:rPr>
          <w:rFonts w:cs="Times New Roman"/>
          <w:szCs w:val="24"/>
        </w:rPr>
        <w:t xml:space="preserve">  潜在生态风险指数法</w:t>
      </w:r>
      <w:r>
        <w:rPr>
          <w:rFonts w:hint="eastAsia" w:cs="Times New Roman"/>
          <w:szCs w:val="24"/>
        </w:rPr>
        <w:t>（</w:t>
      </w:r>
      <w:r>
        <w:rPr>
          <w:rFonts w:cs="Times New Roman"/>
          <w:i/>
          <w:szCs w:val="24"/>
        </w:rPr>
        <w:t>RI</w:t>
      </w:r>
      <w:r>
        <w:rPr>
          <w:rFonts w:hint="eastAsia" w:cs="Times New Roman"/>
          <w:szCs w:val="24"/>
        </w:rPr>
        <w:t>）计算公式如下</w:t>
      </w:r>
      <w:r>
        <w:rPr>
          <w:rFonts w:cs="Times New Roman"/>
          <w:szCs w:val="24"/>
        </w:rPr>
        <w:t>：</w:t>
      </w:r>
    </w:p>
    <w:p>
      <w:pPr>
        <w:adjustRightInd w:val="0"/>
        <w:snapToGrid w:val="0"/>
        <w:jc w:val="right"/>
        <w:rPr>
          <w:rFonts w:cs="Times New Roman"/>
          <w:szCs w:val="21"/>
        </w:rPr>
      </w:pPr>
      <m:oMath>
        <m:sSubSup>
          <m:sSubSupPr>
            <m:ctrlPr>
              <w:rPr>
                <w:rFonts w:ascii="Cambria Math" w:hAnsi="Cambria Math" w:cs="Times New Roman"/>
                <w:szCs w:val="21"/>
              </w:rPr>
            </m:ctrlPr>
          </m:sSubSupPr>
          <m:e>
            <m:r>
              <w:rPr>
                <w:rFonts w:ascii="Cambria Math" w:hAnsi="Cambria Math" w:cs="Times New Roman"/>
                <w:szCs w:val="21"/>
              </w:rPr>
              <m:t>C</m:t>
            </m:r>
            <m:ctrlPr>
              <w:rPr>
                <w:rFonts w:ascii="Cambria Math" w:hAnsi="Cambria Math" w:cs="Times New Roman"/>
                <w:szCs w:val="21"/>
              </w:rPr>
            </m:ctrlPr>
          </m:e>
          <m:sub>
            <m:r>
              <w:rPr>
                <w:rFonts w:ascii="Cambria Math" w:hAnsi="Cambria Math" w:cs="Times New Roman"/>
                <w:szCs w:val="21"/>
              </w:rPr>
              <m:t>f</m:t>
            </m:r>
            <m:ctrlPr>
              <w:rPr>
                <w:rFonts w:ascii="Cambria Math" w:hAnsi="Cambria Math" w:cs="Times New Roman"/>
                <w:szCs w:val="21"/>
              </w:rPr>
            </m:ctrlPr>
          </m:sub>
          <m:sup>
            <m:r>
              <w:rPr>
                <w:rFonts w:ascii="Cambria Math" w:hAnsi="Cambria Math" w:cs="Times New Roman"/>
                <w:szCs w:val="21"/>
              </w:rPr>
              <m:t>i</m:t>
            </m:r>
            <m:ctrlPr>
              <w:rPr>
                <w:rFonts w:ascii="Cambria Math" w:hAnsi="Cambria Math" w:cs="Times New Roman"/>
                <w:szCs w:val="21"/>
              </w:rPr>
            </m:ctrlPr>
          </m:sup>
        </m:sSubSup>
        <m:r>
          <w:rPr>
            <w:rFonts w:ascii="Cambria Math" w:hAnsi="Cambria Math" w:cs="Times New Roman"/>
            <w:szCs w:val="21"/>
          </w:rPr>
          <m:t>=</m:t>
        </m:r>
        <m:f>
          <m:fPr>
            <m:ctrlPr>
              <w:rPr>
                <w:rFonts w:ascii="Cambria Math" w:hAnsi="Cambria Math" w:cs="Times New Roman"/>
                <w:i/>
                <w:szCs w:val="21"/>
              </w:rPr>
            </m:ctrlPr>
          </m:fPr>
          <m:num>
            <m:sSubSup>
              <m:sSubSupPr>
                <m:ctrlPr>
                  <w:rPr>
                    <w:rFonts w:ascii="Cambria Math" w:hAnsi="Cambria Math" w:cs="Times New Roman"/>
                    <w:szCs w:val="21"/>
                  </w:rPr>
                </m:ctrlPr>
              </m:sSubSupPr>
              <m:e>
                <m:r>
                  <w:rPr>
                    <w:rFonts w:ascii="Cambria Math" w:hAnsi="Cambria Math" w:cs="Times New Roman"/>
                    <w:szCs w:val="21"/>
                  </w:rPr>
                  <m:t>C</m:t>
                </m:r>
                <m:ctrlPr>
                  <w:rPr>
                    <w:rFonts w:ascii="Cambria Math" w:hAnsi="Cambria Math" w:cs="Times New Roman"/>
                    <w:szCs w:val="21"/>
                  </w:rPr>
                </m:ctrlPr>
              </m:e>
              <m:sub>
                <m:r>
                  <w:rPr>
                    <w:rFonts w:ascii="Cambria Math" w:hAnsi="Cambria Math" w:cs="Times New Roman"/>
                    <w:szCs w:val="21"/>
                  </w:rPr>
                  <m:t>s</m:t>
                </m:r>
                <m:ctrlPr>
                  <w:rPr>
                    <w:rFonts w:ascii="Cambria Math" w:hAnsi="Cambria Math" w:cs="Times New Roman"/>
                    <w:szCs w:val="21"/>
                  </w:rPr>
                </m:ctrlPr>
              </m:sub>
              <m:sup>
                <m:r>
                  <w:rPr>
                    <w:rFonts w:ascii="Cambria Math" w:hAnsi="Cambria Math" w:cs="Times New Roman"/>
                    <w:szCs w:val="21"/>
                  </w:rPr>
                  <m:t>i</m:t>
                </m:r>
                <m:ctrlPr>
                  <w:rPr>
                    <w:rFonts w:ascii="Cambria Math" w:hAnsi="Cambria Math" w:cs="Times New Roman"/>
                    <w:szCs w:val="21"/>
                  </w:rPr>
                </m:ctrlPr>
              </m:sup>
            </m:sSubSup>
            <m:ctrlPr>
              <w:rPr>
                <w:rFonts w:ascii="Cambria Math" w:hAnsi="Cambria Math" w:cs="Times New Roman"/>
                <w:i/>
                <w:szCs w:val="21"/>
              </w:rPr>
            </m:ctrlPr>
          </m:num>
          <m:den>
            <m:sSubSup>
              <m:sSubSupPr>
                <m:ctrlPr>
                  <w:rPr>
                    <w:rFonts w:ascii="Cambria Math" w:hAnsi="Cambria Math" w:cs="Times New Roman"/>
                    <w:szCs w:val="21"/>
                  </w:rPr>
                </m:ctrlPr>
              </m:sSubSupPr>
              <m:e>
                <m:r>
                  <w:rPr>
                    <w:rFonts w:ascii="Cambria Math" w:hAnsi="Cambria Math" w:cs="Times New Roman"/>
                    <w:szCs w:val="21"/>
                  </w:rPr>
                  <m:t>C</m:t>
                </m:r>
                <m:ctrlPr>
                  <w:rPr>
                    <w:rFonts w:ascii="Cambria Math" w:hAnsi="Cambria Math" w:cs="Times New Roman"/>
                    <w:szCs w:val="21"/>
                  </w:rPr>
                </m:ctrlPr>
              </m:e>
              <m:sub>
                <m:r>
                  <w:rPr>
                    <w:rFonts w:ascii="Cambria Math" w:hAnsi="Cambria Math" w:cs="Times New Roman"/>
                    <w:szCs w:val="21"/>
                  </w:rPr>
                  <m:t>n</m:t>
                </m:r>
                <m:ctrlPr>
                  <w:rPr>
                    <w:rFonts w:ascii="Cambria Math" w:hAnsi="Cambria Math" w:cs="Times New Roman"/>
                    <w:szCs w:val="21"/>
                  </w:rPr>
                </m:ctrlPr>
              </m:sub>
              <m:sup>
                <m:r>
                  <w:rPr>
                    <w:rFonts w:ascii="Cambria Math" w:hAnsi="Cambria Math" w:cs="Times New Roman"/>
                    <w:szCs w:val="21"/>
                  </w:rPr>
                  <m:t>i</m:t>
                </m:r>
                <m:ctrlPr>
                  <w:rPr>
                    <w:rFonts w:ascii="Cambria Math" w:hAnsi="Cambria Math" w:cs="Times New Roman"/>
                    <w:szCs w:val="21"/>
                  </w:rPr>
                </m:ctrlPr>
              </m:sup>
            </m:sSubSup>
            <m:ctrlPr>
              <w:rPr>
                <w:rFonts w:ascii="Cambria Math" w:hAnsi="Cambria Math" w:cs="Times New Roman"/>
                <w:i/>
                <w:szCs w:val="21"/>
              </w:rPr>
            </m:ctrlPr>
          </m:den>
        </m:f>
      </m:oMath>
      <w:r>
        <w:rPr>
          <w:rFonts w:cs="Times New Roman"/>
          <w:szCs w:val="21"/>
        </w:rPr>
        <w:t xml:space="preserve">                       </w:t>
      </w:r>
      <w:r>
        <w:rPr>
          <w:rFonts w:hint="eastAsia" w:cs="Times New Roman"/>
          <w:szCs w:val="21"/>
        </w:rPr>
        <w:t>（</w:t>
      </w:r>
      <w:r>
        <w:rPr>
          <w:rFonts w:cs="Times New Roman"/>
          <w:szCs w:val="21"/>
        </w:rPr>
        <w:t>3.10.3</w:t>
      </w:r>
      <w:r>
        <w:rPr>
          <w:rFonts w:hint="eastAsia" w:cs="Times New Roman"/>
          <w:szCs w:val="21"/>
        </w:rPr>
        <w:t>-</w:t>
      </w:r>
      <w:r>
        <w:rPr>
          <w:rFonts w:cs="Times New Roman"/>
          <w:szCs w:val="21"/>
        </w:rPr>
        <w:t>1</w:t>
      </w:r>
      <w:r>
        <w:rPr>
          <w:rFonts w:hint="eastAsia" w:cs="Times New Roman"/>
          <w:szCs w:val="21"/>
        </w:rPr>
        <w:t>）</w:t>
      </w:r>
    </w:p>
    <w:p>
      <w:pPr>
        <w:adjustRightInd w:val="0"/>
        <w:snapToGrid w:val="0"/>
        <w:jc w:val="right"/>
        <w:rPr>
          <w:szCs w:val="21"/>
        </w:rPr>
      </w:pPr>
      <m:oMath>
        <m:sSubSup>
          <m:sSubSupPr>
            <m:ctrlPr>
              <w:rPr>
                <w:rFonts w:ascii="Cambria Math" w:hAnsi="Cambria Math"/>
                <w:i/>
                <w:szCs w:val="21"/>
              </w:rPr>
            </m:ctrlPr>
          </m:sSubSupPr>
          <m:e>
            <m:r>
              <w:rPr>
                <w:rFonts w:ascii="Cambria Math" w:hAnsi="Cambria Math"/>
                <w:szCs w:val="21"/>
              </w:rPr>
              <m:t>E</m:t>
            </m:r>
            <m:ctrlPr>
              <w:rPr>
                <w:rFonts w:ascii="Cambria Math" w:hAnsi="Cambria Math"/>
                <w:i/>
                <w:szCs w:val="21"/>
              </w:rPr>
            </m:ctrlPr>
          </m:e>
          <m:sub>
            <m:r>
              <w:rPr>
                <w:rFonts w:ascii="Cambria Math" w:hAnsi="Cambria Math"/>
                <w:szCs w:val="21"/>
              </w:rPr>
              <m:t>r</m:t>
            </m:r>
            <m:ctrlPr>
              <w:rPr>
                <w:rFonts w:ascii="Cambria Math" w:hAnsi="Cambria Math"/>
                <w:i/>
                <w:szCs w:val="21"/>
              </w:rPr>
            </m:ctrlPr>
          </m:sub>
          <m:sup>
            <m:r>
              <w:rPr>
                <w:rFonts w:ascii="Cambria Math" w:hAnsi="Cambria Math"/>
                <w:szCs w:val="21"/>
              </w:rPr>
              <m:t>i</m:t>
            </m:r>
            <m:ctrlPr>
              <w:rPr>
                <w:rFonts w:ascii="Cambria Math" w:hAnsi="Cambria Math"/>
                <w:i/>
                <w:szCs w:val="21"/>
              </w:rPr>
            </m:ctrlPr>
          </m:sup>
        </m:sSubSup>
        <m:r>
          <w:rPr>
            <w:rFonts w:ascii="Cambria Math" w:hAnsi="Cambria Math"/>
            <w:szCs w:val="21"/>
          </w:rPr>
          <m:t>=</m:t>
        </m:r>
        <m:sSubSup>
          <m:sSubSupPr>
            <m:ctrlPr>
              <w:rPr>
                <w:rFonts w:ascii="Cambria Math" w:hAnsi="Cambria Math"/>
                <w:i/>
                <w:szCs w:val="21"/>
              </w:rPr>
            </m:ctrlPr>
          </m:sSubSupPr>
          <m:e>
            <m:r>
              <w:rPr>
                <w:rFonts w:ascii="Cambria Math" w:hAnsi="Cambria Math"/>
                <w:szCs w:val="21"/>
              </w:rPr>
              <m:t>T</m:t>
            </m:r>
            <m:ctrlPr>
              <w:rPr>
                <w:rFonts w:ascii="Cambria Math" w:hAnsi="Cambria Math"/>
                <w:i/>
                <w:szCs w:val="21"/>
              </w:rPr>
            </m:ctrlPr>
          </m:e>
          <m:sub>
            <m:r>
              <w:rPr>
                <w:rFonts w:ascii="Cambria Math" w:hAnsi="Cambria Math"/>
                <w:szCs w:val="21"/>
              </w:rPr>
              <m:t>r</m:t>
            </m:r>
            <m:ctrlPr>
              <w:rPr>
                <w:rFonts w:ascii="Cambria Math" w:hAnsi="Cambria Math"/>
                <w:i/>
                <w:szCs w:val="21"/>
              </w:rPr>
            </m:ctrlPr>
          </m:sub>
          <m:sup>
            <m:r>
              <w:rPr>
                <w:rFonts w:ascii="Cambria Math" w:hAnsi="Cambria Math"/>
                <w:szCs w:val="21"/>
              </w:rPr>
              <m:t>i</m:t>
            </m:r>
            <m:ctrlPr>
              <w:rPr>
                <w:rFonts w:ascii="Cambria Math" w:hAnsi="Cambria Math"/>
                <w:i/>
                <w:szCs w:val="21"/>
              </w:rPr>
            </m:ctrlPr>
          </m:sup>
        </m:sSubSup>
        <m:r>
          <w:rPr>
            <w:rFonts w:ascii="Cambria Math" w:hAnsi="Cambria Math"/>
            <w:szCs w:val="21"/>
          </w:rPr>
          <m:t>×</m:t>
        </m:r>
        <m:sSubSup>
          <m:sSubSupPr>
            <m:ctrlPr>
              <w:rPr>
                <w:rFonts w:ascii="Cambria Math" w:hAnsi="Cambria Math"/>
                <w:i/>
                <w:szCs w:val="21"/>
              </w:rPr>
            </m:ctrlPr>
          </m:sSubSupPr>
          <m:e>
            <m:r>
              <w:rPr>
                <w:rFonts w:ascii="Cambria Math" w:hAnsi="Cambria Math"/>
                <w:szCs w:val="21"/>
              </w:rPr>
              <m:t>C</m:t>
            </m:r>
            <m:ctrlPr>
              <w:rPr>
                <w:rFonts w:ascii="Cambria Math" w:hAnsi="Cambria Math"/>
                <w:i/>
                <w:szCs w:val="21"/>
              </w:rPr>
            </m:ctrlPr>
          </m:e>
          <m:sub>
            <m:r>
              <w:rPr>
                <w:rFonts w:ascii="Cambria Math" w:hAnsi="Cambria Math"/>
                <w:szCs w:val="21"/>
              </w:rPr>
              <m:t>f</m:t>
            </m:r>
            <m:ctrlPr>
              <w:rPr>
                <w:rFonts w:ascii="Cambria Math" w:hAnsi="Cambria Math"/>
                <w:i/>
                <w:szCs w:val="21"/>
              </w:rPr>
            </m:ctrlPr>
          </m:sub>
          <m:sup>
            <m:r>
              <w:rPr>
                <w:rFonts w:ascii="Cambria Math" w:hAnsi="Cambria Math"/>
                <w:szCs w:val="21"/>
              </w:rPr>
              <m:t>i</m:t>
            </m:r>
            <m:ctrlPr>
              <w:rPr>
                <w:rFonts w:ascii="Cambria Math" w:hAnsi="Cambria Math"/>
                <w:i/>
                <w:szCs w:val="21"/>
              </w:rPr>
            </m:ctrlPr>
          </m:sup>
        </m:sSubSup>
      </m:oMath>
      <w:r>
        <w:rPr>
          <w:rFonts w:hint="eastAsia"/>
          <w:szCs w:val="21"/>
        </w:rPr>
        <w:t xml:space="preserve"> </w:t>
      </w:r>
      <w:r>
        <w:rPr>
          <w:szCs w:val="21"/>
        </w:rPr>
        <w:t xml:space="preserve">                   </w:t>
      </w:r>
      <w:r>
        <w:rPr>
          <w:rFonts w:hint="eastAsia"/>
          <w:szCs w:val="21"/>
        </w:rPr>
        <w:t>（</w:t>
      </w:r>
      <w:r>
        <w:rPr>
          <w:rFonts w:cs="Times New Roman"/>
          <w:szCs w:val="21"/>
        </w:rPr>
        <w:t>3.10.3</w:t>
      </w:r>
      <w:r>
        <w:rPr>
          <w:rFonts w:hint="eastAsia" w:cs="Times New Roman"/>
          <w:szCs w:val="21"/>
        </w:rPr>
        <w:t>-</w:t>
      </w:r>
      <w:r>
        <w:rPr>
          <w:rFonts w:cs="Times New Roman"/>
          <w:szCs w:val="21"/>
        </w:rPr>
        <w:t>2</w:t>
      </w:r>
      <w:r>
        <w:rPr>
          <w:rFonts w:hint="eastAsia"/>
          <w:szCs w:val="21"/>
        </w:rPr>
        <w:t>）</w:t>
      </w:r>
    </w:p>
    <w:p>
      <w:pPr>
        <w:adjustRightInd w:val="0"/>
        <w:snapToGrid w:val="0"/>
        <w:jc w:val="right"/>
        <w:rPr>
          <w:szCs w:val="21"/>
        </w:rPr>
      </w:pPr>
      <m:oMath>
        <m:r>
          <w:rPr>
            <w:rFonts w:ascii="Cambria Math" w:hAnsi="Cambria Math"/>
            <w:szCs w:val="21"/>
          </w:rPr>
          <m:t>RI=</m:t>
        </m:r>
        <m:nary>
          <m:naryPr>
            <m:chr m:val="∑"/>
            <m:limLoc m:val="undOvr"/>
            <m:ctrlPr>
              <w:rPr>
                <w:rFonts w:ascii="Cambria Math" w:hAnsi="Cambria Math"/>
                <w:i/>
                <w:szCs w:val="21"/>
              </w:rPr>
            </m:ctrlPr>
          </m:naryPr>
          <m:sub>
            <m:r>
              <w:rPr>
                <w:rFonts w:ascii="Cambria Math" w:hAnsi="Cambria Math"/>
                <w:szCs w:val="21"/>
              </w:rPr>
              <m:t>i=1</m:t>
            </m:r>
            <m:ctrlPr>
              <w:rPr>
                <w:rFonts w:ascii="Cambria Math" w:hAnsi="Cambria Math"/>
                <w:i/>
                <w:szCs w:val="21"/>
              </w:rPr>
            </m:ctrlPr>
          </m:sub>
          <m:sup>
            <m:r>
              <w:rPr>
                <w:rFonts w:ascii="Cambria Math" w:hAnsi="Cambria Math"/>
                <w:szCs w:val="21"/>
              </w:rPr>
              <m:t>n</m:t>
            </m:r>
            <m:ctrlPr>
              <w:rPr>
                <w:rFonts w:ascii="Cambria Math" w:hAnsi="Cambria Math"/>
                <w:i/>
                <w:szCs w:val="21"/>
              </w:rPr>
            </m:ctrlPr>
          </m:sup>
          <m:e>
            <m:sSubSup>
              <m:sSubSupPr>
                <m:ctrlPr>
                  <w:rPr>
                    <w:rFonts w:ascii="Cambria Math" w:hAnsi="Cambria Math"/>
                    <w:i/>
                    <w:szCs w:val="21"/>
                  </w:rPr>
                </m:ctrlPr>
              </m:sSubSupPr>
              <m:e>
                <m:r>
                  <w:rPr>
                    <w:rFonts w:ascii="Cambria Math" w:hAnsi="Cambria Math"/>
                    <w:szCs w:val="21"/>
                  </w:rPr>
                  <m:t>E</m:t>
                </m:r>
                <m:ctrlPr>
                  <w:rPr>
                    <w:rFonts w:ascii="Cambria Math" w:hAnsi="Cambria Math"/>
                    <w:i/>
                    <w:szCs w:val="21"/>
                  </w:rPr>
                </m:ctrlPr>
              </m:e>
              <m:sub>
                <m:r>
                  <w:rPr>
                    <w:rFonts w:ascii="Cambria Math" w:hAnsi="Cambria Math"/>
                    <w:szCs w:val="21"/>
                  </w:rPr>
                  <m:t>r</m:t>
                </m:r>
                <m:ctrlPr>
                  <w:rPr>
                    <w:rFonts w:ascii="Cambria Math" w:hAnsi="Cambria Math"/>
                    <w:i/>
                    <w:szCs w:val="21"/>
                  </w:rPr>
                </m:ctrlPr>
              </m:sub>
              <m:sup>
                <m:r>
                  <w:rPr>
                    <w:rFonts w:ascii="Cambria Math" w:hAnsi="Cambria Math"/>
                    <w:szCs w:val="21"/>
                  </w:rPr>
                  <m:t>i</m:t>
                </m:r>
                <m:ctrlPr>
                  <w:rPr>
                    <w:rFonts w:ascii="Cambria Math" w:hAnsi="Cambria Math"/>
                    <w:i/>
                    <w:szCs w:val="21"/>
                  </w:rPr>
                </m:ctrlPr>
              </m:sup>
            </m:sSubSup>
            <m:ctrlPr>
              <w:rPr>
                <w:rFonts w:ascii="Cambria Math" w:hAnsi="Cambria Math"/>
                <w:i/>
                <w:szCs w:val="21"/>
              </w:rPr>
            </m:ctrlPr>
          </m:e>
        </m:nary>
        <m:r>
          <w:rPr>
            <w:rFonts w:hint="eastAsia" w:ascii="Cambria Math" w:hAnsi="Cambria Math"/>
            <w:szCs w:val="21"/>
          </w:rPr>
          <m:t>=</m:t>
        </m:r>
        <m:nary>
          <m:naryPr>
            <m:chr m:val="∑"/>
            <m:limLoc m:val="undOvr"/>
            <m:ctrlPr>
              <w:rPr>
                <w:rFonts w:ascii="Cambria Math" w:hAnsi="Cambria Math"/>
                <w:i/>
                <w:szCs w:val="21"/>
              </w:rPr>
            </m:ctrlPr>
          </m:naryPr>
          <m:sub>
            <m:r>
              <w:rPr>
                <w:rFonts w:ascii="Cambria Math" w:hAnsi="Cambria Math"/>
                <w:szCs w:val="21"/>
              </w:rPr>
              <m:t>i=1</m:t>
            </m:r>
            <m:ctrlPr>
              <w:rPr>
                <w:rFonts w:ascii="Cambria Math" w:hAnsi="Cambria Math"/>
                <w:i/>
                <w:szCs w:val="21"/>
              </w:rPr>
            </m:ctrlPr>
          </m:sub>
          <m:sup>
            <m:r>
              <w:rPr>
                <w:rFonts w:ascii="Cambria Math" w:hAnsi="Cambria Math"/>
                <w:szCs w:val="21"/>
              </w:rPr>
              <m:t>n</m:t>
            </m:r>
            <m:ctrlPr>
              <w:rPr>
                <w:rFonts w:ascii="Cambria Math" w:hAnsi="Cambria Math"/>
                <w:i/>
                <w:szCs w:val="21"/>
              </w:rPr>
            </m:ctrlPr>
          </m:sup>
          <m:e>
            <m:sSubSup>
              <m:sSubSupPr>
                <m:ctrlPr>
                  <w:rPr>
                    <w:rFonts w:ascii="Cambria Math" w:hAnsi="Cambria Math"/>
                    <w:i/>
                    <w:szCs w:val="21"/>
                  </w:rPr>
                </m:ctrlPr>
              </m:sSubSupPr>
              <m:e>
                <m:r>
                  <w:rPr>
                    <w:rFonts w:ascii="Cambria Math" w:hAnsi="Cambria Math"/>
                    <w:szCs w:val="21"/>
                  </w:rPr>
                  <m:t>T</m:t>
                </m:r>
                <m:ctrlPr>
                  <w:rPr>
                    <w:rFonts w:ascii="Cambria Math" w:hAnsi="Cambria Math"/>
                    <w:i/>
                    <w:szCs w:val="21"/>
                  </w:rPr>
                </m:ctrlPr>
              </m:e>
              <m:sub>
                <m:r>
                  <w:rPr>
                    <w:rFonts w:ascii="Cambria Math" w:hAnsi="Cambria Math"/>
                    <w:szCs w:val="21"/>
                  </w:rPr>
                  <m:t>r</m:t>
                </m:r>
                <m:ctrlPr>
                  <w:rPr>
                    <w:rFonts w:ascii="Cambria Math" w:hAnsi="Cambria Math"/>
                    <w:i/>
                    <w:szCs w:val="21"/>
                  </w:rPr>
                </m:ctrlPr>
              </m:sub>
              <m:sup>
                <m:r>
                  <w:rPr>
                    <w:rFonts w:ascii="Cambria Math" w:hAnsi="Cambria Math"/>
                    <w:szCs w:val="21"/>
                  </w:rPr>
                  <m:t>i</m:t>
                </m:r>
                <m:ctrlPr>
                  <w:rPr>
                    <w:rFonts w:ascii="Cambria Math" w:hAnsi="Cambria Math"/>
                    <w:i/>
                    <w:szCs w:val="21"/>
                  </w:rPr>
                </m:ctrlPr>
              </m:sup>
            </m:sSubSup>
            <m:r>
              <w:rPr>
                <w:rFonts w:ascii="Cambria Math" w:hAnsi="Cambria Math"/>
                <w:szCs w:val="21"/>
              </w:rPr>
              <m:t>×</m:t>
            </m:r>
            <m:sSubSup>
              <m:sSubSupPr>
                <m:ctrlPr>
                  <w:rPr>
                    <w:rFonts w:ascii="Cambria Math" w:hAnsi="Cambria Math"/>
                    <w:i/>
                    <w:szCs w:val="21"/>
                  </w:rPr>
                </m:ctrlPr>
              </m:sSubSupPr>
              <m:e>
                <m:r>
                  <w:rPr>
                    <w:rFonts w:ascii="Cambria Math" w:hAnsi="Cambria Math"/>
                    <w:szCs w:val="21"/>
                  </w:rPr>
                  <m:t>C</m:t>
                </m:r>
                <m:ctrlPr>
                  <w:rPr>
                    <w:rFonts w:ascii="Cambria Math" w:hAnsi="Cambria Math"/>
                    <w:i/>
                    <w:szCs w:val="21"/>
                  </w:rPr>
                </m:ctrlPr>
              </m:e>
              <m:sub>
                <m:r>
                  <w:rPr>
                    <w:rFonts w:ascii="Cambria Math" w:hAnsi="Cambria Math"/>
                    <w:szCs w:val="21"/>
                  </w:rPr>
                  <m:t>f</m:t>
                </m:r>
                <m:ctrlPr>
                  <w:rPr>
                    <w:rFonts w:ascii="Cambria Math" w:hAnsi="Cambria Math"/>
                    <w:i/>
                    <w:szCs w:val="21"/>
                  </w:rPr>
                </m:ctrlPr>
              </m:sub>
              <m:sup>
                <m:r>
                  <w:rPr>
                    <w:rFonts w:ascii="Cambria Math" w:hAnsi="Cambria Math"/>
                    <w:szCs w:val="21"/>
                  </w:rPr>
                  <m:t>i</m:t>
                </m:r>
                <m:ctrlPr>
                  <w:rPr>
                    <w:rFonts w:ascii="Cambria Math" w:hAnsi="Cambria Math"/>
                    <w:i/>
                    <w:szCs w:val="21"/>
                  </w:rPr>
                </m:ctrlPr>
              </m:sup>
            </m:sSubSup>
            <m:ctrlPr>
              <w:rPr>
                <w:rFonts w:ascii="Cambria Math" w:hAnsi="Cambria Math"/>
                <w:i/>
                <w:szCs w:val="21"/>
              </w:rPr>
            </m:ctrlPr>
          </m:e>
        </m:nary>
      </m:oMath>
      <w:r>
        <w:rPr>
          <w:rFonts w:hint="eastAsia"/>
          <w:szCs w:val="21"/>
        </w:rPr>
        <w:t xml:space="preserve"> </w:t>
      </w:r>
      <w:r>
        <w:rPr>
          <w:szCs w:val="21"/>
        </w:rPr>
        <w:t xml:space="preserve">            </w:t>
      </w:r>
      <w:r>
        <w:rPr>
          <w:rFonts w:hint="eastAsia"/>
          <w:szCs w:val="21"/>
        </w:rPr>
        <w:t>（</w:t>
      </w:r>
      <w:r>
        <w:rPr>
          <w:rFonts w:cs="Times New Roman"/>
          <w:szCs w:val="21"/>
        </w:rPr>
        <w:t>3.10.3</w:t>
      </w:r>
      <w:r>
        <w:rPr>
          <w:rFonts w:hint="eastAsia" w:cs="Times New Roman"/>
          <w:szCs w:val="21"/>
        </w:rPr>
        <w:t>-</w:t>
      </w:r>
      <w:r>
        <w:rPr>
          <w:rFonts w:cs="Times New Roman"/>
          <w:szCs w:val="21"/>
        </w:rPr>
        <w:t>3</w:t>
      </w:r>
      <w:r>
        <w:rPr>
          <w:rFonts w:hint="eastAsia"/>
          <w:szCs w:val="21"/>
        </w:rPr>
        <w:t>）</w:t>
      </w:r>
    </w:p>
    <w:p>
      <w:pPr>
        <w:adjustRightInd w:val="0"/>
        <w:snapToGrid w:val="0"/>
        <w:ind w:firstLine="480" w:firstLineChars="200"/>
        <w:rPr>
          <w:rFonts w:cs="Times New Roman"/>
          <w:szCs w:val="24"/>
        </w:rPr>
      </w:pPr>
      <m:oMath>
        <m:sSubSup>
          <m:sSubSupPr>
            <m:ctrlPr>
              <w:rPr>
                <w:rFonts w:ascii="Cambria Math" w:hAnsi="Cambria Math" w:cs="Times New Roman"/>
                <w:szCs w:val="21"/>
              </w:rPr>
            </m:ctrlPr>
          </m:sSubSupPr>
          <m:e>
            <m:r>
              <w:rPr>
                <w:rFonts w:ascii="Cambria Math" w:hAnsi="Cambria Math" w:cs="Times New Roman"/>
                <w:szCs w:val="21"/>
              </w:rPr>
              <m:t>C</m:t>
            </m:r>
            <m:ctrlPr>
              <w:rPr>
                <w:rFonts w:ascii="Cambria Math" w:hAnsi="Cambria Math" w:cs="Times New Roman"/>
                <w:szCs w:val="21"/>
              </w:rPr>
            </m:ctrlPr>
          </m:e>
          <m:sub>
            <m:r>
              <w:rPr>
                <w:rFonts w:ascii="Cambria Math" w:hAnsi="Cambria Math" w:cs="Times New Roman"/>
                <w:szCs w:val="21"/>
              </w:rPr>
              <m:t>f</m:t>
            </m:r>
            <m:ctrlPr>
              <w:rPr>
                <w:rFonts w:ascii="Cambria Math" w:hAnsi="Cambria Math" w:cs="Times New Roman"/>
                <w:szCs w:val="21"/>
              </w:rPr>
            </m:ctrlPr>
          </m:sub>
          <m:sup>
            <m:r>
              <w:rPr>
                <w:rFonts w:ascii="Cambria Math" w:hAnsi="Cambria Math" w:cs="Times New Roman"/>
                <w:szCs w:val="21"/>
              </w:rPr>
              <m:t>i</m:t>
            </m:r>
            <m:ctrlPr>
              <w:rPr>
                <w:rFonts w:ascii="Cambria Math" w:hAnsi="Cambria Math" w:cs="Times New Roman"/>
                <w:szCs w:val="21"/>
              </w:rPr>
            </m:ctrlPr>
          </m:sup>
        </m:sSubSup>
      </m:oMath>
      <w:r>
        <w:rPr>
          <w:rFonts w:cs="Times New Roman"/>
          <w:szCs w:val="24"/>
        </w:rPr>
        <w:t>——</w:t>
      </w:r>
      <w:r>
        <w:rPr>
          <w:rFonts w:hint="eastAsia" w:cs="Times New Roman"/>
          <w:szCs w:val="24"/>
        </w:rPr>
        <w:t>底泥中</w:t>
      </w:r>
      <w:r>
        <w:rPr>
          <w:rFonts w:cs="Times New Roman"/>
          <w:szCs w:val="24"/>
        </w:rPr>
        <w:t>重金属</w:t>
      </w:r>
      <w:r>
        <w:rPr>
          <w:rFonts w:cs="Times New Roman"/>
          <w:i/>
          <w:szCs w:val="24"/>
        </w:rPr>
        <w:t>i</w:t>
      </w:r>
      <w:r>
        <w:rPr>
          <w:rFonts w:cs="Times New Roman"/>
          <w:szCs w:val="24"/>
        </w:rPr>
        <w:t>的</w:t>
      </w:r>
      <w:r>
        <w:rPr>
          <w:rFonts w:hint="eastAsia" w:cs="Times New Roman"/>
          <w:szCs w:val="24"/>
        </w:rPr>
        <w:t>质量分数，</w:t>
      </w:r>
      <w:r>
        <w:rPr>
          <w:rFonts w:cs="Times New Roman"/>
          <w:szCs w:val="24"/>
        </w:rPr>
        <w:t>mg/kg</w:t>
      </w:r>
      <w:r>
        <w:rPr>
          <w:rFonts w:hint="eastAsia" w:cs="Times New Roman"/>
          <w:szCs w:val="24"/>
        </w:rPr>
        <w:t>；</w:t>
      </w:r>
    </w:p>
    <w:p>
      <w:pPr>
        <w:adjustRightInd w:val="0"/>
        <w:snapToGrid w:val="0"/>
        <w:ind w:firstLine="480" w:firstLineChars="200"/>
        <w:rPr>
          <w:rFonts w:cs="Times New Roman"/>
          <w:szCs w:val="24"/>
        </w:rPr>
      </w:pPr>
      <m:oMath>
        <m:sSubSup>
          <m:sSubSupPr>
            <m:ctrlPr>
              <w:rPr>
                <w:rFonts w:ascii="Cambria Math" w:hAnsi="Cambria Math" w:cstheme="majorBidi"/>
                <w:szCs w:val="21"/>
              </w:rPr>
            </m:ctrlPr>
          </m:sSubSupPr>
          <m:e>
            <m:r>
              <w:rPr>
                <w:rFonts w:ascii="Cambria Math" w:hAnsi="Cambria Math" w:cstheme="majorBidi"/>
                <w:szCs w:val="21"/>
              </w:rPr>
              <m:t>C</m:t>
            </m:r>
            <m:ctrlPr>
              <w:rPr>
                <w:rFonts w:ascii="Cambria Math" w:hAnsi="Cambria Math" w:cstheme="majorBidi"/>
                <w:szCs w:val="21"/>
              </w:rPr>
            </m:ctrlPr>
          </m:e>
          <m:sub>
            <m:r>
              <w:rPr>
                <w:rFonts w:ascii="Cambria Math" w:hAnsi="Cambria Math" w:cstheme="majorBidi"/>
                <w:szCs w:val="21"/>
              </w:rPr>
              <m:t>s</m:t>
            </m:r>
            <m:ctrlPr>
              <w:rPr>
                <w:rFonts w:ascii="Cambria Math" w:hAnsi="Cambria Math" w:cstheme="majorBidi"/>
                <w:szCs w:val="21"/>
              </w:rPr>
            </m:ctrlPr>
          </m:sub>
          <m:sup>
            <m:r>
              <w:rPr>
                <w:rFonts w:ascii="Cambria Math" w:hAnsi="Cambria Math" w:cstheme="majorBidi"/>
                <w:szCs w:val="21"/>
              </w:rPr>
              <m:t>i</m:t>
            </m:r>
            <m:ctrlPr>
              <w:rPr>
                <w:rFonts w:ascii="Cambria Math" w:hAnsi="Cambria Math" w:cstheme="majorBidi"/>
                <w:szCs w:val="21"/>
              </w:rPr>
            </m:ctrlPr>
          </m:sup>
        </m:sSubSup>
      </m:oMath>
      <w:r>
        <w:rPr>
          <w:rFonts w:cs="Times New Roman"/>
          <w:szCs w:val="24"/>
        </w:rPr>
        <w:t>——</w:t>
      </w:r>
      <w:r>
        <w:rPr>
          <w:rFonts w:hint="eastAsia" w:cs="Times New Roman"/>
          <w:szCs w:val="24"/>
        </w:rPr>
        <w:t>底泥中</w:t>
      </w:r>
      <w:r>
        <w:rPr>
          <w:rFonts w:cs="Times New Roman"/>
          <w:szCs w:val="24"/>
        </w:rPr>
        <w:t>重金属</w:t>
      </w:r>
      <w:r>
        <w:rPr>
          <w:rFonts w:cs="Times New Roman"/>
          <w:i/>
          <w:szCs w:val="24"/>
        </w:rPr>
        <w:t>i</w:t>
      </w:r>
      <w:r>
        <w:rPr>
          <w:rFonts w:cs="Times New Roman"/>
          <w:szCs w:val="24"/>
        </w:rPr>
        <w:t>的</w:t>
      </w:r>
      <w:r>
        <w:rPr>
          <w:rFonts w:hint="eastAsia" w:cs="Times New Roman"/>
          <w:szCs w:val="24"/>
        </w:rPr>
        <w:t>实测值；</w:t>
      </w:r>
    </w:p>
    <w:p>
      <w:pPr>
        <w:adjustRightInd w:val="0"/>
        <w:snapToGrid w:val="0"/>
        <w:ind w:left="480" w:leftChars="200"/>
        <w:rPr>
          <w:rFonts w:cs="Times New Roman"/>
          <w:szCs w:val="24"/>
        </w:rPr>
      </w:pPr>
      <m:oMath>
        <m:sSubSup>
          <m:sSubSupPr>
            <m:ctrlPr>
              <w:rPr>
                <w:rFonts w:ascii="Cambria Math" w:hAnsi="Cambria Math" w:cstheme="majorBidi"/>
                <w:szCs w:val="21"/>
              </w:rPr>
            </m:ctrlPr>
          </m:sSubSupPr>
          <m:e>
            <m:r>
              <w:rPr>
                <w:rFonts w:ascii="Cambria Math" w:hAnsi="Cambria Math" w:cstheme="majorBidi"/>
                <w:szCs w:val="21"/>
              </w:rPr>
              <m:t>C</m:t>
            </m:r>
            <m:ctrlPr>
              <w:rPr>
                <w:rFonts w:ascii="Cambria Math" w:hAnsi="Cambria Math" w:cstheme="majorBidi"/>
                <w:szCs w:val="21"/>
              </w:rPr>
            </m:ctrlPr>
          </m:e>
          <m:sub>
            <m:r>
              <w:rPr>
                <w:rFonts w:ascii="Cambria Math" w:hAnsi="Cambria Math" w:cstheme="majorBidi"/>
                <w:szCs w:val="21"/>
              </w:rPr>
              <m:t>n</m:t>
            </m:r>
            <m:ctrlPr>
              <w:rPr>
                <w:rFonts w:ascii="Cambria Math" w:hAnsi="Cambria Math" w:cstheme="majorBidi"/>
                <w:szCs w:val="21"/>
              </w:rPr>
            </m:ctrlPr>
          </m:sub>
          <m:sup>
            <m:r>
              <w:rPr>
                <w:rFonts w:ascii="Cambria Math" w:hAnsi="Cambria Math" w:cstheme="majorBidi"/>
                <w:szCs w:val="21"/>
              </w:rPr>
              <m:t>i</m:t>
            </m:r>
            <m:ctrlPr>
              <w:rPr>
                <w:rFonts w:ascii="Cambria Math" w:hAnsi="Cambria Math" w:cstheme="majorBidi"/>
                <w:szCs w:val="21"/>
              </w:rPr>
            </m:ctrlPr>
          </m:sup>
        </m:sSubSup>
      </m:oMath>
      <w:r>
        <w:rPr>
          <w:rFonts w:cs="Times New Roman"/>
          <w:szCs w:val="21"/>
        </w:rPr>
        <w:t>——</w:t>
      </w:r>
      <w:r>
        <w:rPr>
          <w:rFonts w:hint="eastAsia" w:cs="Times New Roman"/>
          <w:szCs w:val="21"/>
        </w:rPr>
        <w:t>底泥</w:t>
      </w:r>
      <w:r>
        <w:rPr>
          <w:rFonts w:cs="Times New Roman"/>
          <w:szCs w:val="24"/>
        </w:rPr>
        <w:t>重金属</w:t>
      </w:r>
      <w:r>
        <w:rPr>
          <w:rFonts w:cs="Times New Roman"/>
          <w:i/>
          <w:szCs w:val="24"/>
        </w:rPr>
        <w:t>i</w:t>
      </w:r>
      <w:r>
        <w:rPr>
          <w:rFonts w:hint="eastAsia" w:cs="Times New Roman"/>
          <w:szCs w:val="24"/>
        </w:rPr>
        <w:t>的地球化学背景值，</w:t>
      </w:r>
      <w:r>
        <w:rPr>
          <w:rFonts w:cs="Times New Roman"/>
          <w:szCs w:val="24"/>
        </w:rPr>
        <w:t>mg/kg</w:t>
      </w:r>
      <w:r>
        <w:rPr>
          <w:rFonts w:hint="eastAsia" w:cs="Times New Roman"/>
          <w:szCs w:val="24"/>
        </w:rPr>
        <w:t>，应按D</w:t>
      </w:r>
      <w:r>
        <w:rPr>
          <w:rFonts w:cs="Times New Roman"/>
          <w:szCs w:val="24"/>
        </w:rPr>
        <w:t>B 44/ T1415</w:t>
      </w:r>
      <w:r>
        <w:rPr>
          <w:rFonts w:hint="eastAsia" w:cs="Times New Roman"/>
          <w:szCs w:val="24"/>
        </w:rPr>
        <w:t>的规定执行；</w:t>
      </w:r>
    </w:p>
    <w:p>
      <w:pPr>
        <w:adjustRightInd w:val="0"/>
        <w:snapToGrid w:val="0"/>
        <w:ind w:firstLine="480" w:firstLineChars="200"/>
        <w:rPr>
          <w:rFonts w:cs="Times New Roman"/>
          <w:szCs w:val="24"/>
        </w:rPr>
      </w:pPr>
      <m:oMath>
        <m:sSubSup>
          <m:sSubSupPr>
            <m:ctrlPr>
              <w:rPr>
                <w:rFonts w:ascii="Cambria Math" w:hAnsi="Cambria Math" w:cstheme="majorBidi"/>
                <w:i/>
                <w:szCs w:val="21"/>
              </w:rPr>
            </m:ctrlPr>
          </m:sSubSupPr>
          <m:e>
            <m:r>
              <w:rPr>
                <w:rFonts w:ascii="Cambria Math" w:hAnsi="Cambria Math" w:cstheme="majorBidi"/>
                <w:szCs w:val="21"/>
              </w:rPr>
              <m:t>E</m:t>
            </m:r>
            <m:ctrlPr>
              <w:rPr>
                <w:rFonts w:ascii="Cambria Math" w:hAnsi="Cambria Math" w:cstheme="majorBidi"/>
                <w:i/>
                <w:szCs w:val="21"/>
              </w:rPr>
            </m:ctrlPr>
          </m:e>
          <m:sub>
            <m:r>
              <w:rPr>
                <w:rFonts w:ascii="Cambria Math" w:hAnsi="Cambria Math" w:cstheme="majorBidi"/>
                <w:szCs w:val="21"/>
              </w:rPr>
              <m:t>r</m:t>
            </m:r>
            <m:ctrlPr>
              <w:rPr>
                <w:rFonts w:ascii="Cambria Math" w:hAnsi="Cambria Math" w:cstheme="majorBidi"/>
                <w:i/>
                <w:szCs w:val="21"/>
              </w:rPr>
            </m:ctrlPr>
          </m:sub>
          <m:sup>
            <m:r>
              <w:rPr>
                <w:rFonts w:ascii="Cambria Math" w:hAnsi="Cambria Math" w:cstheme="majorBidi"/>
                <w:szCs w:val="21"/>
              </w:rPr>
              <m:t>i</m:t>
            </m:r>
            <m:ctrlPr>
              <w:rPr>
                <w:rFonts w:ascii="Cambria Math" w:hAnsi="Cambria Math" w:cstheme="majorBidi"/>
                <w:i/>
                <w:szCs w:val="21"/>
              </w:rPr>
            </m:ctrlPr>
          </m:sup>
        </m:sSubSup>
      </m:oMath>
      <w:r>
        <w:rPr>
          <w:rFonts w:cs="Times New Roman"/>
          <w:szCs w:val="24"/>
        </w:rPr>
        <w:t>——</w:t>
      </w:r>
      <w:r>
        <w:rPr>
          <w:rFonts w:hint="eastAsia" w:cs="Times New Roman"/>
          <w:szCs w:val="24"/>
        </w:rPr>
        <w:t>单一重金属</w:t>
      </w:r>
      <w:r>
        <w:rPr>
          <w:rFonts w:cs="Times New Roman"/>
          <w:szCs w:val="24"/>
        </w:rPr>
        <w:t>潜在生态风险指数</w:t>
      </w:r>
      <w:r>
        <w:rPr>
          <w:rFonts w:hint="eastAsia" w:cs="Times New Roman"/>
          <w:szCs w:val="24"/>
        </w:rPr>
        <w:t>；</w:t>
      </w:r>
    </w:p>
    <w:p>
      <w:pPr>
        <w:adjustRightInd w:val="0"/>
        <w:snapToGrid w:val="0"/>
        <w:ind w:firstLine="480" w:firstLineChars="200"/>
        <w:rPr>
          <w:rFonts w:cs="Times New Roman"/>
          <w:szCs w:val="24"/>
        </w:rPr>
      </w:pPr>
      <m:oMath>
        <m:sSubSup>
          <m:sSubSupPr>
            <m:ctrlPr>
              <w:rPr>
                <w:rFonts w:ascii="Cambria Math" w:hAnsi="Cambria Math" w:cs="Times New Roman"/>
                <w:i/>
                <w:szCs w:val="21"/>
              </w:rPr>
            </m:ctrlPr>
          </m:sSubSupPr>
          <m:e>
            <m:r>
              <w:rPr>
                <w:rFonts w:hint="eastAsia" w:ascii="Cambria Math" w:hAnsi="Cambria Math" w:cs="Times New Roman"/>
                <w:szCs w:val="21"/>
              </w:rPr>
              <m:t>T</m:t>
            </m:r>
            <m:ctrlPr>
              <w:rPr>
                <w:rFonts w:ascii="Cambria Math" w:hAnsi="Cambria Math" w:cs="Times New Roman"/>
                <w:i/>
                <w:szCs w:val="21"/>
              </w:rPr>
            </m:ctrlPr>
          </m:e>
          <m:sub>
            <m:r>
              <w:rPr>
                <w:rFonts w:hint="eastAsia" w:ascii="Cambria Math" w:hAnsi="Cambria Math" w:cs="Times New Roman"/>
                <w:szCs w:val="21"/>
              </w:rPr>
              <m:t>r</m:t>
            </m:r>
            <m:ctrlPr>
              <w:rPr>
                <w:rFonts w:ascii="Cambria Math" w:hAnsi="Cambria Math" w:cs="Times New Roman"/>
                <w:i/>
                <w:szCs w:val="21"/>
              </w:rPr>
            </m:ctrlPr>
          </m:sub>
          <m:sup>
            <m:r>
              <w:rPr>
                <w:rFonts w:hint="eastAsia" w:ascii="Cambria Math" w:hAnsi="Cambria Math" w:cs="Times New Roman"/>
                <w:szCs w:val="21"/>
              </w:rPr>
              <m:t>i</m:t>
            </m:r>
            <m:ctrlPr>
              <w:rPr>
                <w:rFonts w:ascii="Cambria Math" w:hAnsi="Cambria Math" w:cs="Times New Roman"/>
                <w:i/>
                <w:szCs w:val="21"/>
              </w:rPr>
            </m:ctrlPr>
          </m:sup>
        </m:sSubSup>
      </m:oMath>
      <w:r>
        <w:rPr>
          <w:rFonts w:cs="Times New Roman"/>
          <w:szCs w:val="24"/>
        </w:rPr>
        <w:t>——重金属毒性响应系数</w:t>
      </w:r>
      <w:r>
        <w:rPr>
          <w:rFonts w:hint="eastAsia" w:cs="Times New Roman"/>
          <w:szCs w:val="24"/>
        </w:rPr>
        <w:t>；</w:t>
      </w:r>
    </w:p>
    <w:p>
      <w:pPr>
        <w:adjustRightInd w:val="0"/>
        <w:snapToGrid w:val="0"/>
        <w:ind w:firstLine="480" w:firstLineChars="200"/>
        <w:rPr>
          <w:rFonts w:cs="Times New Roman"/>
          <w:szCs w:val="24"/>
        </w:rPr>
      </w:pPr>
      <w:r>
        <w:rPr>
          <w:rFonts w:cs="Times New Roman"/>
          <w:i/>
          <w:szCs w:val="24"/>
        </w:rPr>
        <w:t>RI</w:t>
      </w:r>
      <w:r>
        <w:rPr>
          <w:rFonts w:cs="Times New Roman"/>
          <w:szCs w:val="24"/>
        </w:rPr>
        <w:t>——为</w:t>
      </w:r>
      <w:r>
        <w:rPr>
          <w:rFonts w:hint="eastAsia" w:cs="Times New Roman"/>
          <w:i/>
          <w:szCs w:val="24"/>
        </w:rPr>
        <w:t>n</w:t>
      </w:r>
      <w:r>
        <w:rPr>
          <w:rFonts w:cs="Times New Roman"/>
          <w:szCs w:val="24"/>
        </w:rPr>
        <w:t>种重金属潜在生态风险指数之</w:t>
      </w:r>
      <w:r>
        <w:rPr>
          <w:rFonts w:hint="eastAsia" w:cs="Times New Roman"/>
          <w:szCs w:val="24"/>
        </w:rPr>
        <w:t>和。</w:t>
      </w:r>
    </w:p>
    <w:p>
      <w:pPr>
        <w:adjustRightInd w:val="0"/>
        <w:snapToGrid w:val="0"/>
        <w:spacing w:line="560" w:lineRule="exact"/>
        <w:jc w:val="center"/>
        <w:rPr>
          <w:rFonts w:asciiTheme="majorBidi" w:hAnsiTheme="majorBidi" w:eastAsiaTheme="minorEastAsia" w:cstheme="majorBidi"/>
          <w:b/>
          <w:bCs/>
          <w:szCs w:val="24"/>
        </w:rPr>
      </w:pPr>
      <w:r>
        <w:rPr>
          <w:rFonts w:asciiTheme="majorBidi" w:hAnsiTheme="majorBidi" w:eastAsiaTheme="minorEastAsia" w:cstheme="majorBidi"/>
          <w:b/>
          <w:bCs/>
          <w:szCs w:val="24"/>
        </w:rPr>
        <w:t>表3.10.3-1  珠江三角洲土壤环境背景值（mg/kg）</w:t>
      </w:r>
    </w:p>
    <w:tbl>
      <w:tblPr>
        <w:tblStyle w:val="28"/>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1"/>
        <w:gridCol w:w="860"/>
        <w:gridCol w:w="863"/>
        <w:gridCol w:w="859"/>
        <w:gridCol w:w="861"/>
        <w:gridCol w:w="861"/>
        <w:gridCol w:w="859"/>
        <w:gridCol w:w="861"/>
        <w:gridCol w:w="8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1" w:type="dxa"/>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重金属元素</w:t>
            </w:r>
          </w:p>
        </w:tc>
        <w:tc>
          <w:tcPr>
            <w:tcW w:w="860" w:type="dxa"/>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Cd</w:t>
            </w:r>
          </w:p>
        </w:tc>
        <w:tc>
          <w:tcPr>
            <w:tcW w:w="863" w:type="dxa"/>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Hg</w:t>
            </w:r>
          </w:p>
        </w:tc>
        <w:tc>
          <w:tcPr>
            <w:tcW w:w="859" w:type="dxa"/>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As</w:t>
            </w:r>
          </w:p>
        </w:tc>
        <w:tc>
          <w:tcPr>
            <w:tcW w:w="861" w:type="dxa"/>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Pb</w:t>
            </w:r>
          </w:p>
        </w:tc>
        <w:tc>
          <w:tcPr>
            <w:tcW w:w="861" w:type="dxa"/>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Cr</w:t>
            </w:r>
          </w:p>
        </w:tc>
        <w:tc>
          <w:tcPr>
            <w:tcW w:w="859" w:type="dxa"/>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Cu</w:t>
            </w:r>
          </w:p>
        </w:tc>
        <w:tc>
          <w:tcPr>
            <w:tcW w:w="861" w:type="dxa"/>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Ni</w:t>
            </w:r>
          </w:p>
        </w:tc>
        <w:tc>
          <w:tcPr>
            <w:tcW w:w="861" w:type="dxa"/>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Zn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1" w:type="dxa"/>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背景值</w:t>
            </w:r>
          </w:p>
        </w:tc>
        <w:tc>
          <w:tcPr>
            <w:tcW w:w="860" w:type="dxa"/>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0.11</w:t>
            </w:r>
          </w:p>
        </w:tc>
        <w:tc>
          <w:tcPr>
            <w:tcW w:w="863" w:type="dxa"/>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0.13</w:t>
            </w:r>
          </w:p>
        </w:tc>
        <w:tc>
          <w:tcPr>
            <w:tcW w:w="859" w:type="dxa"/>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25</w:t>
            </w:r>
          </w:p>
        </w:tc>
        <w:tc>
          <w:tcPr>
            <w:tcW w:w="861" w:type="dxa"/>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60</w:t>
            </w:r>
          </w:p>
        </w:tc>
        <w:tc>
          <w:tcPr>
            <w:tcW w:w="861" w:type="dxa"/>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77</w:t>
            </w:r>
          </w:p>
        </w:tc>
        <w:tc>
          <w:tcPr>
            <w:tcW w:w="859" w:type="dxa"/>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32</w:t>
            </w:r>
          </w:p>
        </w:tc>
        <w:tc>
          <w:tcPr>
            <w:tcW w:w="861" w:type="dxa"/>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28</w:t>
            </w:r>
          </w:p>
        </w:tc>
        <w:tc>
          <w:tcPr>
            <w:tcW w:w="861" w:type="dxa"/>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97</w:t>
            </w:r>
          </w:p>
        </w:tc>
      </w:tr>
    </w:tbl>
    <w:p>
      <w:pPr>
        <w:adjustRightInd w:val="0"/>
        <w:snapToGrid w:val="0"/>
        <w:spacing w:line="560" w:lineRule="exact"/>
        <w:jc w:val="center"/>
        <w:rPr>
          <w:rFonts w:asciiTheme="majorBidi" w:hAnsiTheme="majorBidi" w:eastAsiaTheme="minorEastAsia" w:cstheme="majorBidi"/>
          <w:b/>
          <w:bCs/>
          <w:szCs w:val="24"/>
        </w:rPr>
      </w:pPr>
      <w:r>
        <w:rPr>
          <w:rFonts w:asciiTheme="majorBidi" w:hAnsiTheme="majorBidi" w:eastAsiaTheme="minorEastAsia" w:cstheme="majorBidi"/>
          <w:b/>
          <w:bCs/>
          <w:szCs w:val="24"/>
        </w:rPr>
        <w:t>表3.10.3-2  重金属毒性响应系数</w:t>
      </w:r>
    </w:p>
    <w:tbl>
      <w:tblPr>
        <w:tblStyle w:val="28"/>
        <w:tblW w:w="83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6"/>
        <w:gridCol w:w="852"/>
        <w:gridCol w:w="854"/>
        <w:gridCol w:w="851"/>
        <w:gridCol w:w="854"/>
        <w:gridCol w:w="854"/>
        <w:gridCol w:w="851"/>
        <w:gridCol w:w="854"/>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56" w:type="dxa"/>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重金属元素</w:t>
            </w:r>
          </w:p>
        </w:tc>
        <w:tc>
          <w:tcPr>
            <w:tcW w:w="852" w:type="dxa"/>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Hg</w:t>
            </w:r>
          </w:p>
        </w:tc>
        <w:tc>
          <w:tcPr>
            <w:tcW w:w="854" w:type="dxa"/>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Cd</w:t>
            </w:r>
          </w:p>
        </w:tc>
        <w:tc>
          <w:tcPr>
            <w:tcW w:w="851" w:type="dxa"/>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As</w:t>
            </w:r>
          </w:p>
        </w:tc>
        <w:tc>
          <w:tcPr>
            <w:tcW w:w="854" w:type="dxa"/>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Cu</w:t>
            </w:r>
          </w:p>
        </w:tc>
        <w:tc>
          <w:tcPr>
            <w:tcW w:w="854" w:type="dxa"/>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Pb</w:t>
            </w:r>
          </w:p>
        </w:tc>
        <w:tc>
          <w:tcPr>
            <w:tcW w:w="851" w:type="dxa"/>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Ni</w:t>
            </w:r>
          </w:p>
        </w:tc>
        <w:tc>
          <w:tcPr>
            <w:tcW w:w="854" w:type="dxa"/>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Cr</w:t>
            </w:r>
          </w:p>
        </w:tc>
        <w:tc>
          <w:tcPr>
            <w:tcW w:w="851" w:type="dxa"/>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Zn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56" w:type="dxa"/>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毒性响应系数</w:t>
            </w:r>
          </w:p>
        </w:tc>
        <w:tc>
          <w:tcPr>
            <w:tcW w:w="852" w:type="dxa"/>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40</w:t>
            </w:r>
          </w:p>
        </w:tc>
        <w:tc>
          <w:tcPr>
            <w:tcW w:w="854" w:type="dxa"/>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30</w:t>
            </w:r>
          </w:p>
        </w:tc>
        <w:tc>
          <w:tcPr>
            <w:tcW w:w="851" w:type="dxa"/>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10</w:t>
            </w:r>
          </w:p>
        </w:tc>
        <w:tc>
          <w:tcPr>
            <w:tcW w:w="854" w:type="dxa"/>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5</w:t>
            </w:r>
          </w:p>
        </w:tc>
        <w:tc>
          <w:tcPr>
            <w:tcW w:w="854" w:type="dxa"/>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5</w:t>
            </w:r>
          </w:p>
        </w:tc>
        <w:tc>
          <w:tcPr>
            <w:tcW w:w="851" w:type="dxa"/>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5</w:t>
            </w:r>
          </w:p>
        </w:tc>
        <w:tc>
          <w:tcPr>
            <w:tcW w:w="854" w:type="dxa"/>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2</w:t>
            </w:r>
          </w:p>
        </w:tc>
        <w:tc>
          <w:tcPr>
            <w:tcW w:w="851" w:type="dxa"/>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1</w:t>
            </w:r>
          </w:p>
        </w:tc>
      </w:tr>
    </w:tbl>
    <w:p>
      <w:pPr>
        <w:adjustRightInd w:val="0"/>
        <w:snapToGrid w:val="0"/>
        <w:spacing w:line="560" w:lineRule="exact"/>
        <w:jc w:val="center"/>
        <w:rPr>
          <w:rFonts w:asciiTheme="majorBidi" w:hAnsiTheme="majorBidi" w:eastAsiaTheme="minorEastAsia" w:cstheme="majorBidi"/>
          <w:b/>
          <w:bCs/>
          <w:szCs w:val="24"/>
        </w:rPr>
      </w:pPr>
      <w:r>
        <w:rPr>
          <w:rFonts w:asciiTheme="majorBidi" w:hAnsiTheme="majorBidi" w:eastAsiaTheme="minorEastAsia" w:cstheme="majorBidi"/>
          <w:b/>
          <w:bCs/>
          <w:szCs w:val="24"/>
        </w:rPr>
        <w:t>表3.10.3-</w:t>
      </w:r>
      <w:r>
        <w:rPr>
          <w:rFonts w:hint="eastAsia" w:asciiTheme="majorBidi" w:hAnsiTheme="majorBidi" w:eastAsiaTheme="minorEastAsia" w:cstheme="majorBidi"/>
          <w:b/>
          <w:bCs/>
          <w:szCs w:val="24"/>
        </w:rPr>
        <w:t>3</w:t>
      </w:r>
      <w:r>
        <w:rPr>
          <w:rFonts w:asciiTheme="majorBidi" w:hAnsiTheme="majorBidi" w:eastAsiaTheme="minorEastAsia" w:cstheme="majorBidi"/>
          <w:b/>
          <w:bCs/>
          <w:szCs w:val="24"/>
        </w:rPr>
        <w:t xml:space="preserve">  单项及综合潜在生态风险评价指数与分级标准</w:t>
      </w:r>
    </w:p>
    <w:tbl>
      <w:tblPr>
        <w:tblStyle w:val="28"/>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4"/>
        <w:gridCol w:w="2074"/>
        <w:gridCol w:w="2074"/>
        <w:gridCol w:w="20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74" w:type="dxa"/>
          </w:tcPr>
          <w:p>
            <w:pPr>
              <w:jc w:val="center"/>
              <w:rPr>
                <w:rFonts w:asciiTheme="majorBidi" w:hAnsiTheme="majorBidi" w:eastAsiaTheme="minorEastAsia" w:cstheme="majorBidi"/>
                <w:i/>
                <w:sz w:val="21"/>
                <w:szCs w:val="21"/>
              </w:rPr>
            </w:pPr>
            <w:r>
              <w:rPr>
                <w:rFonts w:asciiTheme="majorBidi" w:hAnsiTheme="majorBidi" w:eastAsiaTheme="minorEastAsia" w:cstheme="majorBidi"/>
                <w:i/>
                <w:sz w:val="21"/>
                <w:szCs w:val="21"/>
              </w:rPr>
              <w:t>E</w:t>
            </w:r>
            <w:r>
              <w:rPr>
                <w:rFonts w:asciiTheme="majorBidi" w:hAnsiTheme="majorBidi" w:eastAsiaTheme="minorEastAsia" w:cstheme="majorBidi"/>
                <w:i/>
                <w:sz w:val="21"/>
                <w:szCs w:val="21"/>
                <w:vertAlign w:val="subscript"/>
              </w:rPr>
              <w:t>r</w:t>
            </w:r>
          </w:p>
        </w:tc>
        <w:tc>
          <w:tcPr>
            <w:tcW w:w="2074" w:type="dxa"/>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等级</w:t>
            </w:r>
          </w:p>
        </w:tc>
        <w:tc>
          <w:tcPr>
            <w:tcW w:w="2074" w:type="dxa"/>
          </w:tcPr>
          <w:p>
            <w:pPr>
              <w:jc w:val="center"/>
              <w:rPr>
                <w:rFonts w:ascii="Times New Roman" w:hAnsi="Times New Roman" w:cs="Times New Roman" w:eastAsiaTheme="minorEastAsia"/>
                <w:i/>
                <w:sz w:val="21"/>
                <w:szCs w:val="21"/>
              </w:rPr>
            </w:pPr>
            <w:r>
              <w:rPr>
                <w:rFonts w:ascii="Times New Roman" w:hAnsi="Times New Roman" w:cs="Times New Roman" w:eastAsiaTheme="minorEastAsia"/>
                <w:i/>
                <w:sz w:val="21"/>
                <w:szCs w:val="21"/>
              </w:rPr>
              <w:t>RI</w:t>
            </w:r>
          </w:p>
        </w:tc>
        <w:tc>
          <w:tcPr>
            <w:tcW w:w="2074" w:type="dxa"/>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74" w:type="dxa"/>
          </w:tcPr>
          <w:p>
            <w:pPr>
              <w:jc w:val="center"/>
              <w:rPr>
                <w:rFonts w:ascii="Times New Roman" w:hAnsi="Times New Roman" w:cs="Times New Roman" w:eastAsiaTheme="minorEastAsia"/>
                <w:sz w:val="21"/>
                <w:szCs w:val="21"/>
              </w:rPr>
            </w:pPr>
            <w:r>
              <w:rPr>
                <w:rFonts w:hint="eastAsia" w:asciiTheme="majorBidi" w:hAnsiTheme="majorBidi" w:eastAsiaTheme="minorEastAsia" w:cstheme="majorBidi"/>
                <w:i/>
                <w:sz w:val="21"/>
                <w:szCs w:val="21"/>
              </w:rPr>
              <w:t>E</w:t>
            </w:r>
            <w:r>
              <w:rPr>
                <w:rFonts w:hint="eastAsia" w:asciiTheme="majorBidi" w:hAnsiTheme="majorBidi" w:eastAsiaTheme="minorEastAsia" w:cstheme="majorBidi"/>
                <w:i/>
                <w:sz w:val="21"/>
                <w:szCs w:val="21"/>
                <w:vertAlign w:val="subscript"/>
              </w:rPr>
              <w:t>r</w:t>
            </w:r>
            <w:r>
              <w:rPr>
                <w:rFonts w:ascii="Times New Roman" w:hAnsi="Times New Roman" w:cs="Times New Roman" w:eastAsiaTheme="minorEastAsia"/>
                <w:sz w:val="21"/>
                <w:szCs w:val="21"/>
              </w:rPr>
              <w:t>&lt;40</w:t>
            </w:r>
          </w:p>
        </w:tc>
        <w:tc>
          <w:tcPr>
            <w:tcW w:w="2074" w:type="dxa"/>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低</w:t>
            </w:r>
          </w:p>
        </w:tc>
        <w:tc>
          <w:tcPr>
            <w:tcW w:w="2074" w:type="dxa"/>
          </w:tcPr>
          <w:p>
            <w:pPr>
              <w:jc w:val="center"/>
              <w:rPr>
                <w:rFonts w:ascii="Times New Roman" w:hAnsi="Times New Roman" w:cs="Times New Roman" w:eastAsiaTheme="minorEastAsia"/>
                <w:sz w:val="21"/>
                <w:szCs w:val="21"/>
              </w:rPr>
            </w:pPr>
            <w:r>
              <w:rPr>
                <w:rFonts w:ascii="Times New Roman" w:hAnsi="Times New Roman" w:cs="Times New Roman" w:eastAsiaTheme="minorEastAsia"/>
                <w:i/>
                <w:sz w:val="21"/>
                <w:szCs w:val="21"/>
              </w:rPr>
              <w:t>RI</w:t>
            </w:r>
            <w:r>
              <w:rPr>
                <w:rFonts w:ascii="Times New Roman" w:hAnsi="Times New Roman" w:cs="Times New Roman" w:eastAsiaTheme="minorEastAsia"/>
                <w:sz w:val="21"/>
                <w:szCs w:val="21"/>
              </w:rPr>
              <w:t>&lt;150</w:t>
            </w:r>
          </w:p>
        </w:tc>
        <w:tc>
          <w:tcPr>
            <w:tcW w:w="2074" w:type="dxa"/>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74" w:type="dxa"/>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40≤</w:t>
            </w:r>
            <w:r>
              <w:rPr>
                <w:rFonts w:hint="eastAsia" w:asciiTheme="majorBidi" w:hAnsiTheme="majorBidi" w:eastAsiaTheme="minorEastAsia" w:cstheme="majorBidi"/>
                <w:i/>
                <w:sz w:val="21"/>
                <w:szCs w:val="21"/>
              </w:rPr>
              <w:t>E</w:t>
            </w:r>
            <w:r>
              <w:rPr>
                <w:rFonts w:hint="eastAsia" w:asciiTheme="majorBidi" w:hAnsiTheme="majorBidi" w:eastAsiaTheme="minorEastAsia" w:cstheme="majorBidi"/>
                <w:i/>
                <w:sz w:val="21"/>
                <w:szCs w:val="21"/>
                <w:vertAlign w:val="subscript"/>
              </w:rPr>
              <w:t>r</w:t>
            </w:r>
            <w:r>
              <w:rPr>
                <w:rFonts w:ascii="Times New Roman" w:hAnsi="Times New Roman" w:cs="Times New Roman" w:eastAsiaTheme="minorEastAsia"/>
                <w:sz w:val="21"/>
                <w:szCs w:val="21"/>
              </w:rPr>
              <w:t>&lt;80</w:t>
            </w:r>
          </w:p>
        </w:tc>
        <w:tc>
          <w:tcPr>
            <w:tcW w:w="2074" w:type="dxa"/>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中等</w:t>
            </w:r>
          </w:p>
        </w:tc>
        <w:tc>
          <w:tcPr>
            <w:tcW w:w="2074" w:type="dxa"/>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150≤</w:t>
            </w:r>
            <w:r>
              <w:rPr>
                <w:rFonts w:ascii="Times New Roman" w:hAnsi="Times New Roman" w:cs="Times New Roman" w:eastAsiaTheme="minorEastAsia"/>
                <w:i/>
                <w:sz w:val="21"/>
                <w:szCs w:val="21"/>
              </w:rPr>
              <w:t>RI</w:t>
            </w:r>
            <w:r>
              <w:rPr>
                <w:rFonts w:ascii="Times New Roman" w:hAnsi="Times New Roman" w:cs="Times New Roman" w:eastAsiaTheme="minorEastAsia"/>
                <w:sz w:val="21"/>
                <w:szCs w:val="21"/>
              </w:rPr>
              <w:t>&lt;300</w:t>
            </w:r>
          </w:p>
        </w:tc>
        <w:tc>
          <w:tcPr>
            <w:tcW w:w="2074" w:type="dxa"/>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中等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74" w:type="dxa"/>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80≤</w:t>
            </w:r>
            <w:r>
              <w:rPr>
                <w:rFonts w:hint="eastAsia" w:asciiTheme="majorBidi" w:hAnsiTheme="majorBidi" w:eastAsiaTheme="minorEastAsia" w:cstheme="majorBidi"/>
                <w:i/>
                <w:sz w:val="21"/>
                <w:szCs w:val="21"/>
              </w:rPr>
              <w:t>E</w:t>
            </w:r>
            <w:r>
              <w:rPr>
                <w:rFonts w:hint="eastAsia" w:asciiTheme="majorBidi" w:hAnsiTheme="majorBidi" w:eastAsiaTheme="minorEastAsia" w:cstheme="majorBidi"/>
                <w:i/>
                <w:sz w:val="21"/>
                <w:szCs w:val="21"/>
                <w:vertAlign w:val="subscript"/>
              </w:rPr>
              <w:t>r</w:t>
            </w:r>
            <w:r>
              <w:rPr>
                <w:rFonts w:ascii="Times New Roman" w:hAnsi="Times New Roman" w:cs="Times New Roman" w:eastAsiaTheme="minorEastAsia"/>
                <w:sz w:val="21"/>
                <w:szCs w:val="21"/>
              </w:rPr>
              <w:t xml:space="preserve"> &lt;160</w:t>
            </w:r>
          </w:p>
        </w:tc>
        <w:tc>
          <w:tcPr>
            <w:tcW w:w="2074" w:type="dxa"/>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较重</w:t>
            </w:r>
          </w:p>
        </w:tc>
        <w:tc>
          <w:tcPr>
            <w:tcW w:w="2074" w:type="dxa"/>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300≤</w:t>
            </w:r>
            <w:r>
              <w:rPr>
                <w:rFonts w:ascii="Times New Roman" w:hAnsi="Times New Roman" w:cs="Times New Roman" w:eastAsiaTheme="minorEastAsia"/>
                <w:i/>
                <w:sz w:val="21"/>
                <w:szCs w:val="21"/>
              </w:rPr>
              <w:t>RI</w:t>
            </w:r>
            <w:r>
              <w:rPr>
                <w:rFonts w:ascii="Times New Roman" w:hAnsi="Times New Roman" w:cs="Times New Roman" w:eastAsiaTheme="minorEastAsia"/>
                <w:sz w:val="21"/>
                <w:szCs w:val="21"/>
              </w:rPr>
              <w:t>&lt;600</w:t>
            </w:r>
          </w:p>
        </w:tc>
        <w:tc>
          <w:tcPr>
            <w:tcW w:w="2074" w:type="dxa"/>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74" w:type="dxa"/>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160≤</w:t>
            </w:r>
            <w:r>
              <w:rPr>
                <w:rFonts w:hint="eastAsia" w:asciiTheme="majorBidi" w:hAnsiTheme="majorBidi" w:eastAsiaTheme="minorEastAsia" w:cstheme="majorBidi"/>
                <w:i/>
                <w:sz w:val="21"/>
                <w:szCs w:val="21"/>
              </w:rPr>
              <w:t>E</w:t>
            </w:r>
            <w:r>
              <w:rPr>
                <w:rFonts w:hint="eastAsia" w:asciiTheme="majorBidi" w:hAnsiTheme="majorBidi" w:eastAsiaTheme="minorEastAsia" w:cstheme="majorBidi"/>
                <w:i/>
                <w:sz w:val="21"/>
                <w:szCs w:val="21"/>
                <w:vertAlign w:val="subscript"/>
              </w:rPr>
              <w:t>r</w:t>
            </w:r>
            <w:r>
              <w:rPr>
                <w:rFonts w:ascii="Times New Roman" w:hAnsi="Times New Roman" w:cs="Times New Roman" w:eastAsiaTheme="minorEastAsia"/>
                <w:sz w:val="21"/>
                <w:szCs w:val="21"/>
              </w:rPr>
              <w:t xml:space="preserve"> &lt;320</w:t>
            </w:r>
          </w:p>
        </w:tc>
        <w:tc>
          <w:tcPr>
            <w:tcW w:w="2074" w:type="dxa"/>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重</w:t>
            </w:r>
          </w:p>
        </w:tc>
        <w:tc>
          <w:tcPr>
            <w:tcW w:w="2074" w:type="dxa"/>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600≤</w:t>
            </w:r>
            <w:r>
              <w:rPr>
                <w:rFonts w:ascii="Times New Roman" w:hAnsi="Times New Roman" w:cs="Times New Roman" w:eastAsiaTheme="minorEastAsia"/>
                <w:i/>
                <w:sz w:val="21"/>
                <w:szCs w:val="21"/>
              </w:rPr>
              <w:t>RI</w:t>
            </w:r>
            <w:r>
              <w:rPr>
                <w:rFonts w:ascii="Times New Roman" w:hAnsi="Times New Roman" w:cs="Times New Roman" w:eastAsiaTheme="minorEastAsia"/>
                <w:sz w:val="21"/>
                <w:szCs w:val="21"/>
              </w:rPr>
              <w:t>&lt;1200</w:t>
            </w:r>
          </w:p>
        </w:tc>
        <w:tc>
          <w:tcPr>
            <w:tcW w:w="2074" w:type="dxa"/>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74" w:type="dxa"/>
          </w:tcPr>
          <w:p>
            <w:pPr>
              <w:jc w:val="center"/>
              <w:rPr>
                <w:rFonts w:ascii="Times New Roman" w:hAnsi="Times New Roman" w:cs="Times New Roman" w:eastAsiaTheme="minorEastAsia"/>
                <w:sz w:val="21"/>
                <w:szCs w:val="21"/>
              </w:rPr>
            </w:pPr>
            <w:r>
              <w:rPr>
                <w:rFonts w:hint="eastAsia" w:asciiTheme="majorBidi" w:hAnsiTheme="majorBidi" w:eastAsiaTheme="minorEastAsia" w:cstheme="majorBidi"/>
                <w:i/>
                <w:sz w:val="21"/>
                <w:szCs w:val="21"/>
              </w:rPr>
              <w:t>E</w:t>
            </w:r>
            <w:r>
              <w:rPr>
                <w:rFonts w:hint="eastAsia" w:asciiTheme="majorBidi" w:hAnsiTheme="majorBidi" w:eastAsiaTheme="minorEastAsia" w:cstheme="majorBidi"/>
                <w:i/>
                <w:sz w:val="21"/>
                <w:szCs w:val="21"/>
                <w:vertAlign w:val="subscript"/>
              </w:rPr>
              <w:t>r</w:t>
            </w:r>
            <w:r>
              <w:rPr>
                <w:rFonts w:ascii="Times New Roman" w:hAnsi="Times New Roman" w:cs="Times New Roman" w:eastAsiaTheme="minorEastAsia"/>
                <w:sz w:val="21"/>
                <w:szCs w:val="21"/>
              </w:rPr>
              <w:t>≥320</w:t>
            </w:r>
          </w:p>
        </w:tc>
        <w:tc>
          <w:tcPr>
            <w:tcW w:w="2074" w:type="dxa"/>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严重</w:t>
            </w:r>
          </w:p>
        </w:tc>
        <w:tc>
          <w:tcPr>
            <w:tcW w:w="2074" w:type="dxa"/>
          </w:tcPr>
          <w:p>
            <w:pPr>
              <w:jc w:val="center"/>
              <w:rPr>
                <w:rFonts w:ascii="Times New Roman" w:hAnsi="Times New Roman" w:cs="Times New Roman" w:eastAsiaTheme="minorEastAsia"/>
                <w:sz w:val="21"/>
                <w:szCs w:val="21"/>
              </w:rPr>
            </w:pPr>
            <w:r>
              <w:rPr>
                <w:rFonts w:ascii="Times New Roman" w:hAnsi="Times New Roman" w:cs="Times New Roman" w:eastAsiaTheme="minorEastAsia"/>
                <w:i/>
                <w:sz w:val="21"/>
                <w:szCs w:val="21"/>
              </w:rPr>
              <w:t>RI</w:t>
            </w:r>
            <w:r>
              <w:rPr>
                <w:rFonts w:ascii="Times New Roman" w:hAnsi="Times New Roman" w:cs="Times New Roman" w:eastAsiaTheme="minorEastAsia"/>
                <w:sz w:val="21"/>
                <w:szCs w:val="21"/>
              </w:rPr>
              <w:t>≥1200</w:t>
            </w:r>
          </w:p>
        </w:tc>
        <w:tc>
          <w:tcPr>
            <w:tcW w:w="2074" w:type="dxa"/>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严重</w:t>
            </w:r>
          </w:p>
        </w:tc>
      </w:tr>
    </w:tbl>
    <w:p>
      <w:pPr>
        <w:outlineLvl w:val="2"/>
      </w:pPr>
      <w:r>
        <w:rPr>
          <w:b/>
          <w:bCs/>
        </w:rPr>
        <w:t>3.10.4</w:t>
      </w:r>
      <w:r>
        <w:t xml:space="preserve">  </w:t>
      </w:r>
      <w:r>
        <w:rPr>
          <w:rFonts w:hint="eastAsia"/>
        </w:rPr>
        <w:t>对于危险废物鉴别，应按G</w:t>
      </w:r>
      <w:r>
        <w:t>B 5085</w:t>
      </w:r>
      <w:r>
        <w:rPr>
          <w:rFonts w:hint="eastAsia"/>
        </w:rPr>
        <w:t>.</w:t>
      </w:r>
      <w:r>
        <w:t>3的规定</w:t>
      </w:r>
      <w:r>
        <w:rPr>
          <w:rFonts w:hint="eastAsia"/>
        </w:rPr>
        <w:t>执行。</w:t>
      </w:r>
    </w:p>
    <w:p>
      <w:pPr>
        <w:outlineLvl w:val="2"/>
      </w:pPr>
      <w:r>
        <w:rPr>
          <w:rFonts w:hint="eastAsia"/>
          <w:b/>
          <w:bCs/>
        </w:rPr>
        <w:t>3</w:t>
      </w:r>
      <w:r>
        <w:rPr>
          <w:b/>
          <w:bCs/>
        </w:rPr>
        <w:t>.10.5</w:t>
      </w:r>
      <w:r>
        <w:t xml:space="preserve">  底泥</w:t>
      </w:r>
      <w:r>
        <w:rPr>
          <w:rFonts w:hint="eastAsia"/>
        </w:rPr>
        <w:t>污染层厚度应通过氮磷、有机质、重金属以及危险废物污染评价等级确定。</w:t>
      </w:r>
    </w:p>
    <w:p/>
    <w:p>
      <w:pPr>
        <w:ind w:firstLine="560"/>
        <w:jc w:val="left"/>
        <w:rPr>
          <w:sz w:val="28"/>
          <w:szCs w:val="28"/>
        </w:rPr>
        <w:sectPr>
          <w:pgSz w:w="11906" w:h="16838"/>
          <w:pgMar w:top="1440" w:right="1800" w:bottom="1440" w:left="1800" w:header="851" w:footer="992" w:gutter="0"/>
          <w:cols w:space="425" w:num="1"/>
          <w:docGrid w:type="lines" w:linePitch="312" w:charSpace="0"/>
        </w:sectPr>
      </w:pPr>
    </w:p>
    <w:p>
      <w:pPr>
        <w:pStyle w:val="2"/>
      </w:pPr>
      <w:bookmarkStart w:id="28" w:name="_Toc37843245"/>
      <w:r>
        <w:t xml:space="preserve">4  </w:t>
      </w:r>
      <w:r>
        <w:rPr>
          <w:rFonts w:hint="eastAsia"/>
        </w:rPr>
        <w:t>环保清淤</w:t>
      </w:r>
      <w:r>
        <w:t>规模</w:t>
      </w:r>
      <w:bookmarkEnd w:id="11"/>
      <w:bookmarkEnd w:id="12"/>
      <w:bookmarkEnd w:id="28"/>
    </w:p>
    <w:p>
      <w:pPr>
        <w:pStyle w:val="3"/>
      </w:pPr>
      <w:bookmarkStart w:id="29" w:name="_Toc37843246"/>
      <w:bookmarkStart w:id="30" w:name="_Toc17276470"/>
      <w:bookmarkStart w:id="31" w:name="_Toc4769428"/>
      <w:r>
        <w:t xml:space="preserve">4.1  </w:t>
      </w:r>
      <w:r>
        <w:rPr>
          <w:rFonts w:hint="eastAsia"/>
        </w:rPr>
        <w:t>一般规定</w:t>
      </w:r>
      <w:bookmarkEnd w:id="29"/>
      <w:bookmarkEnd w:id="30"/>
      <w:bookmarkEnd w:id="31"/>
    </w:p>
    <w:p>
      <w:r>
        <w:rPr>
          <w:rFonts w:hint="eastAsia"/>
          <w:b/>
          <w:bCs/>
        </w:rPr>
        <w:t>4.1.</w:t>
      </w:r>
      <w:r>
        <w:rPr>
          <w:b/>
          <w:bCs/>
        </w:rPr>
        <w:t xml:space="preserve">1  </w:t>
      </w:r>
      <w:r>
        <w:rPr>
          <w:rFonts w:hint="eastAsia"/>
        </w:rPr>
        <w:t>环保清淤规模以拟清淤工程区域底泥勘测与</w:t>
      </w:r>
      <w:r>
        <w:t>污染状况</w:t>
      </w:r>
      <w:r>
        <w:rPr>
          <w:rFonts w:hint="eastAsia"/>
        </w:rPr>
        <w:t>调查评价结果为基本依据，综合考虑清淤方式及清淤设备性能、经济可行性、安全性、生态修复等因素确定。</w:t>
      </w:r>
    </w:p>
    <w:p>
      <w:r>
        <w:rPr>
          <w:b/>
        </w:rPr>
        <w:t xml:space="preserve">4.1.2  </w:t>
      </w:r>
      <w:r>
        <w:t>环保清淤与生态修复结合时</w:t>
      </w:r>
      <w:r>
        <w:rPr>
          <w:rFonts w:hint="eastAsia"/>
        </w:rPr>
        <w:t>，</w:t>
      </w:r>
      <w:r>
        <w:t>清淤规模应为生态保护和生态修复提供有利条件</w:t>
      </w:r>
      <w:r>
        <w:rPr>
          <w:rFonts w:hint="eastAsia"/>
        </w:rPr>
        <w:t>。</w:t>
      </w:r>
    </w:p>
    <w:p>
      <w:r>
        <w:rPr>
          <w:b/>
        </w:rPr>
        <w:t xml:space="preserve">4.1.3  </w:t>
      </w:r>
      <w:r>
        <w:rPr>
          <w:rFonts w:hint="eastAsia"/>
        </w:rPr>
        <w:t>环保清淤规模确定后宜及时实施，当底泥污染状况发生变化后，应重新论证确定清淤规模。</w:t>
      </w:r>
    </w:p>
    <w:p>
      <w:pPr>
        <w:pStyle w:val="3"/>
        <w:rPr>
          <w:rFonts w:asciiTheme="majorBidi" w:hAnsiTheme="majorBidi"/>
        </w:rPr>
      </w:pPr>
      <w:bookmarkStart w:id="32" w:name="_Toc4769429"/>
      <w:bookmarkStart w:id="33" w:name="_Toc37843247"/>
      <w:bookmarkStart w:id="34" w:name="_Toc17276471"/>
      <w:r>
        <w:rPr>
          <w:rFonts w:asciiTheme="majorBidi" w:hAnsiTheme="majorBidi"/>
        </w:rPr>
        <w:t>4.2  环保清淤控制指标</w:t>
      </w:r>
      <w:bookmarkEnd w:id="32"/>
      <w:bookmarkEnd w:id="33"/>
      <w:bookmarkEnd w:id="34"/>
    </w:p>
    <w:p>
      <w:r>
        <w:rPr>
          <w:b/>
          <w:bCs/>
        </w:rPr>
        <w:t>4.2.</w:t>
      </w:r>
      <w:r>
        <w:rPr>
          <w:rFonts w:hint="eastAsia"/>
          <w:b/>
          <w:bCs/>
        </w:rPr>
        <w:t>1</w:t>
      </w:r>
      <w:r>
        <w:rPr>
          <w:b/>
          <w:bCs/>
        </w:rPr>
        <w:t xml:space="preserve">  </w:t>
      </w:r>
      <w:r>
        <w:rPr>
          <w:rFonts w:hint="eastAsia"/>
        </w:rPr>
        <w:t>工程区底泥有机质的清淤控制值宜为有机指数</w:t>
      </w:r>
      <w:r>
        <w:rPr>
          <w:i/>
        </w:rPr>
        <w:t>OI</w:t>
      </w:r>
      <w:r>
        <w:rPr>
          <w:rFonts w:cs="Times New Roman"/>
        </w:rPr>
        <w:t>≥</w:t>
      </w:r>
      <w:r>
        <w:t>0.2</w:t>
      </w:r>
      <w:r>
        <w:rPr>
          <w:rFonts w:hint="eastAsia"/>
        </w:rPr>
        <w:t>。</w:t>
      </w:r>
    </w:p>
    <w:p>
      <w:r>
        <w:rPr>
          <w:b/>
          <w:bCs/>
        </w:rPr>
        <w:t>4.2.</w:t>
      </w:r>
      <w:r>
        <w:rPr>
          <w:rFonts w:hint="eastAsia"/>
          <w:b/>
          <w:bCs/>
        </w:rPr>
        <w:t xml:space="preserve">2 </w:t>
      </w:r>
      <w:r>
        <w:rPr>
          <w:b/>
          <w:bCs/>
        </w:rPr>
        <w:t xml:space="preserve"> </w:t>
      </w:r>
      <w:r>
        <w:rPr>
          <w:rFonts w:hint="eastAsia"/>
        </w:rPr>
        <w:t>工程区底泥营养盐的清淤控制值</w:t>
      </w:r>
      <w:r>
        <w:t>宜</w:t>
      </w:r>
      <w:r>
        <w:rPr>
          <w:rFonts w:hint="eastAsia"/>
        </w:rPr>
        <w:t>采用中度污染等级所对应的氮磷指标。</w:t>
      </w:r>
    </w:p>
    <w:p>
      <w:r>
        <w:rPr>
          <w:b/>
          <w:bCs/>
        </w:rPr>
        <w:t>4.2.</w:t>
      </w:r>
      <w:r>
        <w:rPr>
          <w:rFonts w:hint="eastAsia"/>
          <w:b/>
          <w:bCs/>
        </w:rPr>
        <w:t>3</w:t>
      </w:r>
      <w:r>
        <w:rPr>
          <w:b/>
          <w:bCs/>
        </w:rPr>
        <w:t xml:space="preserve">  </w:t>
      </w:r>
      <w:r>
        <w:rPr>
          <w:rFonts w:hint="eastAsia"/>
        </w:rPr>
        <w:t>工程区重金属污染底泥的清淤控制值为重金属潜在生态风险指数</w:t>
      </w:r>
      <w:r>
        <w:rPr>
          <w:i/>
        </w:rPr>
        <w:t>RI</w:t>
      </w:r>
      <w:r>
        <w:rPr>
          <w:rFonts w:cs="Times New Roman"/>
        </w:rPr>
        <w:t>≥</w:t>
      </w:r>
      <w:r>
        <w:rPr>
          <w:rFonts w:hint="eastAsia"/>
        </w:rPr>
        <w:t>300。</w:t>
      </w:r>
    </w:p>
    <w:p>
      <w:r>
        <w:rPr>
          <w:b/>
          <w:bCs/>
        </w:rPr>
        <w:t>4.2.</w:t>
      </w:r>
      <w:r>
        <w:rPr>
          <w:rFonts w:hint="eastAsia"/>
          <w:b/>
          <w:bCs/>
        </w:rPr>
        <w:t>4</w:t>
      </w:r>
      <w:r>
        <w:rPr>
          <w:b/>
          <w:bCs/>
        </w:rPr>
        <w:t xml:space="preserve">  </w:t>
      </w:r>
      <w:r>
        <w:t>环保清淤深度应考虑水利清淤的需求</w:t>
      </w:r>
      <w:r>
        <w:rPr>
          <w:rFonts w:hint="eastAsia"/>
        </w:rPr>
        <w:t>，</w:t>
      </w:r>
      <w:r>
        <w:t>宜</w:t>
      </w:r>
      <w:r>
        <w:rPr>
          <w:rFonts w:hint="eastAsia"/>
        </w:rPr>
        <w:t>根据行洪要求计算河底或湖底高程，再结合污染底泥层确定河底或湖底高程。应符合本标准</w:t>
      </w:r>
      <w:r>
        <w:t>4.4</w:t>
      </w:r>
      <w:r>
        <w:rPr>
          <w:rFonts w:hint="eastAsia"/>
        </w:rPr>
        <w:t>节的要求。</w:t>
      </w:r>
    </w:p>
    <w:p>
      <w:r>
        <w:rPr>
          <w:b/>
          <w:bCs/>
        </w:rPr>
        <w:t>4.2.5</w:t>
      </w:r>
      <w:r>
        <w:rPr>
          <w:bCs/>
        </w:rPr>
        <w:t xml:space="preserve"> </w:t>
      </w:r>
      <w:r>
        <w:rPr>
          <w:rFonts w:hint="eastAsia"/>
          <w:bCs/>
        </w:rPr>
        <w:t>清淤范围应</w:t>
      </w:r>
      <w:r>
        <w:rPr>
          <w:rFonts w:hint="eastAsia"/>
        </w:rPr>
        <w:t>根据相关的法律法规和管理规定要求，与水利工程设施、水源地取水口、养殖区保持一定的安全距离。</w:t>
      </w:r>
    </w:p>
    <w:p>
      <w:pPr>
        <w:pStyle w:val="3"/>
      </w:pPr>
      <w:bookmarkStart w:id="35" w:name="_Toc37843248"/>
      <w:bookmarkStart w:id="36" w:name="_Toc17276472"/>
      <w:bookmarkStart w:id="37" w:name="_Toc4769430"/>
      <w:r>
        <w:t xml:space="preserve">4.3  </w:t>
      </w:r>
      <w:r>
        <w:rPr>
          <w:rFonts w:hint="eastAsia"/>
        </w:rPr>
        <w:t>环保清淤</w:t>
      </w:r>
      <w:r>
        <w:t>范围确定</w:t>
      </w:r>
      <w:bookmarkEnd w:id="35"/>
      <w:bookmarkEnd w:id="36"/>
      <w:bookmarkEnd w:id="37"/>
    </w:p>
    <w:p>
      <w:r>
        <w:rPr>
          <w:b/>
          <w:bCs/>
        </w:rPr>
        <w:t>4.3</w:t>
      </w:r>
      <w:r>
        <w:rPr>
          <w:rFonts w:hint="eastAsia"/>
          <w:b/>
          <w:bCs/>
        </w:rPr>
        <w:t>.1</w:t>
      </w:r>
      <w:r>
        <w:rPr>
          <w:b/>
          <w:bCs/>
        </w:rPr>
        <w:t xml:space="preserve">  </w:t>
      </w:r>
      <w:r>
        <w:rPr>
          <w:rFonts w:hint="eastAsia"/>
        </w:rPr>
        <w:t>清淤区域划分原则。</w:t>
      </w:r>
    </w:p>
    <w:p>
      <w:pPr>
        <w:ind w:firstLine="482" w:firstLineChars="200"/>
      </w:pPr>
      <w:r>
        <w:rPr>
          <w:rFonts w:hint="eastAsia"/>
          <w:b/>
          <w:bCs/>
        </w:rPr>
        <w:t>1</w:t>
      </w:r>
      <w:r>
        <w:rPr>
          <w:b/>
          <w:bCs/>
        </w:rPr>
        <w:t xml:space="preserve"> </w:t>
      </w:r>
      <w:r>
        <w:rPr>
          <w:rFonts w:hint="eastAsia"/>
        </w:rPr>
        <w:t>应在清除污染底泥层时避免对正常底泥层的破坏；</w:t>
      </w:r>
    </w:p>
    <w:p>
      <w:pPr>
        <w:ind w:firstLine="482" w:firstLineChars="200"/>
      </w:pPr>
      <w:r>
        <w:rPr>
          <w:rFonts w:hint="eastAsia"/>
          <w:b/>
          <w:bCs/>
        </w:rPr>
        <w:t>2</w:t>
      </w:r>
      <w:r>
        <w:rPr>
          <w:b/>
          <w:bCs/>
        </w:rPr>
        <w:t xml:space="preserve">  </w:t>
      </w:r>
      <w:r>
        <w:rPr>
          <w:rFonts w:hint="eastAsia"/>
        </w:rPr>
        <w:t xml:space="preserve">考虑清淤方式及清淤设备操作性能的限制； </w:t>
      </w:r>
    </w:p>
    <w:p>
      <w:pPr>
        <w:ind w:firstLine="482" w:firstLineChars="200"/>
      </w:pPr>
      <w:r>
        <w:rPr>
          <w:rFonts w:hint="eastAsia"/>
          <w:b/>
          <w:bCs/>
        </w:rPr>
        <w:t>3</w:t>
      </w:r>
      <w:r>
        <w:rPr>
          <w:rFonts w:hint="eastAsia"/>
        </w:rPr>
        <w:t xml:space="preserve"> </w:t>
      </w:r>
      <w:r>
        <w:t xml:space="preserve"> </w:t>
      </w:r>
      <w:r>
        <w:rPr>
          <w:rFonts w:hint="eastAsia"/>
        </w:rPr>
        <w:t>为水生动植物的自然恢复创造条件。</w:t>
      </w:r>
    </w:p>
    <w:p>
      <w:r>
        <w:rPr>
          <w:b/>
          <w:bCs/>
        </w:rPr>
        <w:t>4.3</w:t>
      </w:r>
      <w:r>
        <w:rPr>
          <w:rFonts w:hint="eastAsia"/>
          <w:b/>
          <w:bCs/>
        </w:rPr>
        <w:t>.2</w:t>
      </w:r>
      <w:r>
        <w:rPr>
          <w:b/>
          <w:bCs/>
        </w:rPr>
        <w:t xml:space="preserve">  </w:t>
      </w:r>
      <w:r>
        <w:rPr>
          <w:rFonts w:hint="eastAsia"/>
        </w:rPr>
        <w:t>清淤区域划分方法包括网格法、等值线法。其中，网格法一般适合钻孔数量少的小型河流、湖泊；等值线法适合于大中型河流、湖泊。</w:t>
      </w:r>
    </w:p>
    <w:p>
      <w:pPr>
        <w:pStyle w:val="3"/>
      </w:pPr>
      <w:bookmarkStart w:id="38" w:name="_Toc37843249"/>
      <w:bookmarkStart w:id="39" w:name="_Toc17276473"/>
      <w:bookmarkStart w:id="40" w:name="_Toc4769431"/>
      <w:r>
        <w:t xml:space="preserve">4.4  </w:t>
      </w:r>
      <w:r>
        <w:rPr>
          <w:rFonts w:hint="eastAsia"/>
        </w:rPr>
        <w:t>环保清淤</w:t>
      </w:r>
      <w:r>
        <w:t>深度确定</w:t>
      </w:r>
      <w:bookmarkEnd w:id="38"/>
      <w:bookmarkEnd w:id="39"/>
      <w:bookmarkEnd w:id="40"/>
    </w:p>
    <w:p>
      <w:r>
        <w:rPr>
          <w:rFonts w:hint="eastAsia"/>
          <w:b/>
          <w:bCs/>
        </w:rPr>
        <w:t>4.4.1</w:t>
      </w:r>
      <w:r>
        <w:rPr>
          <w:b/>
          <w:bCs/>
        </w:rPr>
        <w:t xml:space="preserve">  </w:t>
      </w:r>
      <w:r>
        <w:rPr>
          <w:rFonts w:hint="eastAsia"/>
        </w:rPr>
        <w:t>环保清淤断面底高程，宜不高于过渡层顶高程；环保清淤厚度，宜小于污染层和过渡层的总厚度。</w:t>
      </w:r>
    </w:p>
    <w:p>
      <w:r>
        <w:rPr>
          <w:rFonts w:hint="eastAsia"/>
          <w:b/>
          <w:bCs/>
        </w:rPr>
        <w:t>4.4.2</w:t>
      </w:r>
      <w:r>
        <w:rPr>
          <w:b/>
          <w:bCs/>
        </w:rPr>
        <w:t xml:space="preserve">  </w:t>
      </w:r>
      <w:r>
        <w:rPr>
          <w:rFonts w:hint="eastAsia"/>
        </w:rPr>
        <w:t>对于有机质、营养盐或重金属复合污染区，清淤深度应综合考虑，取污染层深度较深者作为复合污染区的清淤深度。</w:t>
      </w:r>
    </w:p>
    <w:p>
      <w:pPr>
        <w:pStyle w:val="3"/>
      </w:pPr>
      <w:bookmarkStart w:id="41" w:name="_Toc4769432"/>
      <w:bookmarkStart w:id="42" w:name="_Toc17276474"/>
      <w:bookmarkStart w:id="43" w:name="_Toc37843250"/>
      <w:r>
        <w:t xml:space="preserve">4.5  </w:t>
      </w:r>
      <w:r>
        <w:rPr>
          <w:rFonts w:hint="eastAsia"/>
        </w:rPr>
        <w:t>清淤工程量</w:t>
      </w:r>
      <w:r>
        <w:t>计算</w:t>
      </w:r>
      <w:bookmarkEnd w:id="41"/>
      <w:bookmarkEnd w:id="42"/>
      <w:bookmarkEnd w:id="43"/>
    </w:p>
    <w:p>
      <w:r>
        <w:rPr>
          <w:b/>
          <w:bCs/>
        </w:rPr>
        <w:t>4.5</w:t>
      </w:r>
      <w:r>
        <w:rPr>
          <w:rFonts w:hint="eastAsia"/>
          <w:b/>
          <w:bCs/>
        </w:rPr>
        <w:t>.1</w:t>
      </w:r>
      <w:r>
        <w:rPr>
          <w:b/>
          <w:bCs/>
        </w:rPr>
        <w:t xml:space="preserve">  </w:t>
      </w:r>
      <w:r>
        <w:rPr>
          <w:rFonts w:hint="eastAsia"/>
        </w:rPr>
        <w:t>清淤工程量的测量和计算方法，应根据现场的具体条件和清淤设备的类型予以确定，可参考JTS181-5的相关规定。清淤工程量测算方法可按下列原则确定：</w:t>
      </w:r>
    </w:p>
    <w:p>
      <w:pPr>
        <w:ind w:firstLine="482" w:firstLineChars="200"/>
      </w:pPr>
      <w:r>
        <w:rPr>
          <w:rFonts w:hint="eastAsia"/>
          <w:b/>
          <w:bCs/>
        </w:rPr>
        <w:t>1</w:t>
      </w:r>
      <w:r>
        <w:rPr>
          <w:b/>
          <w:bCs/>
        </w:rPr>
        <w:t xml:space="preserve">  </w:t>
      </w:r>
      <w:r>
        <w:rPr>
          <w:rFonts w:hint="eastAsia"/>
        </w:rPr>
        <w:t>对无回淤或回淤量很小的工程，应采用平均水深测量方法计算清淤工程量。</w:t>
      </w:r>
    </w:p>
    <w:p>
      <w:pPr>
        <w:ind w:firstLine="482" w:firstLineChars="200"/>
      </w:pPr>
      <w:r>
        <w:rPr>
          <w:rFonts w:hint="eastAsia"/>
          <w:b/>
          <w:bCs/>
        </w:rPr>
        <w:t>2</w:t>
      </w:r>
      <w:r>
        <w:rPr>
          <w:b/>
          <w:bCs/>
        </w:rPr>
        <w:t xml:space="preserve">  </w:t>
      </w:r>
      <w:r>
        <w:rPr>
          <w:rFonts w:hint="eastAsia"/>
        </w:rPr>
        <w:t>对土质情况变化较大的工程，应根据测图和地质剖面图计算不同土质的工程量。</w:t>
      </w:r>
    </w:p>
    <w:p>
      <w:pPr>
        <w:ind w:firstLine="482" w:firstLineChars="200"/>
      </w:pPr>
      <w:r>
        <w:rPr>
          <w:rFonts w:hint="eastAsia"/>
          <w:b/>
          <w:bCs/>
        </w:rPr>
        <w:t>3</w:t>
      </w:r>
      <w:r>
        <w:rPr>
          <w:b/>
          <w:bCs/>
        </w:rPr>
        <w:t xml:space="preserve">  </w:t>
      </w:r>
      <w:r>
        <w:rPr>
          <w:rFonts w:hint="eastAsia"/>
        </w:rPr>
        <w:t>对有回淤的工程，应在采取平均水深测量计算工程量的同时，增加根据回淤强度推算的清淤施工期的回淤量。</w:t>
      </w:r>
    </w:p>
    <w:p>
      <w:pPr>
        <w:ind w:firstLine="482" w:firstLineChars="200"/>
      </w:pPr>
      <w:r>
        <w:rPr>
          <w:rFonts w:hint="eastAsia"/>
          <w:b/>
          <w:bCs/>
        </w:rPr>
        <w:t>4</w:t>
      </w:r>
      <w:r>
        <w:rPr>
          <w:b/>
          <w:bCs/>
        </w:rPr>
        <w:t xml:space="preserve">  </w:t>
      </w:r>
      <w:r>
        <w:rPr>
          <w:rFonts w:hint="eastAsia"/>
        </w:rPr>
        <w:t>对冲淤变化较大的内河清淤，当无法用平均水深测量方法确定工程量时，可根据经验估算或采取舱载土方管线土方的方法计算或者以吹填实测方来计算。</w:t>
      </w:r>
    </w:p>
    <w:p>
      <w:pPr>
        <w:ind w:firstLine="482" w:firstLineChars="200"/>
      </w:pPr>
      <w:r>
        <w:rPr>
          <w:rFonts w:hint="eastAsia"/>
          <w:b/>
          <w:bCs/>
        </w:rPr>
        <w:t>5</w:t>
      </w:r>
      <w:r>
        <w:rPr>
          <w:b/>
          <w:bCs/>
        </w:rPr>
        <w:t xml:space="preserve">  </w:t>
      </w:r>
      <w:r>
        <w:rPr>
          <w:rFonts w:hint="eastAsia"/>
        </w:rPr>
        <w:t>对回淤严重需常年维护的航道，其清淤工程量可采用多年以测图计算的清淤工程量的平均值或分析值计算。</w:t>
      </w:r>
    </w:p>
    <w:p>
      <w:pPr>
        <w:ind w:firstLine="482" w:firstLineChars="200"/>
      </w:pPr>
      <w:r>
        <w:rPr>
          <w:rFonts w:hint="eastAsia"/>
          <w:b/>
          <w:bCs/>
        </w:rPr>
        <w:t>6</w:t>
      </w:r>
      <w:r>
        <w:rPr>
          <w:b/>
          <w:bCs/>
        </w:rPr>
        <w:t xml:space="preserve">  </w:t>
      </w:r>
      <w:r>
        <w:rPr>
          <w:rFonts w:hint="eastAsia"/>
        </w:rPr>
        <w:t>对于河流和狭长形湖泊，也可采用断面面积法计算。</w:t>
      </w:r>
    </w:p>
    <w:p>
      <w:pPr>
        <w:rPr>
          <w:b/>
        </w:rPr>
      </w:pPr>
      <w:r>
        <w:rPr>
          <w:b/>
          <w:bCs/>
        </w:rPr>
        <w:t>4.5.</w:t>
      </w:r>
      <w:r>
        <w:rPr>
          <w:rFonts w:hint="eastAsia"/>
          <w:b/>
          <w:bCs/>
        </w:rPr>
        <w:t xml:space="preserve">2 </w:t>
      </w:r>
      <w:r>
        <w:rPr>
          <w:b/>
          <w:bCs/>
        </w:rPr>
        <w:t xml:space="preserve"> </w:t>
      </w:r>
      <w:r>
        <w:rPr>
          <w:rFonts w:hint="eastAsia"/>
        </w:rPr>
        <w:t>清淤工程量宜采用水深测量法测量水下地形，并按开挖设计断面进行计算</w:t>
      </w:r>
      <w:r>
        <w:rPr>
          <w:rFonts w:hint="eastAsia"/>
          <w:b/>
        </w:rPr>
        <w:t>。</w:t>
      </w:r>
    </w:p>
    <w:p>
      <w:r>
        <w:rPr>
          <w:b/>
          <w:bCs/>
        </w:rPr>
        <w:t>4.5.</w:t>
      </w:r>
      <w:r>
        <w:rPr>
          <w:rFonts w:hint="eastAsia"/>
          <w:b/>
          <w:bCs/>
        </w:rPr>
        <w:t>3</w:t>
      </w:r>
      <w:r>
        <w:rPr>
          <w:b/>
          <w:bCs/>
        </w:rPr>
        <w:t xml:space="preserve">  </w:t>
      </w:r>
      <w:r>
        <w:rPr>
          <w:rFonts w:hint="eastAsia"/>
        </w:rPr>
        <w:t>清淤工程量应包括设计工程量、计算平均超宽和超深工程量。超宽和超深值参照表5.6.1。</w:t>
      </w:r>
    </w:p>
    <w:p>
      <w:pPr>
        <w:jc w:val="center"/>
        <w:rPr>
          <w:sz w:val="30"/>
          <w:szCs w:val="30"/>
        </w:rPr>
      </w:pPr>
      <w:r>
        <w:rPr>
          <w:sz w:val="30"/>
          <w:szCs w:val="30"/>
        </w:rPr>
        <w:drawing>
          <wp:inline distT="0" distB="0" distL="0" distR="0">
            <wp:extent cx="4469765" cy="2295525"/>
            <wp:effectExtent l="0" t="0" r="6985" b="0"/>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469807" cy="2295525"/>
                    </a:xfrm>
                    <a:prstGeom prst="rect">
                      <a:avLst/>
                    </a:prstGeom>
                    <a:noFill/>
                    <a:ln>
                      <a:noFill/>
                    </a:ln>
                  </pic:spPr>
                </pic:pic>
              </a:graphicData>
            </a:graphic>
          </wp:inline>
        </w:drawing>
      </w:r>
    </w:p>
    <w:p>
      <w:pPr>
        <w:jc w:val="center"/>
        <w:rPr>
          <w:rFonts w:asciiTheme="majorBidi" w:hAnsiTheme="majorBidi" w:eastAsiaTheme="minorEastAsia" w:cstheme="majorBidi"/>
          <w:b/>
          <w:bCs/>
        </w:rPr>
      </w:pPr>
      <w:r>
        <w:rPr>
          <w:rFonts w:asciiTheme="majorBidi" w:hAnsiTheme="majorBidi" w:eastAsiaTheme="minorEastAsia" w:cstheme="majorBidi"/>
          <w:b/>
          <w:bCs/>
        </w:rPr>
        <w:t>图</w:t>
      </w:r>
      <w:r>
        <w:rPr>
          <w:rFonts w:hint="eastAsia" w:asciiTheme="majorBidi" w:hAnsiTheme="majorBidi" w:eastAsiaTheme="minorEastAsia" w:cstheme="majorBidi"/>
          <w:b/>
          <w:bCs/>
        </w:rPr>
        <w:t>4.5.3-1</w:t>
      </w:r>
      <w:r>
        <w:rPr>
          <w:rFonts w:asciiTheme="majorBidi" w:hAnsiTheme="majorBidi" w:eastAsiaTheme="minorEastAsia" w:cstheme="majorBidi"/>
          <w:b/>
          <w:bCs/>
        </w:rPr>
        <w:t xml:space="preserve">  环保清淤工程河道横剖面示意图</w:t>
      </w:r>
    </w:p>
    <w:p>
      <w:pPr>
        <w:ind w:firstLine="480"/>
        <w:rPr>
          <w:szCs w:val="24"/>
        </w:rPr>
      </w:pPr>
      <w:r>
        <w:rPr>
          <w:rFonts w:hint="eastAsia"/>
          <w:szCs w:val="24"/>
        </w:rPr>
        <w:t>ABCD</w:t>
      </w:r>
      <w:r>
        <w:rPr>
          <w:szCs w:val="24"/>
        </w:rPr>
        <w:t>-</w:t>
      </w:r>
      <w:r>
        <w:rPr>
          <w:rFonts w:hint="eastAsia"/>
          <w:szCs w:val="24"/>
        </w:rPr>
        <w:t>设计断面；abcd-工程量计算断面；</w:t>
      </w:r>
      <w:r>
        <w:rPr>
          <w:rFonts w:cs="Times New Roman"/>
          <w:szCs w:val="24"/>
        </w:rPr>
        <w:t>Δ</w:t>
      </w:r>
      <w:r>
        <w:rPr>
          <w:rFonts w:hint="eastAsia"/>
          <w:szCs w:val="24"/>
        </w:rPr>
        <w:t>B-计算超宽；</w:t>
      </w:r>
      <w:r>
        <w:rPr>
          <w:rFonts w:cs="Times New Roman"/>
          <w:szCs w:val="24"/>
        </w:rPr>
        <w:t>Δ</w:t>
      </w:r>
      <w:r>
        <w:rPr>
          <w:rFonts w:hint="eastAsia"/>
          <w:szCs w:val="24"/>
        </w:rPr>
        <w:t>H-计算超深；</w:t>
      </w:r>
    </w:p>
    <w:p>
      <w:pPr>
        <w:ind w:firstLine="480"/>
        <w:rPr>
          <w:szCs w:val="24"/>
        </w:rPr>
      </w:pPr>
      <w:r>
        <w:rPr>
          <w:rFonts w:hint="eastAsia"/>
          <w:szCs w:val="24"/>
        </w:rPr>
        <w:t>1：m-设计坡比；H-设计深度；h-计算深度。</w:t>
      </w:r>
    </w:p>
    <w:p>
      <w:r>
        <w:rPr>
          <w:b/>
          <w:bCs/>
        </w:rPr>
        <w:t>4.5</w:t>
      </w:r>
      <w:r>
        <w:rPr>
          <w:rFonts w:hint="eastAsia"/>
          <w:b/>
          <w:bCs/>
        </w:rPr>
        <w:t>.4</w:t>
      </w:r>
      <w:r>
        <w:rPr>
          <w:b/>
          <w:bCs/>
        </w:rPr>
        <w:t xml:space="preserve">  </w:t>
      </w:r>
      <w:r>
        <w:rPr>
          <w:rFonts w:hint="eastAsia"/>
        </w:rPr>
        <w:t>平均水深法计算清淤工程量。</w:t>
      </w:r>
    </w:p>
    <w:p>
      <w:pPr>
        <w:ind w:firstLine="482" w:firstLineChars="200"/>
      </w:pPr>
      <w:r>
        <w:rPr>
          <w:rFonts w:hint="eastAsia"/>
          <w:b/>
          <w:bCs/>
        </w:rPr>
        <w:t>1</w:t>
      </w:r>
      <w:r>
        <w:rPr>
          <w:b/>
          <w:bCs/>
        </w:rPr>
        <w:t xml:space="preserve">  </w:t>
      </w:r>
      <w:r>
        <w:rPr>
          <w:rFonts w:hint="eastAsia"/>
        </w:rPr>
        <w:t>计算平均水深应遵循下列原则：</w:t>
      </w:r>
    </w:p>
    <w:p>
      <w:pPr>
        <w:ind w:firstLine="480" w:firstLineChars="200"/>
      </w:pPr>
      <w:r>
        <w:rPr>
          <w:rFonts w:hint="eastAsia"/>
        </w:rPr>
        <w:t>1）挖槽计算底边线和分段线上的水深点均参与这些线条范围内的挖槽平均水深计算；</w:t>
      </w:r>
    </w:p>
    <w:p>
      <w:pPr>
        <w:ind w:firstLine="480" w:firstLineChars="200"/>
      </w:pPr>
      <w:r>
        <w:rPr>
          <w:rFonts w:hint="eastAsia"/>
        </w:rPr>
        <w:t>2）计算挖槽底边线或底端线的平均水深时，取计算边线外测图上</w:t>
      </w:r>
      <w:r>
        <w:t>0.5cm</w:t>
      </w:r>
      <w:r>
        <w:rPr>
          <w:rFonts w:hint="eastAsia"/>
        </w:rPr>
        <w:t>范围内的一个水深点计算</w:t>
      </w:r>
      <w:r>
        <w:t>;</w:t>
      </w:r>
      <w:r>
        <w:rPr>
          <w:rFonts w:hint="eastAsia"/>
        </w:rPr>
        <w:t>若边线上有超过计算深度的水深点，该点按计算深度值计算；</w:t>
      </w:r>
    </w:p>
    <w:p>
      <w:pPr>
        <w:ind w:firstLine="480" w:firstLineChars="200"/>
      </w:pPr>
      <w:r>
        <w:rPr>
          <w:rFonts w:hint="eastAsia"/>
        </w:rPr>
        <w:t>3）挖槽内图上有孤立的</w:t>
      </w:r>
      <w:r>
        <w:t>1</w:t>
      </w:r>
      <w:r>
        <w:rPr>
          <w:rFonts w:hint="eastAsia"/>
        </w:rPr>
        <w:t>~</w:t>
      </w:r>
      <w:r>
        <w:t>2</w:t>
      </w:r>
      <w:r>
        <w:rPr>
          <w:rFonts w:hint="eastAsia"/>
        </w:rPr>
        <w:t>个水深点超过计算深度时，按计算水深值计算平均水深；当图上有连续出现两个以上水深点超过计算深度时，这些水深值不参与计算平均水深，其占有的大于计算深度的面积从挖槽面积中扣除。</w:t>
      </w:r>
    </w:p>
    <w:p>
      <w:pPr>
        <w:ind w:firstLine="482" w:firstLineChars="200"/>
      </w:pPr>
      <w:r>
        <w:rPr>
          <w:rFonts w:hint="eastAsia"/>
          <w:b/>
          <w:bCs/>
        </w:rPr>
        <w:t>2</w:t>
      </w:r>
      <w:r>
        <w:rPr>
          <w:b/>
          <w:bCs/>
        </w:rPr>
        <w:t xml:space="preserve">  </w:t>
      </w:r>
      <w:r>
        <w:rPr>
          <w:rFonts w:hint="eastAsia"/>
        </w:rPr>
        <w:t>挖槽端部无端坡时，挖槽断面工程量应按下列公式计算：</w:t>
      </w:r>
    </w:p>
    <w:p>
      <w:pPr>
        <w:ind w:firstLine="2400" w:firstLineChars="1000"/>
        <w:jc w:val="right"/>
        <w:rPr>
          <w:rFonts w:cs="Times New Roman"/>
          <w:iCs/>
        </w:rPr>
      </w:pPr>
      <w:r>
        <w:rPr>
          <w:rFonts w:cs="Times New Roman"/>
          <w:i/>
        </w:rPr>
        <w:t>V</w:t>
      </w:r>
      <w:r>
        <w:rPr>
          <w:rFonts w:cs="Times New Roman"/>
          <w:iCs/>
        </w:rPr>
        <w:t>=</w:t>
      </w:r>
      <w:r>
        <w:rPr>
          <w:rFonts w:cs="Times New Roman"/>
          <w:i/>
        </w:rPr>
        <w:t>V</w:t>
      </w:r>
      <w:r>
        <w:rPr>
          <w:rFonts w:cs="Times New Roman"/>
          <w:i/>
          <w:vertAlign w:val="subscript"/>
        </w:rPr>
        <w:t>m</w:t>
      </w:r>
      <w:r>
        <w:rPr>
          <w:rFonts w:cs="Times New Roman"/>
          <w:iCs/>
        </w:rPr>
        <w:t>+</w:t>
      </w:r>
      <w:r>
        <w:rPr>
          <w:rStyle w:val="59"/>
          <w:rFonts w:ascii="Times New Roman" w:hAnsi="Times New Roman" w:cs="Times New Roman"/>
          <w:b w:val="0"/>
          <w:bCs w:val="0"/>
          <w:iCs w:val="0"/>
          <w:color w:val="000000"/>
          <w:sz w:val="24"/>
          <w:szCs w:val="24"/>
          <w:lang w:eastAsia="en-US"/>
        </w:rPr>
        <w:t>V</w:t>
      </w:r>
      <w:r>
        <w:rPr>
          <w:rStyle w:val="59"/>
          <w:rFonts w:ascii="Times New Roman" w:hAnsi="Times New Roman" w:cs="Times New Roman"/>
          <w:b w:val="0"/>
          <w:bCs w:val="0"/>
          <w:iCs w:val="0"/>
          <w:color w:val="000000"/>
          <w:sz w:val="24"/>
          <w:szCs w:val="24"/>
          <w:vertAlign w:val="subscript"/>
          <w:lang w:eastAsia="en-US"/>
        </w:rPr>
        <w:t>s</w:t>
      </w:r>
      <w:r>
        <w:rPr>
          <w:rStyle w:val="59"/>
          <w:rFonts w:ascii="Times New Roman" w:hAnsi="Times New Roman" w:cs="Times New Roman"/>
          <w:b w:val="0"/>
          <w:bCs w:val="0"/>
          <w:i w:val="0"/>
          <w:iCs w:val="0"/>
          <w:color w:val="000000"/>
          <w:vertAlign w:val="subscript"/>
          <w:lang w:eastAsia="en-US"/>
        </w:rPr>
        <w:t xml:space="preserve">                         </w:t>
      </w:r>
      <w:r>
        <w:rPr>
          <w:rFonts w:cs="Times New Roman"/>
        </w:rPr>
        <w:t>（4.5.4-1）</w:t>
      </w:r>
    </w:p>
    <w:p>
      <w:pPr>
        <w:ind w:firstLine="2280" w:firstLineChars="950"/>
        <w:jc w:val="right"/>
        <w:rPr>
          <w:rFonts w:cs="Times New Roman"/>
          <w:iCs/>
          <w:szCs w:val="24"/>
        </w:rPr>
      </w:pPr>
      <w:r>
        <w:rPr>
          <w:rFonts w:cs="Times New Roman"/>
          <w:i/>
          <w:iCs/>
          <w:szCs w:val="24"/>
        </w:rPr>
        <w:t>V</w:t>
      </w:r>
      <w:r>
        <w:rPr>
          <w:rFonts w:cs="Times New Roman"/>
          <w:i/>
          <w:iCs/>
          <w:szCs w:val="24"/>
          <w:vertAlign w:val="subscript"/>
        </w:rPr>
        <w:t>m</w:t>
      </w:r>
      <w:r>
        <w:rPr>
          <w:rFonts w:cs="Times New Roman"/>
          <w:i/>
          <w:iCs/>
          <w:szCs w:val="24"/>
        </w:rPr>
        <w:t xml:space="preserve">=B'×D×L                        </w:t>
      </w:r>
      <w:r>
        <w:rPr>
          <w:rFonts w:cs="Times New Roman"/>
          <w:szCs w:val="24"/>
        </w:rPr>
        <w:t>（4.5.4-2）</w:t>
      </w:r>
    </w:p>
    <w:p>
      <w:pPr>
        <w:ind w:firstLine="2244" w:firstLineChars="935"/>
        <w:jc w:val="right"/>
        <w:rPr>
          <w:rFonts w:cs="Times New Roman"/>
          <w:iCs/>
          <w:szCs w:val="24"/>
        </w:rPr>
      </w:pPr>
      <w:r>
        <w:rPr>
          <w:rFonts w:cs="Times New Roman"/>
          <w:bCs/>
          <w:i/>
          <w:szCs w:val="24"/>
        </w:rPr>
        <w:t>B'</w:t>
      </w:r>
      <w:r>
        <w:rPr>
          <w:rStyle w:val="59"/>
          <w:rFonts w:ascii="Times New Roman" w:hAnsi="Times New Roman" w:cs="Times New Roman"/>
          <w:b w:val="0"/>
          <w:color w:val="000000"/>
          <w:sz w:val="24"/>
          <w:szCs w:val="24"/>
          <w:lang w:eastAsia="en-US"/>
        </w:rPr>
        <w:t>=</w:t>
      </w:r>
      <w:r>
        <w:rPr>
          <w:rStyle w:val="59"/>
          <w:rFonts w:ascii="Times New Roman" w:hAnsi="Times New Roman" w:cs="Times New Roman"/>
          <w:b w:val="0"/>
          <w:bCs w:val="0"/>
          <w:color w:val="000000"/>
          <w:sz w:val="24"/>
          <w:szCs w:val="24"/>
          <w:lang w:eastAsia="en-US"/>
        </w:rPr>
        <w:t>B</w:t>
      </w:r>
      <w:r>
        <w:rPr>
          <w:rStyle w:val="59"/>
          <w:rFonts w:ascii="Times New Roman" w:hAnsi="Times New Roman" w:cs="Times New Roman"/>
          <w:b w:val="0"/>
          <w:color w:val="000000"/>
          <w:sz w:val="24"/>
          <w:szCs w:val="24"/>
          <w:lang w:eastAsia="en-US"/>
        </w:rPr>
        <w:t>+</w:t>
      </w:r>
      <w:r>
        <w:rPr>
          <w:rStyle w:val="59"/>
          <w:rFonts w:ascii="Times New Roman" w:hAnsi="Times New Roman" w:cs="Times New Roman"/>
          <w:b w:val="0"/>
          <w:bCs w:val="0"/>
          <w:i w:val="0"/>
          <w:iCs w:val="0"/>
          <w:color w:val="000000"/>
          <w:sz w:val="24"/>
          <w:szCs w:val="24"/>
          <w:lang w:eastAsia="en-US"/>
        </w:rPr>
        <w:t>2</w:t>
      </w:r>
      <w:r>
        <w:rPr>
          <w:rStyle w:val="59"/>
          <w:rFonts w:hint="eastAsia" w:ascii="Times New Roman" w:hAnsi="Times New Roman" w:cs="Times New Roman"/>
          <w:b w:val="0"/>
          <w:bCs w:val="0"/>
          <w:color w:val="000000"/>
          <w:sz w:val="24"/>
          <w:szCs w:val="24"/>
          <w:lang w:eastAsia="en-US"/>
        </w:rPr>
        <w:t>（</w:t>
      </w:r>
      <w:r>
        <w:rPr>
          <w:rStyle w:val="59"/>
          <w:rFonts w:ascii="Times New Roman" w:hAnsi="Times New Roman" w:cs="Times New Roman"/>
          <w:b w:val="0"/>
          <w:color w:val="000000"/>
          <w:sz w:val="24"/>
          <w:szCs w:val="24"/>
        </w:rPr>
        <w:t>Δ</w:t>
      </w:r>
      <w:r>
        <w:rPr>
          <w:rStyle w:val="59"/>
          <w:rFonts w:ascii="Times New Roman" w:hAnsi="Times New Roman" w:cs="Times New Roman"/>
          <w:b w:val="0"/>
          <w:bCs w:val="0"/>
          <w:color w:val="000000"/>
          <w:sz w:val="24"/>
          <w:szCs w:val="24"/>
        </w:rPr>
        <w:t>B-</w:t>
      </w:r>
      <w:r>
        <w:rPr>
          <w:rStyle w:val="59"/>
          <w:rFonts w:ascii="Times New Roman" w:hAnsi="Times New Roman" w:cs="Times New Roman"/>
          <w:b w:val="0"/>
          <w:bCs w:val="0"/>
          <w:color w:val="000000"/>
          <w:sz w:val="24"/>
          <w:szCs w:val="24"/>
          <w:lang w:eastAsia="en-US"/>
        </w:rPr>
        <w:t>m</w:t>
      </w:r>
      <w:r>
        <w:rPr>
          <w:rFonts w:cs="Times New Roman"/>
          <w:i/>
          <w:iCs/>
          <w:szCs w:val="24"/>
        </w:rPr>
        <w:t>×</w:t>
      </w:r>
      <w:r>
        <w:rPr>
          <w:rStyle w:val="59"/>
          <w:rFonts w:ascii="Times New Roman" w:hAnsi="Times New Roman" w:cs="Times New Roman"/>
          <w:b w:val="0"/>
          <w:color w:val="000000"/>
          <w:sz w:val="24"/>
          <w:szCs w:val="24"/>
        </w:rPr>
        <w:t>Δ</w:t>
      </w:r>
      <w:r>
        <w:rPr>
          <w:rStyle w:val="59"/>
          <w:rFonts w:ascii="Times New Roman" w:hAnsi="Times New Roman" w:cs="Times New Roman"/>
          <w:b w:val="0"/>
          <w:bCs w:val="0"/>
          <w:color w:val="000000"/>
          <w:sz w:val="24"/>
          <w:szCs w:val="24"/>
          <w:lang w:eastAsia="en-US"/>
        </w:rPr>
        <w:t>H</w:t>
      </w:r>
      <w:r>
        <w:rPr>
          <w:rStyle w:val="59"/>
          <w:rFonts w:hint="eastAsia" w:ascii="Times New Roman" w:hAnsi="Times New Roman" w:cs="Times New Roman"/>
          <w:b w:val="0"/>
          <w:bCs w:val="0"/>
          <w:color w:val="000000"/>
          <w:sz w:val="24"/>
          <w:szCs w:val="24"/>
          <w:lang w:eastAsia="en-US"/>
        </w:rPr>
        <w:t>）</w:t>
      </w:r>
      <w:r>
        <w:rPr>
          <w:rStyle w:val="59"/>
          <w:rFonts w:ascii="Times New Roman" w:hAnsi="Times New Roman" w:cs="Times New Roman"/>
          <w:b w:val="0"/>
          <w:bCs w:val="0"/>
          <w:color w:val="000000"/>
          <w:sz w:val="24"/>
          <w:szCs w:val="24"/>
        </w:rPr>
        <w:t xml:space="preserve">           </w:t>
      </w:r>
      <w:r>
        <w:rPr>
          <w:rFonts w:cs="Times New Roman"/>
          <w:szCs w:val="24"/>
        </w:rPr>
        <w:t>（4.5.4-3）</w:t>
      </w:r>
    </w:p>
    <w:p>
      <w:pPr>
        <w:ind w:firstLine="2244" w:firstLineChars="935"/>
        <w:jc w:val="right"/>
        <w:rPr>
          <w:rFonts w:cs="Times New Roman"/>
        </w:rPr>
      </w:pPr>
      <w:r>
        <w:rPr>
          <w:rFonts w:cs="Times New Roman"/>
          <w:bCs/>
          <w:i/>
          <w:iCs/>
          <w:szCs w:val="24"/>
        </w:rPr>
        <w:t>V</w:t>
      </w:r>
      <w:r>
        <w:rPr>
          <w:rFonts w:cs="Times New Roman"/>
          <w:bCs/>
          <w:i/>
          <w:iCs/>
          <w:szCs w:val="24"/>
          <w:vertAlign w:val="subscript"/>
        </w:rPr>
        <w:t>s</w:t>
      </w:r>
      <w:r>
        <w:rPr>
          <w:rFonts w:cs="Times New Roman"/>
          <w:bCs/>
          <w:iCs/>
          <w:szCs w:val="24"/>
        </w:rPr>
        <w:t>=</w:t>
      </w:r>
      <m:oMath>
        <m:f>
          <m:fPr>
            <m:ctrlPr>
              <w:rPr>
                <w:rFonts w:ascii="Cambria Math" w:hAnsi="Cambria Math" w:cs="Times New Roman"/>
                <w:bCs/>
                <w:iCs/>
                <w:sz w:val="28"/>
                <w:szCs w:val="28"/>
              </w:rPr>
            </m:ctrlPr>
          </m:fPr>
          <m:num>
            <m:r>
              <m:rPr>
                <m:sty m:val="p"/>
              </m:rPr>
              <w:rPr>
                <w:rFonts w:ascii="Cambria Math" w:hAnsi="Cambria Math" w:cs="Times New Roman"/>
                <w:sz w:val="28"/>
                <w:szCs w:val="28"/>
              </w:rPr>
              <m:t>1</m:t>
            </m:r>
            <m:ctrlPr>
              <w:rPr>
                <w:rFonts w:ascii="Cambria Math" w:hAnsi="Cambria Math" w:cs="Times New Roman"/>
                <w:bCs/>
                <w:iCs/>
                <w:sz w:val="28"/>
                <w:szCs w:val="28"/>
              </w:rPr>
            </m:ctrlPr>
          </m:num>
          <m:den>
            <m:r>
              <m:rPr>
                <m:sty m:val="p"/>
              </m:rPr>
              <w:rPr>
                <w:rFonts w:ascii="Cambria Math" w:hAnsi="Cambria Math" w:cs="Times New Roman"/>
                <w:sz w:val="28"/>
                <w:szCs w:val="28"/>
              </w:rPr>
              <m:t>2</m:t>
            </m:r>
            <m:ctrlPr>
              <w:rPr>
                <w:rFonts w:ascii="Cambria Math" w:hAnsi="Cambria Math" w:cs="Times New Roman"/>
                <w:bCs/>
                <w:iCs/>
                <w:sz w:val="28"/>
                <w:szCs w:val="28"/>
              </w:rPr>
            </m:ctrlPr>
          </m:den>
        </m:f>
        <m:r>
          <w:rPr>
            <w:rFonts w:ascii="Cambria Math" w:hAnsi="Cambria Math" w:cs="Times New Roman"/>
            <w:szCs w:val="24"/>
          </w:rPr>
          <m:t>×</m:t>
        </m:r>
      </m:oMath>
      <w:r>
        <w:rPr>
          <w:rFonts w:cs="Times New Roman"/>
          <w:i/>
          <w:iCs/>
          <w:szCs w:val="24"/>
        </w:rPr>
        <w:t>m×</w:t>
      </w:r>
      <m:oMath>
        <m:sSubSup>
          <m:sSubSupPr>
            <m:ctrlPr>
              <w:rPr>
                <w:rFonts w:ascii="Cambria Math" w:hAnsi="Cambria Math" w:cs="Times New Roman"/>
                <w:i/>
                <w:iCs/>
                <w:szCs w:val="24"/>
              </w:rPr>
            </m:ctrlPr>
          </m:sSubSupPr>
          <m:e>
            <m:r>
              <w:rPr>
                <w:rFonts w:ascii="Cambria Math" w:hAnsi="Cambria Math" w:cs="Times New Roman"/>
                <w:szCs w:val="24"/>
              </w:rPr>
              <m:t>D</m:t>
            </m:r>
            <m:ctrlPr>
              <w:rPr>
                <w:rFonts w:ascii="Cambria Math" w:hAnsi="Cambria Math" w:cs="Times New Roman"/>
                <w:i/>
                <w:iCs/>
                <w:szCs w:val="24"/>
              </w:rPr>
            </m:ctrlPr>
          </m:e>
          <m:sub>
            <m:r>
              <w:rPr>
                <w:rFonts w:ascii="Cambria Math" w:hAnsi="Cambria Math" w:cs="Times New Roman"/>
                <w:szCs w:val="24"/>
              </w:rPr>
              <m:t>l</m:t>
            </m:r>
            <m:ctrlPr>
              <w:rPr>
                <w:rFonts w:ascii="Cambria Math" w:hAnsi="Cambria Math" w:cs="Times New Roman"/>
                <w:i/>
                <w:iCs/>
                <w:szCs w:val="24"/>
              </w:rPr>
            </m:ctrlPr>
          </m:sub>
          <m:sup>
            <m:r>
              <w:rPr>
                <w:rFonts w:ascii="Cambria Math" w:hAnsi="Cambria Math" w:cs="Times New Roman"/>
                <w:szCs w:val="24"/>
              </w:rPr>
              <m:t>2</m:t>
            </m:r>
            <m:ctrlPr>
              <w:rPr>
                <w:rFonts w:ascii="Cambria Math" w:hAnsi="Cambria Math" w:cs="Times New Roman"/>
                <w:i/>
                <w:iCs/>
                <w:szCs w:val="24"/>
              </w:rPr>
            </m:ctrlPr>
          </m:sup>
        </m:sSubSup>
      </m:oMath>
      <w:r>
        <w:rPr>
          <w:rFonts w:cs="Times New Roman"/>
          <w:i/>
          <w:iCs/>
          <w:szCs w:val="24"/>
        </w:rPr>
        <w:t>×</w:t>
      </w:r>
      <m:oMath>
        <m:sSub>
          <m:sSubPr>
            <m:ctrlPr>
              <w:rPr>
                <w:rFonts w:ascii="Cambria Math" w:hAnsi="Cambria Math" w:cs="Times New Roman"/>
                <w:i/>
                <w:iCs/>
                <w:szCs w:val="24"/>
              </w:rPr>
            </m:ctrlPr>
          </m:sSubPr>
          <m:e>
            <m:r>
              <w:rPr>
                <w:rFonts w:ascii="Cambria Math" w:hAnsi="Cambria Math" w:cs="Times New Roman"/>
                <w:szCs w:val="24"/>
              </w:rPr>
              <m:t>L</m:t>
            </m:r>
            <m:ctrlPr>
              <w:rPr>
                <w:rFonts w:ascii="Cambria Math" w:hAnsi="Cambria Math" w:cs="Times New Roman"/>
                <w:i/>
                <w:iCs/>
                <w:szCs w:val="24"/>
              </w:rPr>
            </m:ctrlPr>
          </m:e>
          <m:sub>
            <m:r>
              <w:rPr>
                <w:rFonts w:ascii="Cambria Math" w:hAnsi="Cambria Math" w:cs="Times New Roman"/>
                <w:szCs w:val="24"/>
              </w:rPr>
              <m:t>l</m:t>
            </m:r>
            <m:ctrlPr>
              <w:rPr>
                <w:rFonts w:ascii="Cambria Math" w:hAnsi="Cambria Math" w:cs="Times New Roman"/>
                <w:i/>
                <w:iCs/>
                <w:szCs w:val="24"/>
              </w:rPr>
            </m:ctrlPr>
          </m:sub>
        </m:sSub>
      </m:oMath>
      <w:r>
        <w:rPr>
          <w:rFonts w:cs="Times New Roman"/>
          <w:i/>
          <w:iCs/>
          <w:szCs w:val="24"/>
        </w:rPr>
        <w:t>+</w:t>
      </w:r>
      <m:oMath>
        <m:f>
          <m:fPr>
            <m:ctrlPr>
              <w:rPr>
                <w:rFonts w:ascii="Cambria Math" w:hAnsi="Cambria Math" w:cs="Times New Roman"/>
                <w:bCs/>
                <w:iCs/>
                <w:sz w:val="28"/>
                <w:szCs w:val="28"/>
              </w:rPr>
            </m:ctrlPr>
          </m:fPr>
          <m:num>
            <m:r>
              <m:rPr>
                <m:sty m:val="p"/>
              </m:rPr>
              <w:rPr>
                <w:rFonts w:ascii="Cambria Math" w:hAnsi="Cambria Math" w:cs="Times New Roman"/>
                <w:sz w:val="28"/>
                <w:szCs w:val="28"/>
              </w:rPr>
              <m:t>1</m:t>
            </m:r>
            <m:ctrlPr>
              <w:rPr>
                <w:rFonts w:ascii="Cambria Math" w:hAnsi="Cambria Math" w:cs="Times New Roman"/>
                <w:bCs/>
                <w:iCs/>
                <w:sz w:val="28"/>
                <w:szCs w:val="28"/>
              </w:rPr>
            </m:ctrlPr>
          </m:num>
          <m:den>
            <m:r>
              <m:rPr>
                <m:sty m:val="p"/>
              </m:rPr>
              <w:rPr>
                <w:rFonts w:ascii="Cambria Math" w:hAnsi="Cambria Math" w:cs="Times New Roman"/>
                <w:sz w:val="28"/>
                <w:szCs w:val="28"/>
              </w:rPr>
              <m:t>2</m:t>
            </m:r>
            <m:ctrlPr>
              <w:rPr>
                <w:rFonts w:ascii="Cambria Math" w:hAnsi="Cambria Math" w:cs="Times New Roman"/>
                <w:bCs/>
                <w:iCs/>
                <w:sz w:val="28"/>
                <w:szCs w:val="28"/>
              </w:rPr>
            </m:ctrlPr>
          </m:den>
        </m:f>
      </m:oMath>
      <w:r>
        <w:rPr>
          <w:rFonts w:cs="Times New Roman"/>
          <w:i/>
          <w:iCs/>
          <w:szCs w:val="24"/>
        </w:rPr>
        <w:t>×m×</w:t>
      </w:r>
      <m:oMath>
        <m:sSubSup>
          <m:sSubSupPr>
            <m:ctrlPr>
              <w:rPr>
                <w:rFonts w:ascii="Cambria Math" w:hAnsi="Cambria Math" w:cs="Times New Roman"/>
                <w:i/>
                <w:iCs/>
                <w:szCs w:val="24"/>
              </w:rPr>
            </m:ctrlPr>
          </m:sSubSupPr>
          <m:e>
            <m:r>
              <w:rPr>
                <w:rFonts w:ascii="Cambria Math" w:hAnsi="Cambria Math" w:cs="Times New Roman"/>
                <w:szCs w:val="24"/>
              </w:rPr>
              <m:t>D</m:t>
            </m:r>
            <m:ctrlPr>
              <w:rPr>
                <w:rFonts w:ascii="Cambria Math" w:hAnsi="Cambria Math" w:cs="Times New Roman"/>
                <w:i/>
                <w:iCs/>
                <w:szCs w:val="24"/>
              </w:rPr>
            </m:ctrlPr>
          </m:e>
          <m:sub>
            <m:r>
              <w:rPr>
                <w:rFonts w:ascii="Cambria Math" w:hAnsi="Cambria Math" w:cs="Times New Roman"/>
                <w:szCs w:val="24"/>
              </w:rPr>
              <m:t>r</m:t>
            </m:r>
            <m:ctrlPr>
              <w:rPr>
                <w:rFonts w:ascii="Cambria Math" w:hAnsi="Cambria Math" w:cs="Times New Roman"/>
                <w:i/>
                <w:iCs/>
                <w:szCs w:val="24"/>
              </w:rPr>
            </m:ctrlPr>
          </m:sub>
          <m:sup>
            <m:r>
              <w:rPr>
                <w:rFonts w:ascii="Cambria Math" w:hAnsi="Cambria Math" w:cs="Times New Roman"/>
                <w:szCs w:val="24"/>
              </w:rPr>
              <m:t>2</m:t>
            </m:r>
            <m:ctrlPr>
              <w:rPr>
                <w:rFonts w:ascii="Cambria Math" w:hAnsi="Cambria Math" w:cs="Times New Roman"/>
                <w:i/>
                <w:iCs/>
                <w:szCs w:val="24"/>
              </w:rPr>
            </m:ctrlPr>
          </m:sup>
        </m:sSubSup>
      </m:oMath>
      <w:r>
        <w:rPr>
          <w:rFonts w:cs="Times New Roman"/>
          <w:i/>
          <w:iCs/>
          <w:szCs w:val="24"/>
        </w:rPr>
        <w:t>×</w:t>
      </w:r>
      <m:oMath>
        <m:sSub>
          <m:sSubPr>
            <m:ctrlPr>
              <w:rPr>
                <w:rFonts w:ascii="Cambria Math" w:hAnsi="Cambria Math" w:cs="Times New Roman"/>
                <w:i/>
                <w:iCs/>
                <w:szCs w:val="24"/>
              </w:rPr>
            </m:ctrlPr>
          </m:sSubPr>
          <m:e>
            <m:r>
              <w:rPr>
                <w:rFonts w:ascii="Cambria Math" w:hAnsi="Cambria Math" w:cs="Times New Roman"/>
                <w:szCs w:val="24"/>
              </w:rPr>
              <m:t>L</m:t>
            </m:r>
            <m:ctrlPr>
              <w:rPr>
                <w:rFonts w:ascii="Cambria Math" w:hAnsi="Cambria Math" w:cs="Times New Roman"/>
                <w:i/>
                <w:iCs/>
                <w:szCs w:val="24"/>
              </w:rPr>
            </m:ctrlPr>
          </m:e>
          <m:sub>
            <m:r>
              <w:rPr>
                <w:rFonts w:ascii="Cambria Math" w:hAnsi="Cambria Math" w:cs="Times New Roman"/>
                <w:szCs w:val="24"/>
              </w:rPr>
              <m:t>r</m:t>
            </m:r>
            <m:ctrlPr>
              <w:rPr>
                <w:rFonts w:ascii="Cambria Math" w:hAnsi="Cambria Math" w:cs="Times New Roman"/>
                <w:i/>
                <w:iCs/>
                <w:szCs w:val="24"/>
              </w:rPr>
            </m:ctrlPr>
          </m:sub>
        </m:sSub>
      </m:oMath>
      <w:r>
        <w:rPr>
          <w:rFonts w:cs="Times New Roman"/>
          <w:i/>
          <w:iCs/>
          <w:szCs w:val="24"/>
        </w:rPr>
        <w:t xml:space="preserve">          </w:t>
      </w:r>
      <w:r>
        <w:rPr>
          <w:rFonts w:cs="Times New Roman"/>
        </w:rPr>
        <w:t>（4.5.4-4）</w:t>
      </w:r>
    </w:p>
    <w:p>
      <w:pPr>
        <w:rPr>
          <w:rFonts w:cs="Times New Roman"/>
        </w:rPr>
      </w:pPr>
      <w:r>
        <w:t>式中</w:t>
      </w:r>
      <w:r>
        <w:rPr>
          <w:rFonts w:cs="Times New Roman"/>
          <w:i/>
        </w:rPr>
        <w:t>V</w:t>
      </w:r>
      <w:r>
        <w:rPr>
          <w:rFonts w:cs="Times New Roman"/>
        </w:rPr>
        <w:t>——挖槽断面工程量（m</w:t>
      </w:r>
      <w:r>
        <w:rPr>
          <w:rFonts w:cs="Times New Roman"/>
          <w:vertAlign w:val="superscript"/>
        </w:rPr>
        <w:t>3</w:t>
      </w:r>
      <w:r>
        <w:rPr>
          <w:rFonts w:cs="Times New Roman"/>
        </w:rPr>
        <w:t>）；</w:t>
      </w:r>
    </w:p>
    <w:p>
      <w:pPr>
        <w:ind w:firstLine="679" w:firstLineChars="283"/>
        <w:rPr>
          <w:rFonts w:cs="Times New Roman"/>
        </w:rPr>
      </w:pPr>
      <w:r>
        <w:rPr>
          <w:rFonts w:cs="Times New Roman"/>
          <w:bCs/>
          <w:i/>
          <w:iCs/>
        </w:rPr>
        <w:t>V</w:t>
      </w:r>
      <w:r>
        <w:rPr>
          <w:rFonts w:cs="Times New Roman"/>
          <w:bCs/>
          <w:i/>
          <w:iCs/>
          <w:vertAlign w:val="subscript"/>
        </w:rPr>
        <w:t>m</w:t>
      </w:r>
      <w:r>
        <w:rPr>
          <w:rFonts w:cs="Times New Roman"/>
        </w:rPr>
        <w:t>——无端坡时，挖槽计算底边线范围内的清淤工程量（m</w:t>
      </w:r>
      <w:r>
        <w:rPr>
          <w:rFonts w:cs="Times New Roman"/>
          <w:vertAlign w:val="superscript"/>
        </w:rPr>
        <w:t>3</w:t>
      </w:r>
      <w:r>
        <w:rPr>
          <w:rFonts w:cs="Times New Roman"/>
        </w:rPr>
        <w:t>）；</w:t>
      </w:r>
    </w:p>
    <w:p>
      <w:pPr>
        <w:ind w:firstLine="679" w:firstLineChars="283"/>
        <w:rPr>
          <w:rFonts w:cs="Times New Roman"/>
        </w:rPr>
      </w:pPr>
      <w:r>
        <w:rPr>
          <w:rFonts w:cs="Times New Roman"/>
          <w:bCs/>
          <w:i/>
          <w:iCs/>
        </w:rPr>
        <w:t>Vs</w:t>
      </w:r>
      <w:r>
        <w:rPr>
          <w:rFonts w:cs="Times New Roman"/>
        </w:rPr>
        <w:t>——无端坡时，两侧边坡的清淤工程量（m</w:t>
      </w:r>
      <w:r>
        <w:rPr>
          <w:rFonts w:cs="Times New Roman"/>
          <w:vertAlign w:val="superscript"/>
        </w:rPr>
        <w:t>3</w:t>
      </w:r>
      <w:r>
        <w:rPr>
          <w:rFonts w:cs="Times New Roman"/>
        </w:rPr>
        <w:t>）；</w:t>
      </w:r>
    </w:p>
    <w:p>
      <w:pPr>
        <w:ind w:firstLine="679" w:firstLineChars="283"/>
        <w:rPr>
          <w:rFonts w:cs="Times New Roman"/>
        </w:rPr>
      </w:pPr>
      <w:r>
        <w:rPr>
          <w:rFonts w:cs="Times New Roman"/>
          <w:bCs/>
          <w:i/>
          <w:iCs/>
        </w:rPr>
        <w:t>B'</w:t>
      </w:r>
      <w:r>
        <w:rPr>
          <w:rFonts w:cs="Times New Roman"/>
        </w:rPr>
        <w:t>——挖槽计算底宽（m）；</w:t>
      </w:r>
    </w:p>
    <w:p>
      <w:pPr>
        <w:ind w:firstLine="720" w:firstLineChars="300"/>
        <w:rPr>
          <w:rFonts w:cs="Times New Roman"/>
        </w:rPr>
      </w:pPr>
      <w:r>
        <w:rPr>
          <w:rFonts w:cs="Times New Roman"/>
          <w:i/>
        </w:rPr>
        <w:t>D</w:t>
      </w:r>
      <w:r>
        <w:rPr>
          <w:rFonts w:cs="Times New Roman"/>
        </w:rPr>
        <w:t>——挖槽底边线范围内的平均清淤厚度（m）；</w:t>
      </w:r>
    </w:p>
    <w:p>
      <w:pPr>
        <w:ind w:firstLine="720" w:firstLineChars="300"/>
        <w:rPr>
          <w:rFonts w:cs="Times New Roman"/>
        </w:rPr>
      </w:pPr>
      <w:r>
        <w:rPr>
          <w:rFonts w:cs="Times New Roman"/>
          <w:i/>
          <w:iCs/>
        </w:rPr>
        <w:t>L</w:t>
      </w:r>
      <w:r>
        <w:rPr>
          <w:rFonts w:cs="Times New Roman"/>
        </w:rPr>
        <w:t>——挖槽计算底边线的平均长度（m）；</w:t>
      </w:r>
    </w:p>
    <w:p>
      <w:pPr>
        <w:ind w:firstLine="720" w:firstLineChars="300"/>
        <w:rPr>
          <w:rFonts w:cs="Times New Roman"/>
        </w:rPr>
      </w:pPr>
      <w:r>
        <w:rPr>
          <w:rFonts w:cs="Times New Roman"/>
          <w:i/>
          <w:iCs/>
        </w:rPr>
        <w:t>B——</w:t>
      </w:r>
      <w:r>
        <w:rPr>
          <w:rFonts w:cs="Times New Roman"/>
        </w:rPr>
        <w:t>挖槽设计底宽（m）；</w:t>
      </w:r>
    </w:p>
    <w:p>
      <w:pPr>
        <w:ind w:firstLine="600" w:firstLineChars="250"/>
        <w:rPr>
          <w:rFonts w:cs="Times New Roman"/>
        </w:rPr>
      </w:pPr>
      <w:r>
        <w:rPr>
          <w:rFonts w:cs="Times New Roman"/>
          <w:bCs/>
          <w:i/>
          <w:iCs/>
        </w:rPr>
        <w:t>ΔB</w:t>
      </w:r>
      <w:r>
        <w:rPr>
          <w:rFonts w:cs="Times New Roman"/>
        </w:rPr>
        <w:t>——挖槽的计算超宽值（m）；</w:t>
      </w:r>
    </w:p>
    <w:p>
      <w:pPr>
        <w:ind w:firstLine="720" w:firstLineChars="300"/>
        <w:rPr>
          <w:rFonts w:cs="Times New Roman"/>
        </w:rPr>
      </w:pPr>
      <w:r>
        <w:rPr>
          <w:rFonts w:cs="Times New Roman"/>
          <w:bCs/>
          <w:i/>
        </w:rPr>
        <w:t>m</w:t>
      </w:r>
      <w:r>
        <w:rPr>
          <w:rFonts w:cs="Times New Roman"/>
          <w:i/>
          <w:iCs/>
        </w:rPr>
        <w:t>——</w:t>
      </w:r>
      <w:r>
        <w:rPr>
          <w:rFonts w:cs="Times New Roman"/>
        </w:rPr>
        <w:t>边坡系数</w:t>
      </w:r>
      <w:r>
        <w:rPr>
          <w:rFonts w:hint="eastAsia" w:cs="Times New Roman"/>
        </w:rPr>
        <w:t>，</w:t>
      </w:r>
      <w:r>
        <w:rPr>
          <w:rFonts w:cs="Times New Roman"/>
          <w:i/>
        </w:rPr>
        <w:t>m</w:t>
      </w:r>
      <w:r>
        <w:rPr>
          <w:rFonts w:cs="Times New Roman"/>
        </w:rPr>
        <w:t>=1/</w:t>
      </w:r>
      <w:r>
        <w:rPr>
          <w:rFonts w:cs="Times New Roman"/>
          <w:i/>
        </w:rPr>
        <w:t>k</w:t>
      </w:r>
      <w:r>
        <w:rPr>
          <w:rFonts w:cs="Times New Roman"/>
        </w:rPr>
        <w:t>(</w:t>
      </w:r>
      <w:r>
        <w:rPr>
          <w:rFonts w:cs="Times New Roman"/>
          <w:i/>
        </w:rPr>
        <w:t>k</w:t>
      </w:r>
      <w:r>
        <w:rPr>
          <w:rFonts w:hint="eastAsia" w:cs="Times New Roman"/>
        </w:rPr>
        <w:t>为坡度</w:t>
      </w:r>
      <w:r>
        <w:rPr>
          <w:rFonts w:cs="Times New Roman"/>
        </w:rPr>
        <w:t>)；</w:t>
      </w:r>
    </w:p>
    <w:p>
      <w:pPr>
        <w:ind w:firstLine="600" w:firstLineChars="250"/>
        <w:rPr>
          <w:rFonts w:cs="Times New Roman"/>
        </w:rPr>
      </w:pPr>
      <w:r>
        <w:rPr>
          <w:rFonts w:cs="Times New Roman"/>
          <w:bCs/>
          <w:i/>
          <w:iCs/>
        </w:rPr>
        <w:t>ΔH</w:t>
      </w:r>
      <w:r>
        <w:rPr>
          <w:rFonts w:cs="Times New Roman"/>
        </w:rPr>
        <w:t>——挖槽的计算超深值（m）；</w:t>
      </w:r>
    </w:p>
    <w:p>
      <w:pPr>
        <w:ind w:firstLine="600" w:firstLineChars="250"/>
        <w:rPr>
          <w:rFonts w:cs="Times New Roman"/>
        </w:rPr>
      </w:pPr>
      <w:r>
        <w:rPr>
          <w:rFonts w:cs="Times New Roman"/>
          <w:i/>
          <w:iCs/>
        </w:rPr>
        <w:t>D</w:t>
      </w:r>
      <w:r>
        <w:rPr>
          <w:rFonts w:cs="Times New Roman"/>
          <w:i/>
          <w:iCs/>
          <w:vertAlign w:val="subscript"/>
        </w:rPr>
        <w:t>l</w:t>
      </w:r>
      <w:r>
        <w:rPr>
          <w:rFonts w:cs="Times New Roman"/>
          <w:i/>
          <w:iCs/>
        </w:rPr>
        <w:t>、D</w:t>
      </w:r>
      <w:r>
        <w:rPr>
          <w:rFonts w:cs="Times New Roman"/>
          <w:i/>
          <w:iCs/>
          <w:vertAlign w:val="subscript"/>
        </w:rPr>
        <w:t>r</w:t>
      </w:r>
      <w:r>
        <w:rPr>
          <w:rFonts w:cs="Times New Roman"/>
        </w:rPr>
        <w:t>——分别为挖槽左、右计算底边线上的平均清淤厚度（m）；</w:t>
      </w:r>
    </w:p>
    <w:p>
      <w:pPr>
        <w:ind w:firstLine="600" w:firstLineChars="250"/>
        <w:rPr>
          <w:rFonts w:cs="Times New Roman"/>
        </w:rPr>
      </w:pPr>
      <w:r>
        <w:rPr>
          <w:rFonts w:cs="Times New Roman"/>
          <w:bCs/>
          <w:i/>
        </w:rPr>
        <w:t>L</w:t>
      </w:r>
      <w:r>
        <w:rPr>
          <w:rFonts w:cs="Times New Roman"/>
          <w:bCs/>
          <w:i/>
          <w:vertAlign w:val="subscript"/>
        </w:rPr>
        <w:t>l</w:t>
      </w:r>
      <w:r>
        <w:rPr>
          <w:rFonts w:cs="Times New Roman"/>
          <w:i/>
          <w:iCs/>
        </w:rPr>
        <w:t>、</w:t>
      </w:r>
      <w:r>
        <w:rPr>
          <w:rFonts w:cs="Times New Roman"/>
          <w:bCs/>
          <w:i/>
        </w:rPr>
        <w:t>L</w:t>
      </w:r>
      <w:r>
        <w:rPr>
          <w:rFonts w:cs="Times New Roman"/>
          <w:bCs/>
          <w:i/>
          <w:vertAlign w:val="subscript"/>
        </w:rPr>
        <w:t>r</w:t>
      </w:r>
      <w:r>
        <w:rPr>
          <w:rFonts w:cs="Times New Roman"/>
        </w:rPr>
        <w:t>——分别为挖槽左、右计算底边线的长度（m）。</w:t>
      </w:r>
    </w:p>
    <w:p>
      <w:pPr>
        <w:ind w:firstLine="482" w:firstLineChars="200"/>
      </w:pPr>
      <w:r>
        <w:rPr>
          <w:rFonts w:hint="eastAsia"/>
          <w:b/>
          <w:bCs/>
        </w:rPr>
        <w:t>3</w:t>
      </w:r>
      <w:r>
        <w:rPr>
          <w:b/>
          <w:bCs/>
        </w:rPr>
        <w:t xml:space="preserve">  </w:t>
      </w:r>
      <w:r>
        <w:t>挖槽端部有端坡时，挖槽断面工程量应按下列公式计算：</w:t>
      </w:r>
      <w:bookmarkStart w:id="44" w:name="bookmark0"/>
    </w:p>
    <w:p>
      <w:pPr>
        <w:tabs>
          <w:tab w:val="center" w:pos="5252"/>
        </w:tabs>
        <w:ind w:firstLine="2198" w:firstLineChars="916"/>
        <w:jc w:val="right"/>
        <w:rPr>
          <w:rFonts w:cs="Times New Roman"/>
          <w:szCs w:val="24"/>
        </w:rPr>
      </w:pPr>
      <w:r>
        <w:rPr>
          <w:rFonts w:cs="Times New Roman"/>
          <w:bCs/>
          <w:i/>
          <w:szCs w:val="24"/>
        </w:rPr>
        <w:t>V</w:t>
      </w:r>
      <w:r>
        <w:rPr>
          <w:rFonts w:cs="Times New Roman"/>
          <w:iCs/>
          <w:szCs w:val="24"/>
        </w:rPr>
        <w:t>=</w:t>
      </w:r>
      <w:r>
        <w:rPr>
          <w:rStyle w:val="59"/>
          <w:rFonts w:ascii="Times New Roman" w:hAnsi="Times New Roman" w:cs="Times New Roman"/>
          <w:b w:val="0"/>
          <w:bCs w:val="0"/>
          <w:iCs w:val="0"/>
          <w:color w:val="000000"/>
          <w:sz w:val="24"/>
          <w:szCs w:val="24"/>
          <w:lang w:eastAsia="en-US"/>
        </w:rPr>
        <w:t>V</w:t>
      </w:r>
      <w:r>
        <w:rPr>
          <w:rStyle w:val="59"/>
          <w:rFonts w:ascii="Times New Roman" w:hAnsi="Times New Roman" w:cs="Times New Roman"/>
          <w:b w:val="0"/>
          <w:bCs w:val="0"/>
          <w:color w:val="000000"/>
          <w:sz w:val="24"/>
          <w:szCs w:val="24"/>
          <w:lang w:eastAsia="en-US"/>
        </w:rPr>
        <w:t>'</w:t>
      </w:r>
      <w:r>
        <w:rPr>
          <w:rStyle w:val="59"/>
          <w:rFonts w:ascii="Times New Roman" w:hAnsi="Times New Roman" w:cs="Times New Roman"/>
          <w:b w:val="0"/>
          <w:bCs w:val="0"/>
          <w:color w:val="000000"/>
          <w:sz w:val="24"/>
          <w:szCs w:val="24"/>
          <w:vertAlign w:val="subscript"/>
          <w:lang w:eastAsia="en-US"/>
        </w:rPr>
        <w:t>m</w:t>
      </w:r>
      <w:r>
        <w:rPr>
          <w:rFonts w:cs="Times New Roman"/>
          <w:iCs/>
          <w:szCs w:val="24"/>
        </w:rPr>
        <w:t>+</w:t>
      </w:r>
      <w:r>
        <w:rPr>
          <w:rStyle w:val="59"/>
          <w:rFonts w:ascii="Times New Roman" w:hAnsi="Times New Roman" w:cs="Times New Roman"/>
          <w:b w:val="0"/>
          <w:bCs w:val="0"/>
          <w:iCs w:val="0"/>
          <w:color w:val="000000"/>
          <w:sz w:val="24"/>
          <w:szCs w:val="24"/>
          <w:lang w:eastAsia="en-US"/>
        </w:rPr>
        <w:t>V'</w:t>
      </w:r>
      <w:r>
        <w:rPr>
          <w:rStyle w:val="59"/>
          <w:rFonts w:ascii="Times New Roman" w:hAnsi="Times New Roman" w:cs="Times New Roman"/>
          <w:b w:val="0"/>
          <w:bCs w:val="0"/>
          <w:iCs w:val="0"/>
          <w:color w:val="000000"/>
          <w:sz w:val="24"/>
          <w:szCs w:val="24"/>
          <w:vertAlign w:val="subscript"/>
          <w:lang w:eastAsia="en-US"/>
        </w:rPr>
        <w:t>s</w:t>
      </w:r>
      <w:r>
        <w:rPr>
          <w:rFonts w:cs="Times New Roman"/>
          <w:iCs/>
          <w:szCs w:val="24"/>
        </w:rPr>
        <w:t>+</w:t>
      </w:r>
      <w:r>
        <w:rPr>
          <w:rStyle w:val="61"/>
          <w:rFonts w:ascii="Times New Roman" w:hAnsi="Times New Roman" w:cs="Times New Roman"/>
          <w:b w:val="0"/>
          <w:bCs w:val="0"/>
          <w:iCs w:val="0"/>
          <w:color w:val="000000"/>
          <w:sz w:val="24"/>
          <w:szCs w:val="24"/>
          <w:lang w:eastAsia="en-US"/>
        </w:rPr>
        <w:t>V'</w:t>
      </w:r>
      <w:r>
        <w:rPr>
          <w:rStyle w:val="61"/>
          <w:rFonts w:ascii="Times New Roman" w:hAnsi="Times New Roman" w:cs="Times New Roman"/>
          <w:b w:val="0"/>
          <w:bCs w:val="0"/>
          <w:iCs w:val="0"/>
          <w:color w:val="000000"/>
          <w:sz w:val="24"/>
          <w:szCs w:val="24"/>
          <w:vertAlign w:val="subscript"/>
          <w:lang w:eastAsia="en-US"/>
        </w:rPr>
        <w:t>E</w:t>
      </w:r>
      <w:r>
        <w:rPr>
          <w:rStyle w:val="61"/>
          <w:rFonts w:ascii="Times New Roman" w:hAnsi="Times New Roman" w:cs="Times New Roman"/>
          <w:b w:val="0"/>
          <w:bCs w:val="0"/>
          <w:i w:val="0"/>
          <w:iCs w:val="0"/>
          <w:color w:val="000000"/>
          <w:sz w:val="24"/>
          <w:szCs w:val="24"/>
          <w:lang w:eastAsia="en-US"/>
        </w:rPr>
        <w:t xml:space="preserve">  </w:t>
      </w:r>
      <w:r>
        <w:rPr>
          <w:rStyle w:val="61"/>
          <w:rFonts w:ascii="Times New Roman" w:hAnsi="Times New Roman" w:cs="Times New Roman"/>
          <w:b w:val="0"/>
          <w:bCs w:val="0"/>
          <w:i w:val="0"/>
          <w:iCs w:val="0"/>
          <w:color w:val="000000"/>
          <w:szCs w:val="24"/>
          <w:lang w:eastAsia="en-US"/>
        </w:rPr>
        <w:t xml:space="preserve">                           </w:t>
      </w:r>
      <w:r>
        <w:rPr>
          <w:rFonts w:cs="Times New Roman"/>
          <w:bCs/>
          <w:szCs w:val="24"/>
        </w:rPr>
        <w:t>（4.5.4-5）</w:t>
      </w:r>
    </w:p>
    <w:bookmarkEnd w:id="44"/>
    <w:p>
      <w:pPr>
        <w:ind w:firstLine="2119" w:firstLineChars="757"/>
        <w:jc w:val="right"/>
        <w:rPr>
          <w:rFonts w:cs="Times New Roman"/>
          <w:szCs w:val="24"/>
        </w:rPr>
      </w:pPr>
      <w:r>
        <w:rPr>
          <w:rStyle w:val="59"/>
          <w:rFonts w:ascii="Times New Roman" w:hAnsi="Times New Roman" w:cs="Times New Roman"/>
          <w:b w:val="0"/>
          <w:bCs w:val="0"/>
          <w:iCs w:val="0"/>
          <w:color w:val="000000"/>
          <w:sz w:val="24"/>
          <w:szCs w:val="24"/>
          <w:lang w:eastAsia="en-US"/>
        </w:rPr>
        <w:t>V'</w:t>
      </w:r>
      <w:r>
        <w:rPr>
          <w:rStyle w:val="59"/>
          <w:rFonts w:ascii="Times New Roman" w:hAnsi="Times New Roman" w:cs="Times New Roman"/>
          <w:b w:val="0"/>
          <w:bCs w:val="0"/>
          <w:iCs w:val="0"/>
          <w:color w:val="000000"/>
          <w:sz w:val="24"/>
          <w:szCs w:val="24"/>
          <w:vertAlign w:val="subscript"/>
          <w:lang w:eastAsia="en-US"/>
        </w:rPr>
        <w:t>m</w:t>
      </w:r>
      <w:r>
        <w:rPr>
          <w:rStyle w:val="59"/>
          <w:rFonts w:ascii="Times New Roman" w:hAnsi="Times New Roman" w:cs="Times New Roman"/>
          <w:b w:val="0"/>
          <w:color w:val="000000"/>
          <w:sz w:val="24"/>
          <w:szCs w:val="24"/>
          <w:lang w:eastAsia="en-US"/>
        </w:rPr>
        <w:t>=</w:t>
      </w:r>
      <w:r>
        <w:rPr>
          <w:rStyle w:val="59"/>
          <w:rFonts w:ascii="Times New Roman" w:hAnsi="Times New Roman" w:cs="Times New Roman"/>
          <w:b w:val="0"/>
          <w:bCs w:val="0"/>
          <w:iCs w:val="0"/>
          <w:color w:val="000000"/>
          <w:sz w:val="24"/>
          <w:szCs w:val="24"/>
          <w:lang w:eastAsia="en-US"/>
        </w:rPr>
        <w:t>B</w:t>
      </w:r>
      <w:r>
        <w:rPr>
          <w:rStyle w:val="59"/>
          <w:rFonts w:ascii="Times New Roman" w:hAnsi="Times New Roman" w:cs="Times New Roman"/>
          <w:b w:val="0"/>
          <w:iCs w:val="0"/>
          <w:color w:val="000000"/>
          <w:sz w:val="24"/>
          <w:szCs w:val="24"/>
          <w:lang w:eastAsia="en-US"/>
        </w:rPr>
        <w:t>'</w:t>
      </w:r>
      <w:r>
        <w:rPr>
          <w:rFonts w:cs="Times New Roman"/>
          <w:i/>
          <w:iCs/>
          <w:szCs w:val="24"/>
        </w:rPr>
        <w:t>×</w:t>
      </w:r>
      <w:r>
        <w:rPr>
          <w:rStyle w:val="64"/>
          <w:rFonts w:ascii="Times New Roman" w:hAnsi="Times New Roman" w:cs="Times New Roman"/>
          <w:b w:val="0"/>
          <w:bCs w:val="0"/>
          <w:iCs w:val="0"/>
          <w:color w:val="000000"/>
          <w:sz w:val="24"/>
          <w:szCs w:val="24"/>
          <w:lang w:eastAsia="en-US"/>
        </w:rPr>
        <w:t>D</w:t>
      </w:r>
      <w:r>
        <w:rPr>
          <w:rFonts w:cs="Times New Roman"/>
          <w:i/>
          <w:iCs/>
          <w:szCs w:val="24"/>
        </w:rPr>
        <w:t>×</w:t>
      </w:r>
      <w:r>
        <w:rPr>
          <w:rStyle w:val="64"/>
          <w:rFonts w:ascii="Times New Roman" w:hAnsi="Times New Roman" w:cs="Times New Roman"/>
          <w:b w:val="0"/>
          <w:i w:val="0"/>
          <w:color w:val="000000"/>
          <w:sz w:val="24"/>
          <w:szCs w:val="24"/>
          <w:lang w:eastAsia="en-US"/>
        </w:rPr>
        <w:t>[</w:t>
      </w:r>
      <w:r>
        <w:rPr>
          <w:rStyle w:val="64"/>
          <w:rFonts w:ascii="Times New Roman" w:hAnsi="Times New Roman" w:cs="Times New Roman"/>
          <w:b w:val="0"/>
          <w:color w:val="000000"/>
          <w:sz w:val="24"/>
          <w:szCs w:val="24"/>
          <w:lang w:eastAsia="en-US"/>
        </w:rPr>
        <w:t>L+</w:t>
      </w:r>
      <w:r>
        <w:rPr>
          <w:rFonts w:cs="Times New Roman"/>
          <w:i/>
          <w:szCs w:val="24"/>
        </w:rPr>
        <w:t>2</w:t>
      </w:r>
      <w:r>
        <w:rPr>
          <w:rStyle w:val="64"/>
          <w:rFonts w:ascii="Times New Roman" w:hAnsi="Times New Roman" w:cs="Times New Roman"/>
          <w:b w:val="0"/>
          <w:bCs w:val="0"/>
          <w:i w:val="0"/>
          <w:iCs w:val="0"/>
          <w:color w:val="000000"/>
          <w:sz w:val="24"/>
          <w:szCs w:val="24"/>
        </w:rPr>
        <w:t>(</w:t>
      </w:r>
      <w:r>
        <w:rPr>
          <w:rStyle w:val="59"/>
          <w:rFonts w:ascii="Times New Roman" w:hAnsi="Times New Roman" w:cs="Times New Roman"/>
          <w:b w:val="0"/>
          <w:bCs w:val="0"/>
          <w:iCs w:val="0"/>
          <w:color w:val="000000"/>
          <w:sz w:val="24"/>
          <w:szCs w:val="24"/>
        </w:rPr>
        <w:t>Δ</w:t>
      </w:r>
      <w:r>
        <w:rPr>
          <w:rStyle w:val="64"/>
          <w:rFonts w:ascii="Times New Roman" w:hAnsi="Times New Roman" w:cs="Times New Roman"/>
          <w:b w:val="0"/>
          <w:bCs w:val="0"/>
          <w:iCs w:val="0"/>
          <w:color w:val="000000"/>
          <w:sz w:val="24"/>
          <w:szCs w:val="24"/>
          <w:lang w:eastAsia="en-US"/>
        </w:rPr>
        <w:t>L</w:t>
      </w:r>
      <w:r>
        <w:rPr>
          <w:rStyle w:val="64"/>
          <w:rFonts w:ascii="Times New Roman" w:hAnsi="Times New Roman" w:cs="Times New Roman"/>
          <w:b w:val="0"/>
          <w:color w:val="000000"/>
          <w:sz w:val="24"/>
          <w:szCs w:val="24"/>
          <w:lang w:eastAsia="en-US"/>
        </w:rPr>
        <w:t>-</w:t>
      </w:r>
      <w:r>
        <w:rPr>
          <w:rStyle w:val="64"/>
          <w:rFonts w:ascii="Times New Roman" w:hAnsi="Times New Roman" w:cs="Times New Roman"/>
          <w:b w:val="0"/>
          <w:bCs w:val="0"/>
          <w:iCs w:val="0"/>
          <w:color w:val="000000"/>
          <w:sz w:val="24"/>
          <w:szCs w:val="24"/>
          <w:lang w:eastAsia="en-US"/>
        </w:rPr>
        <w:t>m</w:t>
      </w:r>
      <w:r>
        <w:rPr>
          <w:rFonts w:cs="Times New Roman"/>
          <w:i/>
          <w:iCs/>
          <w:szCs w:val="24"/>
        </w:rPr>
        <w:t>×</w:t>
      </w:r>
      <w:r>
        <w:rPr>
          <w:rStyle w:val="59"/>
          <w:rFonts w:ascii="Times New Roman" w:hAnsi="Times New Roman" w:cs="Times New Roman"/>
          <w:b w:val="0"/>
          <w:bCs w:val="0"/>
          <w:iCs w:val="0"/>
          <w:color w:val="000000"/>
          <w:sz w:val="24"/>
          <w:szCs w:val="24"/>
        </w:rPr>
        <w:t>Δ</w:t>
      </w:r>
      <w:r>
        <w:rPr>
          <w:rStyle w:val="64"/>
          <w:rFonts w:ascii="Times New Roman" w:hAnsi="Times New Roman" w:cs="Times New Roman"/>
          <w:b w:val="0"/>
          <w:bCs w:val="0"/>
          <w:iCs w:val="0"/>
          <w:color w:val="000000"/>
          <w:sz w:val="24"/>
          <w:szCs w:val="24"/>
          <w:lang w:eastAsia="en-US"/>
        </w:rPr>
        <w:t>H</w:t>
      </w:r>
      <w:r>
        <w:rPr>
          <w:rStyle w:val="64"/>
          <w:rFonts w:ascii="Times New Roman" w:hAnsi="Times New Roman" w:cs="Times New Roman"/>
          <w:b w:val="0"/>
          <w:bCs w:val="0"/>
          <w:i w:val="0"/>
          <w:iCs w:val="0"/>
          <w:color w:val="000000"/>
          <w:sz w:val="24"/>
          <w:szCs w:val="24"/>
        </w:rPr>
        <w:t>)</w:t>
      </w:r>
      <w:r>
        <w:rPr>
          <w:rStyle w:val="64"/>
          <w:rFonts w:ascii="Times New Roman" w:hAnsi="Times New Roman" w:cs="Times New Roman"/>
          <w:b w:val="0"/>
          <w:bCs w:val="0"/>
          <w:i w:val="0"/>
          <w:iCs w:val="0"/>
          <w:color w:val="000000"/>
          <w:sz w:val="24"/>
          <w:szCs w:val="24"/>
          <w:lang w:eastAsia="en-US"/>
        </w:rPr>
        <w:t xml:space="preserve">]     </w:t>
      </w:r>
      <w:r>
        <w:rPr>
          <w:rFonts w:hint="eastAsia" w:cs="Times New Roman"/>
          <w:bCs/>
          <w:szCs w:val="24"/>
        </w:rPr>
        <w:t>（</w:t>
      </w:r>
      <w:r>
        <w:rPr>
          <w:rFonts w:cs="Times New Roman"/>
          <w:bCs/>
          <w:szCs w:val="24"/>
        </w:rPr>
        <w:t>4.5.4-6</w:t>
      </w:r>
      <w:r>
        <w:rPr>
          <w:rFonts w:hint="eastAsia" w:cs="Times New Roman"/>
          <w:bCs/>
          <w:szCs w:val="24"/>
        </w:rPr>
        <w:t>）</w:t>
      </w:r>
    </w:p>
    <w:p>
      <w:pPr>
        <w:ind w:firstLine="229" w:firstLineChars="82"/>
        <w:jc w:val="left"/>
        <w:rPr>
          <w:rStyle w:val="63"/>
          <w:rFonts w:ascii="Times New Roman" w:hAnsi="Times New Roman" w:cs="Times New Roman"/>
          <w:b w:val="0"/>
          <w:i w:val="0"/>
          <w:sz w:val="24"/>
          <w:szCs w:val="24"/>
        </w:rPr>
      </w:pPr>
      <w:r>
        <w:rPr>
          <w:rStyle w:val="59"/>
          <w:rFonts w:ascii="Times New Roman" w:hAnsi="Times New Roman" w:cs="Times New Roman"/>
          <w:b w:val="0"/>
          <w:bCs w:val="0"/>
          <w:iCs w:val="0"/>
          <w:color w:val="000000"/>
          <w:sz w:val="24"/>
          <w:szCs w:val="24"/>
          <w:lang w:eastAsia="en-US"/>
        </w:rPr>
        <w:t>V'</w:t>
      </w:r>
      <w:r>
        <w:rPr>
          <w:rStyle w:val="59"/>
          <w:rFonts w:ascii="Times New Roman" w:hAnsi="Times New Roman" w:cs="Times New Roman"/>
          <w:b w:val="0"/>
          <w:bCs w:val="0"/>
          <w:iCs w:val="0"/>
          <w:color w:val="000000"/>
          <w:sz w:val="24"/>
          <w:szCs w:val="24"/>
          <w:vertAlign w:val="subscript"/>
          <w:lang w:eastAsia="en-US"/>
        </w:rPr>
        <w:t>s</w:t>
      </w:r>
      <w:r>
        <w:rPr>
          <w:rStyle w:val="59"/>
          <w:rFonts w:ascii="Times New Roman" w:hAnsi="Times New Roman" w:cs="Times New Roman"/>
          <w:b w:val="0"/>
          <w:color w:val="000000"/>
          <w:sz w:val="24"/>
          <w:szCs w:val="24"/>
          <w:lang w:eastAsia="en-US"/>
        </w:rPr>
        <w:t>=</w:t>
      </w:r>
      <m:oMath>
        <m:f>
          <m:fPr>
            <m:ctrlPr>
              <w:rPr>
                <w:rFonts w:ascii="Cambria Math" w:hAnsi="Cambria Math" w:cs="Times New Roman"/>
                <w:iCs/>
                <w:szCs w:val="24"/>
              </w:rPr>
            </m:ctrlPr>
          </m:fPr>
          <m:num>
            <m:r>
              <m:rPr>
                <m:sty m:val="p"/>
              </m:rPr>
              <w:rPr>
                <w:rFonts w:hint="eastAsia" w:ascii="Cambria Math" w:hAnsi="Cambria Math" w:cs="Times New Roman"/>
                <w:szCs w:val="24"/>
              </w:rPr>
              <m:t>1</m:t>
            </m:r>
            <m:ctrlPr>
              <w:rPr>
                <w:rFonts w:ascii="Cambria Math" w:hAnsi="Cambria Math" w:cs="Times New Roman"/>
                <w:iCs/>
                <w:szCs w:val="24"/>
              </w:rPr>
            </m:ctrlPr>
          </m:num>
          <m:den>
            <m:r>
              <m:rPr>
                <m:sty m:val="p"/>
              </m:rPr>
              <w:rPr>
                <w:rFonts w:hint="eastAsia" w:ascii="Cambria Math" w:hAnsi="Cambria Math" w:cs="Times New Roman"/>
                <w:szCs w:val="24"/>
              </w:rPr>
              <m:t>2</m:t>
            </m:r>
            <m:ctrlPr>
              <w:rPr>
                <w:rFonts w:ascii="Cambria Math" w:hAnsi="Cambria Math" w:cs="Times New Roman"/>
                <w:iCs/>
                <w:szCs w:val="24"/>
              </w:rPr>
            </m:ctrlPr>
          </m:den>
        </m:f>
        <m:r>
          <w:rPr>
            <w:rFonts w:ascii="Cambria Math" w:hAnsi="Cambria Math" w:cs="Times New Roman"/>
            <w:szCs w:val="24"/>
          </w:rPr>
          <m:t>×</m:t>
        </m:r>
      </m:oMath>
      <w:r>
        <w:rPr>
          <w:rFonts w:cs="Times New Roman"/>
          <w:i/>
          <w:iCs/>
          <w:szCs w:val="24"/>
        </w:rPr>
        <w:t>m×</w:t>
      </w:r>
      <m:oMath>
        <m:sSubSup>
          <m:sSubSupPr>
            <m:ctrlPr>
              <w:rPr>
                <w:rFonts w:ascii="Cambria Math" w:hAnsi="Cambria Math" w:cs="Times New Roman"/>
                <w:i/>
                <w:iCs/>
                <w:szCs w:val="24"/>
              </w:rPr>
            </m:ctrlPr>
          </m:sSubSupPr>
          <m:e>
            <m:r>
              <w:rPr>
                <w:rFonts w:ascii="Cambria Math" w:hAnsi="Cambria Math" w:cs="Times New Roman"/>
                <w:szCs w:val="24"/>
              </w:rPr>
              <m:t>D</m:t>
            </m:r>
            <m:ctrlPr>
              <w:rPr>
                <w:rFonts w:ascii="Cambria Math" w:hAnsi="Cambria Math" w:cs="Times New Roman"/>
                <w:i/>
                <w:iCs/>
                <w:szCs w:val="24"/>
              </w:rPr>
            </m:ctrlPr>
          </m:e>
          <m:sub>
            <m:r>
              <w:rPr>
                <w:rFonts w:ascii="Cambria Math" w:hAnsi="Cambria Math" w:cs="Times New Roman"/>
                <w:szCs w:val="24"/>
              </w:rPr>
              <m:t>l</m:t>
            </m:r>
            <m:ctrlPr>
              <w:rPr>
                <w:rFonts w:ascii="Cambria Math" w:hAnsi="Cambria Math" w:cs="Times New Roman"/>
                <w:i/>
                <w:iCs/>
                <w:szCs w:val="24"/>
              </w:rPr>
            </m:ctrlPr>
          </m:sub>
          <m:sup>
            <m:r>
              <w:rPr>
                <w:rFonts w:ascii="Cambria Math" w:hAnsi="Cambria Math" w:cs="Times New Roman"/>
                <w:szCs w:val="24"/>
              </w:rPr>
              <m:t>2</m:t>
            </m:r>
            <m:ctrlPr>
              <w:rPr>
                <w:rFonts w:ascii="Cambria Math" w:hAnsi="Cambria Math" w:cs="Times New Roman"/>
                <w:i/>
                <w:iCs/>
                <w:szCs w:val="24"/>
              </w:rPr>
            </m:ctrlPr>
          </m:sup>
        </m:sSubSup>
      </m:oMath>
      <w:r>
        <w:rPr>
          <w:rFonts w:cs="Times New Roman"/>
          <w:i/>
          <w:iCs/>
          <w:szCs w:val="24"/>
        </w:rPr>
        <w:t>×</w:t>
      </w:r>
      <m:oMath>
        <m:sSub>
          <m:sSubPr>
            <m:ctrlPr>
              <w:rPr>
                <w:rFonts w:ascii="Cambria Math" w:hAnsi="Cambria Math" w:cs="Times New Roman"/>
                <w:i/>
                <w:iCs/>
                <w:szCs w:val="24"/>
              </w:rPr>
            </m:ctrlPr>
          </m:sSubPr>
          <m:e>
            <m:r>
              <w:rPr>
                <w:rFonts w:ascii="Cambria Math" w:hAnsi="Cambria Math" w:cs="Times New Roman"/>
                <w:szCs w:val="24"/>
              </w:rPr>
              <m:t>[L</m:t>
            </m:r>
            <m:ctrlPr>
              <w:rPr>
                <w:rFonts w:ascii="Cambria Math" w:hAnsi="Cambria Math" w:cs="Times New Roman"/>
                <w:i/>
                <w:iCs/>
                <w:szCs w:val="24"/>
              </w:rPr>
            </m:ctrlPr>
          </m:e>
          <m:sub>
            <m:r>
              <w:rPr>
                <w:rFonts w:ascii="Cambria Math" w:hAnsi="Cambria Math" w:cs="Times New Roman"/>
                <w:szCs w:val="24"/>
              </w:rPr>
              <m:t>l</m:t>
            </m:r>
            <m:ctrlPr>
              <w:rPr>
                <w:rFonts w:ascii="Cambria Math" w:hAnsi="Cambria Math" w:cs="Times New Roman"/>
                <w:i/>
                <w:iCs/>
                <w:szCs w:val="24"/>
              </w:rPr>
            </m:ctrlPr>
          </m:sub>
        </m:sSub>
        <m:r>
          <w:rPr>
            <w:rFonts w:ascii="Cambria Math" w:hAnsi="Cambria Math" w:cs="Times New Roman"/>
            <w:szCs w:val="24"/>
          </w:rPr>
          <m:t>+2</m:t>
        </m:r>
        <m:r>
          <m:rPr>
            <m:sty m:val="p"/>
          </m:rPr>
          <w:rPr>
            <w:rFonts w:hint="eastAsia" w:ascii="Cambria Math" w:hAnsi="Cambria Math" w:cs="Times New Roman"/>
            <w:szCs w:val="24"/>
          </w:rPr>
          <m:t>（</m:t>
        </m:r>
        <m:r>
          <m:rPr>
            <m:sty m:val="p"/>
          </m:rPr>
          <w:rPr>
            <w:rStyle w:val="59"/>
            <w:rFonts w:ascii="Cambria Math" w:hAnsi="Cambria Math" w:cs="Times New Roman"/>
            <w:color w:val="000000"/>
            <w:sz w:val="24"/>
            <w:szCs w:val="24"/>
          </w:rPr>
          <m:t>Δ</m:t>
        </m:r>
        <m:r>
          <w:rPr>
            <w:rFonts w:ascii="Cambria Math" w:hAnsi="Cambria Math" w:cs="Times New Roman"/>
            <w:szCs w:val="24"/>
          </w:rPr>
          <m:t>L+m</m:t>
        </m:r>
        <m:r>
          <w:rPr>
            <w:rFonts w:hint="eastAsia" w:ascii="Cambria Math" w:hAnsi="Cambria Math" w:cs="Times New Roman"/>
            <w:szCs w:val="24"/>
          </w:rPr>
          <m:t>×</m:t>
        </m:r>
        <m:r>
          <m:rPr>
            <m:sty m:val="p"/>
          </m:rPr>
          <w:rPr>
            <w:rStyle w:val="59"/>
            <w:rFonts w:ascii="Cambria Math" w:hAnsi="Cambria Math" w:cs="Times New Roman"/>
            <w:color w:val="000000"/>
            <w:sz w:val="24"/>
            <w:szCs w:val="24"/>
          </w:rPr>
          <m:t>Δ</m:t>
        </m:r>
        <m:r>
          <w:rPr>
            <w:rFonts w:ascii="Cambria Math" w:hAnsi="Cambria Math" w:cs="Times New Roman"/>
            <w:szCs w:val="24"/>
          </w:rPr>
          <m:t>H</m:t>
        </m:r>
        <m:r>
          <m:rPr>
            <m:sty m:val="p"/>
          </m:rPr>
          <w:rPr>
            <w:rFonts w:hint="eastAsia" w:ascii="Cambria Math" w:hAnsi="Cambria Math" w:cs="Times New Roman"/>
            <w:szCs w:val="24"/>
          </w:rPr>
          <m:t>）</m:t>
        </m:r>
      </m:oMath>
      <w:r>
        <w:rPr>
          <w:rFonts w:cs="Times New Roman"/>
          <w:i/>
          <w:iCs/>
          <w:szCs w:val="24"/>
        </w:rPr>
        <w:t>+</w:t>
      </w:r>
      <m:oMath>
        <m:f>
          <m:fPr>
            <m:ctrlPr>
              <w:rPr>
                <w:rFonts w:ascii="Cambria Math" w:hAnsi="Cambria Math" w:cs="Times New Roman"/>
                <w:iCs/>
                <w:szCs w:val="24"/>
              </w:rPr>
            </m:ctrlPr>
          </m:fPr>
          <m:num>
            <m:r>
              <m:rPr>
                <m:sty m:val="p"/>
              </m:rPr>
              <w:rPr>
                <w:rFonts w:hint="eastAsia" w:ascii="Cambria Math" w:hAnsi="Cambria Math" w:cs="Times New Roman"/>
                <w:szCs w:val="24"/>
              </w:rPr>
              <m:t>1</m:t>
            </m:r>
            <m:ctrlPr>
              <w:rPr>
                <w:rFonts w:ascii="Cambria Math" w:hAnsi="Cambria Math" w:cs="Times New Roman"/>
                <w:iCs/>
                <w:szCs w:val="24"/>
              </w:rPr>
            </m:ctrlPr>
          </m:num>
          <m:den>
            <m:r>
              <m:rPr>
                <m:sty m:val="p"/>
              </m:rPr>
              <w:rPr>
                <w:rFonts w:hint="eastAsia" w:ascii="Cambria Math" w:hAnsi="Cambria Math" w:cs="Times New Roman"/>
                <w:szCs w:val="24"/>
              </w:rPr>
              <m:t>2</m:t>
            </m:r>
            <m:ctrlPr>
              <w:rPr>
                <w:rFonts w:ascii="Cambria Math" w:hAnsi="Cambria Math" w:cs="Times New Roman"/>
                <w:iCs/>
                <w:szCs w:val="24"/>
              </w:rPr>
            </m:ctrlPr>
          </m:den>
        </m:f>
        <m:r>
          <w:rPr>
            <w:rFonts w:ascii="Cambria Math" w:hAnsi="Cambria Math" w:cs="Times New Roman"/>
            <w:szCs w:val="24"/>
          </w:rPr>
          <m:t>×</m:t>
        </m:r>
      </m:oMath>
      <w:r>
        <w:rPr>
          <w:rFonts w:cs="Times New Roman"/>
          <w:i/>
          <w:iCs/>
          <w:szCs w:val="24"/>
        </w:rPr>
        <w:t>m×</w:t>
      </w:r>
      <m:oMath>
        <m:sSubSup>
          <m:sSubSupPr>
            <m:ctrlPr>
              <w:rPr>
                <w:rFonts w:ascii="Cambria Math" w:hAnsi="Cambria Math" w:cs="Times New Roman"/>
                <w:i/>
                <w:iCs/>
                <w:szCs w:val="24"/>
              </w:rPr>
            </m:ctrlPr>
          </m:sSubSupPr>
          <m:e>
            <m:r>
              <w:rPr>
                <w:rFonts w:ascii="Cambria Math" w:hAnsi="Cambria Math" w:cs="Times New Roman"/>
                <w:szCs w:val="24"/>
              </w:rPr>
              <m:t>D</m:t>
            </m:r>
            <m:ctrlPr>
              <w:rPr>
                <w:rFonts w:ascii="Cambria Math" w:hAnsi="Cambria Math" w:cs="Times New Roman"/>
                <w:i/>
                <w:iCs/>
                <w:szCs w:val="24"/>
              </w:rPr>
            </m:ctrlPr>
          </m:e>
          <m:sub>
            <m:r>
              <w:rPr>
                <w:rFonts w:ascii="Cambria Math" w:hAnsi="Cambria Math" w:cs="Times New Roman"/>
                <w:szCs w:val="24"/>
              </w:rPr>
              <m:t>r</m:t>
            </m:r>
            <m:ctrlPr>
              <w:rPr>
                <w:rFonts w:ascii="Cambria Math" w:hAnsi="Cambria Math" w:cs="Times New Roman"/>
                <w:i/>
                <w:iCs/>
                <w:szCs w:val="24"/>
              </w:rPr>
            </m:ctrlPr>
          </m:sub>
          <m:sup>
            <m:r>
              <w:rPr>
                <w:rFonts w:ascii="Cambria Math" w:hAnsi="Cambria Math" w:cs="Times New Roman"/>
                <w:szCs w:val="24"/>
              </w:rPr>
              <m:t>2</m:t>
            </m:r>
            <m:ctrlPr>
              <w:rPr>
                <w:rFonts w:ascii="Cambria Math" w:hAnsi="Cambria Math" w:cs="Times New Roman"/>
                <w:i/>
                <w:iCs/>
                <w:szCs w:val="24"/>
              </w:rPr>
            </m:ctrlPr>
          </m:sup>
        </m:sSubSup>
      </m:oMath>
      <w:r>
        <w:rPr>
          <w:rFonts w:cs="Times New Roman"/>
          <w:i/>
          <w:iCs/>
          <w:szCs w:val="24"/>
        </w:rPr>
        <w:t>×</w:t>
      </w:r>
      <m:oMath>
        <m:sSub>
          <m:sSubPr>
            <m:ctrlPr>
              <w:rPr>
                <w:rFonts w:ascii="Cambria Math" w:hAnsi="Cambria Math" w:cs="Times New Roman"/>
                <w:i/>
                <w:iCs/>
                <w:szCs w:val="24"/>
              </w:rPr>
            </m:ctrlPr>
          </m:sSubPr>
          <m:e>
            <m:r>
              <w:rPr>
                <w:rFonts w:ascii="Cambria Math" w:hAnsi="Cambria Math" w:cs="Times New Roman"/>
                <w:szCs w:val="24"/>
              </w:rPr>
              <m:t>[L</m:t>
            </m:r>
            <m:ctrlPr>
              <w:rPr>
                <w:rFonts w:ascii="Cambria Math" w:hAnsi="Cambria Math" w:cs="Times New Roman"/>
                <w:i/>
                <w:iCs/>
                <w:szCs w:val="24"/>
              </w:rPr>
            </m:ctrlPr>
          </m:e>
          <m:sub>
            <m:r>
              <w:rPr>
                <w:rFonts w:ascii="Cambria Math" w:hAnsi="Cambria Math" w:cs="Times New Roman"/>
                <w:szCs w:val="24"/>
              </w:rPr>
              <m:t>r</m:t>
            </m:r>
            <m:ctrlPr>
              <w:rPr>
                <w:rFonts w:ascii="Cambria Math" w:hAnsi="Cambria Math" w:cs="Times New Roman"/>
                <w:i/>
                <w:iCs/>
                <w:szCs w:val="24"/>
              </w:rPr>
            </m:ctrlPr>
          </m:sub>
        </m:sSub>
        <m:r>
          <m:rPr>
            <m:sty m:val="p"/>
          </m:rPr>
          <w:rPr>
            <w:rFonts w:ascii="Cambria Math" w:hAnsi="Cambria Math" w:cs="Times New Roman"/>
            <w:szCs w:val="24"/>
          </w:rPr>
          <m:t>+2</m:t>
        </m:r>
        <m:d>
          <m:dPr>
            <m:begChr m:val="（"/>
            <m:endChr m:val="）"/>
            <m:ctrlPr>
              <w:rPr>
                <w:rFonts w:ascii="Cambria Math" w:hAnsi="Cambria Math" w:cs="Times New Roman"/>
                <w:iCs/>
                <w:szCs w:val="24"/>
              </w:rPr>
            </m:ctrlPr>
          </m:dPr>
          <m:e>
            <m:r>
              <m:rPr>
                <m:sty m:val="p"/>
              </m:rPr>
              <w:rPr>
                <w:rStyle w:val="59"/>
                <w:rFonts w:ascii="Cambria Math" w:hAnsi="Cambria Math" w:cs="Times New Roman"/>
                <w:color w:val="000000"/>
                <w:sz w:val="24"/>
                <w:szCs w:val="24"/>
              </w:rPr>
              <m:t>Δ</m:t>
            </m:r>
            <m:r>
              <w:rPr>
                <w:rFonts w:ascii="Cambria Math" w:hAnsi="Cambria Math" w:cs="Times New Roman"/>
                <w:szCs w:val="24"/>
              </w:rPr>
              <m:t>L</m:t>
            </m:r>
            <m:r>
              <m:rPr>
                <m:sty m:val="p"/>
              </m:rPr>
              <w:rPr>
                <w:rFonts w:ascii="Cambria Math" w:hAnsi="Cambria Math" w:cs="Times New Roman"/>
                <w:szCs w:val="24"/>
              </w:rPr>
              <m:t>-</m:t>
            </m:r>
            <m:r>
              <w:rPr>
                <w:rFonts w:ascii="Cambria Math" w:hAnsi="Cambria Math" w:cs="Times New Roman"/>
                <w:szCs w:val="24"/>
              </w:rPr>
              <m:t>m</m:t>
            </m:r>
            <m:r>
              <m:rPr>
                <m:sty m:val="p"/>
              </m:rPr>
              <w:rPr>
                <w:rFonts w:hint="eastAsia" w:ascii="Cambria Math" w:hAnsi="Cambria Math" w:cs="Times New Roman"/>
                <w:szCs w:val="24"/>
              </w:rPr>
              <m:t>×</m:t>
            </m:r>
            <m:r>
              <m:rPr>
                <m:sty m:val="p"/>
              </m:rPr>
              <w:rPr>
                <w:rStyle w:val="59"/>
                <w:rFonts w:ascii="Cambria Math" w:hAnsi="Cambria Math" w:cs="Times New Roman"/>
                <w:color w:val="000000"/>
                <w:sz w:val="24"/>
                <w:szCs w:val="24"/>
              </w:rPr>
              <m:t>Δ</m:t>
            </m:r>
            <m:r>
              <w:rPr>
                <w:rFonts w:ascii="Cambria Math" w:hAnsi="Cambria Math" w:cs="Times New Roman"/>
                <w:szCs w:val="24"/>
              </w:rPr>
              <m:t>H</m:t>
            </m:r>
            <m:ctrlPr>
              <w:rPr>
                <w:rFonts w:ascii="Cambria Math" w:hAnsi="Cambria Math" w:cs="Times New Roman"/>
                <w:iCs/>
                <w:szCs w:val="24"/>
              </w:rPr>
            </m:ctrlPr>
          </m:e>
        </m:d>
        <m:r>
          <m:rPr>
            <m:sty m:val="p"/>
          </m:rPr>
          <w:rPr>
            <w:rFonts w:ascii="Cambria Math" w:hAnsi="Cambria Math" w:cs="Times New Roman"/>
            <w:szCs w:val="24"/>
          </w:rPr>
          <m:t>]</m:t>
        </m:r>
      </m:oMath>
    </w:p>
    <w:p>
      <w:pPr>
        <w:ind w:firstLine="196" w:firstLineChars="82"/>
        <w:jc w:val="right"/>
        <w:rPr>
          <w:rFonts w:cs="Times New Roman"/>
          <w:bCs/>
          <w:szCs w:val="24"/>
        </w:rPr>
      </w:pPr>
      <w:r>
        <w:rPr>
          <w:rFonts w:hint="eastAsia" w:cs="Times New Roman"/>
          <w:bCs/>
          <w:szCs w:val="24"/>
        </w:rPr>
        <w:t>（</w:t>
      </w:r>
      <w:r>
        <w:rPr>
          <w:rFonts w:cs="Times New Roman"/>
          <w:bCs/>
          <w:szCs w:val="24"/>
        </w:rPr>
        <w:t>4.5.4-7</w:t>
      </w:r>
      <w:r>
        <w:rPr>
          <w:rFonts w:hint="eastAsia" w:cs="Times New Roman"/>
          <w:bCs/>
          <w:szCs w:val="24"/>
        </w:rPr>
        <w:t>）</w:t>
      </w:r>
    </w:p>
    <w:p>
      <w:pPr>
        <w:ind w:firstLine="235" w:firstLineChars="98"/>
        <w:jc w:val="right"/>
        <w:rPr>
          <w:rStyle w:val="63"/>
          <w:rFonts w:ascii="Times New Roman" w:hAnsi="Times New Roman" w:cs="Times New Roman"/>
          <w:b w:val="0"/>
          <w:i w:val="0"/>
          <w:szCs w:val="24"/>
        </w:rPr>
      </w:pPr>
      <w:r>
        <w:rPr>
          <w:rStyle w:val="61"/>
          <w:rFonts w:ascii="Times New Roman" w:hAnsi="Times New Roman" w:cs="Times New Roman"/>
          <w:b w:val="0"/>
          <w:bCs w:val="0"/>
          <w:iCs w:val="0"/>
          <w:color w:val="000000"/>
          <w:sz w:val="24"/>
          <w:szCs w:val="24"/>
          <w:lang w:eastAsia="en-US"/>
        </w:rPr>
        <w:t>V'</w:t>
      </w:r>
      <w:r>
        <w:rPr>
          <w:rStyle w:val="61"/>
          <w:rFonts w:ascii="Times New Roman" w:hAnsi="Times New Roman" w:cs="Times New Roman"/>
          <w:b w:val="0"/>
          <w:bCs w:val="0"/>
          <w:iCs w:val="0"/>
          <w:color w:val="000000"/>
          <w:sz w:val="24"/>
          <w:szCs w:val="24"/>
          <w:vertAlign w:val="subscript"/>
          <w:lang w:eastAsia="en-US"/>
        </w:rPr>
        <w:t>E</w:t>
      </w:r>
      <w:r>
        <w:rPr>
          <w:rStyle w:val="65"/>
          <w:rFonts w:ascii="Times New Roman" w:hAnsi="Times New Roman" w:cs="Times New Roman"/>
          <w:b w:val="0"/>
          <w:color w:val="000000"/>
          <w:sz w:val="24"/>
          <w:szCs w:val="24"/>
          <w:lang w:eastAsia="en-US"/>
        </w:rPr>
        <w:t>=</w:t>
      </w:r>
      <m:oMath>
        <m:f>
          <m:fPr>
            <m:ctrlPr>
              <w:rPr>
                <w:rFonts w:ascii="Cambria Math" w:hAnsi="Cambria Math" w:cs="Times New Roman"/>
                <w:iCs/>
                <w:szCs w:val="24"/>
              </w:rPr>
            </m:ctrlPr>
          </m:fPr>
          <m:num>
            <m:r>
              <m:rPr>
                <m:sty m:val="p"/>
              </m:rPr>
              <w:rPr>
                <w:rFonts w:hint="eastAsia" w:ascii="Cambria Math" w:hAnsi="Cambria Math" w:cs="Times New Roman"/>
                <w:szCs w:val="24"/>
              </w:rPr>
              <m:t>1</m:t>
            </m:r>
            <m:ctrlPr>
              <w:rPr>
                <w:rFonts w:ascii="Cambria Math" w:hAnsi="Cambria Math" w:cs="Times New Roman"/>
                <w:iCs/>
                <w:szCs w:val="24"/>
              </w:rPr>
            </m:ctrlPr>
          </m:num>
          <m:den>
            <m:r>
              <m:rPr>
                <m:sty m:val="p"/>
              </m:rPr>
              <w:rPr>
                <w:rFonts w:hint="eastAsia" w:ascii="Cambria Math" w:hAnsi="Cambria Math" w:cs="Times New Roman"/>
                <w:szCs w:val="24"/>
              </w:rPr>
              <m:t>2</m:t>
            </m:r>
            <m:ctrlPr>
              <w:rPr>
                <w:rFonts w:ascii="Cambria Math" w:hAnsi="Cambria Math" w:cs="Times New Roman"/>
                <w:iCs/>
                <w:szCs w:val="24"/>
              </w:rPr>
            </m:ctrlPr>
          </m:den>
        </m:f>
      </m:oMath>
      <w:r>
        <w:rPr>
          <w:rFonts w:cs="Times New Roman"/>
          <w:i/>
          <w:iCs/>
          <w:szCs w:val="24"/>
        </w:rPr>
        <w:t>m</w:t>
      </w:r>
      <m:oMath>
        <m:r>
          <w:rPr>
            <w:rFonts w:ascii="Cambria Math" w:hAnsi="Cambria Math" w:cs="Times New Roman"/>
            <w:szCs w:val="24"/>
          </w:rPr>
          <m:t>×</m:t>
        </m:r>
        <m:sSub>
          <m:sSubPr>
            <m:ctrlPr>
              <w:rPr>
                <w:rFonts w:ascii="Cambria Math" w:hAnsi="Cambria Math" w:cs="Times New Roman"/>
                <w:bCs/>
                <w:i/>
                <w:iCs/>
                <w:szCs w:val="24"/>
              </w:rPr>
            </m:ctrlPr>
          </m:sSubPr>
          <m:e>
            <m:r>
              <w:rPr>
                <w:rFonts w:ascii="Cambria Math" w:hAnsi="Cambria Math" w:cs="Times New Roman"/>
                <w:szCs w:val="24"/>
              </w:rPr>
              <m:t>B</m:t>
            </m:r>
            <m:ctrlPr>
              <w:rPr>
                <w:rFonts w:ascii="Cambria Math" w:hAnsi="Cambria Math" w:cs="Times New Roman"/>
                <w:bCs/>
                <w:i/>
                <w:iCs/>
                <w:szCs w:val="24"/>
              </w:rPr>
            </m:ctrlPr>
          </m:e>
          <m:sub>
            <m:r>
              <w:rPr>
                <w:rFonts w:ascii="Cambria Math" w:hAnsi="Cambria Math" w:cs="Times New Roman"/>
                <w:szCs w:val="24"/>
              </w:rPr>
              <m:t>u</m:t>
            </m:r>
            <m:ctrlPr>
              <w:rPr>
                <w:rFonts w:ascii="Cambria Math" w:hAnsi="Cambria Math" w:cs="Times New Roman"/>
                <w:bCs/>
                <w:i/>
                <w:iCs/>
                <w:szCs w:val="24"/>
              </w:rPr>
            </m:ctrlPr>
          </m:sub>
        </m:sSub>
      </m:oMath>
      <w:r>
        <w:rPr>
          <w:rFonts w:cs="Times New Roman"/>
          <w:i/>
          <w:iCs/>
          <w:szCs w:val="24"/>
        </w:rPr>
        <w:t>×</w:t>
      </w:r>
      <m:oMath>
        <m:sSubSup>
          <m:sSubSupPr>
            <m:ctrlPr>
              <w:rPr>
                <w:rFonts w:ascii="Cambria Math" w:hAnsi="Cambria Math" w:cs="Times New Roman"/>
                <w:bCs/>
                <w:i/>
                <w:iCs/>
                <w:szCs w:val="24"/>
              </w:rPr>
            </m:ctrlPr>
          </m:sSubSupPr>
          <m:e>
            <m:r>
              <w:rPr>
                <w:rFonts w:ascii="Cambria Math" w:hAnsi="Cambria Math" w:cs="Times New Roman"/>
                <w:szCs w:val="24"/>
              </w:rPr>
              <m:t>D</m:t>
            </m:r>
            <m:ctrlPr>
              <w:rPr>
                <w:rFonts w:ascii="Cambria Math" w:hAnsi="Cambria Math" w:cs="Times New Roman"/>
                <w:bCs/>
                <w:i/>
                <w:iCs/>
                <w:szCs w:val="24"/>
              </w:rPr>
            </m:ctrlPr>
          </m:e>
          <m:sub>
            <m:r>
              <w:rPr>
                <w:rFonts w:ascii="Cambria Math" w:hAnsi="Cambria Math" w:cs="Times New Roman"/>
                <w:szCs w:val="24"/>
              </w:rPr>
              <m:t>u</m:t>
            </m:r>
            <m:ctrlPr>
              <w:rPr>
                <w:rFonts w:ascii="Cambria Math" w:hAnsi="Cambria Math" w:cs="Times New Roman"/>
                <w:bCs/>
                <w:i/>
                <w:iCs/>
                <w:szCs w:val="24"/>
              </w:rPr>
            </m:ctrlPr>
          </m:sub>
          <m:sup>
            <m:r>
              <w:rPr>
                <w:rFonts w:ascii="Cambria Math" w:hAnsi="Cambria Math" w:cs="Times New Roman"/>
                <w:szCs w:val="24"/>
              </w:rPr>
              <m:t>2</m:t>
            </m:r>
            <m:ctrlPr>
              <w:rPr>
                <w:rFonts w:ascii="Cambria Math" w:hAnsi="Cambria Math" w:cs="Times New Roman"/>
                <w:bCs/>
                <w:i/>
                <w:iCs/>
                <w:szCs w:val="24"/>
              </w:rPr>
            </m:ctrlPr>
          </m:sup>
        </m:sSubSup>
      </m:oMath>
      <w:r>
        <w:rPr>
          <w:rFonts w:cs="Times New Roman"/>
          <w:iCs/>
          <w:szCs w:val="24"/>
        </w:rPr>
        <w:t>+</w:t>
      </w:r>
      <m:oMath>
        <m:f>
          <m:fPr>
            <m:ctrlPr>
              <w:rPr>
                <w:rFonts w:ascii="Cambria Math" w:hAnsi="Cambria Math" w:cs="Times New Roman"/>
                <w:iCs/>
                <w:szCs w:val="24"/>
              </w:rPr>
            </m:ctrlPr>
          </m:fPr>
          <m:num>
            <m:r>
              <m:rPr>
                <m:sty m:val="p"/>
              </m:rPr>
              <w:rPr>
                <w:rFonts w:hint="eastAsia" w:ascii="Cambria Math" w:hAnsi="Cambria Math" w:cs="Times New Roman"/>
                <w:szCs w:val="24"/>
              </w:rPr>
              <m:t>2</m:t>
            </m:r>
            <m:ctrlPr>
              <w:rPr>
                <w:rFonts w:ascii="Cambria Math" w:hAnsi="Cambria Math" w:cs="Times New Roman"/>
                <w:iCs/>
                <w:szCs w:val="24"/>
              </w:rPr>
            </m:ctrlPr>
          </m:num>
          <m:den>
            <m:r>
              <m:rPr>
                <m:sty m:val="p"/>
              </m:rPr>
              <w:rPr>
                <w:rFonts w:hint="eastAsia" w:ascii="Cambria Math" w:hAnsi="Cambria Math" w:cs="Times New Roman"/>
                <w:szCs w:val="24"/>
              </w:rPr>
              <m:t>3</m:t>
            </m:r>
            <m:ctrlPr>
              <w:rPr>
                <w:rFonts w:ascii="Cambria Math" w:hAnsi="Cambria Math" w:cs="Times New Roman"/>
                <w:iCs/>
                <w:szCs w:val="24"/>
              </w:rPr>
            </m:ctrlPr>
          </m:den>
        </m:f>
        <m:sSup>
          <m:sSupPr>
            <m:ctrlPr>
              <w:rPr>
                <w:rFonts w:ascii="Cambria Math" w:hAnsi="Cambria Math" w:cs="Times New Roman"/>
                <w:bCs/>
                <w:i/>
                <w:szCs w:val="24"/>
              </w:rPr>
            </m:ctrlPr>
          </m:sSupPr>
          <m:e>
            <m:r>
              <w:rPr>
                <w:rFonts w:ascii="Cambria Math" w:hAnsi="Cambria Math" w:cs="Times New Roman"/>
                <w:szCs w:val="24"/>
              </w:rPr>
              <m:t>m</m:t>
            </m:r>
            <m:ctrlPr>
              <w:rPr>
                <w:rFonts w:ascii="Cambria Math" w:hAnsi="Cambria Math" w:cs="Times New Roman"/>
                <w:bCs/>
                <w:i/>
                <w:szCs w:val="24"/>
              </w:rPr>
            </m:ctrlPr>
          </m:e>
          <m:sup>
            <m:r>
              <w:rPr>
                <w:rFonts w:ascii="Cambria Math" w:hAnsi="Cambria Math" w:cs="Times New Roman"/>
                <w:szCs w:val="24"/>
              </w:rPr>
              <m:t>2</m:t>
            </m:r>
            <m:ctrlPr>
              <w:rPr>
                <w:rFonts w:ascii="Cambria Math" w:hAnsi="Cambria Math" w:cs="Times New Roman"/>
                <w:bCs/>
                <w:i/>
                <w:szCs w:val="24"/>
              </w:rPr>
            </m:ctrlPr>
          </m:sup>
        </m:sSup>
      </m:oMath>
      <w:r>
        <w:rPr>
          <w:rFonts w:cs="Times New Roman"/>
          <w:i/>
          <w:iCs/>
          <w:szCs w:val="24"/>
        </w:rPr>
        <w:t>×</w:t>
      </w:r>
      <m:oMath>
        <m:sSubSup>
          <m:sSubSupPr>
            <m:ctrlPr>
              <w:rPr>
                <w:rFonts w:ascii="Cambria Math" w:hAnsi="Cambria Math" w:cs="Times New Roman"/>
                <w:bCs/>
                <w:i/>
                <w:iCs/>
                <w:szCs w:val="24"/>
              </w:rPr>
            </m:ctrlPr>
          </m:sSubSupPr>
          <m:e>
            <m:r>
              <w:rPr>
                <w:rFonts w:ascii="Cambria Math" w:hAnsi="Cambria Math" w:cs="Times New Roman"/>
                <w:szCs w:val="24"/>
              </w:rPr>
              <m:t>D</m:t>
            </m:r>
            <m:ctrlPr>
              <w:rPr>
                <w:rFonts w:ascii="Cambria Math" w:hAnsi="Cambria Math" w:cs="Times New Roman"/>
                <w:bCs/>
                <w:i/>
                <w:iCs/>
                <w:szCs w:val="24"/>
              </w:rPr>
            </m:ctrlPr>
          </m:e>
          <m:sub>
            <m:r>
              <w:rPr>
                <w:rFonts w:ascii="Cambria Math" w:hAnsi="Cambria Math" w:cs="Times New Roman"/>
                <w:szCs w:val="24"/>
              </w:rPr>
              <m:t>u</m:t>
            </m:r>
            <m:ctrlPr>
              <w:rPr>
                <w:rFonts w:ascii="Cambria Math" w:hAnsi="Cambria Math" w:cs="Times New Roman"/>
                <w:bCs/>
                <w:i/>
                <w:iCs/>
                <w:szCs w:val="24"/>
              </w:rPr>
            </m:ctrlPr>
          </m:sub>
          <m:sup>
            <m:r>
              <w:rPr>
                <w:rFonts w:ascii="Cambria Math" w:hAnsi="Cambria Math" w:cs="Times New Roman"/>
                <w:szCs w:val="24"/>
              </w:rPr>
              <m:t>3</m:t>
            </m:r>
            <m:ctrlPr>
              <w:rPr>
                <w:rFonts w:ascii="Cambria Math" w:hAnsi="Cambria Math" w:cs="Times New Roman"/>
                <w:bCs/>
                <w:i/>
                <w:iCs/>
                <w:szCs w:val="24"/>
              </w:rPr>
            </m:ctrlPr>
          </m:sup>
        </m:sSubSup>
      </m:oMath>
      <w:r>
        <w:rPr>
          <w:rFonts w:cs="Times New Roman"/>
          <w:i/>
          <w:iCs/>
          <w:szCs w:val="24"/>
        </w:rPr>
        <w:t>+</w:t>
      </w:r>
      <m:oMath>
        <m:f>
          <m:fPr>
            <m:ctrlPr>
              <w:rPr>
                <w:rFonts w:ascii="Cambria Math" w:hAnsi="Cambria Math" w:cs="Times New Roman"/>
                <w:iCs/>
                <w:szCs w:val="24"/>
              </w:rPr>
            </m:ctrlPr>
          </m:fPr>
          <m:num>
            <m:r>
              <m:rPr>
                <m:sty m:val="p"/>
              </m:rPr>
              <w:rPr>
                <w:rFonts w:hint="eastAsia" w:ascii="Cambria Math" w:hAnsi="Cambria Math" w:cs="Times New Roman"/>
                <w:szCs w:val="24"/>
              </w:rPr>
              <m:t>1</m:t>
            </m:r>
            <m:ctrlPr>
              <w:rPr>
                <w:rFonts w:ascii="Cambria Math" w:hAnsi="Cambria Math" w:cs="Times New Roman"/>
                <w:iCs/>
                <w:szCs w:val="24"/>
              </w:rPr>
            </m:ctrlPr>
          </m:num>
          <m:den>
            <m:r>
              <m:rPr>
                <m:sty m:val="p"/>
              </m:rPr>
              <w:rPr>
                <w:rFonts w:hint="eastAsia" w:ascii="Cambria Math" w:hAnsi="Cambria Math" w:cs="Times New Roman"/>
                <w:szCs w:val="24"/>
              </w:rPr>
              <m:t>2</m:t>
            </m:r>
            <m:ctrlPr>
              <w:rPr>
                <w:rFonts w:ascii="Cambria Math" w:hAnsi="Cambria Math" w:cs="Times New Roman"/>
                <w:iCs/>
                <w:szCs w:val="24"/>
              </w:rPr>
            </m:ctrlPr>
          </m:den>
        </m:f>
      </m:oMath>
      <w:r>
        <w:rPr>
          <w:rFonts w:cs="Times New Roman"/>
          <w:i/>
          <w:iCs/>
          <w:szCs w:val="24"/>
        </w:rPr>
        <w:t>m</w:t>
      </w:r>
      <m:oMath>
        <m:r>
          <w:rPr>
            <w:rFonts w:ascii="Cambria Math" w:hAnsi="Cambria Math" w:cs="Times New Roman"/>
            <w:szCs w:val="24"/>
          </w:rPr>
          <m:t>×</m:t>
        </m:r>
        <m:sSub>
          <m:sSubPr>
            <m:ctrlPr>
              <w:rPr>
                <w:rFonts w:ascii="Cambria Math" w:hAnsi="Cambria Math" w:cs="Times New Roman"/>
                <w:bCs/>
                <w:i/>
                <w:iCs/>
                <w:szCs w:val="24"/>
              </w:rPr>
            </m:ctrlPr>
          </m:sSubPr>
          <m:e>
            <m:r>
              <w:rPr>
                <w:rFonts w:ascii="Cambria Math" w:hAnsi="Cambria Math" w:cs="Times New Roman"/>
                <w:szCs w:val="24"/>
              </w:rPr>
              <m:t>B</m:t>
            </m:r>
            <m:ctrlPr>
              <w:rPr>
                <w:rFonts w:ascii="Cambria Math" w:hAnsi="Cambria Math" w:cs="Times New Roman"/>
                <w:bCs/>
                <w:i/>
                <w:iCs/>
                <w:szCs w:val="24"/>
              </w:rPr>
            </m:ctrlPr>
          </m:e>
          <m:sub>
            <m:r>
              <w:rPr>
                <w:rFonts w:ascii="Cambria Math" w:hAnsi="Cambria Math" w:cs="Times New Roman"/>
                <w:szCs w:val="24"/>
              </w:rPr>
              <m:t>0</m:t>
            </m:r>
            <m:ctrlPr>
              <w:rPr>
                <w:rFonts w:ascii="Cambria Math" w:hAnsi="Cambria Math" w:cs="Times New Roman"/>
                <w:bCs/>
                <w:i/>
                <w:iCs/>
                <w:szCs w:val="24"/>
              </w:rPr>
            </m:ctrlPr>
          </m:sub>
        </m:sSub>
      </m:oMath>
      <w:r>
        <w:rPr>
          <w:rFonts w:cs="Times New Roman"/>
          <w:i/>
          <w:iCs/>
          <w:szCs w:val="24"/>
        </w:rPr>
        <w:t>×</w:t>
      </w:r>
      <m:oMath>
        <m:sSubSup>
          <m:sSubSupPr>
            <m:ctrlPr>
              <w:rPr>
                <w:rFonts w:ascii="Cambria Math" w:hAnsi="Cambria Math" w:cs="Times New Roman"/>
                <w:bCs/>
                <w:i/>
                <w:iCs/>
                <w:szCs w:val="24"/>
              </w:rPr>
            </m:ctrlPr>
          </m:sSubSupPr>
          <m:e>
            <m:r>
              <w:rPr>
                <w:rFonts w:ascii="Cambria Math" w:hAnsi="Cambria Math" w:cs="Times New Roman"/>
                <w:szCs w:val="24"/>
              </w:rPr>
              <m:t>D</m:t>
            </m:r>
            <m:ctrlPr>
              <w:rPr>
                <w:rFonts w:ascii="Cambria Math" w:hAnsi="Cambria Math" w:cs="Times New Roman"/>
                <w:bCs/>
                <w:i/>
                <w:iCs/>
                <w:szCs w:val="24"/>
              </w:rPr>
            </m:ctrlPr>
          </m:e>
          <m:sub>
            <m:r>
              <w:rPr>
                <w:rFonts w:ascii="Cambria Math" w:hAnsi="Cambria Math" w:cs="Times New Roman"/>
                <w:szCs w:val="24"/>
              </w:rPr>
              <m:t>0</m:t>
            </m:r>
            <m:ctrlPr>
              <w:rPr>
                <w:rFonts w:ascii="Cambria Math" w:hAnsi="Cambria Math" w:cs="Times New Roman"/>
                <w:bCs/>
                <w:i/>
                <w:iCs/>
                <w:szCs w:val="24"/>
              </w:rPr>
            </m:ctrlPr>
          </m:sub>
          <m:sup>
            <m:r>
              <w:rPr>
                <w:rFonts w:ascii="Cambria Math" w:hAnsi="Cambria Math" w:cs="Times New Roman"/>
                <w:szCs w:val="24"/>
              </w:rPr>
              <m:t>2</m:t>
            </m:r>
            <m:ctrlPr>
              <w:rPr>
                <w:rFonts w:ascii="Cambria Math" w:hAnsi="Cambria Math" w:cs="Times New Roman"/>
                <w:bCs/>
                <w:i/>
                <w:iCs/>
                <w:szCs w:val="24"/>
              </w:rPr>
            </m:ctrlPr>
          </m:sup>
        </m:sSubSup>
      </m:oMath>
      <w:r>
        <w:rPr>
          <w:rFonts w:cs="Times New Roman"/>
          <w:i/>
          <w:iCs/>
          <w:szCs w:val="24"/>
        </w:rPr>
        <w:t>+</w:t>
      </w:r>
      <m:oMath>
        <m:f>
          <m:fPr>
            <m:ctrlPr>
              <w:rPr>
                <w:rFonts w:ascii="Cambria Math" w:hAnsi="Cambria Math" w:cs="Times New Roman"/>
                <w:bCs/>
                <w:iCs/>
                <w:szCs w:val="24"/>
              </w:rPr>
            </m:ctrlPr>
          </m:fPr>
          <m:num>
            <m:r>
              <m:rPr>
                <m:sty m:val="p"/>
              </m:rPr>
              <w:rPr>
                <w:rFonts w:hint="eastAsia" w:ascii="Cambria Math" w:hAnsi="Cambria Math" w:cs="Times New Roman"/>
                <w:szCs w:val="24"/>
              </w:rPr>
              <m:t>2</m:t>
            </m:r>
            <m:ctrlPr>
              <w:rPr>
                <w:rFonts w:ascii="Cambria Math" w:hAnsi="Cambria Math" w:cs="Times New Roman"/>
                <w:bCs/>
                <w:iCs/>
                <w:szCs w:val="24"/>
              </w:rPr>
            </m:ctrlPr>
          </m:num>
          <m:den>
            <m:r>
              <m:rPr>
                <m:sty m:val="p"/>
              </m:rPr>
              <w:rPr>
                <w:rFonts w:hint="eastAsia" w:ascii="Cambria Math" w:hAnsi="Cambria Math" w:cs="Times New Roman"/>
                <w:szCs w:val="24"/>
              </w:rPr>
              <m:t>3</m:t>
            </m:r>
            <m:ctrlPr>
              <w:rPr>
                <w:rFonts w:ascii="Cambria Math" w:hAnsi="Cambria Math" w:cs="Times New Roman"/>
                <w:bCs/>
                <w:iCs/>
                <w:szCs w:val="24"/>
              </w:rPr>
            </m:ctrlPr>
          </m:den>
        </m:f>
        <m:sSup>
          <m:sSupPr>
            <m:ctrlPr>
              <w:rPr>
                <w:rFonts w:ascii="Cambria Math" w:hAnsi="Cambria Math" w:cs="Times New Roman"/>
                <w:bCs/>
                <w:i/>
                <w:szCs w:val="24"/>
              </w:rPr>
            </m:ctrlPr>
          </m:sSupPr>
          <m:e>
            <m:r>
              <w:rPr>
                <w:rFonts w:ascii="Cambria Math" w:hAnsi="Cambria Math" w:cs="Times New Roman"/>
                <w:szCs w:val="24"/>
              </w:rPr>
              <m:t>m</m:t>
            </m:r>
            <m:ctrlPr>
              <w:rPr>
                <w:rFonts w:ascii="Cambria Math" w:hAnsi="Cambria Math" w:cs="Times New Roman"/>
                <w:bCs/>
                <w:i/>
                <w:szCs w:val="24"/>
              </w:rPr>
            </m:ctrlPr>
          </m:e>
          <m:sup>
            <m:r>
              <w:rPr>
                <w:rFonts w:ascii="Cambria Math" w:hAnsi="Cambria Math" w:cs="Times New Roman"/>
                <w:szCs w:val="24"/>
              </w:rPr>
              <m:t>2</m:t>
            </m:r>
            <m:ctrlPr>
              <w:rPr>
                <w:rFonts w:ascii="Cambria Math" w:hAnsi="Cambria Math" w:cs="Times New Roman"/>
                <w:bCs/>
                <w:i/>
                <w:szCs w:val="24"/>
              </w:rPr>
            </m:ctrlPr>
          </m:sup>
        </m:sSup>
      </m:oMath>
      <w:r>
        <w:rPr>
          <w:rFonts w:cs="Times New Roman"/>
          <w:i/>
          <w:iCs/>
          <w:szCs w:val="24"/>
        </w:rPr>
        <w:t>×</w:t>
      </w:r>
      <m:oMath>
        <m:sSubSup>
          <m:sSubSupPr>
            <m:ctrlPr>
              <w:rPr>
                <w:rFonts w:ascii="Cambria Math" w:hAnsi="Cambria Math" w:cs="Times New Roman"/>
                <w:bCs/>
                <w:i/>
                <w:szCs w:val="24"/>
              </w:rPr>
            </m:ctrlPr>
          </m:sSubSupPr>
          <m:e>
            <m:r>
              <w:rPr>
                <w:rFonts w:ascii="Cambria Math" w:hAnsi="Cambria Math" w:cs="Times New Roman"/>
                <w:szCs w:val="24"/>
              </w:rPr>
              <m:t>D</m:t>
            </m:r>
            <m:ctrlPr>
              <w:rPr>
                <w:rFonts w:ascii="Cambria Math" w:hAnsi="Cambria Math" w:cs="Times New Roman"/>
                <w:bCs/>
                <w:i/>
                <w:szCs w:val="24"/>
              </w:rPr>
            </m:ctrlPr>
          </m:e>
          <m:sub>
            <m:r>
              <w:rPr>
                <w:rFonts w:ascii="Cambria Math" w:hAnsi="Cambria Math" w:cs="Times New Roman"/>
                <w:szCs w:val="24"/>
              </w:rPr>
              <m:t>0</m:t>
            </m:r>
            <m:ctrlPr>
              <w:rPr>
                <w:rFonts w:ascii="Cambria Math" w:hAnsi="Cambria Math" w:cs="Times New Roman"/>
                <w:bCs/>
                <w:i/>
                <w:szCs w:val="24"/>
              </w:rPr>
            </m:ctrlPr>
          </m:sub>
          <m:sup>
            <m:r>
              <w:rPr>
                <w:rFonts w:ascii="Cambria Math" w:hAnsi="Cambria Math" w:cs="Times New Roman"/>
                <w:szCs w:val="24"/>
              </w:rPr>
              <m:t>3</m:t>
            </m:r>
            <m:ctrlPr>
              <w:rPr>
                <w:rFonts w:ascii="Cambria Math" w:hAnsi="Cambria Math" w:cs="Times New Roman"/>
                <w:bCs/>
                <w:i/>
                <w:szCs w:val="24"/>
              </w:rPr>
            </m:ctrlPr>
          </m:sup>
        </m:sSubSup>
      </m:oMath>
      <w:r>
        <w:rPr>
          <w:rFonts w:cs="Times New Roman"/>
          <w:bCs/>
          <w:i/>
          <w:szCs w:val="24"/>
        </w:rPr>
        <w:t xml:space="preserve">         </w:t>
      </w:r>
      <w:r>
        <w:rPr>
          <w:rFonts w:hint="eastAsia" w:cs="Times New Roman"/>
          <w:bCs/>
          <w:szCs w:val="24"/>
        </w:rPr>
        <w:t>（</w:t>
      </w:r>
      <w:r>
        <w:rPr>
          <w:rFonts w:cs="Times New Roman"/>
          <w:bCs/>
          <w:szCs w:val="24"/>
        </w:rPr>
        <w:t>4.5.4-8）</w:t>
      </w:r>
    </w:p>
    <w:p>
      <w:pPr>
        <w:ind w:firstLine="7200" w:firstLineChars="3000"/>
        <w:jc w:val="left"/>
        <w:rPr>
          <w:rFonts w:cs="Times New Roman"/>
          <w:bCs/>
          <w:szCs w:val="24"/>
        </w:rPr>
      </w:pPr>
    </w:p>
    <w:p>
      <w:pPr>
        <w:rPr>
          <w:rStyle w:val="63"/>
          <w:rFonts w:ascii="Times New Roman" w:hAnsi="Times New Roman" w:cs="Times New Roman"/>
          <w:sz w:val="24"/>
          <w:szCs w:val="24"/>
        </w:rPr>
      </w:pPr>
      <w:r>
        <w:rPr>
          <w:rStyle w:val="63"/>
          <w:rFonts w:ascii="Times New Roman" w:hAnsi="Times New Roman" w:cs="Times New Roman"/>
          <w:b w:val="0"/>
          <w:bCs w:val="0"/>
          <w:i w:val="0"/>
          <w:iCs w:val="0"/>
          <w:sz w:val="24"/>
          <w:szCs w:val="24"/>
        </w:rPr>
        <w:t>式中</w:t>
      </w:r>
      <w:r>
        <w:rPr>
          <w:rStyle w:val="63"/>
          <w:rFonts w:ascii="Times New Roman" w:hAnsi="Times New Roman" w:cs="Times New Roman"/>
          <w:b w:val="0"/>
          <w:bCs w:val="0"/>
          <w:iCs w:val="0"/>
          <w:sz w:val="24"/>
          <w:szCs w:val="24"/>
        </w:rPr>
        <w:t>V</w:t>
      </w:r>
      <w:r>
        <w:rPr>
          <w:rFonts w:cs="Times New Roman"/>
        </w:rPr>
        <w:t>——</w:t>
      </w:r>
      <w:r>
        <w:rPr>
          <w:rStyle w:val="63"/>
          <w:rFonts w:ascii="Times New Roman" w:hAnsi="Times New Roman" w:cs="Times New Roman"/>
          <w:b w:val="0"/>
          <w:bCs w:val="0"/>
          <w:i w:val="0"/>
          <w:iCs w:val="0"/>
          <w:sz w:val="24"/>
          <w:szCs w:val="24"/>
        </w:rPr>
        <w:t>挖槽断面工程量（m</w:t>
      </w:r>
      <w:r>
        <w:rPr>
          <w:rStyle w:val="63"/>
          <w:rFonts w:ascii="Times New Roman" w:hAnsi="Times New Roman" w:cs="Times New Roman"/>
          <w:b w:val="0"/>
          <w:bCs w:val="0"/>
          <w:i w:val="0"/>
          <w:iCs w:val="0"/>
          <w:sz w:val="24"/>
          <w:szCs w:val="24"/>
          <w:vertAlign w:val="superscript"/>
        </w:rPr>
        <w:t>3</w:t>
      </w:r>
      <w:r>
        <w:rPr>
          <w:rStyle w:val="63"/>
          <w:rFonts w:ascii="Times New Roman" w:hAnsi="Times New Roman" w:cs="Times New Roman"/>
          <w:b w:val="0"/>
          <w:bCs w:val="0"/>
          <w:i w:val="0"/>
          <w:iCs w:val="0"/>
          <w:sz w:val="24"/>
          <w:szCs w:val="24"/>
        </w:rPr>
        <w:t>）；</w:t>
      </w:r>
    </w:p>
    <w:p>
      <w:pPr>
        <w:ind w:left="1560" w:leftChars="300" w:hanging="840" w:hangingChars="300"/>
        <w:jc w:val="left"/>
        <w:rPr>
          <w:rStyle w:val="63"/>
          <w:rFonts w:ascii="Times New Roman" w:hAnsi="Times New Roman" w:cs="Times New Roman"/>
          <w:b w:val="0"/>
          <w:bCs w:val="0"/>
          <w:i w:val="0"/>
          <w:iCs w:val="0"/>
          <w:sz w:val="24"/>
          <w:szCs w:val="24"/>
        </w:rPr>
      </w:pPr>
      <w:r>
        <w:rPr>
          <w:rStyle w:val="59"/>
          <w:rFonts w:ascii="Times New Roman" w:hAnsi="Times New Roman" w:cs="Times New Roman"/>
          <w:b w:val="0"/>
          <w:bCs w:val="0"/>
          <w:iCs w:val="0"/>
          <w:color w:val="000000"/>
          <w:sz w:val="24"/>
          <w:szCs w:val="24"/>
        </w:rPr>
        <w:t>V'</w:t>
      </w:r>
      <w:r>
        <w:rPr>
          <w:rStyle w:val="59"/>
          <w:rFonts w:ascii="Times New Roman" w:hAnsi="Times New Roman" w:cs="Times New Roman"/>
          <w:b w:val="0"/>
          <w:bCs w:val="0"/>
          <w:iCs w:val="0"/>
          <w:color w:val="000000"/>
          <w:sz w:val="24"/>
          <w:szCs w:val="24"/>
          <w:vertAlign w:val="subscript"/>
        </w:rPr>
        <w:t>m</w:t>
      </w:r>
      <w:r>
        <w:rPr>
          <w:rFonts w:cs="Times New Roman"/>
        </w:rPr>
        <w:t>——</w:t>
      </w:r>
      <w:r>
        <w:rPr>
          <w:rStyle w:val="63"/>
          <w:rFonts w:ascii="Times New Roman" w:hAnsi="Times New Roman" w:cs="Times New Roman"/>
          <w:b w:val="0"/>
          <w:bCs w:val="0"/>
          <w:i w:val="0"/>
          <w:iCs w:val="0"/>
          <w:sz w:val="24"/>
          <w:szCs w:val="24"/>
        </w:rPr>
        <w:t>有端坡时，挖槽计算底边线范围内的清淤工程量（m</w:t>
      </w:r>
      <w:r>
        <w:rPr>
          <w:rStyle w:val="63"/>
          <w:rFonts w:ascii="Times New Roman" w:hAnsi="Times New Roman" w:cs="Times New Roman"/>
          <w:b w:val="0"/>
          <w:bCs w:val="0"/>
          <w:i w:val="0"/>
          <w:iCs w:val="0"/>
          <w:sz w:val="24"/>
          <w:szCs w:val="24"/>
          <w:vertAlign w:val="superscript"/>
        </w:rPr>
        <w:t>3</w:t>
      </w:r>
      <w:r>
        <w:rPr>
          <w:rStyle w:val="63"/>
          <w:rFonts w:ascii="Times New Roman" w:hAnsi="Times New Roman" w:cs="Times New Roman"/>
          <w:b w:val="0"/>
          <w:bCs w:val="0"/>
          <w:i w:val="0"/>
          <w:iCs w:val="0"/>
          <w:sz w:val="24"/>
          <w:szCs w:val="24"/>
        </w:rPr>
        <w:t>）；</w:t>
      </w:r>
    </w:p>
    <w:p>
      <w:pPr>
        <w:ind w:left="720" w:leftChars="300"/>
        <w:jc w:val="left"/>
        <w:rPr>
          <w:rStyle w:val="63"/>
          <w:rFonts w:ascii="Times New Roman" w:hAnsi="Times New Roman" w:cs="Times New Roman"/>
          <w:sz w:val="24"/>
          <w:szCs w:val="24"/>
        </w:rPr>
      </w:pPr>
      <w:r>
        <w:rPr>
          <w:rStyle w:val="59"/>
          <w:rFonts w:ascii="Times New Roman" w:hAnsi="Times New Roman" w:cs="Times New Roman"/>
          <w:b w:val="0"/>
          <w:bCs w:val="0"/>
          <w:iCs w:val="0"/>
          <w:color w:val="000000"/>
          <w:sz w:val="24"/>
          <w:szCs w:val="24"/>
        </w:rPr>
        <w:t>V'</w:t>
      </w:r>
      <w:r>
        <w:rPr>
          <w:rStyle w:val="59"/>
          <w:rFonts w:ascii="Times New Roman" w:hAnsi="Times New Roman" w:cs="Times New Roman"/>
          <w:b w:val="0"/>
          <w:bCs w:val="0"/>
          <w:iCs w:val="0"/>
          <w:color w:val="000000"/>
          <w:sz w:val="24"/>
          <w:szCs w:val="24"/>
          <w:vertAlign w:val="subscript"/>
        </w:rPr>
        <w:t>s</w:t>
      </w:r>
      <w:r>
        <w:rPr>
          <w:rFonts w:cs="Times New Roman"/>
        </w:rPr>
        <w:t>——</w:t>
      </w:r>
      <w:r>
        <w:rPr>
          <w:rStyle w:val="63"/>
          <w:rFonts w:ascii="Times New Roman" w:hAnsi="Times New Roman" w:cs="Times New Roman"/>
          <w:b w:val="0"/>
          <w:bCs w:val="0"/>
          <w:i w:val="0"/>
          <w:iCs w:val="0"/>
          <w:sz w:val="24"/>
          <w:szCs w:val="24"/>
        </w:rPr>
        <w:t>有端坡时，两侧边坡的清淤工程量（m</w:t>
      </w:r>
      <w:r>
        <w:rPr>
          <w:rStyle w:val="63"/>
          <w:rFonts w:ascii="Times New Roman" w:hAnsi="Times New Roman" w:cs="Times New Roman"/>
          <w:b w:val="0"/>
          <w:bCs w:val="0"/>
          <w:i w:val="0"/>
          <w:iCs w:val="0"/>
          <w:sz w:val="24"/>
          <w:szCs w:val="24"/>
          <w:vertAlign w:val="superscript"/>
        </w:rPr>
        <w:t>3</w:t>
      </w:r>
      <w:r>
        <w:rPr>
          <w:rStyle w:val="63"/>
          <w:rFonts w:ascii="Times New Roman" w:hAnsi="Times New Roman" w:cs="Times New Roman"/>
          <w:b w:val="0"/>
          <w:bCs w:val="0"/>
          <w:i w:val="0"/>
          <w:iCs w:val="0"/>
          <w:sz w:val="24"/>
          <w:szCs w:val="24"/>
        </w:rPr>
        <w:t>）；</w:t>
      </w:r>
    </w:p>
    <w:p>
      <w:pPr>
        <w:ind w:left="720" w:leftChars="300"/>
        <w:rPr>
          <w:rStyle w:val="63"/>
          <w:rFonts w:ascii="Times New Roman" w:hAnsi="Times New Roman" w:cs="Times New Roman"/>
          <w:b w:val="0"/>
          <w:i w:val="0"/>
          <w:sz w:val="24"/>
          <w:szCs w:val="24"/>
        </w:rPr>
      </w:pPr>
      <w:r>
        <w:rPr>
          <w:rStyle w:val="61"/>
          <w:rFonts w:ascii="Times New Roman" w:hAnsi="Times New Roman" w:cs="Times New Roman"/>
          <w:b w:val="0"/>
          <w:bCs w:val="0"/>
          <w:iCs w:val="0"/>
          <w:color w:val="000000"/>
          <w:sz w:val="24"/>
          <w:szCs w:val="24"/>
        </w:rPr>
        <w:t>V'</w:t>
      </w:r>
      <w:r>
        <w:rPr>
          <w:rStyle w:val="61"/>
          <w:rFonts w:ascii="Times New Roman" w:hAnsi="Times New Roman" w:cs="Times New Roman"/>
          <w:b w:val="0"/>
          <w:bCs w:val="0"/>
          <w:iCs w:val="0"/>
          <w:color w:val="000000"/>
          <w:sz w:val="24"/>
          <w:szCs w:val="24"/>
          <w:vertAlign w:val="subscript"/>
        </w:rPr>
        <w:t>E</w:t>
      </w:r>
      <w:r>
        <w:rPr>
          <w:rFonts w:cs="Times New Roman"/>
        </w:rPr>
        <w:t>——</w:t>
      </w:r>
      <w:r>
        <w:rPr>
          <w:rStyle w:val="63"/>
          <w:rFonts w:ascii="Times New Roman" w:hAnsi="Times New Roman" w:cs="Times New Roman" w:eastAsiaTheme="minorEastAsia"/>
          <w:b w:val="0"/>
          <w:bCs w:val="0"/>
          <w:i w:val="0"/>
          <w:iCs w:val="0"/>
          <w:sz w:val="24"/>
          <w:szCs w:val="24"/>
        </w:rPr>
        <w:t>两个端坡的清淤工程量（m</w:t>
      </w:r>
      <w:r>
        <w:rPr>
          <w:rStyle w:val="63"/>
          <w:rFonts w:ascii="Times New Roman" w:hAnsi="Times New Roman" w:cs="Times New Roman" w:eastAsiaTheme="minorEastAsia"/>
          <w:b w:val="0"/>
          <w:bCs w:val="0"/>
          <w:i w:val="0"/>
          <w:iCs w:val="0"/>
          <w:sz w:val="24"/>
          <w:szCs w:val="24"/>
          <w:vertAlign w:val="superscript"/>
        </w:rPr>
        <w:t>3</w:t>
      </w:r>
      <w:r>
        <w:rPr>
          <w:rStyle w:val="63"/>
          <w:rFonts w:ascii="Times New Roman" w:hAnsi="Times New Roman" w:cs="Times New Roman" w:eastAsiaTheme="minorEastAsia"/>
          <w:b w:val="0"/>
          <w:bCs w:val="0"/>
          <w:i w:val="0"/>
          <w:iCs w:val="0"/>
          <w:sz w:val="24"/>
          <w:szCs w:val="24"/>
        </w:rPr>
        <w:t>）；</w:t>
      </w:r>
    </w:p>
    <w:p>
      <w:pPr>
        <w:ind w:left="720" w:leftChars="300"/>
        <w:jc w:val="left"/>
        <w:rPr>
          <w:rStyle w:val="63"/>
          <w:rFonts w:ascii="Times New Roman" w:hAnsi="Times New Roman" w:cs="Times New Roman"/>
          <w:b w:val="0"/>
          <w:i w:val="0"/>
          <w:sz w:val="24"/>
          <w:szCs w:val="24"/>
        </w:rPr>
      </w:pPr>
      <w:r>
        <w:rPr>
          <w:rStyle w:val="63"/>
          <w:rFonts w:ascii="Times New Roman" w:hAnsi="Times New Roman" w:cs="Times New Roman"/>
          <w:b w:val="0"/>
          <w:bCs w:val="0"/>
          <w:sz w:val="24"/>
          <w:szCs w:val="24"/>
        </w:rPr>
        <w:t>B'</w:t>
      </w:r>
      <w:r>
        <w:rPr>
          <w:rFonts w:cs="Times New Roman"/>
        </w:rPr>
        <w:t>——</w:t>
      </w:r>
      <w:r>
        <w:rPr>
          <w:rStyle w:val="63"/>
          <w:rFonts w:ascii="Times New Roman" w:hAnsi="Times New Roman" w:cs="Times New Roman"/>
          <w:b w:val="0"/>
          <w:bCs w:val="0"/>
          <w:i w:val="0"/>
          <w:iCs w:val="0"/>
          <w:sz w:val="24"/>
          <w:szCs w:val="24"/>
        </w:rPr>
        <w:t>挖槽计算底宽（m）；</w:t>
      </w:r>
    </w:p>
    <w:p>
      <w:pPr>
        <w:ind w:left="720" w:leftChars="300"/>
        <w:jc w:val="left"/>
        <w:rPr>
          <w:rStyle w:val="63"/>
          <w:rFonts w:ascii="Times New Roman" w:hAnsi="Times New Roman" w:cs="Times New Roman" w:eastAsiaTheme="minorEastAsia"/>
          <w:b w:val="0"/>
          <w:i w:val="0"/>
          <w:sz w:val="24"/>
          <w:szCs w:val="24"/>
        </w:rPr>
      </w:pPr>
      <w:r>
        <w:rPr>
          <w:rStyle w:val="63"/>
          <w:rFonts w:ascii="Times New Roman" w:hAnsi="Times New Roman" w:cs="Times New Roman"/>
          <w:b w:val="0"/>
          <w:bCs w:val="0"/>
          <w:sz w:val="24"/>
          <w:szCs w:val="24"/>
        </w:rPr>
        <w:t>D</w:t>
      </w:r>
      <w:r>
        <w:rPr>
          <w:rFonts w:cs="Times New Roman"/>
        </w:rPr>
        <w:t>——</w:t>
      </w:r>
      <w:r>
        <w:rPr>
          <w:rStyle w:val="63"/>
          <w:rFonts w:ascii="Times New Roman" w:hAnsi="Times New Roman" w:cs="Times New Roman" w:eastAsiaTheme="minorEastAsia"/>
          <w:b w:val="0"/>
          <w:bCs w:val="0"/>
          <w:i w:val="0"/>
          <w:iCs w:val="0"/>
          <w:sz w:val="24"/>
          <w:szCs w:val="24"/>
        </w:rPr>
        <w:t>挖槽底边线范围内的平均清淤厚度（m）；</w:t>
      </w:r>
      <w:r>
        <w:rPr>
          <w:rStyle w:val="63"/>
          <w:rFonts w:ascii="Times New Roman" w:hAnsi="Times New Roman" w:cs="Times New Roman"/>
          <w:sz w:val="24"/>
          <w:szCs w:val="24"/>
        </w:rPr>
        <w:cr/>
      </w:r>
      <w:r>
        <w:rPr>
          <w:rStyle w:val="63"/>
          <w:rFonts w:ascii="Times New Roman" w:hAnsi="Times New Roman" w:cs="Times New Roman" w:eastAsiaTheme="minorEastAsia"/>
          <w:b w:val="0"/>
          <w:bCs w:val="0"/>
          <w:sz w:val="24"/>
          <w:szCs w:val="24"/>
        </w:rPr>
        <w:t>L</w:t>
      </w:r>
      <w:r>
        <w:rPr>
          <w:rFonts w:cs="Times New Roman"/>
        </w:rPr>
        <w:t>——</w:t>
      </w:r>
      <w:r>
        <w:rPr>
          <w:rStyle w:val="63"/>
          <w:rFonts w:ascii="Times New Roman" w:hAnsi="Times New Roman" w:cs="Times New Roman" w:eastAsiaTheme="minorEastAsia"/>
          <w:b w:val="0"/>
          <w:bCs w:val="0"/>
          <w:i w:val="0"/>
          <w:iCs w:val="0"/>
          <w:sz w:val="24"/>
          <w:szCs w:val="24"/>
        </w:rPr>
        <w:t>挖槽计算底边线的平均长度（m）；</w:t>
      </w:r>
    </w:p>
    <w:p>
      <w:pPr>
        <w:ind w:left="720" w:leftChars="300"/>
        <w:jc w:val="left"/>
        <w:rPr>
          <w:rStyle w:val="63"/>
          <w:rFonts w:ascii="Times New Roman" w:hAnsi="Times New Roman" w:cs="Times New Roman" w:eastAsiaTheme="minorEastAsia"/>
          <w:b w:val="0"/>
          <w:i w:val="0"/>
          <w:sz w:val="24"/>
          <w:szCs w:val="24"/>
        </w:rPr>
      </w:pPr>
      <m:oMath>
        <m:r>
          <m:rPr>
            <m:sty m:val="p"/>
          </m:rPr>
          <w:rPr>
            <w:rStyle w:val="59"/>
            <w:rFonts w:ascii="Cambria Math" w:hAnsi="Cambria Math" w:cs="Times New Roman" w:eastAsiaTheme="minorEastAsia"/>
            <w:color w:val="000000"/>
            <w:sz w:val="24"/>
            <w:szCs w:val="24"/>
          </w:rPr>
          <m:t>Δ</m:t>
        </m:r>
        <m:r>
          <w:rPr>
            <w:rFonts w:ascii="Cambria Math" w:hAnsi="Cambria Math" w:cs="Times New Roman" w:eastAsiaTheme="minorEastAsia"/>
            <w:szCs w:val="24"/>
          </w:rPr>
          <m:t>L</m:t>
        </m:r>
      </m:oMath>
      <w:r>
        <w:rPr>
          <w:rFonts w:cs="Times New Roman"/>
        </w:rPr>
        <w:t>——</w:t>
      </w:r>
      <w:r>
        <w:rPr>
          <w:rStyle w:val="63"/>
          <w:rFonts w:ascii="Times New Roman" w:hAnsi="Times New Roman" w:cs="Times New Roman" w:eastAsiaTheme="minorEastAsia"/>
          <w:b w:val="0"/>
          <w:bCs w:val="0"/>
          <w:i w:val="0"/>
          <w:iCs w:val="0"/>
          <w:sz w:val="24"/>
          <w:szCs w:val="24"/>
        </w:rPr>
        <w:t>计算超长值（m）；</w:t>
      </w:r>
      <w:r>
        <w:rPr>
          <w:rStyle w:val="63"/>
          <w:rFonts w:ascii="Times New Roman" w:hAnsi="Times New Roman" w:cs="Times New Roman" w:eastAsiaTheme="minorEastAsia"/>
          <w:sz w:val="24"/>
          <w:szCs w:val="24"/>
        </w:rPr>
        <w:cr/>
      </w:r>
      <w:r>
        <w:rPr>
          <w:rStyle w:val="63"/>
          <w:rFonts w:ascii="Times New Roman" w:hAnsi="Times New Roman" w:cs="Times New Roman" w:eastAsiaTheme="minorEastAsia"/>
          <w:b w:val="0"/>
          <w:bCs w:val="0"/>
          <w:sz w:val="24"/>
          <w:szCs w:val="24"/>
        </w:rPr>
        <w:t>m</w:t>
      </w:r>
      <w:r>
        <w:rPr>
          <w:rFonts w:cs="Times New Roman"/>
        </w:rPr>
        <w:t>——</w:t>
      </w:r>
      <w:r>
        <w:rPr>
          <w:rStyle w:val="63"/>
          <w:rFonts w:ascii="Times New Roman" w:hAnsi="Times New Roman" w:cs="Times New Roman" w:eastAsiaTheme="minorEastAsia"/>
          <w:b w:val="0"/>
          <w:bCs w:val="0"/>
          <w:i w:val="0"/>
          <w:iCs w:val="0"/>
          <w:sz w:val="24"/>
          <w:szCs w:val="24"/>
        </w:rPr>
        <w:t>边坡系数</w:t>
      </w:r>
      <w:r>
        <w:rPr>
          <w:rFonts w:hint="eastAsia" w:cs="Times New Roman"/>
        </w:rPr>
        <w:t>，</w:t>
      </w:r>
      <w:r>
        <w:rPr>
          <w:rFonts w:cs="Times New Roman"/>
          <w:i/>
        </w:rPr>
        <w:t>m</w:t>
      </w:r>
      <w:r>
        <w:rPr>
          <w:rFonts w:cs="Times New Roman"/>
        </w:rPr>
        <w:t>=1/</w:t>
      </w:r>
      <w:r>
        <w:rPr>
          <w:rFonts w:cs="Times New Roman"/>
          <w:i/>
        </w:rPr>
        <w:t>k</w:t>
      </w:r>
      <w:r>
        <w:rPr>
          <w:rFonts w:cs="Times New Roman"/>
        </w:rPr>
        <w:t>((</w:t>
      </w:r>
      <w:r>
        <w:rPr>
          <w:rFonts w:cs="Times New Roman"/>
          <w:i/>
        </w:rPr>
        <w:t>k</w:t>
      </w:r>
      <w:r>
        <w:rPr>
          <w:rFonts w:hint="eastAsia" w:cs="Times New Roman"/>
        </w:rPr>
        <w:t>为坡度</w:t>
      </w:r>
      <w:r>
        <w:rPr>
          <w:rFonts w:cs="Times New Roman"/>
        </w:rPr>
        <w:t>)</w:t>
      </w:r>
      <w:r>
        <w:rPr>
          <w:rStyle w:val="63"/>
          <w:rFonts w:ascii="Times New Roman" w:hAnsi="Times New Roman" w:cs="Times New Roman" w:eastAsiaTheme="minorEastAsia"/>
          <w:b w:val="0"/>
          <w:bCs w:val="0"/>
          <w:i w:val="0"/>
          <w:iCs w:val="0"/>
          <w:sz w:val="24"/>
          <w:szCs w:val="24"/>
        </w:rPr>
        <w:t>；</w:t>
      </w:r>
      <w:r>
        <w:rPr>
          <w:rStyle w:val="63"/>
          <w:rFonts w:ascii="Times New Roman" w:hAnsi="Times New Roman" w:cs="Times New Roman" w:eastAsiaTheme="minorEastAsia"/>
          <w:sz w:val="24"/>
          <w:szCs w:val="24"/>
        </w:rPr>
        <w:cr/>
      </w:r>
      <m:oMath>
        <m:r>
          <m:rPr>
            <m:sty m:val="p"/>
          </m:rPr>
          <w:rPr>
            <w:rStyle w:val="59"/>
            <w:rFonts w:ascii="Cambria Math" w:hAnsi="Cambria Math" w:cs="Times New Roman" w:eastAsiaTheme="minorEastAsia"/>
            <w:color w:val="000000"/>
            <w:sz w:val="24"/>
            <w:szCs w:val="24"/>
          </w:rPr>
          <m:t>Δ</m:t>
        </m:r>
      </m:oMath>
      <w:r>
        <w:rPr>
          <w:rStyle w:val="63"/>
          <w:rFonts w:ascii="Times New Roman" w:hAnsi="Times New Roman" w:cs="Times New Roman" w:eastAsiaTheme="minorEastAsia"/>
          <w:b w:val="0"/>
          <w:bCs w:val="0"/>
          <w:sz w:val="24"/>
          <w:szCs w:val="24"/>
        </w:rPr>
        <w:t>H</w:t>
      </w:r>
      <w:r>
        <w:rPr>
          <w:rFonts w:cs="Times New Roman"/>
        </w:rPr>
        <w:t>——</w:t>
      </w:r>
      <w:r>
        <w:rPr>
          <w:rStyle w:val="63"/>
          <w:rFonts w:ascii="Times New Roman" w:hAnsi="Times New Roman" w:cs="Times New Roman" w:eastAsiaTheme="minorEastAsia"/>
          <w:b w:val="0"/>
          <w:bCs w:val="0"/>
          <w:i w:val="0"/>
          <w:iCs w:val="0"/>
          <w:sz w:val="24"/>
          <w:szCs w:val="24"/>
        </w:rPr>
        <w:t>挖槽的计算超深值（m）；</w:t>
      </w:r>
    </w:p>
    <w:p>
      <w:pPr>
        <w:ind w:left="720" w:leftChars="300"/>
        <w:rPr>
          <w:rStyle w:val="63"/>
          <w:rFonts w:ascii="Times New Roman" w:hAnsi="Times New Roman" w:cs="Times New Roman" w:eastAsiaTheme="minorEastAsia"/>
          <w:b w:val="0"/>
          <w:bCs w:val="0"/>
          <w:i w:val="0"/>
          <w:iCs w:val="0"/>
          <w:sz w:val="24"/>
          <w:szCs w:val="24"/>
        </w:rPr>
      </w:pPr>
      <w:r>
        <w:rPr>
          <w:rStyle w:val="63"/>
          <w:rFonts w:ascii="Times New Roman" w:hAnsi="Times New Roman" w:cs="Times New Roman" w:eastAsiaTheme="minorEastAsia"/>
          <w:b w:val="0"/>
          <w:bCs w:val="0"/>
          <w:iCs w:val="0"/>
          <w:sz w:val="24"/>
          <w:szCs w:val="24"/>
        </w:rPr>
        <w:t>D</w:t>
      </w:r>
      <w:r>
        <w:rPr>
          <w:rStyle w:val="63"/>
          <w:rFonts w:ascii="Times New Roman" w:hAnsi="Times New Roman" w:cs="Times New Roman" w:eastAsiaTheme="minorEastAsia"/>
          <w:b w:val="0"/>
          <w:bCs w:val="0"/>
          <w:iCs w:val="0"/>
          <w:sz w:val="24"/>
          <w:szCs w:val="24"/>
          <w:vertAlign w:val="subscript"/>
        </w:rPr>
        <w:t>l</w:t>
      </w:r>
      <w:r>
        <w:rPr>
          <w:rStyle w:val="63"/>
          <w:rFonts w:ascii="Times New Roman" w:hAnsi="Times New Roman" w:cs="Times New Roman" w:eastAsiaTheme="minorEastAsia"/>
          <w:b w:val="0"/>
          <w:bCs w:val="0"/>
          <w:i w:val="0"/>
          <w:iCs w:val="0"/>
          <w:sz w:val="24"/>
          <w:szCs w:val="24"/>
        </w:rPr>
        <w:t>、</w:t>
      </w:r>
      <w:r>
        <w:rPr>
          <w:rStyle w:val="63"/>
          <w:rFonts w:ascii="Times New Roman" w:hAnsi="Times New Roman" w:cs="Times New Roman" w:eastAsiaTheme="minorEastAsia"/>
          <w:b w:val="0"/>
          <w:bCs w:val="0"/>
          <w:iCs w:val="0"/>
          <w:sz w:val="24"/>
          <w:szCs w:val="24"/>
        </w:rPr>
        <w:t>D</w:t>
      </w:r>
      <w:r>
        <w:rPr>
          <w:rStyle w:val="63"/>
          <w:rFonts w:ascii="Times New Roman" w:hAnsi="Times New Roman" w:cs="Times New Roman" w:eastAsiaTheme="minorEastAsia"/>
          <w:b w:val="0"/>
          <w:bCs w:val="0"/>
          <w:iCs w:val="0"/>
          <w:sz w:val="24"/>
          <w:szCs w:val="24"/>
          <w:vertAlign w:val="subscript"/>
        </w:rPr>
        <w:t>r</w:t>
      </w:r>
      <w:r>
        <w:rPr>
          <w:rFonts w:cs="Times New Roman"/>
        </w:rPr>
        <w:t>——</w:t>
      </w:r>
      <w:r>
        <w:rPr>
          <w:rStyle w:val="63"/>
          <w:rFonts w:ascii="Times New Roman" w:hAnsi="Times New Roman" w:cs="Times New Roman" w:eastAsiaTheme="minorEastAsia"/>
          <w:b w:val="0"/>
          <w:bCs w:val="0"/>
          <w:i w:val="0"/>
          <w:iCs w:val="0"/>
          <w:sz w:val="24"/>
          <w:szCs w:val="24"/>
        </w:rPr>
        <w:t>分别为挖槽左、右计算底边线上的平均清淤厚度</w:t>
      </w:r>
    </w:p>
    <w:p>
      <w:pPr>
        <w:ind w:left="720" w:leftChars="300" w:firstLine="1200" w:firstLineChars="400"/>
        <w:rPr>
          <w:rStyle w:val="63"/>
          <w:rFonts w:ascii="Times New Roman" w:hAnsi="Times New Roman" w:cs="Times New Roman" w:eastAsiaTheme="minorEastAsia"/>
          <w:b w:val="0"/>
          <w:bCs w:val="0"/>
          <w:i w:val="0"/>
          <w:iCs w:val="0"/>
          <w:sz w:val="24"/>
          <w:szCs w:val="24"/>
        </w:rPr>
      </w:pPr>
      <w:r>
        <w:rPr>
          <w:rStyle w:val="63"/>
          <w:rFonts w:ascii="Times New Roman" w:hAnsi="Times New Roman" w:cs="Times New Roman" w:eastAsiaTheme="minorEastAsia"/>
          <w:b w:val="0"/>
          <w:bCs w:val="0"/>
          <w:i w:val="0"/>
          <w:iCs w:val="0"/>
          <w:sz w:val="24"/>
          <w:szCs w:val="24"/>
        </w:rPr>
        <w:t>（m）；</w:t>
      </w:r>
      <w:r>
        <w:rPr>
          <w:rStyle w:val="63"/>
          <w:rFonts w:ascii="Times New Roman" w:hAnsi="Times New Roman" w:cs="Times New Roman"/>
          <w:sz w:val="24"/>
          <w:szCs w:val="24"/>
        </w:rPr>
        <w:cr/>
      </w:r>
      <w:r>
        <w:rPr>
          <w:rStyle w:val="63"/>
          <w:rFonts w:ascii="Times New Roman" w:hAnsi="Times New Roman" w:cs="Times New Roman" w:eastAsiaTheme="minorEastAsia"/>
          <w:b w:val="0"/>
          <w:bCs w:val="0"/>
          <w:iCs w:val="0"/>
          <w:sz w:val="24"/>
          <w:szCs w:val="24"/>
        </w:rPr>
        <w:t>L</w:t>
      </w:r>
      <w:r>
        <w:rPr>
          <w:rStyle w:val="63"/>
          <w:rFonts w:ascii="Times New Roman" w:hAnsi="Times New Roman" w:cs="Times New Roman" w:eastAsiaTheme="minorEastAsia"/>
          <w:b w:val="0"/>
          <w:bCs w:val="0"/>
          <w:iCs w:val="0"/>
          <w:sz w:val="24"/>
          <w:szCs w:val="24"/>
          <w:vertAlign w:val="subscript"/>
        </w:rPr>
        <w:t>l</w:t>
      </w:r>
      <w:r>
        <w:rPr>
          <w:rStyle w:val="63"/>
          <w:rFonts w:ascii="Times New Roman" w:hAnsi="Times New Roman" w:cs="Times New Roman" w:eastAsiaTheme="minorEastAsia"/>
          <w:b w:val="0"/>
          <w:bCs w:val="0"/>
          <w:i w:val="0"/>
          <w:iCs w:val="0"/>
          <w:sz w:val="24"/>
          <w:szCs w:val="24"/>
        </w:rPr>
        <w:t>、</w:t>
      </w:r>
      <w:r>
        <w:rPr>
          <w:rStyle w:val="63"/>
          <w:rFonts w:ascii="Times New Roman" w:hAnsi="Times New Roman" w:cs="Times New Roman" w:eastAsiaTheme="minorEastAsia"/>
          <w:b w:val="0"/>
          <w:bCs w:val="0"/>
          <w:iCs w:val="0"/>
          <w:sz w:val="24"/>
          <w:szCs w:val="24"/>
        </w:rPr>
        <w:t>L</w:t>
      </w:r>
      <w:r>
        <w:rPr>
          <w:rStyle w:val="63"/>
          <w:rFonts w:ascii="Times New Roman" w:hAnsi="Times New Roman" w:cs="Times New Roman" w:eastAsiaTheme="minorEastAsia"/>
          <w:b w:val="0"/>
          <w:bCs w:val="0"/>
          <w:iCs w:val="0"/>
          <w:sz w:val="24"/>
          <w:szCs w:val="24"/>
          <w:vertAlign w:val="subscript"/>
        </w:rPr>
        <w:t>r</w:t>
      </w:r>
      <w:r>
        <w:rPr>
          <w:rFonts w:cs="Times New Roman"/>
        </w:rPr>
        <w:t>——</w:t>
      </w:r>
      <w:r>
        <w:rPr>
          <w:rStyle w:val="63"/>
          <w:rFonts w:ascii="Times New Roman" w:hAnsi="Times New Roman" w:cs="Times New Roman" w:eastAsiaTheme="minorEastAsia"/>
          <w:b w:val="0"/>
          <w:bCs w:val="0"/>
          <w:i w:val="0"/>
          <w:iCs w:val="0"/>
          <w:sz w:val="24"/>
          <w:szCs w:val="24"/>
        </w:rPr>
        <w:t>分别为挖槽左、右计算底边线的长度（m）；</w:t>
      </w:r>
    </w:p>
    <w:p>
      <w:pPr>
        <w:ind w:left="2400" w:leftChars="300" w:hanging="1680" w:hangingChars="600"/>
        <w:rPr>
          <w:rStyle w:val="63"/>
          <w:rFonts w:ascii="Times New Roman" w:hAnsi="Times New Roman" w:cs="Times New Roman" w:eastAsiaTheme="minorEastAsia"/>
          <w:b w:val="0"/>
          <w:bCs w:val="0"/>
          <w:i w:val="0"/>
          <w:iCs w:val="0"/>
          <w:sz w:val="24"/>
          <w:szCs w:val="24"/>
        </w:rPr>
      </w:pPr>
      <w:r>
        <w:rPr>
          <w:rStyle w:val="59"/>
          <w:rFonts w:ascii="Times New Roman" w:hAnsi="Times New Roman" w:cs="Times New Roman" w:eastAsiaTheme="minorEastAsia"/>
          <w:b w:val="0"/>
          <w:bCs w:val="0"/>
          <w:i w:val="0"/>
          <w:iCs w:val="0"/>
          <w:color w:val="000000"/>
          <w:sz w:val="24"/>
          <w:szCs w:val="24"/>
        </w:rPr>
        <w:t>(</w:t>
      </w:r>
      <w:r>
        <w:rPr>
          <w:rStyle w:val="59"/>
          <w:rFonts w:ascii="Times New Roman" w:hAnsi="Times New Roman" w:cs="Times New Roman" w:eastAsiaTheme="minorEastAsia"/>
          <w:b w:val="0"/>
          <w:bCs w:val="0"/>
          <w:iCs w:val="0"/>
          <w:color w:val="000000"/>
          <w:sz w:val="24"/>
          <w:szCs w:val="24"/>
        </w:rPr>
        <w:t>Δ</w:t>
      </w:r>
      <w:r>
        <w:rPr>
          <w:rStyle w:val="64"/>
          <w:rFonts w:ascii="Times New Roman" w:hAnsi="Times New Roman" w:cs="Times New Roman" w:eastAsiaTheme="minorEastAsia"/>
          <w:b w:val="0"/>
          <w:bCs w:val="0"/>
          <w:iCs w:val="0"/>
          <w:color w:val="000000"/>
          <w:sz w:val="24"/>
          <w:szCs w:val="24"/>
        </w:rPr>
        <w:t>L</w:t>
      </w:r>
      <w:r>
        <w:rPr>
          <w:rStyle w:val="64"/>
          <w:rFonts w:ascii="Times New Roman" w:hAnsi="Times New Roman" w:cs="Times New Roman" w:eastAsiaTheme="minorEastAsia"/>
          <w:b w:val="0"/>
          <w:bCs w:val="0"/>
          <w:i w:val="0"/>
          <w:iCs w:val="0"/>
          <w:color w:val="000000"/>
          <w:sz w:val="24"/>
          <w:szCs w:val="24"/>
        </w:rPr>
        <w:t>-</w:t>
      </w:r>
      <w:r>
        <w:rPr>
          <w:rStyle w:val="64"/>
          <w:rFonts w:ascii="Times New Roman" w:hAnsi="Times New Roman" w:cs="Times New Roman" w:eastAsiaTheme="minorEastAsia"/>
          <w:b w:val="0"/>
          <w:bCs w:val="0"/>
          <w:iCs w:val="0"/>
          <w:color w:val="000000"/>
          <w:sz w:val="24"/>
          <w:szCs w:val="24"/>
        </w:rPr>
        <w:t>m</w:t>
      </w:r>
      <w:r>
        <w:rPr>
          <w:rFonts w:cs="Times New Roman" w:eastAsiaTheme="minorEastAsia"/>
          <w:b/>
          <w:bCs/>
          <w:iCs/>
          <w:szCs w:val="24"/>
        </w:rPr>
        <w:t>×</w:t>
      </w:r>
      <w:r>
        <w:rPr>
          <w:rStyle w:val="59"/>
          <w:rFonts w:ascii="Times New Roman" w:hAnsi="Times New Roman" w:cs="Times New Roman" w:eastAsiaTheme="minorEastAsia"/>
          <w:b w:val="0"/>
          <w:bCs w:val="0"/>
          <w:iCs w:val="0"/>
          <w:color w:val="000000"/>
          <w:sz w:val="24"/>
          <w:szCs w:val="24"/>
        </w:rPr>
        <w:t>Δ</w:t>
      </w:r>
      <w:r>
        <w:rPr>
          <w:rStyle w:val="64"/>
          <w:rFonts w:ascii="Times New Roman" w:hAnsi="Times New Roman" w:cs="Times New Roman" w:eastAsiaTheme="minorEastAsia"/>
          <w:b w:val="0"/>
          <w:bCs w:val="0"/>
          <w:iCs w:val="0"/>
          <w:color w:val="000000"/>
          <w:sz w:val="24"/>
          <w:szCs w:val="24"/>
        </w:rPr>
        <w:t>H</w:t>
      </w:r>
      <w:r>
        <w:rPr>
          <w:rStyle w:val="64"/>
          <w:rFonts w:ascii="Times New Roman" w:hAnsi="Times New Roman" w:cs="Times New Roman" w:eastAsiaTheme="minorEastAsia"/>
          <w:b w:val="0"/>
          <w:bCs w:val="0"/>
          <w:i w:val="0"/>
          <w:iCs w:val="0"/>
          <w:color w:val="000000"/>
          <w:sz w:val="24"/>
          <w:szCs w:val="24"/>
        </w:rPr>
        <w:t>)</w:t>
      </w:r>
      <w:r>
        <w:rPr>
          <w:rFonts w:cs="Times New Roman"/>
        </w:rPr>
        <w:t>——</w:t>
      </w:r>
      <w:r>
        <w:rPr>
          <w:rStyle w:val="63"/>
          <w:rFonts w:ascii="Times New Roman" w:hAnsi="Times New Roman" w:cs="Times New Roman" w:eastAsiaTheme="minorEastAsia"/>
          <w:b w:val="0"/>
          <w:bCs w:val="0"/>
          <w:i w:val="0"/>
          <w:iCs w:val="0"/>
          <w:sz w:val="24"/>
          <w:szCs w:val="24"/>
        </w:rPr>
        <w:t>实际底边线超长值（m），如挖槽只一端有端坡时，只需加一个</w:t>
      </w:r>
      <w:r>
        <w:rPr>
          <w:rStyle w:val="63"/>
          <w:rFonts w:hint="eastAsia" w:ascii="Times New Roman" w:hAnsi="Times New Roman" w:cs="Times New Roman" w:eastAsiaTheme="minorEastAsia"/>
          <w:b w:val="0"/>
          <w:bCs w:val="0"/>
          <w:i w:val="0"/>
          <w:iCs w:val="0"/>
          <w:sz w:val="24"/>
          <w:szCs w:val="24"/>
        </w:rPr>
        <w:t>（</w:t>
      </w:r>
      <w:r>
        <w:rPr>
          <w:rStyle w:val="59"/>
          <w:rFonts w:ascii="Times New Roman" w:hAnsi="Times New Roman" w:cs="Times New Roman" w:eastAsiaTheme="minorEastAsia"/>
          <w:b w:val="0"/>
          <w:bCs w:val="0"/>
          <w:iCs w:val="0"/>
          <w:color w:val="000000"/>
          <w:sz w:val="24"/>
          <w:szCs w:val="24"/>
        </w:rPr>
        <w:t>Δ</w:t>
      </w:r>
      <w:r>
        <w:rPr>
          <w:rStyle w:val="64"/>
          <w:rFonts w:ascii="Times New Roman" w:hAnsi="Times New Roman" w:cs="Times New Roman" w:eastAsiaTheme="minorEastAsia"/>
          <w:b w:val="0"/>
          <w:bCs w:val="0"/>
          <w:iCs w:val="0"/>
          <w:color w:val="000000"/>
          <w:sz w:val="24"/>
          <w:szCs w:val="24"/>
        </w:rPr>
        <w:t>L</w:t>
      </w:r>
      <w:r>
        <w:rPr>
          <w:rStyle w:val="64"/>
          <w:rFonts w:ascii="Times New Roman" w:hAnsi="Times New Roman" w:cs="Times New Roman" w:eastAsiaTheme="minorEastAsia"/>
          <w:b w:val="0"/>
          <w:bCs w:val="0"/>
          <w:i w:val="0"/>
          <w:iCs w:val="0"/>
          <w:color w:val="000000"/>
          <w:sz w:val="24"/>
          <w:szCs w:val="24"/>
        </w:rPr>
        <w:t>-</w:t>
      </w:r>
      <w:r>
        <w:rPr>
          <w:rStyle w:val="64"/>
          <w:rFonts w:ascii="Times New Roman" w:hAnsi="Times New Roman" w:cs="Times New Roman" w:eastAsiaTheme="minorEastAsia"/>
          <w:b w:val="0"/>
          <w:bCs w:val="0"/>
          <w:iCs w:val="0"/>
          <w:color w:val="000000"/>
          <w:sz w:val="24"/>
          <w:szCs w:val="24"/>
        </w:rPr>
        <w:t>m</w:t>
      </w:r>
      <w:r>
        <w:rPr>
          <w:rFonts w:cs="Times New Roman" w:eastAsiaTheme="minorEastAsia"/>
          <w:b/>
          <w:bCs/>
          <w:iCs/>
          <w:szCs w:val="24"/>
        </w:rPr>
        <w:t>×</w:t>
      </w:r>
      <w:r>
        <w:rPr>
          <w:rStyle w:val="59"/>
          <w:rFonts w:ascii="Times New Roman" w:hAnsi="Times New Roman" w:cs="Times New Roman" w:eastAsiaTheme="minorEastAsia"/>
          <w:b w:val="0"/>
          <w:bCs w:val="0"/>
          <w:iCs w:val="0"/>
          <w:color w:val="000000"/>
          <w:sz w:val="24"/>
          <w:szCs w:val="24"/>
        </w:rPr>
        <w:t>Δ</w:t>
      </w:r>
      <w:r>
        <w:rPr>
          <w:rStyle w:val="64"/>
          <w:rFonts w:ascii="Times New Roman" w:hAnsi="Times New Roman" w:cs="Times New Roman" w:eastAsiaTheme="minorEastAsia"/>
          <w:b w:val="0"/>
          <w:bCs w:val="0"/>
          <w:iCs w:val="0"/>
          <w:color w:val="000000"/>
          <w:sz w:val="24"/>
          <w:szCs w:val="24"/>
        </w:rPr>
        <w:t>H</w:t>
      </w:r>
      <w:r>
        <w:rPr>
          <w:rStyle w:val="63"/>
          <w:rFonts w:hint="eastAsia" w:ascii="Times New Roman" w:hAnsi="Times New Roman" w:cs="Times New Roman" w:eastAsiaTheme="minorEastAsia"/>
          <w:b w:val="0"/>
          <w:bCs w:val="0"/>
          <w:i w:val="0"/>
          <w:iCs w:val="0"/>
          <w:sz w:val="24"/>
          <w:szCs w:val="24"/>
        </w:rPr>
        <w:t>）</w:t>
      </w:r>
      <w:r>
        <w:rPr>
          <w:rStyle w:val="63"/>
          <w:rFonts w:ascii="Times New Roman" w:hAnsi="Times New Roman" w:cs="Times New Roman" w:eastAsiaTheme="minorEastAsia"/>
          <w:b w:val="0"/>
          <w:bCs w:val="0"/>
          <w:i w:val="0"/>
          <w:iCs w:val="0"/>
          <w:sz w:val="24"/>
          <w:szCs w:val="24"/>
        </w:rPr>
        <w:t>；</w:t>
      </w:r>
    </w:p>
    <w:p>
      <w:pPr>
        <w:ind w:left="720" w:leftChars="300"/>
        <w:rPr>
          <w:rStyle w:val="63"/>
          <w:rFonts w:ascii="Times New Roman" w:hAnsi="Times New Roman" w:cs="Times New Roman" w:eastAsiaTheme="minorEastAsia"/>
          <w:b w:val="0"/>
          <w:bCs w:val="0"/>
          <w:i w:val="0"/>
          <w:iCs w:val="0"/>
          <w:sz w:val="24"/>
          <w:szCs w:val="24"/>
        </w:rPr>
      </w:pPr>
      <w:r>
        <w:rPr>
          <w:rStyle w:val="63"/>
          <w:rFonts w:ascii="Times New Roman" w:hAnsi="Times New Roman" w:cs="Times New Roman" w:eastAsiaTheme="minorEastAsia"/>
          <w:b w:val="0"/>
          <w:bCs w:val="0"/>
          <w:iCs w:val="0"/>
          <w:sz w:val="24"/>
          <w:szCs w:val="24"/>
        </w:rPr>
        <w:t>B</w:t>
      </w:r>
      <w:r>
        <w:rPr>
          <w:rStyle w:val="63"/>
          <w:rFonts w:ascii="Times New Roman" w:hAnsi="Times New Roman" w:cs="Times New Roman" w:eastAsiaTheme="minorEastAsia"/>
          <w:b w:val="0"/>
          <w:bCs w:val="0"/>
          <w:iCs w:val="0"/>
          <w:sz w:val="24"/>
          <w:szCs w:val="24"/>
          <w:vertAlign w:val="subscript"/>
        </w:rPr>
        <w:t>u</w:t>
      </w:r>
      <w:r>
        <w:rPr>
          <w:rStyle w:val="63"/>
          <w:rFonts w:ascii="Times New Roman" w:hAnsi="Times New Roman" w:cs="Times New Roman" w:eastAsiaTheme="minorEastAsia"/>
          <w:b w:val="0"/>
          <w:bCs w:val="0"/>
          <w:i w:val="0"/>
          <w:iCs w:val="0"/>
          <w:sz w:val="24"/>
          <w:szCs w:val="24"/>
        </w:rPr>
        <w:t>、</w:t>
      </w:r>
      <w:r>
        <w:rPr>
          <w:rStyle w:val="63"/>
          <w:rFonts w:ascii="Times New Roman" w:hAnsi="Times New Roman" w:cs="Times New Roman" w:eastAsiaTheme="minorEastAsia"/>
          <w:b w:val="0"/>
          <w:bCs w:val="0"/>
          <w:iCs w:val="0"/>
          <w:sz w:val="24"/>
          <w:szCs w:val="24"/>
        </w:rPr>
        <w:t>B</w:t>
      </w:r>
      <w:r>
        <w:rPr>
          <w:rStyle w:val="63"/>
          <w:rFonts w:ascii="Times New Roman" w:hAnsi="Times New Roman" w:cs="Times New Roman" w:eastAsiaTheme="minorEastAsia"/>
          <w:b w:val="0"/>
          <w:bCs w:val="0"/>
          <w:iCs w:val="0"/>
          <w:sz w:val="24"/>
          <w:szCs w:val="24"/>
          <w:vertAlign w:val="subscript"/>
        </w:rPr>
        <w:t>0</w:t>
      </w:r>
      <w:r>
        <w:rPr>
          <w:rFonts w:cs="Times New Roman"/>
        </w:rPr>
        <w:t>——</w:t>
      </w:r>
      <w:r>
        <w:rPr>
          <w:rStyle w:val="63"/>
          <w:rFonts w:ascii="Times New Roman" w:hAnsi="Times New Roman" w:cs="Times New Roman" w:eastAsiaTheme="minorEastAsia"/>
          <w:b w:val="0"/>
          <w:bCs w:val="0"/>
          <w:i w:val="0"/>
          <w:iCs w:val="0"/>
          <w:sz w:val="24"/>
          <w:szCs w:val="24"/>
        </w:rPr>
        <w:t>分别为上、下两端计算底端线的宽度（m）；</w:t>
      </w:r>
    </w:p>
    <w:p>
      <w:pPr>
        <w:ind w:left="2220" w:leftChars="300" w:hanging="1500" w:hangingChars="500"/>
        <w:rPr>
          <w:rStyle w:val="63"/>
          <w:rFonts w:ascii="Times New Roman" w:hAnsi="Times New Roman" w:cs="Times New Roman" w:eastAsiaTheme="minorEastAsia"/>
          <w:b w:val="0"/>
          <w:bCs w:val="0"/>
          <w:i w:val="0"/>
          <w:iCs w:val="0"/>
          <w:sz w:val="24"/>
          <w:szCs w:val="24"/>
        </w:rPr>
      </w:pPr>
      <w:r>
        <w:rPr>
          <w:rStyle w:val="63"/>
          <w:rFonts w:ascii="Times New Roman" w:hAnsi="Times New Roman" w:cs="Times New Roman" w:eastAsiaTheme="minorEastAsia"/>
          <w:b w:val="0"/>
          <w:bCs w:val="0"/>
          <w:iCs w:val="0"/>
          <w:sz w:val="24"/>
          <w:szCs w:val="24"/>
        </w:rPr>
        <w:t>D</w:t>
      </w:r>
      <w:r>
        <w:rPr>
          <w:rStyle w:val="63"/>
          <w:rFonts w:ascii="Times New Roman" w:hAnsi="Times New Roman" w:cs="Times New Roman" w:eastAsiaTheme="minorEastAsia"/>
          <w:b w:val="0"/>
          <w:bCs w:val="0"/>
          <w:iCs w:val="0"/>
          <w:sz w:val="24"/>
          <w:szCs w:val="24"/>
          <w:vertAlign w:val="subscript"/>
        </w:rPr>
        <w:t>u</w:t>
      </w:r>
      <w:r>
        <w:rPr>
          <w:rStyle w:val="63"/>
          <w:rFonts w:ascii="Times New Roman" w:hAnsi="Times New Roman" w:cs="Times New Roman" w:eastAsiaTheme="minorEastAsia"/>
          <w:b w:val="0"/>
          <w:bCs w:val="0"/>
          <w:i w:val="0"/>
          <w:iCs w:val="0"/>
          <w:sz w:val="24"/>
          <w:szCs w:val="24"/>
        </w:rPr>
        <w:t>、</w:t>
      </w:r>
      <w:r>
        <w:rPr>
          <w:rStyle w:val="63"/>
          <w:rFonts w:ascii="Times New Roman" w:hAnsi="Times New Roman" w:cs="Times New Roman" w:eastAsiaTheme="minorEastAsia"/>
          <w:b w:val="0"/>
          <w:bCs w:val="0"/>
          <w:iCs w:val="0"/>
          <w:sz w:val="24"/>
          <w:szCs w:val="24"/>
        </w:rPr>
        <w:t>D</w:t>
      </w:r>
      <w:r>
        <w:rPr>
          <w:rStyle w:val="63"/>
          <w:rFonts w:ascii="Times New Roman" w:hAnsi="Times New Roman" w:cs="Times New Roman" w:eastAsiaTheme="minorEastAsia"/>
          <w:b w:val="0"/>
          <w:bCs w:val="0"/>
          <w:iCs w:val="0"/>
          <w:sz w:val="24"/>
          <w:szCs w:val="24"/>
          <w:vertAlign w:val="subscript"/>
        </w:rPr>
        <w:t>0</w:t>
      </w:r>
      <w:r>
        <w:rPr>
          <w:rFonts w:cs="Times New Roman"/>
        </w:rPr>
        <w:t>——</w:t>
      </w:r>
      <w:r>
        <w:rPr>
          <w:rStyle w:val="63"/>
          <w:rFonts w:ascii="Times New Roman" w:hAnsi="Times New Roman" w:cs="Times New Roman" w:eastAsiaTheme="minorEastAsia"/>
          <w:b w:val="0"/>
          <w:bCs w:val="0"/>
          <w:i w:val="0"/>
          <w:iCs w:val="0"/>
          <w:sz w:val="24"/>
          <w:szCs w:val="24"/>
        </w:rPr>
        <w:t>分别为上、下两端计算底端线的平均清淤厚度（m）。端坡两侧边角处各点的泥层厚度按该底端线上的平均泥层厚度计算。</w:t>
      </w:r>
    </w:p>
    <w:p>
      <w:pPr>
        <w:ind w:left="289" w:hanging="289" w:hangingChars="120"/>
      </w:pPr>
      <w:r>
        <w:rPr>
          <w:b/>
          <w:bCs/>
        </w:rPr>
        <w:t>4.5</w:t>
      </w:r>
      <w:r>
        <w:rPr>
          <w:rFonts w:hint="eastAsia"/>
          <w:b/>
          <w:bCs/>
        </w:rPr>
        <w:t>.5</w:t>
      </w:r>
      <w:r>
        <w:rPr>
          <w:b/>
          <w:bCs/>
        </w:rPr>
        <w:t xml:space="preserve">  </w:t>
      </w:r>
      <w:r>
        <w:rPr>
          <w:rFonts w:hint="eastAsia"/>
        </w:rPr>
        <w:t>断面面积法计算清淤工程量</w:t>
      </w:r>
    </w:p>
    <w:p>
      <w:pPr>
        <w:jc w:val="right"/>
        <w:rPr>
          <w:rStyle w:val="63"/>
          <w:rFonts w:ascii="Times New Roman" w:hAnsi="Times New Roman" w:cs="Times New Roman"/>
          <w:b w:val="0"/>
          <w:szCs w:val="24"/>
        </w:rPr>
      </w:pPr>
      <w:r>
        <w:rPr>
          <w:rStyle w:val="63"/>
          <w:rFonts w:ascii="Times New Roman" w:hAnsi="Times New Roman" w:cs="Times New Roman" w:eastAsiaTheme="minorEastAsia"/>
          <w:b w:val="0"/>
          <w:sz w:val="24"/>
          <w:szCs w:val="24"/>
        </w:rPr>
        <w:t>V=V</w:t>
      </w:r>
      <w:r>
        <w:rPr>
          <w:rStyle w:val="63"/>
          <w:rFonts w:ascii="Times New Roman" w:hAnsi="Times New Roman" w:cs="Times New Roman" w:eastAsiaTheme="minorEastAsia"/>
          <w:b w:val="0"/>
          <w:sz w:val="24"/>
          <w:szCs w:val="24"/>
          <w:vertAlign w:val="subscript"/>
        </w:rPr>
        <w:t>1</w:t>
      </w:r>
      <w:r>
        <w:rPr>
          <w:rStyle w:val="63"/>
          <w:rFonts w:ascii="Times New Roman" w:hAnsi="Times New Roman" w:cs="Times New Roman" w:eastAsiaTheme="minorEastAsia"/>
          <w:b w:val="0"/>
          <w:i w:val="0"/>
          <w:sz w:val="24"/>
          <w:szCs w:val="24"/>
        </w:rPr>
        <w:t>+</w:t>
      </w:r>
      <w:r>
        <w:rPr>
          <w:rStyle w:val="63"/>
          <w:rFonts w:ascii="Times New Roman" w:hAnsi="Times New Roman" w:cs="Times New Roman" w:eastAsiaTheme="minorEastAsia"/>
          <w:b w:val="0"/>
          <w:sz w:val="24"/>
          <w:szCs w:val="24"/>
        </w:rPr>
        <w:t>V</w:t>
      </w:r>
      <w:r>
        <w:rPr>
          <w:rStyle w:val="63"/>
          <w:rFonts w:ascii="Times New Roman" w:hAnsi="Times New Roman" w:cs="Times New Roman" w:eastAsiaTheme="minorEastAsia"/>
          <w:b w:val="0"/>
          <w:sz w:val="24"/>
          <w:szCs w:val="24"/>
          <w:vertAlign w:val="subscript"/>
        </w:rPr>
        <w:t>2</w:t>
      </w:r>
      <w:r>
        <w:rPr>
          <w:rStyle w:val="63"/>
          <w:rFonts w:ascii="Times New Roman" w:hAnsi="Times New Roman" w:cs="Times New Roman" w:eastAsiaTheme="minorEastAsia"/>
          <w:b w:val="0"/>
          <w:i w:val="0"/>
          <w:sz w:val="24"/>
          <w:szCs w:val="24"/>
        </w:rPr>
        <w:t>+</w:t>
      </w:r>
      <w:r>
        <w:rPr>
          <w:rStyle w:val="63"/>
          <w:rFonts w:hint="eastAsia" w:ascii="Times New Roman" w:hAnsi="Times New Roman" w:cs="Times New Roman" w:eastAsiaTheme="minorEastAsia"/>
          <w:b w:val="0"/>
          <w:sz w:val="24"/>
          <w:szCs w:val="24"/>
        </w:rPr>
        <w:t>…</w:t>
      </w:r>
      <w:r>
        <w:rPr>
          <w:rStyle w:val="63"/>
          <w:rFonts w:ascii="Times New Roman" w:hAnsi="Times New Roman" w:cs="Times New Roman" w:eastAsiaTheme="minorEastAsia"/>
          <w:b w:val="0"/>
          <w:i w:val="0"/>
          <w:sz w:val="24"/>
          <w:szCs w:val="24"/>
        </w:rPr>
        <w:t>+</w:t>
      </w:r>
      <w:r>
        <w:rPr>
          <w:rStyle w:val="63"/>
          <w:rFonts w:ascii="Times New Roman" w:hAnsi="Times New Roman" w:cs="Times New Roman" w:eastAsiaTheme="minorEastAsia"/>
          <w:b w:val="0"/>
          <w:sz w:val="24"/>
          <w:szCs w:val="24"/>
        </w:rPr>
        <w:t>V</w:t>
      </w:r>
      <w:r>
        <w:rPr>
          <w:rStyle w:val="63"/>
          <w:rFonts w:ascii="Times New Roman" w:hAnsi="Times New Roman" w:cs="Times New Roman" w:eastAsiaTheme="minorEastAsia"/>
          <w:b w:val="0"/>
          <w:sz w:val="24"/>
          <w:szCs w:val="24"/>
          <w:vertAlign w:val="subscript"/>
        </w:rPr>
        <w:t>i</w:t>
      </w:r>
      <w:r>
        <w:rPr>
          <w:rStyle w:val="63"/>
          <w:rFonts w:ascii="Times New Roman" w:hAnsi="Times New Roman" w:cs="Times New Roman" w:eastAsiaTheme="minorEastAsia"/>
          <w:b w:val="0"/>
          <w:i w:val="0"/>
          <w:sz w:val="24"/>
          <w:szCs w:val="24"/>
        </w:rPr>
        <w:t>+</w:t>
      </w:r>
      <w:r>
        <w:rPr>
          <w:rStyle w:val="63"/>
          <w:rFonts w:hint="eastAsia" w:ascii="Times New Roman" w:hAnsi="Times New Roman" w:cs="Times New Roman" w:eastAsiaTheme="minorEastAsia"/>
          <w:b w:val="0"/>
          <w:sz w:val="24"/>
          <w:szCs w:val="24"/>
        </w:rPr>
        <w:t>…</w:t>
      </w:r>
      <w:r>
        <w:rPr>
          <w:rStyle w:val="63"/>
          <w:rFonts w:ascii="Times New Roman" w:hAnsi="Times New Roman" w:cs="Times New Roman" w:eastAsiaTheme="minorEastAsia"/>
          <w:b w:val="0"/>
          <w:i w:val="0"/>
          <w:sz w:val="24"/>
          <w:szCs w:val="24"/>
        </w:rPr>
        <w:t>+</w:t>
      </w:r>
      <w:r>
        <w:rPr>
          <w:rStyle w:val="63"/>
          <w:rFonts w:ascii="Times New Roman" w:hAnsi="Times New Roman" w:cs="Times New Roman" w:eastAsiaTheme="minorEastAsia"/>
          <w:b w:val="0"/>
          <w:sz w:val="24"/>
          <w:szCs w:val="24"/>
        </w:rPr>
        <w:t>V</w:t>
      </w:r>
      <w:r>
        <w:rPr>
          <w:rStyle w:val="63"/>
          <w:rFonts w:ascii="Times New Roman" w:hAnsi="Times New Roman" w:cs="Times New Roman" w:eastAsiaTheme="minorEastAsia"/>
          <w:b w:val="0"/>
          <w:sz w:val="24"/>
          <w:szCs w:val="24"/>
          <w:vertAlign w:val="subscript"/>
        </w:rPr>
        <w:t>n</w:t>
      </w:r>
      <w:r>
        <w:rPr>
          <w:rStyle w:val="63"/>
          <w:rFonts w:ascii="Times New Roman" w:hAnsi="Times New Roman" w:cs="Times New Roman" w:eastAsiaTheme="minorEastAsia"/>
          <w:b w:val="0"/>
          <w:i w:val="0"/>
          <w:sz w:val="24"/>
          <w:szCs w:val="24"/>
        </w:rPr>
        <w:t xml:space="preserve">         </w:t>
      </w:r>
      <w:r>
        <w:rPr>
          <w:rFonts w:cs="Times New Roman"/>
          <w:bCs/>
          <w:szCs w:val="24"/>
        </w:rPr>
        <w:t>（4.5.</w:t>
      </w:r>
      <w:r>
        <w:rPr>
          <w:rFonts w:hint="eastAsia" w:cs="Times New Roman"/>
          <w:bCs/>
          <w:szCs w:val="24"/>
        </w:rPr>
        <w:t>5</w:t>
      </w:r>
      <w:r>
        <w:rPr>
          <w:rFonts w:cs="Times New Roman"/>
          <w:bCs/>
          <w:szCs w:val="24"/>
        </w:rPr>
        <w:t>-1）</w:t>
      </w:r>
    </w:p>
    <w:p>
      <w:pPr>
        <w:jc w:val="right"/>
        <w:rPr>
          <w:rStyle w:val="63"/>
          <w:rFonts w:ascii="Times New Roman" w:hAnsi="Times New Roman" w:cs="Times New Roman"/>
          <w:b w:val="0"/>
          <w:i w:val="0"/>
          <w:sz w:val="24"/>
          <w:szCs w:val="24"/>
        </w:rPr>
      </w:pPr>
      <w:r>
        <w:rPr>
          <w:rStyle w:val="63"/>
          <w:rFonts w:ascii="Times New Roman" w:hAnsi="Times New Roman" w:cs="Times New Roman"/>
          <w:b w:val="0"/>
          <w:sz w:val="24"/>
          <w:szCs w:val="24"/>
        </w:rPr>
        <w:t>V</w:t>
      </w:r>
      <w:r>
        <w:rPr>
          <w:rStyle w:val="63"/>
          <w:rFonts w:ascii="Times New Roman" w:hAnsi="Times New Roman" w:cs="Times New Roman"/>
          <w:b w:val="0"/>
          <w:sz w:val="24"/>
          <w:szCs w:val="24"/>
          <w:vertAlign w:val="subscript"/>
        </w:rPr>
        <w:t>i</w:t>
      </w:r>
      <w:r>
        <w:rPr>
          <w:rStyle w:val="63"/>
          <w:rFonts w:ascii="Times New Roman" w:hAnsi="Times New Roman" w:cs="Times New Roman"/>
          <w:b w:val="0"/>
          <w:sz w:val="24"/>
          <w:szCs w:val="24"/>
        </w:rPr>
        <w:t>=L</w:t>
      </w:r>
      <w:r>
        <w:rPr>
          <w:rStyle w:val="63"/>
          <w:rFonts w:ascii="Times New Roman" w:hAnsi="Times New Roman" w:cs="Times New Roman"/>
          <w:b w:val="0"/>
          <w:sz w:val="24"/>
          <w:szCs w:val="24"/>
          <w:vertAlign w:val="subscript"/>
        </w:rPr>
        <w:t>i</w:t>
      </w:r>
      <w:r>
        <w:rPr>
          <w:rStyle w:val="63"/>
          <w:rFonts w:hint="eastAsia" w:ascii="Times New Roman" w:hAnsi="Times New Roman" w:cs="Times New Roman"/>
          <w:b w:val="0"/>
          <w:i w:val="0"/>
          <w:sz w:val="24"/>
          <w:szCs w:val="24"/>
        </w:rPr>
        <w:t>×</w:t>
      </w:r>
      <w:r>
        <w:rPr>
          <w:rStyle w:val="63"/>
          <w:rFonts w:ascii="Times New Roman" w:hAnsi="Times New Roman" w:cs="Times New Roman"/>
          <w:b w:val="0"/>
          <w:sz w:val="24"/>
          <w:szCs w:val="24"/>
        </w:rPr>
        <w:t>S</w:t>
      </w:r>
      <w:r>
        <w:rPr>
          <w:rStyle w:val="63"/>
          <w:rFonts w:hint="eastAsia" w:ascii="Times New Roman" w:hAnsi="Times New Roman" w:cs="Times New Roman"/>
          <w:b w:val="0"/>
          <w:sz w:val="24"/>
          <w:szCs w:val="24"/>
          <w:vertAlign w:val="subscript"/>
        </w:rPr>
        <w:t>均</w:t>
      </w:r>
      <w:r>
        <w:rPr>
          <w:rStyle w:val="63"/>
          <w:rFonts w:ascii="Times New Roman" w:hAnsi="Times New Roman" w:cs="Times New Roman"/>
          <w:b w:val="0"/>
          <w:sz w:val="24"/>
          <w:szCs w:val="24"/>
          <w:vertAlign w:val="subscript"/>
        </w:rPr>
        <w:t>i</w:t>
      </w:r>
      <w:r>
        <w:rPr>
          <w:rStyle w:val="63"/>
          <w:rFonts w:ascii="Times New Roman" w:hAnsi="Times New Roman" w:cs="Times New Roman"/>
          <w:b w:val="0"/>
          <w:i w:val="0"/>
          <w:sz w:val="24"/>
          <w:szCs w:val="24"/>
        </w:rPr>
        <w:t xml:space="preserve">             </w:t>
      </w:r>
      <w:r>
        <w:rPr>
          <w:rFonts w:cs="Times New Roman"/>
          <w:bCs/>
          <w:szCs w:val="24"/>
        </w:rPr>
        <w:t>（4.5.</w:t>
      </w:r>
      <w:r>
        <w:rPr>
          <w:rFonts w:hint="eastAsia" w:cs="Times New Roman"/>
          <w:bCs/>
          <w:szCs w:val="24"/>
        </w:rPr>
        <w:t>5</w:t>
      </w:r>
      <w:r>
        <w:rPr>
          <w:rFonts w:cs="Times New Roman"/>
          <w:bCs/>
          <w:szCs w:val="24"/>
        </w:rPr>
        <w:t>-2）</w:t>
      </w:r>
    </w:p>
    <w:p>
      <w:pPr>
        <w:ind w:firstLine="7200"/>
        <w:jc w:val="right"/>
        <w:rPr>
          <w:rFonts w:cs="Times New Roman"/>
          <w:bCs/>
          <w:szCs w:val="24"/>
        </w:rPr>
      </w:pPr>
    </w:p>
    <w:p>
      <w:pPr>
        <w:jc w:val="left"/>
        <w:rPr>
          <w:rStyle w:val="63"/>
          <w:rFonts w:ascii="Times New Roman" w:hAnsi="Times New Roman" w:cs="Times New Roman"/>
          <w:b w:val="0"/>
          <w:i w:val="0"/>
          <w:sz w:val="24"/>
          <w:szCs w:val="24"/>
        </w:rPr>
      </w:pPr>
      <w:r>
        <w:rPr>
          <w:rStyle w:val="63"/>
          <w:rFonts w:hint="eastAsia" w:cs="Times New Roman"/>
          <w:b w:val="0"/>
          <w:i w:val="0"/>
          <w:szCs w:val="24"/>
        </w:rPr>
        <w:t>式中</w:t>
      </w:r>
      <w:r>
        <w:rPr>
          <w:rStyle w:val="63"/>
          <w:rFonts w:ascii="Times New Roman" w:hAnsi="Times New Roman" w:cs="Times New Roman"/>
          <w:b w:val="0"/>
          <w:sz w:val="24"/>
          <w:szCs w:val="24"/>
        </w:rPr>
        <w:t>V</w:t>
      </w:r>
      <w:r>
        <w:rPr>
          <w:rFonts w:cs="Times New Roman"/>
          <w:szCs w:val="24"/>
        </w:rPr>
        <w:t>——</w:t>
      </w:r>
      <w:r>
        <w:rPr>
          <w:rStyle w:val="63"/>
          <w:rFonts w:hint="eastAsia" w:ascii="Times New Roman" w:hAnsi="Times New Roman" w:cs="Times New Roman"/>
          <w:b w:val="0"/>
          <w:i w:val="0"/>
          <w:sz w:val="24"/>
          <w:szCs w:val="24"/>
        </w:rPr>
        <w:t>总淤积量；</w:t>
      </w:r>
    </w:p>
    <w:p>
      <w:pPr>
        <w:ind w:left="600" w:leftChars="250"/>
        <w:jc w:val="left"/>
        <w:rPr>
          <w:rStyle w:val="63"/>
          <w:rFonts w:ascii="Times New Roman" w:hAnsi="Times New Roman" w:cs="Times New Roman"/>
          <w:b w:val="0"/>
          <w:i w:val="0"/>
          <w:sz w:val="24"/>
          <w:szCs w:val="24"/>
        </w:rPr>
      </w:pPr>
      <w:r>
        <w:rPr>
          <w:rStyle w:val="63"/>
          <w:rFonts w:ascii="Times New Roman" w:hAnsi="Times New Roman" w:cs="Times New Roman"/>
          <w:b w:val="0"/>
          <w:sz w:val="24"/>
          <w:szCs w:val="24"/>
        </w:rPr>
        <w:t>V</w:t>
      </w:r>
      <w:r>
        <w:rPr>
          <w:rStyle w:val="63"/>
          <w:rFonts w:ascii="Times New Roman" w:hAnsi="Times New Roman" w:cs="Times New Roman"/>
          <w:b w:val="0"/>
          <w:sz w:val="24"/>
          <w:szCs w:val="24"/>
          <w:vertAlign w:val="subscript"/>
        </w:rPr>
        <w:t>i</w:t>
      </w:r>
      <w:r>
        <w:rPr>
          <w:rFonts w:cs="Times New Roman"/>
          <w:szCs w:val="24"/>
        </w:rPr>
        <w:t>——</w:t>
      </w:r>
      <w:r>
        <w:rPr>
          <w:rStyle w:val="63"/>
          <w:rFonts w:ascii="Times New Roman" w:hAnsi="Times New Roman" w:cs="Times New Roman"/>
          <w:b w:val="0"/>
          <w:sz w:val="24"/>
          <w:szCs w:val="24"/>
        </w:rPr>
        <w:t>i</w:t>
      </w:r>
      <w:r>
        <w:rPr>
          <w:rStyle w:val="63"/>
          <w:rFonts w:hint="eastAsia" w:ascii="Times New Roman" w:hAnsi="Times New Roman" w:cs="Times New Roman"/>
          <w:b w:val="0"/>
          <w:i w:val="0"/>
          <w:sz w:val="24"/>
          <w:szCs w:val="24"/>
        </w:rPr>
        <w:t>断面与</w:t>
      </w:r>
      <w:r>
        <w:rPr>
          <w:rStyle w:val="63"/>
          <w:rFonts w:ascii="Times New Roman" w:hAnsi="Times New Roman" w:cs="Times New Roman"/>
          <w:b w:val="0"/>
          <w:sz w:val="24"/>
          <w:szCs w:val="24"/>
        </w:rPr>
        <w:t>i+1</w:t>
      </w:r>
      <w:r>
        <w:rPr>
          <w:rStyle w:val="63"/>
          <w:rFonts w:hint="eastAsia" w:ascii="Times New Roman" w:hAnsi="Times New Roman" w:cs="Times New Roman"/>
          <w:b w:val="0"/>
          <w:i w:val="0"/>
          <w:sz w:val="24"/>
          <w:szCs w:val="24"/>
        </w:rPr>
        <w:t>断面之间计算区域的淤积量；</w:t>
      </w:r>
    </w:p>
    <w:p>
      <w:pPr>
        <w:ind w:left="600" w:leftChars="250"/>
        <w:jc w:val="left"/>
        <w:rPr>
          <w:rStyle w:val="63"/>
          <w:rFonts w:ascii="Times New Roman" w:hAnsi="Times New Roman" w:cs="Times New Roman"/>
          <w:b w:val="0"/>
          <w:i w:val="0"/>
          <w:sz w:val="24"/>
          <w:szCs w:val="24"/>
        </w:rPr>
      </w:pPr>
      <w:r>
        <w:rPr>
          <w:rStyle w:val="63"/>
          <w:rFonts w:ascii="Times New Roman" w:hAnsi="Times New Roman" w:cs="Times New Roman"/>
          <w:b w:val="0"/>
          <w:sz w:val="24"/>
          <w:szCs w:val="24"/>
        </w:rPr>
        <w:t>L</w:t>
      </w:r>
      <w:r>
        <w:rPr>
          <w:rStyle w:val="63"/>
          <w:rFonts w:ascii="Times New Roman" w:hAnsi="Times New Roman" w:cs="Times New Roman"/>
          <w:b w:val="0"/>
          <w:sz w:val="24"/>
          <w:szCs w:val="24"/>
          <w:vertAlign w:val="subscript"/>
        </w:rPr>
        <w:t>i</w:t>
      </w:r>
      <w:r>
        <w:rPr>
          <w:rFonts w:cs="Times New Roman"/>
          <w:szCs w:val="24"/>
        </w:rPr>
        <w:t>——</w:t>
      </w:r>
      <w:r>
        <w:rPr>
          <w:rStyle w:val="63"/>
          <w:rFonts w:ascii="Times New Roman" w:hAnsi="Times New Roman" w:cs="Times New Roman"/>
          <w:b w:val="0"/>
          <w:sz w:val="24"/>
          <w:szCs w:val="24"/>
        </w:rPr>
        <w:t>i</w:t>
      </w:r>
      <w:r>
        <w:rPr>
          <w:rStyle w:val="63"/>
          <w:rFonts w:hint="eastAsia" w:ascii="Times New Roman" w:hAnsi="Times New Roman" w:cs="Times New Roman"/>
          <w:b w:val="0"/>
          <w:i w:val="0"/>
          <w:sz w:val="24"/>
          <w:szCs w:val="24"/>
        </w:rPr>
        <w:t>断面与</w:t>
      </w:r>
      <w:r>
        <w:rPr>
          <w:rStyle w:val="63"/>
          <w:rFonts w:ascii="Times New Roman" w:hAnsi="Times New Roman" w:cs="Times New Roman"/>
          <w:b w:val="0"/>
          <w:sz w:val="24"/>
          <w:szCs w:val="24"/>
        </w:rPr>
        <w:t>i+1</w:t>
      </w:r>
      <w:r>
        <w:rPr>
          <w:rStyle w:val="63"/>
          <w:rFonts w:hint="eastAsia" w:ascii="Times New Roman" w:hAnsi="Times New Roman" w:cs="Times New Roman"/>
          <w:b w:val="0"/>
          <w:i w:val="0"/>
          <w:sz w:val="24"/>
          <w:szCs w:val="24"/>
        </w:rPr>
        <w:t>断面之间的平均距离；</w:t>
      </w:r>
    </w:p>
    <w:p>
      <w:pPr>
        <w:ind w:left="600" w:leftChars="250"/>
        <w:jc w:val="left"/>
        <w:rPr>
          <w:rStyle w:val="63"/>
          <w:rFonts w:ascii="Times New Roman" w:hAnsi="Times New Roman" w:cs="Times New Roman"/>
          <w:b w:val="0"/>
          <w:i w:val="0"/>
          <w:sz w:val="24"/>
          <w:szCs w:val="24"/>
        </w:rPr>
      </w:pPr>
      <w:r>
        <w:rPr>
          <w:rStyle w:val="63"/>
          <w:rFonts w:ascii="Times New Roman" w:hAnsi="Times New Roman" w:cs="Times New Roman"/>
          <w:b w:val="0"/>
          <w:sz w:val="24"/>
          <w:szCs w:val="24"/>
        </w:rPr>
        <w:t>S</w:t>
      </w:r>
      <w:r>
        <w:rPr>
          <w:rFonts w:cs="Times New Roman"/>
          <w:szCs w:val="24"/>
        </w:rPr>
        <w:t>—</w:t>
      </w:r>
      <w:r>
        <w:rPr>
          <w:rStyle w:val="63"/>
          <w:rFonts w:ascii="Times New Roman" w:hAnsi="Times New Roman" w:cs="Times New Roman"/>
          <w:b w:val="0"/>
          <w:bCs w:val="0"/>
          <w:i w:val="0"/>
          <w:iCs w:val="0"/>
          <w:sz w:val="24"/>
          <w:szCs w:val="24"/>
        </w:rPr>
        <w:t>—</w:t>
      </w:r>
      <w:r>
        <w:rPr>
          <w:rStyle w:val="63"/>
          <w:rFonts w:ascii="Times New Roman" w:hAnsi="Times New Roman" w:cs="Times New Roman"/>
          <w:b w:val="0"/>
          <w:sz w:val="24"/>
          <w:szCs w:val="24"/>
        </w:rPr>
        <w:t>i</w:t>
      </w:r>
      <w:r>
        <w:rPr>
          <w:rStyle w:val="63"/>
          <w:rFonts w:hint="eastAsia" w:ascii="Times New Roman" w:hAnsi="Times New Roman" w:cs="Times New Roman"/>
          <w:b w:val="0"/>
          <w:i w:val="0"/>
          <w:sz w:val="24"/>
          <w:szCs w:val="24"/>
        </w:rPr>
        <w:t>断面淤积层的断面面积；</w:t>
      </w:r>
    </w:p>
    <w:p>
      <w:pPr>
        <w:ind w:left="600" w:leftChars="250"/>
        <w:rPr>
          <w:rFonts w:eastAsia="微软雅黑" w:cs="Times New Roman"/>
          <w:szCs w:val="24"/>
        </w:rPr>
      </w:pPr>
      <w:r>
        <w:rPr>
          <w:rStyle w:val="63"/>
          <w:rFonts w:ascii="Times New Roman" w:hAnsi="Times New Roman" w:cs="Times New Roman"/>
          <w:b w:val="0"/>
          <w:sz w:val="24"/>
          <w:szCs w:val="24"/>
        </w:rPr>
        <w:t>S</w:t>
      </w:r>
      <w:r>
        <w:rPr>
          <w:rStyle w:val="63"/>
          <w:rFonts w:hint="eastAsia" w:ascii="Times New Roman" w:hAnsi="Times New Roman" w:cs="Times New Roman"/>
          <w:b w:val="0"/>
          <w:sz w:val="24"/>
          <w:szCs w:val="24"/>
          <w:vertAlign w:val="subscript"/>
        </w:rPr>
        <w:t>均</w:t>
      </w:r>
      <w:r>
        <w:rPr>
          <w:rStyle w:val="63"/>
          <w:rFonts w:ascii="Times New Roman" w:hAnsi="Times New Roman" w:cs="Times New Roman"/>
          <w:b w:val="0"/>
          <w:sz w:val="24"/>
          <w:szCs w:val="24"/>
          <w:vertAlign w:val="subscript"/>
        </w:rPr>
        <w:t>i</w:t>
      </w:r>
      <w:r>
        <w:rPr>
          <w:rFonts w:cs="Times New Roman"/>
          <w:szCs w:val="24"/>
        </w:rPr>
        <w:t>——</w:t>
      </w:r>
      <w:r>
        <w:rPr>
          <w:rStyle w:val="63"/>
          <w:rFonts w:ascii="Times New Roman" w:hAnsi="Times New Roman" w:cs="Times New Roman"/>
          <w:b w:val="0"/>
          <w:sz w:val="24"/>
          <w:szCs w:val="24"/>
        </w:rPr>
        <w:t>i</w:t>
      </w:r>
      <w:r>
        <w:rPr>
          <w:rStyle w:val="63"/>
          <w:rFonts w:hint="eastAsia" w:ascii="Times New Roman" w:hAnsi="Times New Roman" w:cs="Times New Roman"/>
          <w:b w:val="0"/>
          <w:i w:val="0"/>
          <w:sz w:val="24"/>
          <w:szCs w:val="24"/>
        </w:rPr>
        <w:t>断面与</w:t>
      </w:r>
      <w:r>
        <w:rPr>
          <w:rStyle w:val="63"/>
          <w:rFonts w:ascii="Times New Roman" w:hAnsi="Times New Roman" w:cs="Times New Roman"/>
          <w:b w:val="0"/>
          <w:sz w:val="24"/>
          <w:szCs w:val="24"/>
        </w:rPr>
        <w:t>i+1</w:t>
      </w:r>
      <w:r>
        <w:rPr>
          <w:rStyle w:val="63"/>
          <w:rFonts w:hint="eastAsia" w:ascii="Times New Roman" w:hAnsi="Times New Roman" w:cs="Times New Roman"/>
          <w:b w:val="0"/>
          <w:i w:val="0"/>
          <w:sz w:val="24"/>
          <w:szCs w:val="24"/>
        </w:rPr>
        <w:t>断面的平均面积。</w:t>
      </w:r>
    </w:p>
    <w:p>
      <w:pPr>
        <w:rPr>
          <w:rFonts w:ascii="微软雅黑" w:eastAsia="微软雅黑" w:cs="微软雅黑"/>
        </w:rPr>
      </w:pPr>
    </w:p>
    <w:p>
      <w:pPr>
        <w:ind w:firstLine="560"/>
        <w:jc w:val="left"/>
        <w:rPr>
          <w:sz w:val="28"/>
          <w:szCs w:val="28"/>
        </w:rPr>
        <w:sectPr>
          <w:pgSz w:w="11906" w:h="16838"/>
          <w:pgMar w:top="1440" w:right="1800" w:bottom="1440" w:left="1800" w:header="851" w:footer="992" w:gutter="0"/>
          <w:cols w:space="425" w:num="1"/>
          <w:docGrid w:type="lines" w:linePitch="312" w:charSpace="0"/>
        </w:sectPr>
      </w:pPr>
    </w:p>
    <w:p>
      <w:pPr>
        <w:pStyle w:val="2"/>
      </w:pPr>
      <w:bookmarkStart w:id="45" w:name="_Toc37843251"/>
      <w:r>
        <w:t xml:space="preserve">5  </w:t>
      </w:r>
      <w:r>
        <w:rPr>
          <w:rFonts w:hint="eastAsia"/>
        </w:rPr>
        <w:t>环保清淤施工</w:t>
      </w:r>
      <w:bookmarkEnd w:id="13"/>
      <w:bookmarkEnd w:id="45"/>
    </w:p>
    <w:p>
      <w:pPr>
        <w:pStyle w:val="3"/>
      </w:pPr>
      <w:bookmarkStart w:id="46" w:name="_Toc4769434"/>
      <w:bookmarkStart w:id="47" w:name="_Toc37843252"/>
      <w:r>
        <w:t xml:space="preserve">5.1  </w:t>
      </w:r>
      <w:r>
        <w:rPr>
          <w:rFonts w:hint="eastAsia"/>
        </w:rPr>
        <w:t>一般规定</w:t>
      </w:r>
      <w:bookmarkEnd w:id="46"/>
      <w:bookmarkEnd w:id="47"/>
    </w:p>
    <w:p>
      <w:r>
        <w:rPr>
          <w:rFonts w:hint="eastAsia"/>
          <w:b/>
        </w:rPr>
        <w:t>5</w:t>
      </w:r>
      <w:r>
        <w:rPr>
          <w:b/>
        </w:rPr>
        <w:t>.</w:t>
      </w:r>
      <w:r>
        <w:rPr>
          <w:rFonts w:hint="eastAsia"/>
          <w:b/>
        </w:rPr>
        <w:t>1</w:t>
      </w:r>
      <w:r>
        <w:rPr>
          <w:b/>
        </w:rPr>
        <w:t>.</w:t>
      </w:r>
      <w:r>
        <w:rPr>
          <w:rFonts w:hint="eastAsia"/>
          <w:b/>
        </w:rPr>
        <w:t>1</w:t>
      </w:r>
      <w:r>
        <w:rPr>
          <w:rFonts w:hint="eastAsia"/>
        </w:rPr>
        <w:t xml:space="preserve"> </w:t>
      </w:r>
      <w:r>
        <w:t xml:space="preserve"> </w:t>
      </w:r>
      <w:r>
        <w:rPr>
          <w:rFonts w:hint="eastAsia"/>
        </w:rPr>
        <w:t>清淤设计和施工前，应调查分析工程施工条件，包括工程区域有关河湖行洪调蓄、水域使用、工程建设、环保、土地使用、城管、港口码头、航道、道路等方面的规定；工程区域地下或架空线路、水下障碍物、污染物、水源保护区、生态保护区、旅游风景区、军事设施等分布。</w:t>
      </w:r>
    </w:p>
    <w:p>
      <w:r>
        <w:rPr>
          <w:rFonts w:hint="eastAsia"/>
          <w:b/>
        </w:rPr>
        <w:t>5</w:t>
      </w:r>
      <w:r>
        <w:rPr>
          <w:b/>
        </w:rPr>
        <w:t>.</w:t>
      </w:r>
      <w:r>
        <w:rPr>
          <w:rFonts w:hint="eastAsia"/>
          <w:b/>
        </w:rPr>
        <w:t>1</w:t>
      </w:r>
      <w:r>
        <w:rPr>
          <w:b/>
        </w:rPr>
        <w:t>.</w:t>
      </w:r>
      <w:r>
        <w:rPr>
          <w:rFonts w:hint="eastAsia"/>
          <w:b/>
        </w:rPr>
        <w:t>2</w:t>
      </w:r>
      <w:r>
        <w:rPr>
          <w:rFonts w:hint="eastAsia"/>
        </w:rPr>
        <w:t xml:space="preserve"> </w:t>
      </w:r>
      <w:r>
        <w:t xml:space="preserve"> </w:t>
      </w:r>
      <w:r>
        <w:rPr>
          <w:rFonts w:hint="eastAsia"/>
        </w:rPr>
        <w:t>应根据工程区施工条件做好施工组织设计，包括划分施工区、确定施工方式、选择施工设备、确定输送方式、制定工艺流程等。</w:t>
      </w:r>
    </w:p>
    <w:p>
      <w:pPr>
        <w:rPr>
          <w:b/>
        </w:rPr>
      </w:pPr>
      <w:r>
        <w:rPr>
          <w:rFonts w:hint="eastAsia"/>
          <w:b/>
        </w:rPr>
        <w:t>5</w:t>
      </w:r>
      <w:r>
        <w:rPr>
          <w:b/>
        </w:rPr>
        <w:t>.</w:t>
      </w:r>
      <w:r>
        <w:rPr>
          <w:rFonts w:hint="eastAsia"/>
          <w:b/>
        </w:rPr>
        <w:t>1</w:t>
      </w:r>
      <w:r>
        <w:rPr>
          <w:b/>
        </w:rPr>
        <w:t>.</w:t>
      </w:r>
      <w:r>
        <w:rPr>
          <w:rFonts w:hint="eastAsia"/>
          <w:b/>
        </w:rPr>
        <w:t>3</w:t>
      </w:r>
      <w:r>
        <w:rPr>
          <w:rFonts w:hint="eastAsia"/>
        </w:rPr>
        <w:t xml:space="preserve"> </w:t>
      </w:r>
      <w:r>
        <w:t xml:space="preserve"> </w:t>
      </w:r>
      <w:r>
        <w:rPr>
          <w:rFonts w:hint="eastAsia"/>
        </w:rPr>
        <w:t>环保清淤施工前应按照国家现行的环境保护法律、法规和批准的环境影响评价文件，制定必要的环境监测计划，做好施工环境、生态和物种保护等工作；应详细分析施工中可能存在或产生的不利影响因素，制定相应的防范措施。</w:t>
      </w:r>
    </w:p>
    <w:p>
      <w:pPr>
        <w:pStyle w:val="3"/>
      </w:pPr>
      <w:bookmarkStart w:id="48" w:name="_Toc4769435"/>
      <w:bookmarkStart w:id="49" w:name="_Toc37843253"/>
      <w:r>
        <w:t xml:space="preserve">5.2  </w:t>
      </w:r>
      <w:r>
        <w:rPr>
          <w:rFonts w:hint="eastAsia"/>
        </w:rPr>
        <w:t>环保清淤施工区划分</w:t>
      </w:r>
      <w:bookmarkEnd w:id="48"/>
      <w:bookmarkEnd w:id="49"/>
    </w:p>
    <w:p>
      <w:r>
        <w:rPr>
          <w:rFonts w:hint="eastAsia"/>
          <w:b/>
        </w:rPr>
        <w:t>5</w:t>
      </w:r>
      <w:r>
        <w:rPr>
          <w:b/>
        </w:rPr>
        <w:t>.</w:t>
      </w:r>
      <w:r>
        <w:rPr>
          <w:rFonts w:hint="eastAsia"/>
          <w:b/>
        </w:rPr>
        <w:t>2</w:t>
      </w:r>
      <w:r>
        <w:rPr>
          <w:b/>
        </w:rPr>
        <w:t>.</w:t>
      </w:r>
      <w:r>
        <w:rPr>
          <w:rFonts w:hint="eastAsia"/>
          <w:b/>
        </w:rPr>
        <w:t xml:space="preserve">1 </w:t>
      </w:r>
      <w:r>
        <w:rPr>
          <w:b/>
        </w:rPr>
        <w:t xml:space="preserve"> </w:t>
      </w:r>
      <w:r>
        <w:rPr>
          <w:rFonts w:hint="eastAsia"/>
        </w:rPr>
        <w:t>清淤施工区应以底泥污染区域划分为基础，宜按照“先支流后干流、先上游后下游”的基本原则进行划分，并结合施工设备产能、清淤量、工期要求确定各施工区规模。</w:t>
      </w:r>
    </w:p>
    <w:p>
      <w:r>
        <w:rPr>
          <w:rFonts w:hint="eastAsia"/>
          <w:b/>
        </w:rPr>
        <w:t>5</w:t>
      </w:r>
      <w:r>
        <w:rPr>
          <w:b/>
        </w:rPr>
        <w:t>.</w:t>
      </w:r>
      <w:r>
        <w:rPr>
          <w:rFonts w:hint="eastAsia"/>
          <w:b/>
        </w:rPr>
        <w:t>2</w:t>
      </w:r>
      <w:r>
        <w:rPr>
          <w:b/>
        </w:rPr>
        <w:t>.</w:t>
      </w:r>
      <w:r>
        <w:rPr>
          <w:rFonts w:hint="eastAsia"/>
          <w:b/>
        </w:rPr>
        <w:t xml:space="preserve">2 </w:t>
      </w:r>
      <w:r>
        <w:rPr>
          <w:b/>
        </w:rPr>
        <w:t xml:space="preserve"> </w:t>
      </w:r>
      <w:r>
        <w:rPr>
          <w:rFonts w:hint="eastAsia"/>
        </w:rPr>
        <w:t>在一个施工区内，</w:t>
      </w:r>
      <w:r>
        <w:t>宜采用顺流</w:t>
      </w:r>
      <w:r>
        <w:rPr>
          <w:rFonts w:hint="eastAsia"/>
        </w:rPr>
        <w:t>清淤的顺序；当</w:t>
      </w:r>
      <w:r>
        <w:t>在沿海</w:t>
      </w:r>
      <w:r>
        <w:rPr>
          <w:rFonts w:hint="eastAsia"/>
        </w:rPr>
        <w:t>感潮</w:t>
      </w:r>
      <w:r>
        <w:t>地区施工时，根据涨落潮流对</w:t>
      </w:r>
      <w:r>
        <w:rPr>
          <w:rFonts w:hint="eastAsia"/>
        </w:rPr>
        <w:t>底泥</w:t>
      </w:r>
      <w:r>
        <w:t>冲刷作用的大小，合理</w:t>
      </w:r>
      <w:r>
        <w:rPr>
          <w:rFonts w:hint="eastAsia"/>
        </w:rPr>
        <w:t>确定清淤顺序。</w:t>
      </w:r>
    </w:p>
    <w:p>
      <w:r>
        <w:rPr>
          <w:rFonts w:hint="eastAsia"/>
          <w:b/>
        </w:rPr>
        <w:t>5</w:t>
      </w:r>
      <w:r>
        <w:rPr>
          <w:b/>
        </w:rPr>
        <w:t>.</w:t>
      </w:r>
      <w:r>
        <w:rPr>
          <w:rFonts w:hint="eastAsia"/>
          <w:b/>
        </w:rPr>
        <w:t>2</w:t>
      </w:r>
      <w:r>
        <w:rPr>
          <w:b/>
        </w:rPr>
        <w:t>.</w:t>
      </w:r>
      <w:r>
        <w:rPr>
          <w:rFonts w:hint="eastAsia"/>
          <w:b/>
        </w:rPr>
        <w:t xml:space="preserve">3 </w:t>
      </w:r>
      <w:r>
        <w:rPr>
          <w:b/>
        </w:rPr>
        <w:t xml:space="preserve"> </w:t>
      </w:r>
      <w:r>
        <w:rPr>
          <w:rFonts w:hint="eastAsia"/>
        </w:rPr>
        <w:t>对于静水景观湖，宜根据清淤施工对景观湖设施的影响，合理划分施工区。</w:t>
      </w:r>
    </w:p>
    <w:p>
      <w:pPr>
        <w:pStyle w:val="3"/>
      </w:pPr>
      <w:bookmarkStart w:id="50" w:name="_Toc4769436"/>
      <w:bookmarkStart w:id="51" w:name="_Toc37843254"/>
      <w:r>
        <w:t xml:space="preserve">5.3 </w:t>
      </w:r>
      <w:bookmarkEnd w:id="50"/>
      <w:r>
        <w:t xml:space="preserve"> </w:t>
      </w:r>
      <w:r>
        <w:rPr>
          <w:rFonts w:hint="eastAsia"/>
        </w:rPr>
        <w:t>清淤施工</w:t>
      </w:r>
      <w:r>
        <w:t>方式</w:t>
      </w:r>
      <w:bookmarkEnd w:id="51"/>
    </w:p>
    <w:p>
      <w:r>
        <w:rPr>
          <w:rFonts w:hint="eastAsia"/>
          <w:b/>
        </w:rPr>
        <w:t>5</w:t>
      </w:r>
      <w:r>
        <w:rPr>
          <w:b/>
        </w:rPr>
        <w:t>.</w:t>
      </w:r>
      <w:r>
        <w:rPr>
          <w:rFonts w:hint="eastAsia"/>
          <w:b/>
        </w:rPr>
        <w:t>3</w:t>
      </w:r>
      <w:r>
        <w:rPr>
          <w:b/>
        </w:rPr>
        <w:t>.</w:t>
      </w:r>
      <w:r>
        <w:rPr>
          <w:rFonts w:hint="eastAsia"/>
          <w:b/>
        </w:rPr>
        <w:t>1</w:t>
      </w:r>
      <w:r>
        <w:rPr>
          <w:b/>
        </w:rPr>
        <w:t xml:space="preserve"> </w:t>
      </w:r>
      <w:r>
        <w:rPr>
          <w:rFonts w:hint="eastAsia"/>
          <w:b/>
        </w:rPr>
        <w:t xml:space="preserve"> </w:t>
      </w:r>
      <w:r>
        <w:rPr>
          <w:rFonts w:hint="eastAsia"/>
        </w:rPr>
        <w:t>应综合考虑施工区水文、水深、水量、水环境、行洪调蓄、通航、交通、河道宽度、岸坡稳定等条件，经技术经济比较后，确定采用干式清淤或水下清淤的方式。</w:t>
      </w:r>
    </w:p>
    <w:p>
      <w:r>
        <w:rPr>
          <w:rFonts w:hint="eastAsia"/>
          <w:b/>
        </w:rPr>
        <w:t>5</w:t>
      </w:r>
      <w:r>
        <w:rPr>
          <w:b/>
        </w:rPr>
        <w:t>.</w:t>
      </w:r>
      <w:r>
        <w:rPr>
          <w:rFonts w:hint="eastAsia"/>
          <w:b/>
        </w:rPr>
        <w:t>3</w:t>
      </w:r>
      <w:r>
        <w:rPr>
          <w:b/>
        </w:rPr>
        <w:t>.</w:t>
      </w:r>
      <w:r>
        <w:rPr>
          <w:rFonts w:hint="eastAsia"/>
          <w:b/>
        </w:rPr>
        <w:t xml:space="preserve">2 </w:t>
      </w:r>
      <w:r>
        <w:rPr>
          <w:b/>
        </w:rPr>
        <w:t xml:space="preserve"> </w:t>
      </w:r>
      <w:r>
        <w:rPr>
          <w:rFonts w:hint="eastAsia"/>
        </w:rPr>
        <w:t>当水面开阔，水深较大，具备通航条件时，宜采用水下清淤的方式；当不具备通航条件，且清淤点距岸上距离超出陆上施工设备的工作范围时，宜采用干式清淤。</w:t>
      </w:r>
    </w:p>
    <w:p>
      <w:r>
        <w:rPr>
          <w:rFonts w:hint="eastAsia"/>
          <w:b/>
        </w:rPr>
        <w:t>5</w:t>
      </w:r>
      <w:r>
        <w:rPr>
          <w:b/>
        </w:rPr>
        <w:t>.</w:t>
      </w:r>
      <w:r>
        <w:rPr>
          <w:rFonts w:hint="eastAsia"/>
          <w:b/>
        </w:rPr>
        <w:t>3</w:t>
      </w:r>
      <w:r>
        <w:rPr>
          <w:b/>
        </w:rPr>
        <w:t>.</w:t>
      </w:r>
      <w:r>
        <w:rPr>
          <w:rFonts w:hint="eastAsia"/>
          <w:b/>
        </w:rPr>
        <w:t>3</w:t>
      </w:r>
      <w:r>
        <w:rPr>
          <w:b/>
        </w:rPr>
        <w:t xml:space="preserve"> </w:t>
      </w:r>
      <w:r>
        <w:rPr>
          <w:rFonts w:hint="eastAsia"/>
        </w:rPr>
        <w:t xml:space="preserve"> 采用干式清淤方式时，应分析围堰的布置对河湖行洪或调蓄功能的影响，分析河湖水位下降后对岸坡稳定安全的影响，并采取相应的措施。在软土地区，尚应考虑水位下降可能引起的附近场地下沉导致的周边设施损坏。</w:t>
      </w:r>
    </w:p>
    <w:p>
      <w:r>
        <w:rPr>
          <w:rFonts w:hint="eastAsia"/>
          <w:b/>
        </w:rPr>
        <w:t>5.3.4</w:t>
      </w:r>
      <w:r>
        <w:rPr>
          <w:rFonts w:hint="eastAsia"/>
        </w:rPr>
        <w:t xml:space="preserve"> </w:t>
      </w:r>
      <w:r>
        <w:t xml:space="preserve"> </w:t>
      </w:r>
      <w:r>
        <w:rPr>
          <w:rFonts w:hint="eastAsia"/>
        </w:rPr>
        <w:t>采用水下清淤方式时，应分析清淤时对底泥的扰动造成的底泥污染物释放或底泥悬浮物对水环境、水生态的影响，并采取相应的防范措施。</w:t>
      </w:r>
      <w:bookmarkStart w:id="52" w:name="_Toc4769437"/>
    </w:p>
    <w:p>
      <w:pPr>
        <w:pStyle w:val="3"/>
        <w:ind w:firstLine="562"/>
      </w:pPr>
      <w:bookmarkStart w:id="53" w:name="_Toc37843255"/>
      <w:r>
        <w:t>5.4</w:t>
      </w:r>
      <w:bookmarkEnd w:id="52"/>
      <w:r>
        <w:t xml:space="preserve">  </w:t>
      </w:r>
      <w:r>
        <w:rPr>
          <w:rFonts w:hint="eastAsia"/>
        </w:rPr>
        <w:t>环保清淤设备</w:t>
      </w:r>
      <w:bookmarkEnd w:id="53"/>
    </w:p>
    <w:p>
      <w:r>
        <w:rPr>
          <w:rFonts w:hint="eastAsia"/>
          <w:b/>
        </w:rPr>
        <w:t xml:space="preserve">5.4.1 </w:t>
      </w:r>
      <w:r>
        <w:rPr>
          <w:b/>
        </w:rPr>
        <w:t xml:space="preserve"> </w:t>
      </w:r>
      <w:r>
        <w:t>设备选型时，应根据</w:t>
      </w:r>
      <w:r>
        <w:rPr>
          <w:rFonts w:hint="eastAsia"/>
        </w:rPr>
        <w:t>清淤</w:t>
      </w:r>
      <w:r>
        <w:t>厚度</w:t>
      </w:r>
      <w:r>
        <w:rPr>
          <w:rFonts w:hint="eastAsia"/>
        </w:rPr>
        <w:t>、</w:t>
      </w:r>
      <w:r>
        <w:t>交通、面积、水深、季节、场地等条件</w:t>
      </w:r>
      <w:r>
        <w:rPr>
          <w:rFonts w:hint="eastAsia"/>
        </w:rPr>
        <w:t>综合</w:t>
      </w:r>
      <w:r>
        <w:t>比选</w:t>
      </w:r>
      <w:r>
        <w:rPr>
          <w:rFonts w:hint="eastAsia"/>
        </w:rPr>
        <w:t>，宜优先选择配备环保机具</w:t>
      </w:r>
      <w:r>
        <w:t>的清淤</w:t>
      </w:r>
      <w:r>
        <w:rPr>
          <w:rFonts w:hint="eastAsia"/>
        </w:rPr>
        <w:t>设备</w:t>
      </w:r>
      <w:r>
        <w:t>。</w:t>
      </w:r>
    </w:p>
    <w:p>
      <w:r>
        <w:rPr>
          <w:rFonts w:hint="eastAsia"/>
          <w:b/>
        </w:rPr>
        <w:t>5.4.2</w:t>
      </w:r>
      <w:r>
        <w:rPr>
          <w:rFonts w:hint="eastAsia"/>
        </w:rPr>
        <w:t xml:space="preserve"> </w:t>
      </w:r>
      <w:r>
        <w:t xml:space="preserve"> </w:t>
      </w:r>
      <w:r>
        <w:rPr>
          <w:rFonts w:hint="eastAsia"/>
        </w:rPr>
        <w:t>干式清淤可选用人工清淤或挖土机等机械设备。</w:t>
      </w:r>
    </w:p>
    <w:p>
      <w:r>
        <w:rPr>
          <w:rFonts w:hint="eastAsia"/>
          <w:b/>
        </w:rPr>
        <w:t xml:space="preserve">5.4.3 </w:t>
      </w:r>
      <w:r>
        <w:rPr>
          <w:b/>
        </w:rPr>
        <w:t xml:space="preserve"> </w:t>
      </w:r>
      <w:r>
        <w:rPr>
          <w:rFonts w:hint="eastAsia"/>
        </w:rPr>
        <w:t>水下清淤可选用抓斗挖泥船、绞吸式挖泥船、环保绞吸式挖泥船、气动泵船等设备。</w:t>
      </w:r>
    </w:p>
    <w:p>
      <w:r>
        <w:rPr>
          <w:rFonts w:hint="eastAsia"/>
          <w:b/>
        </w:rPr>
        <w:t xml:space="preserve">5.4.4 </w:t>
      </w:r>
      <w:r>
        <w:rPr>
          <w:b/>
        </w:rPr>
        <w:t xml:space="preserve"> </w:t>
      </w:r>
      <w:r>
        <w:rPr>
          <w:rFonts w:hint="eastAsia"/>
        </w:rPr>
        <w:t>在桥涵或涵化河道等非开敞式空间清淤时，可选用机器人或水力冲挖等清淤设备。在非开敞式空间作业时，应做好通风，防止有害气体伤害或引发施工安全事故。</w:t>
      </w:r>
    </w:p>
    <w:p>
      <w:pPr>
        <w:pStyle w:val="3"/>
      </w:pPr>
      <w:bookmarkStart w:id="54" w:name="_Toc4769438"/>
      <w:bookmarkStart w:id="55" w:name="_Toc37843256"/>
      <w:r>
        <w:t xml:space="preserve">5.5  </w:t>
      </w:r>
      <w:r>
        <w:rPr>
          <w:rFonts w:hint="eastAsia"/>
        </w:rPr>
        <w:t>底泥运输</w:t>
      </w:r>
      <w:r>
        <w:t>方式</w:t>
      </w:r>
      <w:bookmarkEnd w:id="54"/>
      <w:bookmarkEnd w:id="55"/>
    </w:p>
    <w:p>
      <w:r>
        <w:rPr>
          <w:rFonts w:hint="eastAsia"/>
          <w:b/>
        </w:rPr>
        <w:t xml:space="preserve">5.5.1 </w:t>
      </w:r>
      <w:r>
        <w:rPr>
          <w:b/>
        </w:rPr>
        <w:t xml:space="preserve"> </w:t>
      </w:r>
      <w:r>
        <w:rPr>
          <w:rFonts w:hint="eastAsia"/>
        </w:rPr>
        <w:t>底泥可采用车辆运输、船舶运输、管道运输等方式，或多种运输方式结合。</w:t>
      </w:r>
    </w:p>
    <w:p>
      <w:r>
        <w:rPr>
          <w:rFonts w:hint="eastAsia"/>
          <w:b/>
        </w:rPr>
        <w:t>5.5.2</w:t>
      </w:r>
      <w:r>
        <w:rPr>
          <w:rFonts w:hint="eastAsia"/>
        </w:rPr>
        <w:t xml:space="preserve"> </w:t>
      </w:r>
      <w:r>
        <w:t xml:space="preserve"> </w:t>
      </w:r>
      <w:r>
        <w:rPr>
          <w:rFonts w:hint="eastAsia"/>
        </w:rPr>
        <w:t>底泥的运输方式应结合运输条件、清淤方式、清淤设备等因素综合比较后确定。</w:t>
      </w:r>
    </w:p>
    <w:p>
      <w:r>
        <w:rPr>
          <w:rFonts w:hint="eastAsia"/>
          <w:b/>
        </w:rPr>
        <w:t>5.5.3</w:t>
      </w:r>
      <w:r>
        <w:rPr>
          <w:rFonts w:hint="eastAsia"/>
        </w:rPr>
        <w:t xml:space="preserve"> </w:t>
      </w:r>
      <w:r>
        <w:t xml:space="preserve"> </w:t>
      </w:r>
      <w:r>
        <w:rPr>
          <w:rFonts w:hint="eastAsia"/>
        </w:rPr>
        <w:t>运输装置应密闭，不渗漏。</w:t>
      </w:r>
    </w:p>
    <w:p>
      <w:r>
        <w:rPr>
          <w:b/>
        </w:rPr>
        <w:t>5.5.4</w:t>
      </w:r>
      <w:r>
        <w:t xml:space="preserve">  </w:t>
      </w:r>
      <w:r>
        <w:rPr>
          <w:rFonts w:hint="eastAsia"/>
        </w:rPr>
        <w:t>底泥远距离管道输送时严防输送管道破裂泄漏，发现异常应立即停工、排查，在妥善解决后再施工。</w:t>
      </w:r>
    </w:p>
    <w:p>
      <w:r>
        <w:rPr>
          <w:rFonts w:hint="eastAsia"/>
          <w:b/>
        </w:rPr>
        <w:t>5.5.</w:t>
      </w:r>
      <w:r>
        <w:rPr>
          <w:b/>
        </w:rPr>
        <w:t>5</w:t>
      </w:r>
      <w:r>
        <w:rPr>
          <w:rFonts w:hint="eastAsia"/>
          <w:b/>
        </w:rPr>
        <w:t xml:space="preserve"> </w:t>
      </w:r>
      <w:r>
        <w:rPr>
          <w:b/>
        </w:rPr>
        <w:t xml:space="preserve"> </w:t>
      </w:r>
      <w:r>
        <w:rPr>
          <w:rFonts w:hint="eastAsia"/>
        </w:rPr>
        <w:t>运输过程中未经许可严禁将底泥在厂外进行中转存放或堆放，严禁将底泥向非指定环境中倾倒。</w:t>
      </w:r>
    </w:p>
    <w:p>
      <w:pPr>
        <w:pStyle w:val="3"/>
      </w:pPr>
      <w:bookmarkStart w:id="56" w:name="_Toc4769439"/>
      <w:bookmarkStart w:id="57" w:name="_Toc37843257"/>
      <w:r>
        <w:t xml:space="preserve">5.6  </w:t>
      </w:r>
      <w:r>
        <w:rPr>
          <w:rFonts w:hint="eastAsia"/>
        </w:rPr>
        <w:t>清淤施工</w:t>
      </w:r>
      <w:bookmarkEnd w:id="56"/>
      <w:r>
        <w:rPr>
          <w:rFonts w:hint="eastAsia"/>
        </w:rPr>
        <w:t>指标</w:t>
      </w:r>
      <w:bookmarkEnd w:id="57"/>
    </w:p>
    <w:p>
      <w:r>
        <w:rPr>
          <w:rFonts w:hint="eastAsia"/>
          <w:b/>
        </w:rPr>
        <w:t>5.6.1</w:t>
      </w:r>
      <w:r>
        <w:rPr>
          <w:b/>
        </w:rPr>
        <w:t xml:space="preserve"> </w:t>
      </w:r>
      <w:r>
        <w:t xml:space="preserve"> </w:t>
      </w:r>
      <w:r>
        <w:rPr>
          <w:rFonts w:hint="eastAsia"/>
        </w:rPr>
        <w:t>清淤断面开挖宽度和深度应符合设计要求，断面每边允许超宽值和测点允许超深值应符合表5.6.1的规定。</w:t>
      </w:r>
    </w:p>
    <w:p>
      <w:r>
        <w:rPr>
          <w:rFonts w:hint="eastAsia"/>
          <w:b/>
        </w:rPr>
        <w:t xml:space="preserve">5.6.2 </w:t>
      </w:r>
      <w:r>
        <w:rPr>
          <w:b/>
        </w:rPr>
        <w:t xml:space="preserve"> </w:t>
      </w:r>
      <w:r>
        <w:rPr>
          <w:rFonts w:hint="eastAsia"/>
        </w:rPr>
        <w:t>局部欠挖如超出下列规定时，应进行返工处理：</w:t>
      </w:r>
    </w:p>
    <w:p>
      <w:pPr>
        <w:ind w:firstLine="482" w:firstLineChars="200"/>
      </w:pPr>
      <w:r>
        <w:rPr>
          <w:b/>
        </w:rPr>
        <w:t xml:space="preserve">1  </w:t>
      </w:r>
      <w:r>
        <w:rPr>
          <w:rFonts w:hint="eastAsia"/>
        </w:rPr>
        <w:t>欠挖厚度大于设计清淤厚度的5%，且大于0.3m；</w:t>
      </w:r>
    </w:p>
    <w:p>
      <w:pPr>
        <w:ind w:firstLine="482" w:firstLineChars="200"/>
      </w:pPr>
      <w:r>
        <w:rPr>
          <w:b/>
        </w:rPr>
        <w:t xml:space="preserve">2  </w:t>
      </w:r>
      <w:r>
        <w:rPr>
          <w:rFonts w:hint="eastAsia"/>
        </w:rPr>
        <w:t>一处欠挖面积大于5.0m</w:t>
      </w:r>
      <w:r>
        <w:rPr>
          <w:rFonts w:hint="eastAsia"/>
          <w:vertAlign w:val="superscript"/>
        </w:rPr>
        <w:t>2</w:t>
      </w:r>
      <w:r>
        <w:rPr>
          <w:rFonts w:hint="eastAsia"/>
        </w:rPr>
        <w:t>。</w:t>
      </w:r>
    </w:p>
    <w:p>
      <w:r>
        <w:rPr>
          <w:rFonts w:hint="eastAsia"/>
          <w:b/>
        </w:rPr>
        <w:t>5.6.3</w:t>
      </w:r>
      <w:r>
        <w:rPr>
          <w:b/>
        </w:rPr>
        <w:t xml:space="preserve">  </w:t>
      </w:r>
      <w:r>
        <w:rPr>
          <w:rFonts w:hint="eastAsia"/>
          <w:bCs/>
        </w:rPr>
        <w:t>清淤底泥在清淤和输送过程中不应对河道造成回淤、不应</w:t>
      </w:r>
      <w:r>
        <w:rPr>
          <w:rFonts w:hint="eastAsia"/>
        </w:rPr>
        <w:t>发生泄漏、不应对周围环境造成污染。</w:t>
      </w:r>
    </w:p>
    <w:p/>
    <w:p>
      <w:pPr>
        <w:spacing w:line="240" w:lineRule="auto"/>
        <w:jc w:val="center"/>
        <w:rPr>
          <w:rFonts w:asciiTheme="majorBidi" w:hAnsiTheme="majorBidi" w:eastAsiaTheme="minorEastAsia" w:cstheme="majorBidi"/>
          <w:b/>
          <w:bCs/>
        </w:rPr>
      </w:pPr>
      <w:r>
        <w:rPr>
          <w:rFonts w:asciiTheme="majorBidi" w:hAnsiTheme="majorBidi" w:eastAsiaTheme="minorEastAsia" w:cstheme="majorBidi"/>
          <w:b/>
          <w:bCs/>
        </w:rPr>
        <w:t>表5.6.1  计算及最大允许宽、超深值  单位：m</w:t>
      </w:r>
    </w:p>
    <w:tbl>
      <w:tblPr>
        <w:tblStyle w:val="27"/>
        <w:tblW w:w="8505" w:type="dxa"/>
        <w:tblInd w:w="108" w:type="dxa"/>
        <w:tblLayout w:type="fixed"/>
        <w:tblCellMar>
          <w:top w:w="0" w:type="dxa"/>
          <w:left w:w="108" w:type="dxa"/>
          <w:bottom w:w="0" w:type="dxa"/>
          <w:right w:w="108" w:type="dxa"/>
        </w:tblCellMar>
      </w:tblPr>
      <w:tblGrid>
        <w:gridCol w:w="1134"/>
        <w:gridCol w:w="851"/>
        <w:gridCol w:w="851"/>
        <w:gridCol w:w="1417"/>
        <w:gridCol w:w="1276"/>
        <w:gridCol w:w="992"/>
        <w:gridCol w:w="1984"/>
      </w:tblGrid>
      <w:tr>
        <w:tblPrEx>
          <w:tblLayout w:type="fixed"/>
          <w:tblCellMar>
            <w:top w:w="0" w:type="dxa"/>
            <w:left w:w="108" w:type="dxa"/>
            <w:bottom w:w="0" w:type="dxa"/>
            <w:right w:w="108" w:type="dxa"/>
          </w:tblCellMar>
        </w:tblPrEx>
        <w:trPr>
          <w:trHeight w:val="480" w:hRule="atLeast"/>
        </w:trPr>
        <w:tc>
          <w:tcPr>
            <w:tcW w:w="4253" w:type="dxa"/>
            <w:gridSpan w:val="4"/>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Times New Roman" w:eastAsiaTheme="minorEastAsia"/>
                <w:color w:val="000000"/>
                <w:kern w:val="0"/>
                <w:sz w:val="21"/>
                <w:szCs w:val="21"/>
              </w:rPr>
            </w:pPr>
            <w:bookmarkStart w:id="58" w:name="_Toc8917368"/>
            <w:bookmarkStart w:id="59" w:name="_Toc4769440"/>
            <w:bookmarkStart w:id="60" w:name="_Toc4769473"/>
            <w:r>
              <w:rPr>
                <w:rFonts w:cs="Times New Roman" w:eastAsiaTheme="minorEastAsia"/>
                <w:color w:val="000000"/>
                <w:kern w:val="0"/>
                <w:sz w:val="21"/>
                <w:szCs w:val="21"/>
              </w:rPr>
              <w:t>类别</w:t>
            </w:r>
          </w:p>
        </w:tc>
        <w:tc>
          <w:tcPr>
            <w:tcW w:w="127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Times New Roman" w:eastAsiaTheme="minorEastAsia"/>
                <w:color w:val="000000"/>
                <w:kern w:val="0"/>
                <w:sz w:val="21"/>
                <w:szCs w:val="21"/>
              </w:rPr>
            </w:pPr>
            <w:r>
              <w:rPr>
                <w:rFonts w:cs="Times New Roman" w:eastAsiaTheme="minorEastAsia"/>
                <w:color w:val="000000"/>
                <w:kern w:val="0"/>
                <w:sz w:val="21"/>
                <w:szCs w:val="21"/>
              </w:rPr>
              <w:t>计算及最大允许超宽值</w:t>
            </w:r>
          </w:p>
        </w:tc>
        <w:tc>
          <w:tcPr>
            <w:tcW w:w="99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Times New Roman" w:eastAsiaTheme="minorEastAsia"/>
                <w:color w:val="000000"/>
                <w:kern w:val="0"/>
                <w:sz w:val="21"/>
                <w:szCs w:val="21"/>
              </w:rPr>
            </w:pPr>
            <w:r>
              <w:rPr>
                <w:rFonts w:cs="Times New Roman" w:eastAsiaTheme="minorEastAsia"/>
                <w:color w:val="000000"/>
                <w:kern w:val="0"/>
                <w:sz w:val="21"/>
                <w:szCs w:val="21"/>
              </w:rPr>
              <w:t>计算超深值</w:t>
            </w:r>
          </w:p>
        </w:tc>
        <w:tc>
          <w:tcPr>
            <w:tcW w:w="198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Times New Roman" w:eastAsiaTheme="minorEastAsia"/>
                <w:color w:val="000000"/>
                <w:kern w:val="0"/>
                <w:sz w:val="21"/>
                <w:szCs w:val="21"/>
              </w:rPr>
            </w:pPr>
            <w:r>
              <w:rPr>
                <w:rFonts w:cs="Times New Roman" w:eastAsiaTheme="minorEastAsia"/>
                <w:color w:val="000000"/>
                <w:kern w:val="0"/>
                <w:sz w:val="21"/>
                <w:szCs w:val="21"/>
              </w:rPr>
              <w:t>最大允许超深值</w:t>
            </w:r>
          </w:p>
        </w:tc>
      </w:tr>
      <w:tr>
        <w:tblPrEx>
          <w:tblLayout w:type="fixed"/>
          <w:tblCellMar>
            <w:top w:w="0" w:type="dxa"/>
            <w:left w:w="108" w:type="dxa"/>
            <w:bottom w:w="0" w:type="dxa"/>
            <w:right w:w="108" w:type="dxa"/>
          </w:tblCellMar>
        </w:tblPrEx>
        <w:trPr>
          <w:trHeight w:val="468" w:hRule="atLeast"/>
        </w:trPr>
        <w:tc>
          <w:tcPr>
            <w:tcW w:w="4253" w:type="dxa"/>
            <w:gridSpan w:val="4"/>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eastAsiaTheme="minorEastAsia"/>
                <w:color w:val="000000"/>
                <w:kern w:val="0"/>
                <w:sz w:val="21"/>
                <w:szCs w:val="21"/>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eastAsiaTheme="minorEastAsia"/>
                <w:color w:val="000000"/>
                <w:kern w:val="0"/>
                <w:sz w:val="21"/>
                <w:szCs w:val="21"/>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eastAsiaTheme="minorEastAsia"/>
                <w:color w:val="000000"/>
                <w:kern w:val="0"/>
                <w:sz w:val="21"/>
                <w:szCs w:val="21"/>
              </w:rPr>
            </w:pPr>
          </w:p>
        </w:tc>
        <w:tc>
          <w:tcPr>
            <w:tcW w:w="198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eastAsiaTheme="minorEastAsia"/>
                <w:color w:val="000000"/>
                <w:kern w:val="0"/>
                <w:sz w:val="21"/>
                <w:szCs w:val="21"/>
              </w:rPr>
            </w:pPr>
          </w:p>
        </w:tc>
      </w:tr>
      <w:tr>
        <w:tblPrEx>
          <w:tblLayout w:type="fixed"/>
          <w:tblCellMar>
            <w:top w:w="0" w:type="dxa"/>
            <w:left w:w="108" w:type="dxa"/>
            <w:bottom w:w="0" w:type="dxa"/>
            <w:right w:w="108" w:type="dxa"/>
          </w:tblCellMar>
        </w:tblPrEx>
        <w:trPr>
          <w:trHeight w:val="270" w:hRule="atLeast"/>
        </w:trPr>
        <w:tc>
          <w:tcPr>
            <w:tcW w:w="1134" w:type="dxa"/>
            <w:vMerge w:val="restart"/>
            <w:tcBorders>
              <w:top w:val="nil"/>
              <w:left w:val="single" w:color="auto" w:sz="4" w:space="0"/>
              <w:right w:val="single" w:color="auto" w:sz="4" w:space="0"/>
            </w:tcBorders>
            <w:vAlign w:val="center"/>
          </w:tcPr>
          <w:p>
            <w:pPr>
              <w:widowControl/>
              <w:jc w:val="center"/>
              <w:rPr>
                <w:rFonts w:cs="Times New Roman" w:eastAsiaTheme="minorEastAsia"/>
                <w:color w:val="000000"/>
                <w:kern w:val="0"/>
                <w:sz w:val="21"/>
                <w:szCs w:val="21"/>
              </w:rPr>
            </w:pPr>
            <w:r>
              <w:rPr>
                <w:rFonts w:cs="Times New Roman" w:eastAsiaTheme="minorEastAsia"/>
                <w:color w:val="000000"/>
                <w:kern w:val="0"/>
                <w:sz w:val="21"/>
                <w:szCs w:val="21"/>
              </w:rPr>
              <w:t>绞吸式</w:t>
            </w:r>
          </w:p>
          <w:p>
            <w:pPr>
              <w:widowControl/>
              <w:jc w:val="center"/>
              <w:rPr>
                <w:rFonts w:cs="Times New Roman" w:eastAsiaTheme="minorEastAsia"/>
                <w:color w:val="000000"/>
                <w:kern w:val="0"/>
                <w:sz w:val="21"/>
                <w:szCs w:val="21"/>
              </w:rPr>
            </w:pPr>
            <w:r>
              <w:rPr>
                <w:rFonts w:cs="Times New Roman" w:eastAsiaTheme="minorEastAsia"/>
                <w:color w:val="000000"/>
                <w:kern w:val="0"/>
                <w:sz w:val="21"/>
                <w:szCs w:val="21"/>
              </w:rPr>
              <w:t>挖泥船</w:t>
            </w:r>
          </w:p>
        </w:tc>
        <w:tc>
          <w:tcPr>
            <w:tcW w:w="851" w:type="dxa"/>
            <w:vMerge w:val="restart"/>
            <w:tcBorders>
              <w:top w:val="nil"/>
              <w:left w:val="single" w:color="auto" w:sz="4" w:space="0"/>
              <w:right w:val="single" w:color="auto" w:sz="4" w:space="0"/>
            </w:tcBorders>
            <w:vAlign w:val="center"/>
          </w:tcPr>
          <w:p>
            <w:pPr>
              <w:jc w:val="left"/>
              <w:rPr>
                <w:rFonts w:cs="Times New Roman" w:eastAsiaTheme="minorEastAsia"/>
                <w:color w:val="000000"/>
                <w:kern w:val="0"/>
                <w:sz w:val="21"/>
                <w:szCs w:val="21"/>
              </w:rPr>
            </w:pPr>
            <w:r>
              <w:rPr>
                <w:rFonts w:cs="Times New Roman" w:eastAsiaTheme="minorEastAsia"/>
                <w:color w:val="000000"/>
                <w:kern w:val="0"/>
                <w:sz w:val="21"/>
                <w:szCs w:val="21"/>
              </w:rPr>
              <w:t>普通绞吸式</w:t>
            </w:r>
          </w:p>
        </w:tc>
        <w:tc>
          <w:tcPr>
            <w:tcW w:w="851" w:type="dxa"/>
            <w:vMerge w:val="restart"/>
            <w:tcBorders>
              <w:top w:val="nil"/>
              <w:left w:val="single" w:color="auto" w:sz="4" w:space="0"/>
              <w:right w:val="single" w:color="auto" w:sz="4" w:space="0"/>
            </w:tcBorders>
            <w:vAlign w:val="center"/>
          </w:tcPr>
          <w:p>
            <w:pPr>
              <w:jc w:val="center"/>
              <w:rPr>
                <w:rFonts w:cs="Times New Roman" w:eastAsiaTheme="minorEastAsia"/>
                <w:color w:val="000000"/>
                <w:kern w:val="0"/>
                <w:sz w:val="21"/>
                <w:szCs w:val="21"/>
              </w:rPr>
            </w:pPr>
            <w:r>
              <w:rPr>
                <w:rFonts w:cs="Times New Roman" w:eastAsiaTheme="minorEastAsia"/>
                <w:color w:val="000000"/>
                <w:kern w:val="0"/>
                <w:sz w:val="21"/>
                <w:szCs w:val="21"/>
              </w:rPr>
              <w:t>绞刀</w:t>
            </w:r>
          </w:p>
          <w:p>
            <w:pPr>
              <w:jc w:val="center"/>
              <w:rPr>
                <w:rFonts w:cs="Times New Roman" w:eastAsiaTheme="minorEastAsia"/>
                <w:color w:val="000000"/>
                <w:kern w:val="0"/>
                <w:sz w:val="21"/>
                <w:szCs w:val="21"/>
              </w:rPr>
            </w:pPr>
            <w:r>
              <w:rPr>
                <w:rFonts w:cs="Times New Roman" w:eastAsiaTheme="minorEastAsia"/>
                <w:color w:val="000000"/>
                <w:kern w:val="0"/>
                <w:sz w:val="21"/>
                <w:szCs w:val="21"/>
              </w:rPr>
              <w:t>直径</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cs="Times New Roman" w:eastAsiaTheme="minorEastAsia"/>
                <w:color w:val="000000"/>
                <w:kern w:val="0"/>
                <w:sz w:val="21"/>
                <w:szCs w:val="21"/>
              </w:rPr>
            </w:pPr>
            <w:r>
              <w:rPr>
                <w:rFonts w:cs="Times New Roman" w:eastAsiaTheme="minorEastAsia"/>
                <w:color w:val="000000"/>
                <w:kern w:val="0"/>
                <w:sz w:val="21"/>
                <w:szCs w:val="21"/>
              </w:rPr>
              <w:t>&lt;1.5m</w:t>
            </w:r>
          </w:p>
        </w:tc>
        <w:tc>
          <w:tcPr>
            <w:tcW w:w="1276" w:type="dxa"/>
            <w:tcBorders>
              <w:top w:val="nil"/>
              <w:left w:val="nil"/>
              <w:bottom w:val="single" w:color="auto" w:sz="4" w:space="0"/>
              <w:right w:val="single" w:color="auto" w:sz="4" w:space="0"/>
            </w:tcBorders>
            <w:shd w:val="clear" w:color="auto" w:fill="auto"/>
            <w:vAlign w:val="center"/>
          </w:tcPr>
          <w:p>
            <w:pPr>
              <w:widowControl/>
              <w:jc w:val="center"/>
              <w:rPr>
                <w:rFonts w:cs="Times New Roman" w:eastAsiaTheme="minorEastAsia"/>
                <w:color w:val="000000"/>
                <w:kern w:val="0"/>
                <w:sz w:val="21"/>
                <w:szCs w:val="21"/>
              </w:rPr>
            </w:pPr>
            <w:r>
              <w:rPr>
                <w:rFonts w:cs="Times New Roman" w:eastAsiaTheme="minorEastAsia"/>
                <w:color w:val="000000"/>
                <w:sz w:val="21"/>
                <w:szCs w:val="21"/>
              </w:rPr>
              <w:t>0.5</w:t>
            </w:r>
          </w:p>
        </w:tc>
        <w:tc>
          <w:tcPr>
            <w:tcW w:w="992" w:type="dxa"/>
            <w:tcBorders>
              <w:top w:val="nil"/>
              <w:left w:val="nil"/>
              <w:bottom w:val="single" w:color="auto" w:sz="4" w:space="0"/>
              <w:right w:val="single" w:color="auto" w:sz="4" w:space="0"/>
            </w:tcBorders>
            <w:shd w:val="clear" w:color="auto" w:fill="auto"/>
            <w:vAlign w:val="center"/>
          </w:tcPr>
          <w:p>
            <w:pPr>
              <w:widowControl/>
              <w:jc w:val="center"/>
              <w:rPr>
                <w:rFonts w:cs="Times New Roman" w:eastAsiaTheme="minorEastAsia"/>
                <w:color w:val="000000"/>
                <w:kern w:val="0"/>
                <w:sz w:val="21"/>
                <w:szCs w:val="21"/>
              </w:rPr>
            </w:pPr>
            <w:r>
              <w:rPr>
                <w:rFonts w:cs="Times New Roman" w:eastAsiaTheme="minorEastAsia"/>
                <w:color w:val="000000"/>
                <w:sz w:val="21"/>
                <w:szCs w:val="21"/>
              </w:rPr>
              <w:t>0.3</w:t>
            </w:r>
          </w:p>
        </w:tc>
        <w:tc>
          <w:tcPr>
            <w:tcW w:w="1984" w:type="dxa"/>
            <w:tcBorders>
              <w:top w:val="nil"/>
              <w:left w:val="nil"/>
              <w:bottom w:val="single" w:color="auto" w:sz="4" w:space="0"/>
              <w:right w:val="single" w:color="auto" w:sz="4" w:space="0"/>
            </w:tcBorders>
            <w:shd w:val="clear" w:color="auto" w:fill="auto"/>
            <w:vAlign w:val="center"/>
          </w:tcPr>
          <w:p>
            <w:pPr>
              <w:widowControl/>
              <w:jc w:val="center"/>
              <w:rPr>
                <w:rFonts w:cs="Times New Roman" w:eastAsiaTheme="minorEastAsia"/>
                <w:color w:val="000000"/>
                <w:kern w:val="0"/>
                <w:sz w:val="21"/>
                <w:szCs w:val="21"/>
              </w:rPr>
            </w:pPr>
            <w:r>
              <w:rPr>
                <w:rFonts w:cs="Times New Roman" w:eastAsiaTheme="minorEastAsia"/>
                <w:color w:val="000000"/>
                <w:sz w:val="21"/>
                <w:szCs w:val="21"/>
              </w:rPr>
              <w:t>0.4</w:t>
            </w:r>
          </w:p>
        </w:tc>
      </w:tr>
      <w:tr>
        <w:tblPrEx>
          <w:tblLayout w:type="fixed"/>
          <w:tblCellMar>
            <w:top w:w="0" w:type="dxa"/>
            <w:left w:w="108" w:type="dxa"/>
            <w:bottom w:w="0" w:type="dxa"/>
            <w:right w:w="108" w:type="dxa"/>
          </w:tblCellMar>
        </w:tblPrEx>
        <w:trPr>
          <w:trHeight w:val="270" w:hRule="atLeast"/>
        </w:trPr>
        <w:tc>
          <w:tcPr>
            <w:tcW w:w="1134" w:type="dxa"/>
            <w:vMerge w:val="continue"/>
            <w:tcBorders>
              <w:left w:val="single" w:color="auto" w:sz="4" w:space="0"/>
              <w:right w:val="single" w:color="auto" w:sz="4" w:space="0"/>
            </w:tcBorders>
            <w:vAlign w:val="center"/>
          </w:tcPr>
          <w:p>
            <w:pPr>
              <w:widowControl/>
              <w:jc w:val="left"/>
              <w:rPr>
                <w:rFonts w:cs="Times New Roman" w:eastAsiaTheme="minorEastAsia"/>
                <w:color w:val="000000"/>
                <w:kern w:val="0"/>
                <w:sz w:val="21"/>
                <w:szCs w:val="21"/>
              </w:rPr>
            </w:pPr>
          </w:p>
        </w:tc>
        <w:tc>
          <w:tcPr>
            <w:tcW w:w="851" w:type="dxa"/>
            <w:vMerge w:val="continue"/>
            <w:tcBorders>
              <w:left w:val="single" w:color="auto" w:sz="4" w:space="0"/>
              <w:right w:val="single" w:color="auto" w:sz="4" w:space="0"/>
            </w:tcBorders>
            <w:vAlign w:val="center"/>
          </w:tcPr>
          <w:p>
            <w:pPr>
              <w:widowControl/>
              <w:jc w:val="left"/>
              <w:rPr>
                <w:rFonts w:cs="Times New Roman" w:eastAsiaTheme="minorEastAsia"/>
                <w:color w:val="000000"/>
                <w:kern w:val="0"/>
                <w:sz w:val="21"/>
                <w:szCs w:val="21"/>
              </w:rPr>
            </w:pPr>
          </w:p>
        </w:tc>
        <w:tc>
          <w:tcPr>
            <w:tcW w:w="851" w:type="dxa"/>
            <w:vMerge w:val="continue"/>
            <w:tcBorders>
              <w:left w:val="single" w:color="auto" w:sz="4" w:space="0"/>
              <w:right w:val="single" w:color="auto" w:sz="4" w:space="0"/>
            </w:tcBorders>
            <w:vAlign w:val="center"/>
          </w:tcPr>
          <w:p>
            <w:pPr>
              <w:widowControl/>
              <w:jc w:val="left"/>
              <w:rPr>
                <w:rFonts w:cs="Times New Roman" w:eastAsiaTheme="minorEastAsia"/>
                <w:color w:val="000000"/>
                <w:kern w:val="0"/>
                <w:sz w:val="21"/>
                <w:szCs w:val="21"/>
              </w:rPr>
            </w:pP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cs="Times New Roman" w:eastAsiaTheme="minorEastAsia"/>
                <w:color w:val="000000"/>
                <w:kern w:val="0"/>
                <w:sz w:val="21"/>
                <w:szCs w:val="21"/>
              </w:rPr>
            </w:pPr>
            <w:r>
              <w:rPr>
                <w:rFonts w:cs="Times New Roman" w:eastAsiaTheme="minorEastAsia"/>
                <w:color w:val="000000"/>
                <w:kern w:val="0"/>
                <w:sz w:val="21"/>
                <w:szCs w:val="21"/>
              </w:rPr>
              <w:t>1.5m~2.0m</w:t>
            </w:r>
          </w:p>
        </w:tc>
        <w:tc>
          <w:tcPr>
            <w:tcW w:w="1276" w:type="dxa"/>
            <w:tcBorders>
              <w:top w:val="nil"/>
              <w:left w:val="nil"/>
              <w:bottom w:val="single" w:color="auto" w:sz="4" w:space="0"/>
              <w:right w:val="single" w:color="auto" w:sz="4" w:space="0"/>
            </w:tcBorders>
            <w:shd w:val="clear" w:color="auto" w:fill="auto"/>
            <w:vAlign w:val="center"/>
          </w:tcPr>
          <w:p>
            <w:pPr>
              <w:widowControl/>
              <w:jc w:val="center"/>
              <w:rPr>
                <w:rFonts w:cs="Times New Roman" w:eastAsiaTheme="minorEastAsia"/>
                <w:color w:val="000000"/>
                <w:kern w:val="0"/>
                <w:sz w:val="21"/>
                <w:szCs w:val="21"/>
              </w:rPr>
            </w:pPr>
            <w:r>
              <w:rPr>
                <w:rFonts w:cs="Times New Roman" w:eastAsiaTheme="minorEastAsia"/>
                <w:color w:val="000000"/>
                <w:kern w:val="0"/>
                <w:sz w:val="21"/>
                <w:szCs w:val="21"/>
              </w:rPr>
              <w:t>1</w:t>
            </w:r>
          </w:p>
        </w:tc>
        <w:tc>
          <w:tcPr>
            <w:tcW w:w="992" w:type="dxa"/>
            <w:tcBorders>
              <w:top w:val="nil"/>
              <w:left w:val="nil"/>
              <w:bottom w:val="single" w:color="auto" w:sz="4" w:space="0"/>
              <w:right w:val="single" w:color="auto" w:sz="4" w:space="0"/>
            </w:tcBorders>
            <w:shd w:val="clear" w:color="auto" w:fill="auto"/>
            <w:vAlign w:val="center"/>
          </w:tcPr>
          <w:p>
            <w:pPr>
              <w:widowControl/>
              <w:jc w:val="center"/>
              <w:rPr>
                <w:rFonts w:cs="Times New Roman" w:eastAsiaTheme="minorEastAsia"/>
                <w:color w:val="000000"/>
                <w:kern w:val="0"/>
                <w:sz w:val="21"/>
                <w:szCs w:val="21"/>
              </w:rPr>
            </w:pPr>
            <w:r>
              <w:rPr>
                <w:rFonts w:cs="Times New Roman" w:eastAsiaTheme="minorEastAsia"/>
                <w:color w:val="000000"/>
                <w:kern w:val="0"/>
                <w:sz w:val="21"/>
                <w:szCs w:val="21"/>
              </w:rPr>
              <w:t>0.3</w:t>
            </w:r>
          </w:p>
        </w:tc>
        <w:tc>
          <w:tcPr>
            <w:tcW w:w="1984" w:type="dxa"/>
            <w:tcBorders>
              <w:top w:val="nil"/>
              <w:left w:val="nil"/>
              <w:bottom w:val="single" w:color="auto" w:sz="4" w:space="0"/>
              <w:right w:val="single" w:color="auto" w:sz="4" w:space="0"/>
            </w:tcBorders>
            <w:shd w:val="clear" w:color="auto" w:fill="auto"/>
            <w:vAlign w:val="center"/>
          </w:tcPr>
          <w:p>
            <w:pPr>
              <w:widowControl/>
              <w:jc w:val="center"/>
              <w:rPr>
                <w:rFonts w:cs="Times New Roman" w:eastAsiaTheme="minorEastAsia"/>
                <w:color w:val="000000"/>
                <w:kern w:val="0"/>
                <w:sz w:val="21"/>
                <w:szCs w:val="21"/>
              </w:rPr>
            </w:pPr>
            <w:r>
              <w:rPr>
                <w:rFonts w:cs="Times New Roman" w:eastAsiaTheme="minorEastAsia"/>
                <w:color w:val="000000"/>
                <w:kern w:val="0"/>
                <w:sz w:val="21"/>
                <w:szCs w:val="21"/>
              </w:rPr>
              <w:t>0.5</w:t>
            </w:r>
          </w:p>
        </w:tc>
      </w:tr>
      <w:tr>
        <w:tblPrEx>
          <w:tblLayout w:type="fixed"/>
          <w:tblCellMar>
            <w:top w:w="0" w:type="dxa"/>
            <w:left w:w="108" w:type="dxa"/>
            <w:bottom w:w="0" w:type="dxa"/>
            <w:right w:w="108" w:type="dxa"/>
          </w:tblCellMar>
        </w:tblPrEx>
        <w:trPr>
          <w:trHeight w:val="270" w:hRule="atLeast"/>
        </w:trPr>
        <w:tc>
          <w:tcPr>
            <w:tcW w:w="1134" w:type="dxa"/>
            <w:vMerge w:val="continue"/>
            <w:tcBorders>
              <w:left w:val="single" w:color="auto" w:sz="4" w:space="0"/>
              <w:right w:val="single" w:color="auto" w:sz="4" w:space="0"/>
            </w:tcBorders>
            <w:vAlign w:val="center"/>
          </w:tcPr>
          <w:p>
            <w:pPr>
              <w:widowControl/>
              <w:jc w:val="left"/>
              <w:rPr>
                <w:rFonts w:cs="Times New Roman" w:eastAsiaTheme="minorEastAsia"/>
                <w:color w:val="000000"/>
                <w:kern w:val="0"/>
                <w:sz w:val="21"/>
                <w:szCs w:val="21"/>
              </w:rPr>
            </w:pPr>
          </w:p>
        </w:tc>
        <w:tc>
          <w:tcPr>
            <w:tcW w:w="851" w:type="dxa"/>
            <w:vMerge w:val="continue"/>
            <w:tcBorders>
              <w:left w:val="single" w:color="auto" w:sz="4" w:space="0"/>
              <w:bottom w:val="single" w:color="auto" w:sz="4" w:space="0"/>
              <w:right w:val="single" w:color="auto" w:sz="4" w:space="0"/>
            </w:tcBorders>
            <w:vAlign w:val="center"/>
          </w:tcPr>
          <w:p>
            <w:pPr>
              <w:widowControl/>
              <w:jc w:val="left"/>
              <w:rPr>
                <w:rFonts w:cs="Times New Roman" w:eastAsiaTheme="minorEastAsia"/>
                <w:color w:val="000000"/>
                <w:kern w:val="0"/>
                <w:sz w:val="21"/>
                <w:szCs w:val="21"/>
              </w:rPr>
            </w:pPr>
          </w:p>
        </w:tc>
        <w:tc>
          <w:tcPr>
            <w:tcW w:w="851" w:type="dxa"/>
            <w:vMerge w:val="continue"/>
            <w:tcBorders>
              <w:left w:val="single" w:color="auto" w:sz="4" w:space="0"/>
              <w:bottom w:val="single" w:color="auto" w:sz="4" w:space="0"/>
              <w:right w:val="single" w:color="auto" w:sz="4" w:space="0"/>
            </w:tcBorders>
            <w:vAlign w:val="center"/>
          </w:tcPr>
          <w:p>
            <w:pPr>
              <w:widowControl/>
              <w:jc w:val="left"/>
              <w:rPr>
                <w:rFonts w:cs="Times New Roman" w:eastAsiaTheme="minorEastAsia"/>
                <w:color w:val="000000"/>
                <w:kern w:val="0"/>
                <w:sz w:val="21"/>
                <w:szCs w:val="21"/>
              </w:rPr>
            </w:pP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cs="Times New Roman" w:eastAsiaTheme="minorEastAsia"/>
                <w:color w:val="000000"/>
                <w:kern w:val="0"/>
                <w:sz w:val="21"/>
                <w:szCs w:val="21"/>
              </w:rPr>
            </w:pPr>
            <w:r>
              <w:rPr>
                <w:rFonts w:cs="Times New Roman" w:eastAsiaTheme="minorEastAsia"/>
                <w:color w:val="000000"/>
                <w:kern w:val="0"/>
                <w:sz w:val="21"/>
                <w:szCs w:val="21"/>
              </w:rPr>
              <w:t>&gt;2.0m</w:t>
            </w:r>
          </w:p>
        </w:tc>
        <w:tc>
          <w:tcPr>
            <w:tcW w:w="1276" w:type="dxa"/>
            <w:tcBorders>
              <w:top w:val="nil"/>
              <w:left w:val="nil"/>
              <w:bottom w:val="single" w:color="auto" w:sz="4" w:space="0"/>
              <w:right w:val="single" w:color="auto" w:sz="4" w:space="0"/>
            </w:tcBorders>
            <w:shd w:val="clear" w:color="auto" w:fill="auto"/>
            <w:vAlign w:val="center"/>
          </w:tcPr>
          <w:p>
            <w:pPr>
              <w:widowControl/>
              <w:jc w:val="center"/>
              <w:rPr>
                <w:rFonts w:cs="Times New Roman" w:eastAsiaTheme="minorEastAsia"/>
                <w:color w:val="000000"/>
                <w:kern w:val="0"/>
                <w:sz w:val="21"/>
                <w:szCs w:val="21"/>
              </w:rPr>
            </w:pPr>
            <w:r>
              <w:rPr>
                <w:rFonts w:cs="Times New Roman" w:eastAsiaTheme="minorEastAsia"/>
                <w:color w:val="000000"/>
                <w:kern w:val="0"/>
                <w:sz w:val="21"/>
                <w:szCs w:val="21"/>
              </w:rPr>
              <w:t>1.5</w:t>
            </w:r>
          </w:p>
        </w:tc>
        <w:tc>
          <w:tcPr>
            <w:tcW w:w="992" w:type="dxa"/>
            <w:tcBorders>
              <w:top w:val="nil"/>
              <w:left w:val="nil"/>
              <w:bottom w:val="single" w:color="auto" w:sz="4" w:space="0"/>
              <w:right w:val="single" w:color="auto" w:sz="4" w:space="0"/>
            </w:tcBorders>
            <w:shd w:val="clear" w:color="auto" w:fill="auto"/>
            <w:vAlign w:val="center"/>
          </w:tcPr>
          <w:p>
            <w:pPr>
              <w:widowControl/>
              <w:jc w:val="center"/>
              <w:rPr>
                <w:rFonts w:cs="Times New Roman" w:eastAsiaTheme="minorEastAsia"/>
                <w:color w:val="000000"/>
                <w:kern w:val="0"/>
                <w:sz w:val="21"/>
                <w:szCs w:val="21"/>
              </w:rPr>
            </w:pPr>
            <w:r>
              <w:rPr>
                <w:rFonts w:cs="Times New Roman" w:eastAsiaTheme="minorEastAsia"/>
                <w:color w:val="000000"/>
                <w:kern w:val="0"/>
                <w:sz w:val="21"/>
                <w:szCs w:val="21"/>
              </w:rPr>
              <w:t>0.4</w:t>
            </w:r>
          </w:p>
        </w:tc>
        <w:tc>
          <w:tcPr>
            <w:tcW w:w="1984" w:type="dxa"/>
            <w:tcBorders>
              <w:top w:val="nil"/>
              <w:left w:val="nil"/>
              <w:bottom w:val="single" w:color="auto" w:sz="4" w:space="0"/>
              <w:right w:val="single" w:color="auto" w:sz="4" w:space="0"/>
            </w:tcBorders>
            <w:shd w:val="clear" w:color="auto" w:fill="auto"/>
            <w:vAlign w:val="center"/>
          </w:tcPr>
          <w:p>
            <w:pPr>
              <w:widowControl/>
              <w:jc w:val="center"/>
              <w:rPr>
                <w:rFonts w:cs="Times New Roman" w:eastAsiaTheme="minorEastAsia"/>
                <w:color w:val="000000"/>
                <w:kern w:val="0"/>
                <w:sz w:val="21"/>
                <w:szCs w:val="21"/>
              </w:rPr>
            </w:pPr>
            <w:r>
              <w:rPr>
                <w:rFonts w:cs="Times New Roman" w:eastAsiaTheme="minorEastAsia"/>
                <w:color w:val="000000"/>
                <w:kern w:val="0"/>
                <w:sz w:val="21"/>
                <w:szCs w:val="21"/>
              </w:rPr>
              <w:t>0.5</w:t>
            </w:r>
          </w:p>
        </w:tc>
      </w:tr>
      <w:tr>
        <w:tblPrEx>
          <w:tblLayout w:type="fixed"/>
          <w:tblCellMar>
            <w:top w:w="0" w:type="dxa"/>
            <w:left w:w="108" w:type="dxa"/>
            <w:bottom w:w="0" w:type="dxa"/>
            <w:right w:w="108" w:type="dxa"/>
          </w:tblCellMar>
        </w:tblPrEx>
        <w:trPr>
          <w:trHeight w:val="270" w:hRule="atLeast"/>
        </w:trPr>
        <w:tc>
          <w:tcPr>
            <w:tcW w:w="1134" w:type="dxa"/>
            <w:vMerge w:val="continue"/>
            <w:tcBorders>
              <w:left w:val="single" w:color="auto" w:sz="4" w:space="0"/>
              <w:right w:val="single" w:color="auto" w:sz="4" w:space="0"/>
            </w:tcBorders>
            <w:vAlign w:val="center"/>
          </w:tcPr>
          <w:p>
            <w:pPr>
              <w:widowControl/>
              <w:jc w:val="left"/>
              <w:rPr>
                <w:rFonts w:cs="Times New Roman" w:eastAsiaTheme="minorEastAsia"/>
                <w:color w:val="000000"/>
                <w:kern w:val="0"/>
                <w:sz w:val="21"/>
                <w:szCs w:val="21"/>
              </w:rPr>
            </w:pPr>
          </w:p>
        </w:tc>
        <w:tc>
          <w:tcPr>
            <w:tcW w:w="85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cs="Times New Roman" w:eastAsiaTheme="minorEastAsia"/>
                <w:color w:val="000000"/>
                <w:kern w:val="0"/>
                <w:sz w:val="21"/>
                <w:szCs w:val="21"/>
              </w:rPr>
            </w:pPr>
            <w:r>
              <w:rPr>
                <w:rFonts w:cs="Times New Roman" w:eastAsiaTheme="minorEastAsia"/>
                <w:color w:val="000000"/>
                <w:kern w:val="0"/>
                <w:sz w:val="21"/>
                <w:szCs w:val="21"/>
              </w:rPr>
              <w:t>斗轮式</w:t>
            </w:r>
          </w:p>
        </w:tc>
        <w:tc>
          <w:tcPr>
            <w:tcW w:w="85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cs="Times New Roman" w:eastAsiaTheme="minorEastAsia"/>
                <w:color w:val="000000"/>
                <w:kern w:val="0"/>
                <w:sz w:val="21"/>
                <w:szCs w:val="21"/>
              </w:rPr>
            </w:pPr>
            <w:r>
              <w:rPr>
                <w:rFonts w:cs="Times New Roman" w:eastAsiaTheme="minorEastAsia"/>
                <w:color w:val="000000"/>
                <w:kern w:val="0"/>
                <w:sz w:val="21"/>
                <w:szCs w:val="21"/>
              </w:rPr>
              <w:t>斗轮</w:t>
            </w:r>
          </w:p>
          <w:p>
            <w:pPr>
              <w:widowControl/>
              <w:jc w:val="center"/>
              <w:rPr>
                <w:rFonts w:cs="Times New Roman" w:eastAsiaTheme="minorEastAsia"/>
                <w:color w:val="000000"/>
                <w:kern w:val="0"/>
                <w:sz w:val="21"/>
                <w:szCs w:val="21"/>
              </w:rPr>
            </w:pPr>
            <w:r>
              <w:rPr>
                <w:rFonts w:cs="Times New Roman" w:eastAsiaTheme="minorEastAsia"/>
                <w:color w:val="000000"/>
                <w:kern w:val="0"/>
                <w:sz w:val="21"/>
                <w:szCs w:val="21"/>
              </w:rPr>
              <w:t>直径</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cs="Times New Roman" w:eastAsiaTheme="minorEastAsia"/>
                <w:color w:val="000000"/>
                <w:kern w:val="0"/>
                <w:sz w:val="21"/>
                <w:szCs w:val="21"/>
              </w:rPr>
            </w:pPr>
            <w:r>
              <w:rPr>
                <w:rFonts w:cs="Times New Roman" w:eastAsiaTheme="minorEastAsia"/>
                <w:color w:val="000000"/>
                <w:kern w:val="0"/>
                <w:sz w:val="21"/>
                <w:szCs w:val="21"/>
              </w:rPr>
              <w:t>&lt;1.5m</w:t>
            </w:r>
          </w:p>
        </w:tc>
        <w:tc>
          <w:tcPr>
            <w:tcW w:w="1276" w:type="dxa"/>
            <w:tcBorders>
              <w:top w:val="nil"/>
              <w:left w:val="nil"/>
              <w:bottom w:val="single" w:color="auto" w:sz="4" w:space="0"/>
              <w:right w:val="single" w:color="auto" w:sz="4" w:space="0"/>
            </w:tcBorders>
            <w:shd w:val="clear" w:color="auto" w:fill="auto"/>
            <w:vAlign w:val="center"/>
          </w:tcPr>
          <w:p>
            <w:pPr>
              <w:widowControl/>
              <w:jc w:val="center"/>
              <w:rPr>
                <w:rFonts w:cs="Times New Roman" w:eastAsiaTheme="minorEastAsia"/>
                <w:color w:val="000000"/>
                <w:kern w:val="0"/>
                <w:sz w:val="21"/>
                <w:szCs w:val="21"/>
              </w:rPr>
            </w:pPr>
            <w:r>
              <w:rPr>
                <w:rFonts w:cs="Times New Roman" w:eastAsiaTheme="minorEastAsia"/>
                <w:color w:val="000000"/>
                <w:kern w:val="0"/>
                <w:sz w:val="21"/>
                <w:szCs w:val="21"/>
              </w:rPr>
              <w:t>0.3</w:t>
            </w:r>
          </w:p>
        </w:tc>
        <w:tc>
          <w:tcPr>
            <w:tcW w:w="992" w:type="dxa"/>
            <w:tcBorders>
              <w:top w:val="nil"/>
              <w:left w:val="nil"/>
              <w:bottom w:val="single" w:color="auto" w:sz="4" w:space="0"/>
              <w:right w:val="single" w:color="auto" w:sz="4" w:space="0"/>
            </w:tcBorders>
            <w:shd w:val="clear" w:color="auto" w:fill="auto"/>
            <w:vAlign w:val="center"/>
          </w:tcPr>
          <w:p>
            <w:pPr>
              <w:widowControl/>
              <w:jc w:val="center"/>
              <w:rPr>
                <w:rFonts w:cs="Times New Roman" w:eastAsiaTheme="minorEastAsia"/>
                <w:color w:val="000000"/>
                <w:kern w:val="0"/>
                <w:sz w:val="21"/>
                <w:szCs w:val="21"/>
              </w:rPr>
            </w:pPr>
            <w:r>
              <w:rPr>
                <w:rFonts w:cs="Times New Roman" w:eastAsiaTheme="minorEastAsia"/>
                <w:color w:val="000000"/>
                <w:kern w:val="0"/>
                <w:sz w:val="21"/>
                <w:szCs w:val="21"/>
              </w:rPr>
              <w:t>0.2</w:t>
            </w:r>
          </w:p>
        </w:tc>
        <w:tc>
          <w:tcPr>
            <w:tcW w:w="1984" w:type="dxa"/>
            <w:tcBorders>
              <w:top w:val="nil"/>
              <w:left w:val="nil"/>
              <w:bottom w:val="single" w:color="auto" w:sz="4" w:space="0"/>
              <w:right w:val="single" w:color="auto" w:sz="4" w:space="0"/>
            </w:tcBorders>
            <w:shd w:val="clear" w:color="auto" w:fill="auto"/>
            <w:vAlign w:val="center"/>
          </w:tcPr>
          <w:p>
            <w:pPr>
              <w:widowControl/>
              <w:jc w:val="center"/>
              <w:rPr>
                <w:rFonts w:cs="Times New Roman" w:eastAsiaTheme="minorEastAsia"/>
                <w:color w:val="000000"/>
                <w:kern w:val="0"/>
                <w:sz w:val="21"/>
                <w:szCs w:val="21"/>
              </w:rPr>
            </w:pPr>
            <w:r>
              <w:rPr>
                <w:rFonts w:cs="Times New Roman" w:eastAsiaTheme="minorEastAsia"/>
                <w:color w:val="000000"/>
                <w:kern w:val="0"/>
                <w:sz w:val="21"/>
                <w:szCs w:val="21"/>
              </w:rPr>
              <w:t>0.3</w:t>
            </w:r>
          </w:p>
        </w:tc>
      </w:tr>
      <w:tr>
        <w:tblPrEx>
          <w:tblLayout w:type="fixed"/>
          <w:tblCellMar>
            <w:top w:w="0" w:type="dxa"/>
            <w:left w:w="108" w:type="dxa"/>
            <w:bottom w:w="0" w:type="dxa"/>
            <w:right w:w="108" w:type="dxa"/>
          </w:tblCellMar>
        </w:tblPrEx>
        <w:trPr>
          <w:trHeight w:val="270" w:hRule="atLeast"/>
        </w:trPr>
        <w:tc>
          <w:tcPr>
            <w:tcW w:w="1134" w:type="dxa"/>
            <w:vMerge w:val="continue"/>
            <w:tcBorders>
              <w:left w:val="single" w:color="auto" w:sz="4" w:space="0"/>
              <w:right w:val="single" w:color="auto" w:sz="4" w:space="0"/>
            </w:tcBorders>
            <w:vAlign w:val="center"/>
          </w:tcPr>
          <w:p>
            <w:pPr>
              <w:widowControl/>
              <w:jc w:val="left"/>
              <w:rPr>
                <w:rFonts w:cs="Times New Roman" w:eastAsiaTheme="minorEastAsia"/>
                <w:color w:val="000000"/>
                <w:kern w:val="0"/>
                <w:sz w:val="21"/>
                <w:szCs w:val="21"/>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cs="Times New Roman" w:eastAsiaTheme="minorEastAsia"/>
                <w:color w:val="000000"/>
                <w:kern w:val="0"/>
                <w:sz w:val="21"/>
                <w:szCs w:val="21"/>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cs="Times New Roman" w:eastAsiaTheme="minorEastAsia"/>
                <w:color w:val="000000"/>
                <w:kern w:val="0"/>
                <w:sz w:val="21"/>
                <w:szCs w:val="21"/>
              </w:rPr>
            </w:pP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cs="Times New Roman" w:eastAsiaTheme="minorEastAsia"/>
                <w:color w:val="000000"/>
                <w:kern w:val="0"/>
                <w:sz w:val="21"/>
                <w:szCs w:val="21"/>
              </w:rPr>
            </w:pPr>
            <w:r>
              <w:rPr>
                <w:rFonts w:cs="Times New Roman" w:eastAsiaTheme="minorEastAsia"/>
                <w:color w:val="000000"/>
                <w:kern w:val="0"/>
                <w:sz w:val="21"/>
                <w:szCs w:val="21"/>
              </w:rPr>
              <w:t>1.5m~2.4m</w:t>
            </w:r>
          </w:p>
        </w:tc>
        <w:tc>
          <w:tcPr>
            <w:tcW w:w="1276" w:type="dxa"/>
            <w:tcBorders>
              <w:top w:val="nil"/>
              <w:left w:val="nil"/>
              <w:bottom w:val="single" w:color="auto" w:sz="4" w:space="0"/>
              <w:right w:val="single" w:color="auto" w:sz="4" w:space="0"/>
            </w:tcBorders>
            <w:shd w:val="clear" w:color="auto" w:fill="auto"/>
            <w:vAlign w:val="center"/>
          </w:tcPr>
          <w:p>
            <w:pPr>
              <w:widowControl/>
              <w:jc w:val="center"/>
              <w:rPr>
                <w:rFonts w:cs="Times New Roman" w:eastAsiaTheme="minorEastAsia"/>
                <w:color w:val="000000"/>
                <w:kern w:val="0"/>
                <w:sz w:val="21"/>
                <w:szCs w:val="21"/>
              </w:rPr>
            </w:pPr>
            <w:r>
              <w:rPr>
                <w:rFonts w:cs="Times New Roman" w:eastAsiaTheme="minorEastAsia"/>
                <w:color w:val="000000"/>
                <w:kern w:val="0"/>
                <w:sz w:val="21"/>
                <w:szCs w:val="21"/>
              </w:rPr>
              <w:t>0.5</w:t>
            </w:r>
          </w:p>
        </w:tc>
        <w:tc>
          <w:tcPr>
            <w:tcW w:w="992" w:type="dxa"/>
            <w:tcBorders>
              <w:top w:val="nil"/>
              <w:left w:val="nil"/>
              <w:bottom w:val="single" w:color="auto" w:sz="4" w:space="0"/>
              <w:right w:val="single" w:color="auto" w:sz="4" w:space="0"/>
            </w:tcBorders>
            <w:shd w:val="clear" w:color="auto" w:fill="auto"/>
            <w:vAlign w:val="center"/>
          </w:tcPr>
          <w:p>
            <w:pPr>
              <w:widowControl/>
              <w:jc w:val="center"/>
              <w:rPr>
                <w:rFonts w:cs="Times New Roman" w:eastAsiaTheme="minorEastAsia"/>
                <w:color w:val="000000"/>
                <w:kern w:val="0"/>
                <w:sz w:val="21"/>
                <w:szCs w:val="21"/>
              </w:rPr>
            </w:pPr>
            <w:r>
              <w:rPr>
                <w:rFonts w:cs="Times New Roman" w:eastAsiaTheme="minorEastAsia"/>
                <w:color w:val="000000"/>
                <w:kern w:val="0"/>
                <w:sz w:val="21"/>
                <w:szCs w:val="21"/>
              </w:rPr>
              <w:t>0.2</w:t>
            </w:r>
          </w:p>
        </w:tc>
        <w:tc>
          <w:tcPr>
            <w:tcW w:w="1984" w:type="dxa"/>
            <w:tcBorders>
              <w:top w:val="nil"/>
              <w:left w:val="nil"/>
              <w:bottom w:val="single" w:color="auto" w:sz="4" w:space="0"/>
              <w:right w:val="single" w:color="auto" w:sz="4" w:space="0"/>
            </w:tcBorders>
            <w:shd w:val="clear" w:color="auto" w:fill="auto"/>
            <w:vAlign w:val="center"/>
          </w:tcPr>
          <w:p>
            <w:pPr>
              <w:widowControl/>
              <w:jc w:val="center"/>
              <w:rPr>
                <w:rFonts w:cs="Times New Roman" w:eastAsiaTheme="minorEastAsia"/>
                <w:color w:val="000000"/>
                <w:kern w:val="0"/>
                <w:sz w:val="21"/>
                <w:szCs w:val="21"/>
              </w:rPr>
            </w:pPr>
            <w:r>
              <w:rPr>
                <w:rFonts w:cs="Times New Roman" w:eastAsiaTheme="minorEastAsia"/>
                <w:color w:val="000000"/>
                <w:kern w:val="0"/>
                <w:sz w:val="21"/>
                <w:szCs w:val="21"/>
              </w:rPr>
              <w:t>0.3</w:t>
            </w:r>
          </w:p>
        </w:tc>
      </w:tr>
      <w:tr>
        <w:tblPrEx>
          <w:tblLayout w:type="fixed"/>
          <w:tblCellMar>
            <w:top w:w="0" w:type="dxa"/>
            <w:left w:w="108" w:type="dxa"/>
            <w:bottom w:w="0" w:type="dxa"/>
            <w:right w:w="108" w:type="dxa"/>
          </w:tblCellMar>
        </w:tblPrEx>
        <w:trPr>
          <w:trHeight w:val="270" w:hRule="atLeast"/>
        </w:trPr>
        <w:tc>
          <w:tcPr>
            <w:tcW w:w="1134" w:type="dxa"/>
            <w:vMerge w:val="continue"/>
            <w:tcBorders>
              <w:left w:val="single" w:color="auto" w:sz="4" w:space="0"/>
              <w:bottom w:val="single" w:color="auto" w:sz="4" w:space="0"/>
              <w:right w:val="single" w:color="auto" w:sz="4" w:space="0"/>
            </w:tcBorders>
            <w:vAlign w:val="center"/>
          </w:tcPr>
          <w:p>
            <w:pPr>
              <w:widowControl/>
              <w:jc w:val="left"/>
              <w:rPr>
                <w:rFonts w:cs="Times New Roman" w:eastAsiaTheme="minorEastAsia"/>
                <w:color w:val="000000"/>
                <w:kern w:val="0"/>
                <w:sz w:val="21"/>
                <w:szCs w:val="21"/>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cs="Times New Roman" w:eastAsiaTheme="minorEastAsia"/>
                <w:color w:val="000000"/>
                <w:kern w:val="0"/>
                <w:sz w:val="21"/>
                <w:szCs w:val="21"/>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cs="Times New Roman" w:eastAsiaTheme="minorEastAsia"/>
                <w:color w:val="000000"/>
                <w:kern w:val="0"/>
                <w:sz w:val="21"/>
                <w:szCs w:val="21"/>
              </w:rPr>
            </w:pP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cs="Times New Roman" w:eastAsiaTheme="minorEastAsia"/>
                <w:color w:val="000000"/>
                <w:kern w:val="0"/>
                <w:sz w:val="21"/>
                <w:szCs w:val="21"/>
              </w:rPr>
            </w:pPr>
            <w:r>
              <w:rPr>
                <w:rFonts w:cs="Times New Roman" w:eastAsiaTheme="minorEastAsia"/>
                <w:color w:val="000000"/>
                <w:kern w:val="0"/>
                <w:sz w:val="21"/>
                <w:szCs w:val="21"/>
              </w:rPr>
              <w:t>&gt;2.4m</w:t>
            </w:r>
          </w:p>
        </w:tc>
        <w:tc>
          <w:tcPr>
            <w:tcW w:w="1276" w:type="dxa"/>
            <w:tcBorders>
              <w:top w:val="nil"/>
              <w:left w:val="nil"/>
              <w:bottom w:val="single" w:color="auto" w:sz="4" w:space="0"/>
              <w:right w:val="single" w:color="auto" w:sz="4" w:space="0"/>
            </w:tcBorders>
            <w:shd w:val="clear" w:color="auto" w:fill="auto"/>
            <w:vAlign w:val="center"/>
          </w:tcPr>
          <w:p>
            <w:pPr>
              <w:widowControl/>
              <w:jc w:val="center"/>
              <w:rPr>
                <w:rFonts w:cs="Times New Roman" w:eastAsiaTheme="minorEastAsia"/>
                <w:color w:val="000000"/>
                <w:kern w:val="0"/>
                <w:sz w:val="21"/>
                <w:szCs w:val="21"/>
              </w:rPr>
            </w:pPr>
            <w:r>
              <w:rPr>
                <w:rFonts w:cs="Times New Roman" w:eastAsiaTheme="minorEastAsia"/>
                <w:color w:val="000000"/>
                <w:kern w:val="0"/>
                <w:sz w:val="21"/>
                <w:szCs w:val="21"/>
              </w:rPr>
              <w:t>1</w:t>
            </w:r>
          </w:p>
        </w:tc>
        <w:tc>
          <w:tcPr>
            <w:tcW w:w="992" w:type="dxa"/>
            <w:tcBorders>
              <w:top w:val="nil"/>
              <w:left w:val="nil"/>
              <w:bottom w:val="single" w:color="auto" w:sz="4" w:space="0"/>
              <w:right w:val="single" w:color="auto" w:sz="4" w:space="0"/>
            </w:tcBorders>
            <w:shd w:val="clear" w:color="auto" w:fill="auto"/>
            <w:vAlign w:val="center"/>
          </w:tcPr>
          <w:p>
            <w:pPr>
              <w:widowControl/>
              <w:jc w:val="center"/>
              <w:rPr>
                <w:rFonts w:cs="Times New Roman" w:eastAsiaTheme="minorEastAsia"/>
                <w:color w:val="000000"/>
                <w:kern w:val="0"/>
                <w:sz w:val="21"/>
                <w:szCs w:val="21"/>
              </w:rPr>
            </w:pPr>
            <w:r>
              <w:rPr>
                <w:rFonts w:cs="Times New Roman" w:eastAsiaTheme="minorEastAsia"/>
                <w:color w:val="000000"/>
                <w:kern w:val="0"/>
                <w:sz w:val="21"/>
                <w:szCs w:val="21"/>
              </w:rPr>
              <w:t>0.3</w:t>
            </w:r>
          </w:p>
        </w:tc>
        <w:tc>
          <w:tcPr>
            <w:tcW w:w="1984" w:type="dxa"/>
            <w:tcBorders>
              <w:top w:val="nil"/>
              <w:left w:val="nil"/>
              <w:bottom w:val="single" w:color="auto" w:sz="4" w:space="0"/>
              <w:right w:val="single" w:color="auto" w:sz="4" w:space="0"/>
            </w:tcBorders>
            <w:shd w:val="clear" w:color="auto" w:fill="auto"/>
            <w:vAlign w:val="center"/>
          </w:tcPr>
          <w:p>
            <w:pPr>
              <w:widowControl/>
              <w:jc w:val="center"/>
              <w:rPr>
                <w:rFonts w:cs="Times New Roman" w:eastAsiaTheme="minorEastAsia"/>
                <w:color w:val="000000"/>
                <w:kern w:val="0"/>
                <w:sz w:val="21"/>
                <w:szCs w:val="21"/>
              </w:rPr>
            </w:pPr>
            <w:r>
              <w:rPr>
                <w:rFonts w:cs="Times New Roman" w:eastAsiaTheme="minorEastAsia"/>
                <w:color w:val="000000"/>
                <w:kern w:val="0"/>
                <w:sz w:val="21"/>
                <w:szCs w:val="21"/>
              </w:rPr>
              <w:t>0.4</w:t>
            </w:r>
          </w:p>
        </w:tc>
      </w:tr>
      <w:tr>
        <w:tblPrEx>
          <w:tblLayout w:type="fixed"/>
          <w:tblCellMar>
            <w:top w:w="0" w:type="dxa"/>
            <w:left w:w="108" w:type="dxa"/>
            <w:bottom w:w="0" w:type="dxa"/>
            <w:right w:w="108" w:type="dxa"/>
          </w:tblCellMar>
        </w:tblPrEx>
        <w:trPr>
          <w:trHeight w:val="315" w:hRule="atLeast"/>
        </w:trPr>
        <w:tc>
          <w:tcPr>
            <w:tcW w:w="198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Times New Roman" w:eastAsiaTheme="minorEastAsia"/>
                <w:color w:val="000000"/>
                <w:kern w:val="0"/>
                <w:sz w:val="21"/>
                <w:szCs w:val="21"/>
              </w:rPr>
            </w:pPr>
            <w:r>
              <w:rPr>
                <w:rFonts w:cs="Times New Roman" w:eastAsiaTheme="minorEastAsia"/>
                <w:color w:val="000000"/>
                <w:kern w:val="0"/>
                <w:sz w:val="21"/>
                <w:szCs w:val="21"/>
              </w:rPr>
              <w:t>链斗式挖泥船</w:t>
            </w:r>
          </w:p>
        </w:tc>
        <w:tc>
          <w:tcPr>
            <w:tcW w:w="85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cs="Times New Roman" w:eastAsiaTheme="minorEastAsia"/>
                <w:color w:val="000000"/>
                <w:kern w:val="0"/>
                <w:sz w:val="21"/>
                <w:szCs w:val="21"/>
              </w:rPr>
            </w:pPr>
            <w:r>
              <w:rPr>
                <w:rFonts w:cs="Times New Roman" w:eastAsiaTheme="minorEastAsia"/>
                <w:color w:val="000000"/>
                <w:kern w:val="0"/>
                <w:sz w:val="21"/>
                <w:szCs w:val="21"/>
              </w:rPr>
              <w:t>斗容</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cs="Times New Roman" w:eastAsiaTheme="minorEastAsia"/>
                <w:color w:val="000000"/>
                <w:kern w:val="0"/>
                <w:sz w:val="21"/>
                <w:szCs w:val="21"/>
              </w:rPr>
            </w:pPr>
            <w:r>
              <w:rPr>
                <w:rFonts w:cs="Times New Roman" w:eastAsiaTheme="minorEastAsia"/>
                <w:color w:val="000000"/>
                <w:kern w:val="0"/>
                <w:sz w:val="21"/>
                <w:szCs w:val="21"/>
              </w:rPr>
              <w:t>≤0.5m</w:t>
            </w:r>
            <w:r>
              <w:rPr>
                <w:rFonts w:cs="Times New Roman" w:eastAsiaTheme="minorEastAsia"/>
                <w:color w:val="000000"/>
                <w:kern w:val="0"/>
                <w:sz w:val="21"/>
                <w:szCs w:val="21"/>
                <w:vertAlign w:val="superscript"/>
              </w:rPr>
              <w:t>3</w:t>
            </w:r>
          </w:p>
        </w:tc>
        <w:tc>
          <w:tcPr>
            <w:tcW w:w="1276" w:type="dxa"/>
            <w:tcBorders>
              <w:top w:val="nil"/>
              <w:left w:val="nil"/>
              <w:bottom w:val="single" w:color="auto" w:sz="4" w:space="0"/>
              <w:right w:val="single" w:color="auto" w:sz="4" w:space="0"/>
            </w:tcBorders>
            <w:shd w:val="clear" w:color="auto" w:fill="auto"/>
            <w:vAlign w:val="center"/>
          </w:tcPr>
          <w:p>
            <w:pPr>
              <w:widowControl/>
              <w:jc w:val="center"/>
              <w:rPr>
                <w:rFonts w:cs="Times New Roman" w:eastAsiaTheme="minorEastAsia"/>
                <w:color w:val="000000"/>
                <w:kern w:val="0"/>
                <w:sz w:val="21"/>
                <w:szCs w:val="21"/>
              </w:rPr>
            </w:pPr>
            <w:r>
              <w:rPr>
                <w:rFonts w:cs="Times New Roman" w:eastAsiaTheme="minorEastAsia"/>
                <w:color w:val="000000"/>
                <w:kern w:val="0"/>
                <w:sz w:val="21"/>
                <w:szCs w:val="21"/>
              </w:rPr>
              <w:t>1</w:t>
            </w:r>
          </w:p>
        </w:tc>
        <w:tc>
          <w:tcPr>
            <w:tcW w:w="992" w:type="dxa"/>
            <w:tcBorders>
              <w:top w:val="nil"/>
              <w:left w:val="nil"/>
              <w:bottom w:val="single" w:color="auto" w:sz="4" w:space="0"/>
              <w:right w:val="single" w:color="auto" w:sz="4" w:space="0"/>
            </w:tcBorders>
            <w:shd w:val="clear" w:color="auto" w:fill="auto"/>
            <w:vAlign w:val="center"/>
          </w:tcPr>
          <w:p>
            <w:pPr>
              <w:widowControl/>
              <w:jc w:val="center"/>
              <w:rPr>
                <w:rFonts w:cs="Times New Roman" w:eastAsiaTheme="minorEastAsia"/>
                <w:color w:val="000000"/>
                <w:kern w:val="0"/>
                <w:sz w:val="21"/>
                <w:szCs w:val="21"/>
              </w:rPr>
            </w:pPr>
            <w:r>
              <w:rPr>
                <w:rFonts w:cs="Times New Roman" w:eastAsiaTheme="minorEastAsia"/>
                <w:color w:val="000000"/>
                <w:kern w:val="0"/>
                <w:sz w:val="21"/>
                <w:szCs w:val="21"/>
              </w:rPr>
              <w:t>0.2</w:t>
            </w:r>
          </w:p>
        </w:tc>
        <w:tc>
          <w:tcPr>
            <w:tcW w:w="1984" w:type="dxa"/>
            <w:tcBorders>
              <w:top w:val="nil"/>
              <w:left w:val="nil"/>
              <w:bottom w:val="single" w:color="auto" w:sz="4" w:space="0"/>
              <w:right w:val="single" w:color="auto" w:sz="4" w:space="0"/>
            </w:tcBorders>
            <w:shd w:val="clear" w:color="auto" w:fill="auto"/>
            <w:vAlign w:val="center"/>
          </w:tcPr>
          <w:p>
            <w:pPr>
              <w:widowControl/>
              <w:jc w:val="center"/>
              <w:rPr>
                <w:rFonts w:cs="Times New Roman" w:eastAsiaTheme="minorEastAsia"/>
                <w:color w:val="000000"/>
                <w:kern w:val="0"/>
                <w:sz w:val="21"/>
                <w:szCs w:val="21"/>
              </w:rPr>
            </w:pPr>
            <w:r>
              <w:rPr>
                <w:rFonts w:cs="Times New Roman" w:eastAsiaTheme="minorEastAsia"/>
                <w:color w:val="000000"/>
                <w:kern w:val="0"/>
                <w:sz w:val="21"/>
                <w:szCs w:val="21"/>
              </w:rPr>
              <w:t>0.3</w:t>
            </w:r>
          </w:p>
        </w:tc>
      </w:tr>
      <w:tr>
        <w:tblPrEx>
          <w:tblLayout w:type="fixed"/>
          <w:tblCellMar>
            <w:top w:w="0" w:type="dxa"/>
            <w:left w:w="108" w:type="dxa"/>
            <w:bottom w:w="0" w:type="dxa"/>
            <w:right w:w="108" w:type="dxa"/>
          </w:tblCellMar>
        </w:tblPrEx>
        <w:trPr>
          <w:trHeight w:val="300" w:hRule="atLeast"/>
        </w:trPr>
        <w:tc>
          <w:tcPr>
            <w:tcW w:w="198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eastAsiaTheme="minorEastAsia"/>
                <w:color w:val="000000"/>
                <w:kern w:val="0"/>
                <w:sz w:val="21"/>
                <w:szCs w:val="21"/>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cs="Times New Roman" w:eastAsiaTheme="minorEastAsia"/>
                <w:color w:val="000000"/>
                <w:kern w:val="0"/>
                <w:sz w:val="21"/>
                <w:szCs w:val="21"/>
              </w:rPr>
            </w:pP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cs="Times New Roman" w:eastAsiaTheme="minorEastAsia"/>
                <w:color w:val="000000"/>
                <w:kern w:val="0"/>
                <w:sz w:val="21"/>
                <w:szCs w:val="21"/>
              </w:rPr>
            </w:pPr>
            <w:r>
              <w:rPr>
                <w:rFonts w:cs="Times New Roman" w:eastAsiaTheme="minorEastAsia"/>
                <w:color w:val="000000"/>
                <w:kern w:val="0"/>
                <w:sz w:val="21"/>
                <w:szCs w:val="21"/>
              </w:rPr>
              <w:t>&gt;0.5m</w:t>
            </w:r>
            <w:r>
              <w:rPr>
                <w:rFonts w:cs="Times New Roman" w:eastAsiaTheme="minorEastAsia"/>
                <w:color w:val="000000"/>
                <w:kern w:val="0"/>
                <w:sz w:val="21"/>
                <w:szCs w:val="21"/>
                <w:vertAlign w:val="superscript"/>
              </w:rPr>
              <w:t>3</w:t>
            </w:r>
          </w:p>
        </w:tc>
        <w:tc>
          <w:tcPr>
            <w:tcW w:w="1276" w:type="dxa"/>
            <w:tcBorders>
              <w:top w:val="nil"/>
              <w:left w:val="nil"/>
              <w:bottom w:val="single" w:color="auto" w:sz="4" w:space="0"/>
              <w:right w:val="single" w:color="auto" w:sz="4" w:space="0"/>
            </w:tcBorders>
            <w:shd w:val="clear" w:color="auto" w:fill="auto"/>
            <w:vAlign w:val="center"/>
          </w:tcPr>
          <w:p>
            <w:pPr>
              <w:widowControl/>
              <w:jc w:val="center"/>
              <w:rPr>
                <w:rFonts w:cs="Times New Roman" w:eastAsiaTheme="minorEastAsia"/>
                <w:color w:val="000000"/>
                <w:kern w:val="0"/>
                <w:sz w:val="21"/>
                <w:szCs w:val="21"/>
              </w:rPr>
            </w:pPr>
            <w:r>
              <w:rPr>
                <w:rFonts w:cs="Times New Roman" w:eastAsiaTheme="minorEastAsia"/>
                <w:color w:val="000000"/>
                <w:kern w:val="0"/>
                <w:sz w:val="21"/>
                <w:szCs w:val="21"/>
              </w:rPr>
              <w:t>1.5</w:t>
            </w:r>
          </w:p>
        </w:tc>
        <w:tc>
          <w:tcPr>
            <w:tcW w:w="992" w:type="dxa"/>
            <w:tcBorders>
              <w:top w:val="nil"/>
              <w:left w:val="nil"/>
              <w:bottom w:val="single" w:color="auto" w:sz="4" w:space="0"/>
              <w:right w:val="single" w:color="auto" w:sz="4" w:space="0"/>
            </w:tcBorders>
            <w:shd w:val="clear" w:color="auto" w:fill="auto"/>
            <w:vAlign w:val="center"/>
          </w:tcPr>
          <w:p>
            <w:pPr>
              <w:widowControl/>
              <w:jc w:val="center"/>
              <w:rPr>
                <w:rFonts w:cs="Times New Roman" w:eastAsiaTheme="minorEastAsia"/>
                <w:color w:val="000000"/>
                <w:kern w:val="0"/>
                <w:sz w:val="21"/>
                <w:szCs w:val="21"/>
              </w:rPr>
            </w:pPr>
            <w:r>
              <w:rPr>
                <w:rFonts w:cs="Times New Roman" w:eastAsiaTheme="minorEastAsia"/>
                <w:color w:val="000000"/>
                <w:kern w:val="0"/>
                <w:sz w:val="21"/>
                <w:szCs w:val="21"/>
              </w:rPr>
              <w:t>0.3</w:t>
            </w:r>
          </w:p>
        </w:tc>
        <w:tc>
          <w:tcPr>
            <w:tcW w:w="1984" w:type="dxa"/>
            <w:tcBorders>
              <w:top w:val="nil"/>
              <w:left w:val="nil"/>
              <w:bottom w:val="single" w:color="auto" w:sz="4" w:space="0"/>
              <w:right w:val="single" w:color="auto" w:sz="4" w:space="0"/>
            </w:tcBorders>
            <w:shd w:val="clear" w:color="auto" w:fill="auto"/>
            <w:vAlign w:val="center"/>
          </w:tcPr>
          <w:p>
            <w:pPr>
              <w:widowControl/>
              <w:jc w:val="center"/>
              <w:rPr>
                <w:rFonts w:cs="Times New Roman" w:eastAsiaTheme="minorEastAsia"/>
                <w:color w:val="000000"/>
                <w:kern w:val="0"/>
                <w:sz w:val="21"/>
                <w:szCs w:val="21"/>
              </w:rPr>
            </w:pPr>
            <w:r>
              <w:rPr>
                <w:rFonts w:cs="Times New Roman" w:eastAsiaTheme="minorEastAsia"/>
                <w:color w:val="000000"/>
                <w:kern w:val="0"/>
                <w:sz w:val="21"/>
                <w:szCs w:val="21"/>
              </w:rPr>
              <w:t>0.4</w:t>
            </w:r>
          </w:p>
        </w:tc>
      </w:tr>
      <w:tr>
        <w:tblPrEx>
          <w:tblLayout w:type="fixed"/>
          <w:tblCellMar>
            <w:top w:w="0" w:type="dxa"/>
            <w:left w:w="108" w:type="dxa"/>
            <w:bottom w:w="0" w:type="dxa"/>
            <w:right w:w="108" w:type="dxa"/>
          </w:tblCellMar>
        </w:tblPrEx>
        <w:trPr>
          <w:trHeight w:val="315" w:hRule="atLeast"/>
        </w:trPr>
        <w:tc>
          <w:tcPr>
            <w:tcW w:w="198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Times New Roman" w:eastAsiaTheme="minorEastAsia"/>
                <w:color w:val="000000"/>
                <w:kern w:val="0"/>
                <w:sz w:val="21"/>
                <w:szCs w:val="21"/>
              </w:rPr>
            </w:pPr>
            <w:r>
              <w:rPr>
                <w:rFonts w:cs="Times New Roman" w:eastAsiaTheme="minorEastAsia"/>
                <w:color w:val="000000"/>
                <w:kern w:val="0"/>
                <w:sz w:val="21"/>
                <w:szCs w:val="21"/>
              </w:rPr>
              <w:t>抓斗式挖泥船</w:t>
            </w:r>
          </w:p>
        </w:tc>
        <w:tc>
          <w:tcPr>
            <w:tcW w:w="85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cs="Times New Roman" w:eastAsiaTheme="minorEastAsia"/>
                <w:color w:val="000000"/>
                <w:kern w:val="0"/>
                <w:sz w:val="21"/>
                <w:szCs w:val="21"/>
              </w:rPr>
            </w:pPr>
            <w:r>
              <w:rPr>
                <w:rFonts w:cs="Times New Roman" w:eastAsiaTheme="minorEastAsia"/>
                <w:color w:val="000000"/>
                <w:kern w:val="0"/>
                <w:sz w:val="21"/>
                <w:szCs w:val="21"/>
              </w:rPr>
              <w:t>斗容</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cs="Times New Roman" w:eastAsiaTheme="minorEastAsia"/>
                <w:color w:val="000000"/>
                <w:kern w:val="0"/>
                <w:sz w:val="21"/>
                <w:szCs w:val="21"/>
              </w:rPr>
            </w:pPr>
            <w:r>
              <w:rPr>
                <w:rFonts w:cs="Times New Roman" w:eastAsiaTheme="minorEastAsia"/>
                <w:color w:val="000000"/>
                <w:kern w:val="0"/>
                <w:sz w:val="21"/>
                <w:szCs w:val="21"/>
              </w:rPr>
              <w:t>&lt;2.0m</w:t>
            </w:r>
            <w:r>
              <w:rPr>
                <w:rFonts w:cs="Times New Roman" w:eastAsiaTheme="minorEastAsia"/>
                <w:color w:val="000000"/>
                <w:kern w:val="0"/>
                <w:sz w:val="21"/>
                <w:szCs w:val="21"/>
                <w:vertAlign w:val="superscript"/>
              </w:rPr>
              <w:t>3</w:t>
            </w:r>
          </w:p>
        </w:tc>
        <w:tc>
          <w:tcPr>
            <w:tcW w:w="1276" w:type="dxa"/>
            <w:tcBorders>
              <w:top w:val="nil"/>
              <w:left w:val="nil"/>
              <w:bottom w:val="single" w:color="auto" w:sz="4" w:space="0"/>
              <w:right w:val="single" w:color="auto" w:sz="4" w:space="0"/>
            </w:tcBorders>
            <w:shd w:val="clear" w:color="auto" w:fill="auto"/>
            <w:vAlign w:val="center"/>
          </w:tcPr>
          <w:p>
            <w:pPr>
              <w:widowControl/>
              <w:jc w:val="center"/>
              <w:rPr>
                <w:rFonts w:cs="Times New Roman" w:eastAsiaTheme="minorEastAsia"/>
                <w:color w:val="000000"/>
                <w:kern w:val="0"/>
                <w:sz w:val="21"/>
                <w:szCs w:val="21"/>
              </w:rPr>
            </w:pPr>
            <w:r>
              <w:rPr>
                <w:rFonts w:cs="Times New Roman" w:eastAsiaTheme="minorEastAsia"/>
                <w:color w:val="000000"/>
                <w:kern w:val="0"/>
                <w:sz w:val="21"/>
                <w:szCs w:val="21"/>
              </w:rPr>
              <w:t>0.5</w:t>
            </w:r>
          </w:p>
        </w:tc>
        <w:tc>
          <w:tcPr>
            <w:tcW w:w="992" w:type="dxa"/>
            <w:tcBorders>
              <w:top w:val="nil"/>
              <w:left w:val="nil"/>
              <w:bottom w:val="single" w:color="auto" w:sz="4" w:space="0"/>
              <w:right w:val="single" w:color="auto" w:sz="4" w:space="0"/>
            </w:tcBorders>
            <w:shd w:val="clear" w:color="auto" w:fill="auto"/>
            <w:vAlign w:val="center"/>
          </w:tcPr>
          <w:p>
            <w:pPr>
              <w:widowControl/>
              <w:jc w:val="center"/>
              <w:rPr>
                <w:rFonts w:cs="Times New Roman" w:eastAsiaTheme="minorEastAsia"/>
                <w:color w:val="000000"/>
                <w:kern w:val="0"/>
                <w:sz w:val="21"/>
                <w:szCs w:val="21"/>
              </w:rPr>
            </w:pPr>
            <w:r>
              <w:rPr>
                <w:rFonts w:cs="Times New Roman" w:eastAsiaTheme="minorEastAsia"/>
                <w:color w:val="000000"/>
                <w:kern w:val="0"/>
                <w:sz w:val="21"/>
                <w:szCs w:val="21"/>
              </w:rPr>
              <w:t>0.3</w:t>
            </w:r>
          </w:p>
        </w:tc>
        <w:tc>
          <w:tcPr>
            <w:tcW w:w="1984" w:type="dxa"/>
            <w:tcBorders>
              <w:top w:val="nil"/>
              <w:left w:val="nil"/>
              <w:bottom w:val="single" w:color="auto" w:sz="4" w:space="0"/>
              <w:right w:val="single" w:color="auto" w:sz="4" w:space="0"/>
            </w:tcBorders>
            <w:shd w:val="clear" w:color="auto" w:fill="auto"/>
            <w:vAlign w:val="center"/>
          </w:tcPr>
          <w:p>
            <w:pPr>
              <w:widowControl/>
              <w:jc w:val="center"/>
              <w:rPr>
                <w:rFonts w:cs="Times New Roman" w:eastAsiaTheme="minorEastAsia"/>
                <w:color w:val="000000"/>
                <w:kern w:val="0"/>
                <w:sz w:val="21"/>
                <w:szCs w:val="21"/>
              </w:rPr>
            </w:pPr>
            <w:r>
              <w:rPr>
                <w:rFonts w:cs="Times New Roman" w:eastAsiaTheme="minorEastAsia"/>
                <w:color w:val="000000"/>
                <w:kern w:val="0"/>
                <w:sz w:val="21"/>
                <w:szCs w:val="21"/>
              </w:rPr>
              <w:t>0.4</w:t>
            </w:r>
          </w:p>
        </w:tc>
      </w:tr>
      <w:tr>
        <w:tblPrEx>
          <w:tblLayout w:type="fixed"/>
          <w:tblCellMar>
            <w:top w:w="0" w:type="dxa"/>
            <w:left w:w="108" w:type="dxa"/>
            <w:bottom w:w="0" w:type="dxa"/>
            <w:right w:w="108" w:type="dxa"/>
          </w:tblCellMar>
        </w:tblPrEx>
        <w:trPr>
          <w:trHeight w:val="600" w:hRule="atLeast"/>
        </w:trPr>
        <w:tc>
          <w:tcPr>
            <w:tcW w:w="198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eastAsiaTheme="minorEastAsia"/>
                <w:color w:val="000000"/>
                <w:kern w:val="0"/>
                <w:sz w:val="21"/>
                <w:szCs w:val="21"/>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cs="Times New Roman" w:eastAsiaTheme="minorEastAsia"/>
                <w:color w:val="000000"/>
                <w:kern w:val="0"/>
                <w:sz w:val="21"/>
                <w:szCs w:val="21"/>
              </w:rPr>
            </w:pP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cs="Times New Roman" w:eastAsiaTheme="minorEastAsia"/>
                <w:color w:val="000000"/>
                <w:kern w:val="0"/>
                <w:sz w:val="21"/>
                <w:szCs w:val="21"/>
              </w:rPr>
            </w:pPr>
            <w:r>
              <w:rPr>
                <w:rFonts w:cs="Times New Roman" w:eastAsiaTheme="minorEastAsia"/>
                <w:color w:val="000000"/>
                <w:kern w:val="0"/>
                <w:sz w:val="21"/>
                <w:szCs w:val="21"/>
              </w:rPr>
              <w:t>2.0m</w:t>
            </w:r>
            <w:r>
              <w:rPr>
                <w:rFonts w:cs="Times New Roman" w:eastAsiaTheme="minorEastAsia"/>
                <w:color w:val="000000"/>
                <w:kern w:val="0"/>
                <w:sz w:val="21"/>
                <w:szCs w:val="21"/>
                <w:vertAlign w:val="superscript"/>
              </w:rPr>
              <w:t>3</w:t>
            </w:r>
            <w:r>
              <w:rPr>
                <w:rFonts w:cs="Times New Roman" w:eastAsiaTheme="minorEastAsia"/>
                <w:color w:val="000000"/>
                <w:kern w:val="0"/>
                <w:sz w:val="21"/>
                <w:szCs w:val="21"/>
              </w:rPr>
              <w:t>~4.0m</w:t>
            </w:r>
            <w:r>
              <w:rPr>
                <w:rFonts w:cs="Times New Roman" w:eastAsiaTheme="minorEastAsia"/>
                <w:color w:val="000000"/>
                <w:kern w:val="0"/>
                <w:sz w:val="21"/>
                <w:szCs w:val="21"/>
                <w:vertAlign w:val="superscript"/>
              </w:rPr>
              <w:t>3</w:t>
            </w:r>
          </w:p>
        </w:tc>
        <w:tc>
          <w:tcPr>
            <w:tcW w:w="1276" w:type="dxa"/>
            <w:tcBorders>
              <w:top w:val="nil"/>
              <w:left w:val="nil"/>
              <w:bottom w:val="single" w:color="auto" w:sz="4" w:space="0"/>
              <w:right w:val="single" w:color="auto" w:sz="4" w:space="0"/>
            </w:tcBorders>
            <w:shd w:val="clear" w:color="auto" w:fill="auto"/>
            <w:vAlign w:val="center"/>
          </w:tcPr>
          <w:p>
            <w:pPr>
              <w:widowControl/>
              <w:jc w:val="center"/>
              <w:rPr>
                <w:rFonts w:cs="Times New Roman" w:eastAsiaTheme="minorEastAsia"/>
                <w:color w:val="000000"/>
                <w:kern w:val="0"/>
                <w:sz w:val="21"/>
                <w:szCs w:val="21"/>
              </w:rPr>
            </w:pPr>
            <w:r>
              <w:rPr>
                <w:rFonts w:cs="Times New Roman" w:eastAsiaTheme="minorEastAsia"/>
                <w:color w:val="000000"/>
                <w:kern w:val="0"/>
                <w:sz w:val="21"/>
                <w:szCs w:val="21"/>
              </w:rPr>
              <w:t>1</w:t>
            </w:r>
          </w:p>
        </w:tc>
        <w:tc>
          <w:tcPr>
            <w:tcW w:w="992" w:type="dxa"/>
            <w:tcBorders>
              <w:top w:val="nil"/>
              <w:left w:val="nil"/>
              <w:bottom w:val="single" w:color="auto" w:sz="4" w:space="0"/>
              <w:right w:val="single" w:color="auto" w:sz="4" w:space="0"/>
            </w:tcBorders>
            <w:shd w:val="clear" w:color="auto" w:fill="auto"/>
            <w:vAlign w:val="center"/>
          </w:tcPr>
          <w:p>
            <w:pPr>
              <w:widowControl/>
              <w:jc w:val="center"/>
              <w:rPr>
                <w:rFonts w:cs="Times New Roman" w:eastAsiaTheme="minorEastAsia"/>
                <w:color w:val="000000"/>
                <w:kern w:val="0"/>
                <w:sz w:val="21"/>
                <w:szCs w:val="21"/>
              </w:rPr>
            </w:pPr>
            <w:r>
              <w:rPr>
                <w:rFonts w:cs="Times New Roman" w:eastAsiaTheme="minorEastAsia"/>
                <w:color w:val="000000"/>
                <w:kern w:val="0"/>
                <w:sz w:val="21"/>
                <w:szCs w:val="21"/>
              </w:rPr>
              <w:t>0.4</w:t>
            </w:r>
          </w:p>
        </w:tc>
        <w:tc>
          <w:tcPr>
            <w:tcW w:w="1984" w:type="dxa"/>
            <w:tcBorders>
              <w:top w:val="nil"/>
              <w:left w:val="nil"/>
              <w:bottom w:val="single" w:color="auto" w:sz="4" w:space="0"/>
              <w:right w:val="single" w:color="auto" w:sz="4" w:space="0"/>
            </w:tcBorders>
            <w:shd w:val="clear" w:color="auto" w:fill="auto"/>
            <w:vAlign w:val="center"/>
          </w:tcPr>
          <w:p>
            <w:pPr>
              <w:widowControl/>
              <w:jc w:val="center"/>
              <w:rPr>
                <w:rFonts w:cs="Times New Roman" w:eastAsiaTheme="minorEastAsia"/>
                <w:color w:val="000000"/>
                <w:kern w:val="0"/>
                <w:sz w:val="21"/>
                <w:szCs w:val="21"/>
              </w:rPr>
            </w:pPr>
            <w:r>
              <w:rPr>
                <w:rFonts w:cs="Times New Roman" w:eastAsiaTheme="minorEastAsia"/>
                <w:color w:val="000000"/>
                <w:kern w:val="0"/>
                <w:sz w:val="21"/>
                <w:szCs w:val="21"/>
              </w:rPr>
              <w:t>0.6</w:t>
            </w:r>
          </w:p>
        </w:tc>
      </w:tr>
      <w:tr>
        <w:tblPrEx>
          <w:tblLayout w:type="fixed"/>
          <w:tblCellMar>
            <w:top w:w="0" w:type="dxa"/>
            <w:left w:w="108" w:type="dxa"/>
            <w:bottom w:w="0" w:type="dxa"/>
            <w:right w:w="108" w:type="dxa"/>
          </w:tblCellMar>
        </w:tblPrEx>
        <w:trPr>
          <w:trHeight w:val="300" w:hRule="atLeast"/>
        </w:trPr>
        <w:tc>
          <w:tcPr>
            <w:tcW w:w="198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eastAsiaTheme="minorEastAsia"/>
                <w:color w:val="000000"/>
                <w:kern w:val="0"/>
                <w:sz w:val="21"/>
                <w:szCs w:val="21"/>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cs="Times New Roman" w:eastAsiaTheme="minorEastAsia"/>
                <w:color w:val="000000"/>
                <w:kern w:val="0"/>
                <w:sz w:val="21"/>
                <w:szCs w:val="21"/>
              </w:rPr>
            </w:pP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cs="Times New Roman" w:eastAsiaTheme="minorEastAsia"/>
                <w:color w:val="000000"/>
                <w:kern w:val="0"/>
                <w:sz w:val="21"/>
                <w:szCs w:val="21"/>
              </w:rPr>
            </w:pPr>
            <w:r>
              <w:rPr>
                <w:rFonts w:cs="Times New Roman" w:eastAsiaTheme="minorEastAsia"/>
                <w:color w:val="000000"/>
                <w:kern w:val="0"/>
                <w:sz w:val="21"/>
                <w:szCs w:val="21"/>
              </w:rPr>
              <w:t>&gt;4.0m</w:t>
            </w:r>
            <w:r>
              <w:rPr>
                <w:rFonts w:cs="Times New Roman" w:eastAsiaTheme="minorEastAsia"/>
                <w:color w:val="000000"/>
                <w:kern w:val="0"/>
                <w:sz w:val="21"/>
                <w:szCs w:val="21"/>
                <w:vertAlign w:val="superscript"/>
              </w:rPr>
              <w:t>3</w:t>
            </w:r>
          </w:p>
        </w:tc>
        <w:tc>
          <w:tcPr>
            <w:tcW w:w="1276" w:type="dxa"/>
            <w:tcBorders>
              <w:top w:val="nil"/>
              <w:left w:val="nil"/>
              <w:bottom w:val="single" w:color="auto" w:sz="4" w:space="0"/>
              <w:right w:val="single" w:color="auto" w:sz="4" w:space="0"/>
            </w:tcBorders>
            <w:shd w:val="clear" w:color="auto" w:fill="auto"/>
            <w:vAlign w:val="center"/>
          </w:tcPr>
          <w:p>
            <w:pPr>
              <w:widowControl/>
              <w:jc w:val="center"/>
              <w:rPr>
                <w:rFonts w:cs="Times New Roman" w:eastAsiaTheme="minorEastAsia"/>
                <w:color w:val="000000"/>
                <w:kern w:val="0"/>
                <w:sz w:val="21"/>
                <w:szCs w:val="21"/>
              </w:rPr>
            </w:pPr>
            <w:r>
              <w:rPr>
                <w:rFonts w:cs="Times New Roman" w:eastAsiaTheme="minorEastAsia"/>
                <w:color w:val="000000"/>
                <w:kern w:val="0"/>
                <w:sz w:val="21"/>
                <w:szCs w:val="21"/>
              </w:rPr>
              <w:t>1.5</w:t>
            </w:r>
          </w:p>
        </w:tc>
        <w:tc>
          <w:tcPr>
            <w:tcW w:w="992" w:type="dxa"/>
            <w:tcBorders>
              <w:top w:val="nil"/>
              <w:left w:val="nil"/>
              <w:bottom w:val="single" w:color="auto" w:sz="4" w:space="0"/>
              <w:right w:val="single" w:color="auto" w:sz="4" w:space="0"/>
            </w:tcBorders>
            <w:shd w:val="clear" w:color="auto" w:fill="auto"/>
            <w:vAlign w:val="center"/>
          </w:tcPr>
          <w:p>
            <w:pPr>
              <w:widowControl/>
              <w:jc w:val="center"/>
              <w:rPr>
                <w:rFonts w:cs="Times New Roman" w:eastAsiaTheme="minorEastAsia"/>
                <w:color w:val="000000"/>
                <w:kern w:val="0"/>
                <w:sz w:val="21"/>
                <w:szCs w:val="21"/>
              </w:rPr>
            </w:pPr>
            <w:r>
              <w:rPr>
                <w:rFonts w:cs="Times New Roman" w:eastAsiaTheme="minorEastAsia"/>
                <w:color w:val="000000"/>
                <w:kern w:val="0"/>
                <w:sz w:val="21"/>
                <w:szCs w:val="21"/>
              </w:rPr>
              <w:t>0.5</w:t>
            </w:r>
          </w:p>
        </w:tc>
        <w:tc>
          <w:tcPr>
            <w:tcW w:w="1984" w:type="dxa"/>
            <w:tcBorders>
              <w:top w:val="nil"/>
              <w:left w:val="nil"/>
              <w:bottom w:val="single" w:color="auto" w:sz="4" w:space="0"/>
              <w:right w:val="single" w:color="auto" w:sz="4" w:space="0"/>
            </w:tcBorders>
            <w:shd w:val="clear" w:color="auto" w:fill="auto"/>
            <w:vAlign w:val="center"/>
          </w:tcPr>
          <w:p>
            <w:pPr>
              <w:widowControl/>
              <w:jc w:val="center"/>
              <w:rPr>
                <w:rFonts w:cs="Times New Roman" w:eastAsiaTheme="minorEastAsia"/>
                <w:color w:val="000000"/>
                <w:kern w:val="0"/>
                <w:sz w:val="21"/>
                <w:szCs w:val="21"/>
              </w:rPr>
            </w:pPr>
            <w:r>
              <w:rPr>
                <w:rFonts w:cs="Times New Roman" w:eastAsiaTheme="minorEastAsia"/>
                <w:color w:val="000000"/>
                <w:kern w:val="0"/>
                <w:sz w:val="21"/>
                <w:szCs w:val="21"/>
              </w:rPr>
              <w:t>0.8</w:t>
            </w:r>
          </w:p>
        </w:tc>
      </w:tr>
      <w:tr>
        <w:tblPrEx>
          <w:tblLayout w:type="fixed"/>
          <w:tblCellMar>
            <w:top w:w="0" w:type="dxa"/>
            <w:left w:w="108" w:type="dxa"/>
            <w:bottom w:w="0" w:type="dxa"/>
            <w:right w:w="108" w:type="dxa"/>
          </w:tblCellMar>
        </w:tblPrEx>
        <w:trPr>
          <w:trHeight w:val="315" w:hRule="atLeast"/>
        </w:trPr>
        <w:tc>
          <w:tcPr>
            <w:tcW w:w="198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Times New Roman" w:eastAsiaTheme="minorEastAsia"/>
                <w:color w:val="000000"/>
                <w:kern w:val="0"/>
                <w:sz w:val="21"/>
                <w:szCs w:val="21"/>
              </w:rPr>
            </w:pPr>
            <w:r>
              <w:rPr>
                <w:rFonts w:cs="Times New Roman" w:eastAsiaTheme="minorEastAsia"/>
                <w:color w:val="000000"/>
                <w:kern w:val="0"/>
                <w:sz w:val="21"/>
                <w:szCs w:val="21"/>
              </w:rPr>
              <w:t>铲扬挖泥船</w:t>
            </w:r>
          </w:p>
        </w:tc>
        <w:tc>
          <w:tcPr>
            <w:tcW w:w="85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cs="Times New Roman" w:eastAsiaTheme="minorEastAsia"/>
                <w:color w:val="000000"/>
                <w:kern w:val="0"/>
                <w:sz w:val="21"/>
                <w:szCs w:val="21"/>
              </w:rPr>
            </w:pPr>
            <w:r>
              <w:rPr>
                <w:rFonts w:cs="Times New Roman" w:eastAsiaTheme="minorEastAsia"/>
                <w:color w:val="000000"/>
                <w:kern w:val="0"/>
                <w:sz w:val="21"/>
                <w:szCs w:val="21"/>
              </w:rPr>
              <w:t>斗容</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cs="Times New Roman" w:eastAsiaTheme="minorEastAsia"/>
                <w:color w:val="000000"/>
                <w:kern w:val="0"/>
                <w:sz w:val="21"/>
                <w:szCs w:val="21"/>
              </w:rPr>
            </w:pPr>
            <w:r>
              <w:rPr>
                <w:rFonts w:cs="Times New Roman" w:eastAsiaTheme="minorEastAsia"/>
                <w:color w:val="000000"/>
                <w:kern w:val="0"/>
                <w:sz w:val="21"/>
                <w:szCs w:val="21"/>
              </w:rPr>
              <w:t>≤2.0m</w:t>
            </w:r>
            <w:r>
              <w:rPr>
                <w:rFonts w:cs="Times New Roman" w:eastAsiaTheme="minorEastAsia"/>
                <w:color w:val="000000"/>
                <w:kern w:val="0"/>
                <w:sz w:val="21"/>
                <w:szCs w:val="21"/>
                <w:vertAlign w:val="superscript"/>
              </w:rPr>
              <w:t>3</w:t>
            </w:r>
          </w:p>
        </w:tc>
        <w:tc>
          <w:tcPr>
            <w:tcW w:w="1276" w:type="dxa"/>
            <w:tcBorders>
              <w:top w:val="nil"/>
              <w:left w:val="nil"/>
              <w:bottom w:val="single" w:color="auto" w:sz="4" w:space="0"/>
              <w:right w:val="single" w:color="auto" w:sz="4" w:space="0"/>
            </w:tcBorders>
            <w:shd w:val="clear" w:color="auto" w:fill="auto"/>
            <w:vAlign w:val="center"/>
          </w:tcPr>
          <w:p>
            <w:pPr>
              <w:widowControl/>
              <w:jc w:val="center"/>
              <w:rPr>
                <w:rFonts w:cs="Times New Roman" w:eastAsiaTheme="minorEastAsia"/>
                <w:color w:val="000000"/>
                <w:kern w:val="0"/>
                <w:sz w:val="21"/>
                <w:szCs w:val="21"/>
              </w:rPr>
            </w:pPr>
            <w:r>
              <w:rPr>
                <w:rFonts w:cs="Times New Roman" w:eastAsiaTheme="minorEastAsia"/>
                <w:color w:val="000000"/>
                <w:kern w:val="0"/>
                <w:sz w:val="21"/>
                <w:szCs w:val="21"/>
              </w:rPr>
              <w:t>1</w:t>
            </w:r>
          </w:p>
        </w:tc>
        <w:tc>
          <w:tcPr>
            <w:tcW w:w="992" w:type="dxa"/>
            <w:tcBorders>
              <w:top w:val="nil"/>
              <w:left w:val="nil"/>
              <w:bottom w:val="single" w:color="auto" w:sz="4" w:space="0"/>
              <w:right w:val="single" w:color="auto" w:sz="4" w:space="0"/>
            </w:tcBorders>
            <w:shd w:val="clear" w:color="auto" w:fill="auto"/>
            <w:vAlign w:val="center"/>
          </w:tcPr>
          <w:p>
            <w:pPr>
              <w:widowControl/>
              <w:jc w:val="center"/>
              <w:rPr>
                <w:rFonts w:cs="Times New Roman" w:eastAsiaTheme="minorEastAsia"/>
                <w:color w:val="000000"/>
                <w:kern w:val="0"/>
                <w:sz w:val="21"/>
                <w:szCs w:val="21"/>
              </w:rPr>
            </w:pPr>
            <w:r>
              <w:rPr>
                <w:rFonts w:cs="Times New Roman" w:eastAsiaTheme="minorEastAsia"/>
                <w:color w:val="000000"/>
                <w:kern w:val="0"/>
                <w:sz w:val="21"/>
                <w:szCs w:val="21"/>
              </w:rPr>
              <w:t>0.3</w:t>
            </w:r>
          </w:p>
        </w:tc>
        <w:tc>
          <w:tcPr>
            <w:tcW w:w="1984" w:type="dxa"/>
            <w:tcBorders>
              <w:top w:val="nil"/>
              <w:left w:val="nil"/>
              <w:bottom w:val="single" w:color="auto" w:sz="4" w:space="0"/>
              <w:right w:val="single" w:color="auto" w:sz="4" w:space="0"/>
            </w:tcBorders>
            <w:shd w:val="clear" w:color="auto" w:fill="auto"/>
            <w:vAlign w:val="center"/>
          </w:tcPr>
          <w:p>
            <w:pPr>
              <w:widowControl/>
              <w:jc w:val="center"/>
              <w:rPr>
                <w:rFonts w:cs="Times New Roman" w:eastAsiaTheme="minorEastAsia"/>
                <w:color w:val="000000"/>
                <w:kern w:val="0"/>
                <w:sz w:val="21"/>
                <w:szCs w:val="21"/>
              </w:rPr>
            </w:pPr>
            <w:r>
              <w:rPr>
                <w:rFonts w:cs="Times New Roman" w:eastAsiaTheme="minorEastAsia"/>
                <w:color w:val="000000"/>
                <w:kern w:val="0"/>
                <w:sz w:val="21"/>
                <w:szCs w:val="21"/>
              </w:rPr>
              <w:t>0.4</w:t>
            </w:r>
          </w:p>
        </w:tc>
      </w:tr>
      <w:tr>
        <w:tblPrEx>
          <w:tblLayout w:type="fixed"/>
          <w:tblCellMar>
            <w:top w:w="0" w:type="dxa"/>
            <w:left w:w="108" w:type="dxa"/>
            <w:bottom w:w="0" w:type="dxa"/>
            <w:right w:w="108" w:type="dxa"/>
          </w:tblCellMar>
        </w:tblPrEx>
        <w:trPr>
          <w:trHeight w:val="300" w:hRule="atLeast"/>
        </w:trPr>
        <w:tc>
          <w:tcPr>
            <w:tcW w:w="198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eastAsiaTheme="minorEastAsia"/>
                <w:color w:val="000000"/>
                <w:kern w:val="0"/>
                <w:sz w:val="21"/>
                <w:szCs w:val="21"/>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cs="Times New Roman" w:eastAsiaTheme="minorEastAsia"/>
                <w:color w:val="000000"/>
                <w:kern w:val="0"/>
                <w:sz w:val="21"/>
                <w:szCs w:val="21"/>
              </w:rPr>
            </w:pP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cs="Times New Roman" w:eastAsiaTheme="minorEastAsia"/>
                <w:color w:val="000000"/>
                <w:kern w:val="0"/>
                <w:sz w:val="21"/>
                <w:szCs w:val="21"/>
              </w:rPr>
            </w:pPr>
            <w:r>
              <w:rPr>
                <w:rFonts w:cs="Times New Roman" w:eastAsiaTheme="minorEastAsia"/>
                <w:color w:val="000000"/>
                <w:kern w:val="0"/>
                <w:sz w:val="21"/>
                <w:szCs w:val="21"/>
              </w:rPr>
              <w:t>&gt;2.0m</w:t>
            </w:r>
            <w:r>
              <w:rPr>
                <w:rFonts w:cs="Times New Roman" w:eastAsiaTheme="minorEastAsia"/>
                <w:color w:val="000000"/>
                <w:kern w:val="0"/>
                <w:sz w:val="21"/>
                <w:szCs w:val="21"/>
                <w:vertAlign w:val="superscript"/>
              </w:rPr>
              <w:t>3</w:t>
            </w:r>
          </w:p>
        </w:tc>
        <w:tc>
          <w:tcPr>
            <w:tcW w:w="1276" w:type="dxa"/>
            <w:tcBorders>
              <w:top w:val="nil"/>
              <w:left w:val="nil"/>
              <w:bottom w:val="single" w:color="auto" w:sz="4" w:space="0"/>
              <w:right w:val="single" w:color="auto" w:sz="4" w:space="0"/>
            </w:tcBorders>
            <w:shd w:val="clear" w:color="auto" w:fill="auto"/>
            <w:vAlign w:val="center"/>
          </w:tcPr>
          <w:p>
            <w:pPr>
              <w:widowControl/>
              <w:jc w:val="center"/>
              <w:rPr>
                <w:rFonts w:cs="Times New Roman" w:eastAsiaTheme="minorEastAsia"/>
                <w:color w:val="000000"/>
                <w:kern w:val="0"/>
                <w:sz w:val="21"/>
                <w:szCs w:val="21"/>
              </w:rPr>
            </w:pPr>
            <w:r>
              <w:rPr>
                <w:rFonts w:cs="Times New Roman" w:eastAsiaTheme="minorEastAsia"/>
                <w:color w:val="000000"/>
                <w:kern w:val="0"/>
                <w:sz w:val="21"/>
                <w:szCs w:val="21"/>
              </w:rPr>
              <w:t>1.5</w:t>
            </w:r>
          </w:p>
        </w:tc>
        <w:tc>
          <w:tcPr>
            <w:tcW w:w="992" w:type="dxa"/>
            <w:tcBorders>
              <w:top w:val="nil"/>
              <w:left w:val="nil"/>
              <w:bottom w:val="single" w:color="auto" w:sz="4" w:space="0"/>
              <w:right w:val="single" w:color="auto" w:sz="4" w:space="0"/>
            </w:tcBorders>
            <w:shd w:val="clear" w:color="auto" w:fill="auto"/>
            <w:vAlign w:val="center"/>
          </w:tcPr>
          <w:p>
            <w:pPr>
              <w:widowControl/>
              <w:jc w:val="center"/>
              <w:rPr>
                <w:rFonts w:cs="Times New Roman" w:eastAsiaTheme="minorEastAsia"/>
                <w:color w:val="000000"/>
                <w:kern w:val="0"/>
                <w:sz w:val="21"/>
                <w:szCs w:val="21"/>
              </w:rPr>
            </w:pPr>
            <w:r>
              <w:rPr>
                <w:rFonts w:cs="Times New Roman" w:eastAsiaTheme="minorEastAsia"/>
                <w:color w:val="000000"/>
                <w:kern w:val="0"/>
                <w:sz w:val="21"/>
                <w:szCs w:val="21"/>
              </w:rPr>
              <w:t>0.3</w:t>
            </w:r>
          </w:p>
        </w:tc>
        <w:tc>
          <w:tcPr>
            <w:tcW w:w="1984" w:type="dxa"/>
            <w:tcBorders>
              <w:top w:val="nil"/>
              <w:left w:val="nil"/>
              <w:bottom w:val="single" w:color="auto" w:sz="4" w:space="0"/>
              <w:right w:val="single" w:color="auto" w:sz="4" w:space="0"/>
            </w:tcBorders>
            <w:shd w:val="clear" w:color="auto" w:fill="auto"/>
            <w:vAlign w:val="center"/>
          </w:tcPr>
          <w:p>
            <w:pPr>
              <w:widowControl/>
              <w:jc w:val="center"/>
              <w:rPr>
                <w:rFonts w:cs="Times New Roman" w:eastAsiaTheme="minorEastAsia"/>
                <w:color w:val="000000"/>
                <w:kern w:val="0"/>
                <w:sz w:val="21"/>
                <w:szCs w:val="21"/>
              </w:rPr>
            </w:pPr>
            <w:r>
              <w:rPr>
                <w:rFonts w:cs="Times New Roman" w:eastAsiaTheme="minorEastAsia"/>
                <w:color w:val="000000"/>
                <w:kern w:val="0"/>
                <w:sz w:val="21"/>
                <w:szCs w:val="21"/>
              </w:rPr>
              <w:t>0.5</w:t>
            </w:r>
          </w:p>
        </w:tc>
      </w:tr>
      <w:tr>
        <w:tblPrEx>
          <w:tblLayout w:type="fixed"/>
          <w:tblCellMar>
            <w:top w:w="0" w:type="dxa"/>
            <w:left w:w="108" w:type="dxa"/>
            <w:bottom w:w="0" w:type="dxa"/>
            <w:right w:w="108" w:type="dxa"/>
          </w:tblCellMar>
        </w:tblPrEx>
        <w:trPr>
          <w:trHeight w:val="270" w:hRule="atLeast"/>
        </w:trPr>
        <w:tc>
          <w:tcPr>
            <w:tcW w:w="19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Times New Roman" w:eastAsiaTheme="minorEastAsia"/>
                <w:color w:val="000000"/>
                <w:kern w:val="0"/>
                <w:sz w:val="21"/>
                <w:szCs w:val="21"/>
              </w:rPr>
            </w:pPr>
            <w:r>
              <w:rPr>
                <w:rFonts w:cs="Times New Roman" w:eastAsiaTheme="minorEastAsia"/>
                <w:color w:val="000000"/>
                <w:kern w:val="0"/>
                <w:sz w:val="21"/>
                <w:szCs w:val="21"/>
              </w:rPr>
              <w:t>水力冲挖机组</w:t>
            </w:r>
          </w:p>
        </w:tc>
        <w:tc>
          <w:tcPr>
            <w:tcW w:w="226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cs="Times New Roman" w:eastAsiaTheme="minorEastAsia"/>
                <w:color w:val="000000"/>
                <w:kern w:val="0"/>
                <w:sz w:val="21"/>
                <w:szCs w:val="21"/>
              </w:rPr>
            </w:pPr>
            <w:r>
              <w:rPr>
                <w:rFonts w:cs="Times New Roman" w:eastAsiaTheme="minorEastAsia"/>
                <w:color w:val="000000"/>
                <w:kern w:val="0"/>
                <w:sz w:val="21"/>
                <w:szCs w:val="21"/>
              </w:rPr>
              <w:t>不限</w:t>
            </w:r>
          </w:p>
        </w:tc>
        <w:tc>
          <w:tcPr>
            <w:tcW w:w="1276" w:type="dxa"/>
            <w:tcBorders>
              <w:top w:val="nil"/>
              <w:left w:val="nil"/>
              <w:bottom w:val="single" w:color="auto" w:sz="4" w:space="0"/>
              <w:right w:val="single" w:color="auto" w:sz="4" w:space="0"/>
            </w:tcBorders>
            <w:shd w:val="clear" w:color="auto" w:fill="auto"/>
            <w:vAlign w:val="center"/>
          </w:tcPr>
          <w:p>
            <w:pPr>
              <w:widowControl/>
              <w:jc w:val="center"/>
              <w:rPr>
                <w:rFonts w:cs="Times New Roman" w:eastAsiaTheme="minorEastAsia"/>
                <w:color w:val="000000"/>
                <w:kern w:val="0"/>
                <w:sz w:val="21"/>
                <w:szCs w:val="21"/>
              </w:rPr>
            </w:pPr>
            <w:r>
              <w:rPr>
                <w:rFonts w:cs="Times New Roman" w:eastAsiaTheme="minorEastAsia"/>
                <w:color w:val="000000"/>
                <w:kern w:val="0"/>
                <w:sz w:val="21"/>
                <w:szCs w:val="21"/>
              </w:rPr>
              <w:t>0.3</w:t>
            </w:r>
          </w:p>
        </w:tc>
        <w:tc>
          <w:tcPr>
            <w:tcW w:w="992" w:type="dxa"/>
            <w:tcBorders>
              <w:top w:val="nil"/>
              <w:left w:val="nil"/>
              <w:bottom w:val="single" w:color="auto" w:sz="4" w:space="0"/>
              <w:right w:val="single" w:color="auto" w:sz="4" w:space="0"/>
            </w:tcBorders>
            <w:shd w:val="clear" w:color="auto" w:fill="auto"/>
            <w:vAlign w:val="center"/>
          </w:tcPr>
          <w:p>
            <w:pPr>
              <w:widowControl/>
              <w:jc w:val="center"/>
              <w:rPr>
                <w:rFonts w:cs="Times New Roman" w:eastAsiaTheme="minorEastAsia"/>
                <w:color w:val="000000"/>
                <w:kern w:val="0"/>
                <w:sz w:val="21"/>
                <w:szCs w:val="21"/>
              </w:rPr>
            </w:pPr>
            <w:r>
              <w:rPr>
                <w:rFonts w:cs="Times New Roman" w:eastAsiaTheme="minorEastAsia"/>
                <w:color w:val="000000"/>
                <w:kern w:val="0"/>
                <w:sz w:val="21"/>
                <w:szCs w:val="21"/>
              </w:rPr>
              <w:t>0.05</w:t>
            </w:r>
          </w:p>
        </w:tc>
        <w:tc>
          <w:tcPr>
            <w:tcW w:w="1984" w:type="dxa"/>
            <w:tcBorders>
              <w:top w:val="nil"/>
              <w:left w:val="nil"/>
              <w:bottom w:val="single" w:color="auto" w:sz="4" w:space="0"/>
              <w:right w:val="single" w:color="auto" w:sz="4" w:space="0"/>
            </w:tcBorders>
            <w:shd w:val="clear" w:color="auto" w:fill="auto"/>
            <w:vAlign w:val="center"/>
          </w:tcPr>
          <w:p>
            <w:pPr>
              <w:widowControl/>
              <w:jc w:val="center"/>
              <w:rPr>
                <w:rFonts w:cs="Times New Roman" w:eastAsiaTheme="minorEastAsia"/>
                <w:color w:val="000000"/>
                <w:kern w:val="0"/>
                <w:sz w:val="21"/>
                <w:szCs w:val="21"/>
              </w:rPr>
            </w:pPr>
            <w:r>
              <w:rPr>
                <w:rFonts w:cs="Times New Roman" w:eastAsiaTheme="minorEastAsia"/>
                <w:color w:val="000000"/>
                <w:kern w:val="0"/>
                <w:sz w:val="21"/>
                <w:szCs w:val="21"/>
              </w:rPr>
              <w:t>0.1</w:t>
            </w:r>
          </w:p>
        </w:tc>
      </w:tr>
      <w:tr>
        <w:tblPrEx>
          <w:tblLayout w:type="fixed"/>
          <w:tblCellMar>
            <w:top w:w="0" w:type="dxa"/>
            <w:left w:w="108" w:type="dxa"/>
            <w:bottom w:w="0" w:type="dxa"/>
            <w:right w:w="108" w:type="dxa"/>
          </w:tblCellMar>
        </w:tblPrEx>
        <w:trPr>
          <w:trHeight w:val="270" w:hRule="atLeast"/>
        </w:trPr>
        <w:tc>
          <w:tcPr>
            <w:tcW w:w="19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Times New Roman" w:eastAsiaTheme="minorEastAsia"/>
                <w:color w:val="000000"/>
                <w:kern w:val="0"/>
                <w:sz w:val="21"/>
                <w:szCs w:val="21"/>
              </w:rPr>
            </w:pPr>
            <w:r>
              <w:rPr>
                <w:rFonts w:cs="Times New Roman" w:eastAsiaTheme="minorEastAsia"/>
                <w:color w:val="000000"/>
                <w:kern w:val="0"/>
                <w:sz w:val="21"/>
                <w:szCs w:val="21"/>
              </w:rPr>
              <w:t>环保清淤</w:t>
            </w:r>
          </w:p>
        </w:tc>
        <w:tc>
          <w:tcPr>
            <w:tcW w:w="226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cs="Times New Roman" w:eastAsiaTheme="minorEastAsia"/>
                <w:color w:val="000000"/>
                <w:kern w:val="0"/>
                <w:sz w:val="21"/>
                <w:szCs w:val="21"/>
              </w:rPr>
            </w:pPr>
            <w:r>
              <w:rPr>
                <w:rFonts w:cs="Times New Roman" w:eastAsiaTheme="minorEastAsia"/>
                <w:color w:val="000000"/>
                <w:kern w:val="0"/>
                <w:sz w:val="21"/>
                <w:szCs w:val="21"/>
              </w:rPr>
              <w:t>不限</w:t>
            </w:r>
          </w:p>
        </w:tc>
        <w:tc>
          <w:tcPr>
            <w:tcW w:w="1276" w:type="dxa"/>
            <w:tcBorders>
              <w:top w:val="nil"/>
              <w:left w:val="nil"/>
              <w:bottom w:val="single" w:color="auto" w:sz="4" w:space="0"/>
              <w:right w:val="single" w:color="auto" w:sz="4" w:space="0"/>
            </w:tcBorders>
            <w:shd w:val="clear" w:color="auto" w:fill="auto"/>
            <w:vAlign w:val="center"/>
          </w:tcPr>
          <w:p>
            <w:pPr>
              <w:widowControl/>
              <w:jc w:val="center"/>
              <w:rPr>
                <w:rFonts w:cs="Times New Roman" w:eastAsiaTheme="minorEastAsia"/>
                <w:color w:val="000000"/>
                <w:kern w:val="0"/>
                <w:sz w:val="21"/>
                <w:szCs w:val="21"/>
              </w:rPr>
            </w:pPr>
            <w:r>
              <w:rPr>
                <w:rFonts w:cs="Times New Roman" w:eastAsiaTheme="minorEastAsia"/>
                <w:color w:val="000000"/>
                <w:kern w:val="0"/>
                <w:sz w:val="21"/>
                <w:szCs w:val="21"/>
              </w:rPr>
              <w:t>2</w:t>
            </w:r>
          </w:p>
        </w:tc>
        <w:tc>
          <w:tcPr>
            <w:tcW w:w="992" w:type="dxa"/>
            <w:tcBorders>
              <w:top w:val="nil"/>
              <w:left w:val="nil"/>
              <w:bottom w:val="single" w:color="auto" w:sz="4" w:space="0"/>
              <w:right w:val="single" w:color="auto" w:sz="4" w:space="0"/>
            </w:tcBorders>
            <w:shd w:val="clear" w:color="auto" w:fill="auto"/>
            <w:vAlign w:val="center"/>
          </w:tcPr>
          <w:p>
            <w:pPr>
              <w:widowControl/>
              <w:jc w:val="center"/>
              <w:rPr>
                <w:rFonts w:cs="Times New Roman" w:eastAsiaTheme="minorEastAsia"/>
                <w:color w:val="000000"/>
                <w:kern w:val="0"/>
                <w:sz w:val="21"/>
                <w:szCs w:val="21"/>
              </w:rPr>
            </w:pPr>
            <w:r>
              <w:rPr>
                <w:rFonts w:cs="Times New Roman" w:eastAsiaTheme="minorEastAsia"/>
                <w:color w:val="000000"/>
                <w:kern w:val="0"/>
                <w:sz w:val="21"/>
                <w:szCs w:val="21"/>
              </w:rPr>
              <w:t>0.1</w:t>
            </w:r>
          </w:p>
        </w:tc>
        <w:tc>
          <w:tcPr>
            <w:tcW w:w="1984" w:type="dxa"/>
            <w:tcBorders>
              <w:top w:val="nil"/>
              <w:left w:val="nil"/>
              <w:bottom w:val="single" w:color="auto" w:sz="4" w:space="0"/>
              <w:right w:val="single" w:color="auto" w:sz="4" w:space="0"/>
            </w:tcBorders>
            <w:shd w:val="clear" w:color="auto" w:fill="auto"/>
            <w:vAlign w:val="center"/>
          </w:tcPr>
          <w:p>
            <w:pPr>
              <w:widowControl/>
              <w:jc w:val="center"/>
              <w:rPr>
                <w:rFonts w:cs="Times New Roman" w:eastAsiaTheme="minorEastAsia"/>
                <w:color w:val="000000"/>
                <w:kern w:val="0"/>
                <w:sz w:val="21"/>
                <w:szCs w:val="21"/>
              </w:rPr>
            </w:pPr>
            <w:r>
              <w:rPr>
                <w:rFonts w:cs="Times New Roman" w:eastAsiaTheme="minorEastAsia"/>
                <w:color w:val="000000"/>
                <w:kern w:val="0"/>
                <w:sz w:val="21"/>
                <w:szCs w:val="21"/>
              </w:rPr>
              <w:t>0.2</w:t>
            </w:r>
          </w:p>
        </w:tc>
      </w:tr>
    </w:tbl>
    <w:p/>
    <w:p>
      <w:pPr>
        <w:sectPr>
          <w:pgSz w:w="11906" w:h="16838"/>
          <w:pgMar w:top="1440" w:right="1800" w:bottom="1440" w:left="1800" w:header="851" w:footer="992" w:gutter="0"/>
          <w:cols w:space="425" w:num="1"/>
          <w:docGrid w:type="lines" w:linePitch="312" w:charSpace="0"/>
        </w:sectPr>
      </w:pPr>
    </w:p>
    <w:p>
      <w:pPr>
        <w:pStyle w:val="2"/>
      </w:pPr>
      <w:bookmarkStart w:id="61" w:name="_Toc37843258"/>
      <w:r>
        <w:t>6</w:t>
      </w:r>
      <w:r>
        <w:rPr>
          <w:rFonts w:hint="eastAsia"/>
        </w:rPr>
        <w:t xml:space="preserve"> </w:t>
      </w:r>
      <w:r>
        <w:t xml:space="preserve"> </w:t>
      </w:r>
      <w:r>
        <w:rPr>
          <w:rFonts w:hint="eastAsia"/>
        </w:rPr>
        <w:t>底泥处理与</w:t>
      </w:r>
      <w:r>
        <w:t>处置工程</w:t>
      </w:r>
      <w:bookmarkEnd w:id="58"/>
      <w:bookmarkEnd w:id="61"/>
    </w:p>
    <w:p>
      <w:pPr>
        <w:pStyle w:val="3"/>
        <w:spacing w:before="120"/>
      </w:pPr>
      <w:bookmarkStart w:id="62" w:name="_Toc37843259"/>
      <w:bookmarkStart w:id="63" w:name="_Toc8917369"/>
      <w:r>
        <w:rPr>
          <w:rFonts w:hint="eastAsia"/>
        </w:rPr>
        <w:t xml:space="preserve">6.1 </w:t>
      </w:r>
      <w:r>
        <w:t xml:space="preserve"> </w:t>
      </w:r>
      <w:r>
        <w:rPr>
          <w:rFonts w:hint="eastAsia"/>
        </w:rPr>
        <w:t>一般规定</w:t>
      </w:r>
      <w:bookmarkEnd w:id="62"/>
    </w:p>
    <w:p>
      <w:pPr>
        <w:adjustRightInd w:val="0"/>
        <w:snapToGrid w:val="0"/>
      </w:pPr>
      <w:r>
        <w:rPr>
          <w:rFonts w:hint="eastAsia"/>
          <w:b/>
          <w:bCs/>
        </w:rPr>
        <w:t>6.1.1</w:t>
      </w:r>
      <w:r>
        <w:rPr>
          <w:rFonts w:hint="eastAsia"/>
        </w:rPr>
        <w:t xml:space="preserve"> </w:t>
      </w:r>
      <w:r>
        <w:t xml:space="preserve"> </w:t>
      </w:r>
      <w:r>
        <w:rPr>
          <w:rFonts w:hint="eastAsia"/>
        </w:rPr>
        <w:t>底泥进行处理及处置前，浸出毒性鉴别应按GB 5085的规定执行。经鉴别为危险废物，应按国家现行相关规定进行处理及处置。</w:t>
      </w:r>
    </w:p>
    <w:p>
      <w:pPr>
        <w:adjustRightInd w:val="0"/>
        <w:snapToGrid w:val="0"/>
      </w:pPr>
      <w:r>
        <w:rPr>
          <w:rFonts w:hint="eastAsia"/>
          <w:b/>
          <w:bCs/>
        </w:rPr>
        <w:t>6.1.2</w:t>
      </w:r>
      <w:r>
        <w:rPr>
          <w:rFonts w:hint="eastAsia"/>
        </w:rPr>
        <w:t xml:space="preserve"> </w:t>
      </w:r>
      <w:r>
        <w:t xml:space="preserve"> </w:t>
      </w:r>
      <w:r>
        <w:rPr>
          <w:rFonts w:hint="eastAsia"/>
        </w:rPr>
        <w:t>底泥处理宜按“减量化、稳定化、无害化、资源化”及“精细管理、源头减量、远近结合、统筹安排”处理的原则，并实施顺应环保、经济、安全、综合利用要求的全过程管理。依据城镇总体规划和生态环境保护规划相关要求，进行专项设计，科学制定处理方案，合理确定处理规模及处理工艺，确保处理效果。</w:t>
      </w:r>
    </w:p>
    <w:p>
      <w:pPr>
        <w:adjustRightInd w:val="0"/>
        <w:snapToGrid w:val="0"/>
      </w:pPr>
      <w:r>
        <w:rPr>
          <w:rFonts w:hint="eastAsia"/>
          <w:b/>
        </w:rPr>
        <w:t xml:space="preserve">6.1.3 </w:t>
      </w:r>
      <w:r>
        <w:rPr>
          <w:b/>
        </w:rPr>
        <w:t xml:space="preserve"> </w:t>
      </w:r>
      <w:r>
        <w:rPr>
          <w:rFonts w:hint="eastAsia"/>
        </w:rPr>
        <w:t>余土处置应按照“全面检测、分类处置、风险管控、安全利用”及“处置单位负责”的原则。应根据余土检测指标进行分类，科学确定余土处置工艺及途径，确保处置效果。</w:t>
      </w:r>
    </w:p>
    <w:p>
      <w:pPr>
        <w:adjustRightInd w:val="0"/>
        <w:snapToGrid w:val="0"/>
      </w:pPr>
      <w:r>
        <w:rPr>
          <w:rFonts w:hint="eastAsia"/>
          <w:b/>
          <w:bCs/>
        </w:rPr>
        <w:t xml:space="preserve">6.1.4 </w:t>
      </w:r>
      <w:r>
        <w:rPr>
          <w:b/>
          <w:bCs/>
        </w:rPr>
        <w:t xml:space="preserve"> </w:t>
      </w:r>
      <w:r>
        <w:rPr>
          <w:rFonts w:hint="eastAsia"/>
        </w:rPr>
        <w:t>识别处理过程中存在的危险，明晰危害因素，制定相应的安全防护措施。</w:t>
      </w:r>
    </w:p>
    <w:p>
      <w:pPr>
        <w:adjustRightInd w:val="0"/>
        <w:snapToGrid w:val="0"/>
      </w:pPr>
      <w:r>
        <w:rPr>
          <w:rFonts w:hint="eastAsia"/>
          <w:b/>
          <w:bCs/>
        </w:rPr>
        <w:t>6.1.5</w:t>
      </w:r>
      <w:r>
        <w:rPr>
          <w:rFonts w:hint="eastAsia"/>
        </w:rPr>
        <w:t xml:space="preserve"> </w:t>
      </w:r>
      <w:r>
        <w:t xml:space="preserve"> </w:t>
      </w:r>
      <w:r>
        <w:rPr>
          <w:rFonts w:hint="eastAsia"/>
        </w:rPr>
        <w:t>底泥处理过程产生的垃圾以及无害化处理产生的余土、余砂、余水的排放与利用，应满足本标准规定的项目和限值要求，并符合国家地方环境保护相关规定。</w:t>
      </w:r>
    </w:p>
    <w:p>
      <w:pPr>
        <w:adjustRightInd w:val="0"/>
        <w:snapToGrid w:val="0"/>
      </w:pPr>
      <w:r>
        <w:rPr>
          <w:rFonts w:hint="eastAsia"/>
          <w:b/>
          <w:bCs/>
        </w:rPr>
        <w:t>6.1.6</w:t>
      </w:r>
      <w:r>
        <w:rPr>
          <w:rFonts w:hint="eastAsia"/>
        </w:rPr>
        <w:t xml:space="preserve"> </w:t>
      </w:r>
      <w:r>
        <w:t xml:space="preserve"> </w:t>
      </w:r>
      <w:r>
        <w:rPr>
          <w:rFonts w:hint="eastAsia"/>
        </w:rPr>
        <w:t>底泥处理过程应参照工程所在地固体废弃物管理条例，落实施工单位自查、第三方监督、监管部门督查和项目业主巡查的工作机制，收集和保存底泥处理过程中的相关资料，对处理各个环节进行严格过程监测控管。</w:t>
      </w:r>
    </w:p>
    <w:p>
      <w:pPr>
        <w:adjustRightInd w:val="0"/>
        <w:snapToGrid w:val="0"/>
      </w:pPr>
      <w:r>
        <w:rPr>
          <w:rFonts w:hint="eastAsia"/>
          <w:b/>
          <w:bCs/>
        </w:rPr>
        <w:t>6.1.7</w:t>
      </w:r>
      <w:r>
        <w:rPr>
          <w:rFonts w:hint="eastAsia"/>
        </w:rPr>
        <w:t xml:space="preserve"> </w:t>
      </w:r>
      <w:r>
        <w:t xml:space="preserve"> </w:t>
      </w:r>
      <w:r>
        <w:rPr>
          <w:rFonts w:hint="eastAsia"/>
        </w:rPr>
        <w:t>严格执行底泥处理过程余水（含渗滤液）检验，根据处理过程目标要求确定污染物成分检验项目，检验结果符合相关指标要求，经验收后方可处置或排放。</w:t>
      </w:r>
    </w:p>
    <w:p>
      <w:pPr>
        <w:adjustRightInd w:val="0"/>
        <w:snapToGrid w:val="0"/>
      </w:pPr>
      <w:r>
        <w:rPr>
          <w:rFonts w:hint="eastAsia"/>
          <w:b/>
          <w:bCs/>
        </w:rPr>
        <w:t>6.1.8</w:t>
      </w:r>
      <w:r>
        <w:rPr>
          <w:rFonts w:hint="eastAsia"/>
        </w:rPr>
        <w:t xml:space="preserve"> </w:t>
      </w:r>
      <w:r>
        <w:t xml:space="preserve"> 应对</w:t>
      </w:r>
      <w:r>
        <w:rPr>
          <w:rFonts w:hint="eastAsia"/>
        </w:rPr>
        <w:t>底泥处理及处置环节影响区域进行环境评价。</w:t>
      </w:r>
      <w:r>
        <w:t>要求</w:t>
      </w:r>
      <w:r>
        <w:rPr>
          <w:rFonts w:hint="eastAsia"/>
        </w:rPr>
        <w:t>环保监测指标项目齐全、检测检验方法得当、数据记录完整，环境评价适宜科学。</w:t>
      </w:r>
    </w:p>
    <w:p>
      <w:pPr>
        <w:pStyle w:val="3"/>
      </w:pPr>
      <w:bookmarkStart w:id="64" w:name="_Toc37843260"/>
      <w:r>
        <w:rPr>
          <w:rFonts w:hint="eastAsia"/>
        </w:rPr>
        <w:t xml:space="preserve">6.2 </w:t>
      </w:r>
      <w:r>
        <w:t xml:space="preserve"> </w:t>
      </w:r>
      <w:r>
        <w:rPr>
          <w:rFonts w:hint="eastAsia"/>
        </w:rPr>
        <w:t>处理工艺</w:t>
      </w:r>
      <w:bookmarkEnd w:id="63"/>
      <w:bookmarkEnd w:id="64"/>
    </w:p>
    <w:p>
      <w:r>
        <w:rPr>
          <w:rFonts w:hint="eastAsia"/>
          <w:b/>
          <w:bCs/>
        </w:rPr>
        <w:t>6.2.1</w:t>
      </w:r>
      <w:r>
        <w:rPr>
          <w:rFonts w:hint="eastAsia"/>
          <w:b/>
        </w:rPr>
        <w:t xml:space="preserve"> </w:t>
      </w:r>
      <w:r>
        <w:rPr>
          <w:b/>
        </w:rPr>
        <w:t xml:space="preserve"> </w:t>
      </w:r>
      <w:r>
        <w:rPr>
          <w:rFonts w:hint="eastAsia"/>
        </w:rPr>
        <w:t>底泥处理应根据底泥污染物成分、性质及处置方式等因素，按下列要求选择适宜的处理工艺：</w:t>
      </w:r>
    </w:p>
    <w:p>
      <w:pPr>
        <w:ind w:firstLine="482" w:firstLineChars="200"/>
      </w:pPr>
      <w:r>
        <w:rPr>
          <w:rFonts w:hint="eastAsia"/>
          <w:b/>
          <w:bCs/>
        </w:rPr>
        <w:t xml:space="preserve">1 </w:t>
      </w:r>
      <w:r>
        <w:rPr>
          <w:b/>
          <w:bCs/>
        </w:rPr>
        <w:t xml:space="preserve"> </w:t>
      </w:r>
      <w:r>
        <w:rPr>
          <w:rFonts w:hint="eastAsia"/>
        </w:rPr>
        <w:t>底泥进行处理前，应结合余土处置方式，对底泥污染物成分、性质进行检测分析，其污染物检测含量等于或低于表6.6.4中对应</w:t>
      </w:r>
      <w:r>
        <w:rPr>
          <w:rFonts w:cs="Times New Roman" w:eastAsiaTheme="minorEastAsia"/>
          <w:bCs/>
          <w:szCs w:val="24"/>
        </w:rPr>
        <w:t>余土</w:t>
      </w:r>
      <w:r>
        <w:rPr>
          <w:rFonts w:hint="eastAsia" w:cs="Times New Roman" w:eastAsiaTheme="minorEastAsia"/>
          <w:bCs/>
          <w:szCs w:val="24"/>
        </w:rPr>
        <w:t>类别</w:t>
      </w:r>
      <w:r>
        <w:rPr>
          <w:rFonts w:cs="Times New Roman" w:eastAsiaTheme="minorEastAsia"/>
          <w:bCs/>
          <w:szCs w:val="24"/>
        </w:rPr>
        <w:t>污染物</w:t>
      </w:r>
      <w:r>
        <w:rPr>
          <w:rFonts w:hint="eastAsia" w:cs="Times New Roman" w:eastAsiaTheme="minorEastAsia"/>
          <w:bCs/>
          <w:szCs w:val="24"/>
        </w:rPr>
        <w:t>控制指标及限值</w:t>
      </w:r>
      <w:r>
        <w:rPr>
          <w:rFonts w:hint="eastAsia"/>
        </w:rPr>
        <w:t>，可采用自然脱水、真空预压、机械脱水、土工管袋等处理工艺直接进行脱水处理；</w:t>
      </w:r>
    </w:p>
    <w:p>
      <w:pPr>
        <w:ind w:firstLine="482" w:firstLineChars="200"/>
      </w:pPr>
      <w:r>
        <w:rPr>
          <w:rFonts w:hint="eastAsia"/>
          <w:b/>
          <w:bCs/>
        </w:rPr>
        <w:t xml:space="preserve">2 </w:t>
      </w:r>
      <w:r>
        <w:rPr>
          <w:b/>
          <w:bCs/>
        </w:rPr>
        <w:t xml:space="preserve"> </w:t>
      </w:r>
      <w:r>
        <w:rPr>
          <w:rFonts w:hint="eastAsia"/>
        </w:rPr>
        <w:t>污染物检测含量高于表6.6.4中对应余土类别污染物控制指标及限值的，应在进行脱水处理之余，适度选用固化工艺进行处理。</w:t>
      </w:r>
    </w:p>
    <w:p>
      <w:pPr>
        <w:pStyle w:val="3"/>
      </w:pPr>
      <w:bookmarkStart w:id="65" w:name="_Toc37843261"/>
      <w:r>
        <w:rPr>
          <w:rFonts w:hint="eastAsia"/>
        </w:rPr>
        <w:t xml:space="preserve">6.3 </w:t>
      </w:r>
      <w:r>
        <w:t xml:space="preserve"> </w:t>
      </w:r>
      <w:r>
        <w:rPr>
          <w:rFonts w:hint="eastAsia"/>
        </w:rPr>
        <w:t>处理环节</w:t>
      </w:r>
      <w:bookmarkEnd w:id="65"/>
    </w:p>
    <w:p>
      <w:bookmarkStart w:id="66" w:name="_Toc8917370"/>
      <w:r>
        <w:rPr>
          <w:rFonts w:hint="eastAsia"/>
          <w:b/>
          <w:bCs/>
        </w:rPr>
        <w:t>6.3.1</w:t>
      </w:r>
      <w:r>
        <w:rPr>
          <w:rFonts w:hint="eastAsia"/>
        </w:rPr>
        <w:t xml:space="preserve"> </w:t>
      </w:r>
      <w:r>
        <w:t xml:space="preserve"> </w:t>
      </w:r>
      <w:r>
        <w:rPr>
          <w:rFonts w:hint="eastAsia"/>
        </w:rPr>
        <w:t>底泥处理环节宜分为底泥筛分、底泥预处理、底泥固化、底泥脱水和余水处理。</w:t>
      </w:r>
    </w:p>
    <w:p>
      <w:r>
        <w:rPr>
          <w:rFonts w:hint="eastAsia"/>
          <w:b/>
          <w:bCs/>
        </w:rPr>
        <w:t>6.3.2</w:t>
      </w:r>
      <w:r>
        <w:rPr>
          <w:rFonts w:hint="eastAsia"/>
        </w:rPr>
        <w:t xml:space="preserve"> </w:t>
      </w:r>
      <w:r>
        <w:t xml:space="preserve"> </w:t>
      </w:r>
      <w:r>
        <w:rPr>
          <w:rFonts w:hint="eastAsia"/>
        </w:rPr>
        <w:t>底泥</w:t>
      </w:r>
      <w:r>
        <w:t>筛分</w:t>
      </w:r>
      <w:r>
        <w:rPr>
          <w:rFonts w:hint="eastAsia"/>
        </w:rPr>
        <w:t>环节宜选用格栅机、振筛机、洗砂机等分离设备</w:t>
      </w:r>
      <w:r>
        <w:t>对</w:t>
      </w:r>
      <w:r>
        <w:rPr>
          <w:rFonts w:hint="eastAsia"/>
        </w:rPr>
        <w:t>底泥中有机类垃圾、无机类垃圾以及余砂进行分选处理。该环节主要分离分选垃圾和余砂、余土。</w:t>
      </w:r>
    </w:p>
    <w:p>
      <w:pPr>
        <w:rPr>
          <w:rFonts w:ascii="宋体" w:hAnsi="宋体" w:cs="宋体"/>
          <w:bCs/>
          <w:kern w:val="44"/>
          <w:szCs w:val="21"/>
        </w:rPr>
      </w:pPr>
      <w:r>
        <w:rPr>
          <w:rFonts w:hint="eastAsia"/>
          <w:b/>
          <w:bCs/>
        </w:rPr>
        <w:t>6.3.3</w:t>
      </w:r>
      <w:r>
        <w:rPr>
          <w:rFonts w:hint="eastAsia"/>
        </w:rPr>
        <w:t xml:space="preserve"> </w:t>
      </w:r>
      <w:r>
        <w:t xml:space="preserve"> </w:t>
      </w:r>
      <w:r>
        <w:rPr>
          <w:rFonts w:hint="eastAsia"/>
        </w:rPr>
        <w:t>底泥</w:t>
      </w:r>
      <w:r>
        <w:rPr>
          <w:rFonts w:hint="eastAsia" w:ascii="宋体" w:hAnsi="宋体" w:cs="宋体"/>
          <w:bCs/>
          <w:kern w:val="44"/>
          <w:szCs w:val="21"/>
        </w:rPr>
        <w:t>预处理环节宜选用曝气、搅拌、絮凝沉淀或自然沉降等方法，为</w:t>
      </w:r>
      <w:r>
        <w:rPr>
          <w:rFonts w:hint="eastAsia" w:ascii="宋体" w:hAnsi="宋体" w:cs="宋体"/>
        </w:rPr>
        <w:t>满足后续深度处理要求，初步适度调整</w:t>
      </w:r>
      <w:r>
        <w:rPr>
          <w:rFonts w:hint="eastAsia"/>
        </w:rPr>
        <w:t>底泥</w:t>
      </w:r>
      <w:r>
        <w:rPr>
          <w:rFonts w:hint="eastAsia" w:ascii="宋体" w:hAnsi="宋体" w:cs="宋体"/>
        </w:rPr>
        <w:t>特性，预处理后的检测指标应满足所选用工艺设备的要求</w:t>
      </w:r>
      <w:r>
        <w:rPr>
          <w:rFonts w:hint="eastAsia" w:ascii="宋体" w:hAnsi="宋体" w:cs="宋体"/>
          <w:bCs/>
          <w:kern w:val="44"/>
          <w:szCs w:val="21"/>
        </w:rPr>
        <w:t>。</w:t>
      </w:r>
      <w:r>
        <w:rPr>
          <w:rFonts w:hint="eastAsia"/>
        </w:rPr>
        <w:t>底泥预处理后的检验项目和方法宜符合表6.3.3要求。</w:t>
      </w:r>
    </w:p>
    <w:p>
      <w:pPr>
        <w:pStyle w:val="9"/>
        <w:keepNext/>
        <w:ind w:firstLine="482"/>
        <w:jc w:val="center"/>
        <w:rPr>
          <w:rFonts w:ascii="Times New Roman" w:hAnsi="Times New Roman" w:cs="Times New Roman" w:eastAsiaTheme="minorEastAsia"/>
          <w:b/>
          <w:sz w:val="24"/>
          <w:szCs w:val="24"/>
        </w:rPr>
      </w:pPr>
      <w:r>
        <w:rPr>
          <w:rFonts w:ascii="Times New Roman" w:hAnsi="Times New Roman" w:cs="Times New Roman" w:eastAsiaTheme="minorEastAsia"/>
          <w:b/>
          <w:sz w:val="24"/>
          <w:szCs w:val="24"/>
        </w:rPr>
        <w:t>表6.3.</w:t>
      </w:r>
      <w:r>
        <w:rPr>
          <w:rFonts w:hint="eastAsia" w:ascii="Times New Roman" w:hAnsi="Times New Roman" w:cs="Times New Roman" w:eastAsiaTheme="minorEastAsia"/>
          <w:b/>
          <w:sz w:val="24"/>
          <w:szCs w:val="24"/>
        </w:rPr>
        <w:t>3</w:t>
      </w:r>
      <w:r>
        <w:rPr>
          <w:rFonts w:ascii="Times New Roman" w:hAnsi="Times New Roman" w:cs="Times New Roman" w:eastAsiaTheme="minorEastAsia"/>
          <w:b/>
          <w:sz w:val="24"/>
          <w:szCs w:val="24"/>
        </w:rPr>
        <w:t xml:space="preserve">  底泥预处理质量标准和检验方法</w:t>
      </w:r>
    </w:p>
    <w:tbl>
      <w:tblPr>
        <w:tblStyle w:val="2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1346"/>
        <w:gridCol w:w="3230"/>
        <w:gridCol w:w="1551"/>
        <w:gridCol w:w="16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blHeader/>
        </w:trPr>
        <w:tc>
          <w:tcPr>
            <w:tcW w:w="752" w:type="dxa"/>
            <w:vAlign w:val="center"/>
          </w:tcPr>
          <w:p>
            <w:pPr>
              <w:jc w:val="center"/>
              <w:rPr>
                <w:bCs/>
                <w:sz w:val="21"/>
                <w:szCs w:val="21"/>
              </w:rPr>
            </w:pPr>
            <w:r>
              <w:rPr>
                <w:rFonts w:hint="eastAsia"/>
                <w:bCs/>
                <w:sz w:val="21"/>
                <w:szCs w:val="21"/>
              </w:rPr>
              <w:t>序号</w:t>
            </w:r>
          </w:p>
        </w:tc>
        <w:tc>
          <w:tcPr>
            <w:tcW w:w="1346" w:type="dxa"/>
            <w:vAlign w:val="center"/>
          </w:tcPr>
          <w:p>
            <w:pPr>
              <w:jc w:val="center"/>
              <w:rPr>
                <w:bCs/>
                <w:sz w:val="21"/>
                <w:szCs w:val="21"/>
              </w:rPr>
            </w:pPr>
            <w:r>
              <w:rPr>
                <w:rFonts w:hint="eastAsia"/>
                <w:bCs/>
                <w:sz w:val="21"/>
                <w:szCs w:val="21"/>
              </w:rPr>
              <w:t>检验项目</w:t>
            </w:r>
          </w:p>
        </w:tc>
        <w:tc>
          <w:tcPr>
            <w:tcW w:w="3230" w:type="dxa"/>
            <w:vAlign w:val="center"/>
          </w:tcPr>
          <w:p>
            <w:pPr>
              <w:jc w:val="center"/>
              <w:rPr>
                <w:bCs/>
                <w:sz w:val="21"/>
                <w:szCs w:val="21"/>
              </w:rPr>
            </w:pPr>
            <w:r>
              <w:rPr>
                <w:rFonts w:hint="eastAsia"/>
                <w:bCs/>
                <w:sz w:val="21"/>
                <w:szCs w:val="21"/>
              </w:rPr>
              <w:t>质量标准</w:t>
            </w:r>
          </w:p>
        </w:tc>
        <w:tc>
          <w:tcPr>
            <w:tcW w:w="1551" w:type="dxa"/>
            <w:vAlign w:val="center"/>
          </w:tcPr>
          <w:p>
            <w:pPr>
              <w:jc w:val="center"/>
              <w:rPr>
                <w:bCs/>
                <w:sz w:val="21"/>
                <w:szCs w:val="21"/>
              </w:rPr>
            </w:pPr>
            <w:r>
              <w:rPr>
                <w:rFonts w:hint="eastAsia"/>
                <w:bCs/>
                <w:sz w:val="21"/>
                <w:szCs w:val="21"/>
              </w:rPr>
              <w:t>检验方法</w:t>
            </w:r>
          </w:p>
        </w:tc>
        <w:tc>
          <w:tcPr>
            <w:tcW w:w="1643" w:type="dxa"/>
            <w:vAlign w:val="center"/>
          </w:tcPr>
          <w:p>
            <w:pPr>
              <w:jc w:val="center"/>
              <w:rPr>
                <w:bCs/>
                <w:sz w:val="21"/>
                <w:szCs w:val="21"/>
              </w:rPr>
            </w:pPr>
            <w:r>
              <w:rPr>
                <w:rFonts w:hint="eastAsia"/>
                <w:bCs/>
                <w:sz w:val="21"/>
                <w:szCs w:val="21"/>
              </w:rPr>
              <w:t>检验参考标准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752" w:type="dxa"/>
            <w:vAlign w:val="center"/>
          </w:tcPr>
          <w:p>
            <w:pPr>
              <w:jc w:val="center"/>
              <w:rPr>
                <w:bCs/>
                <w:sz w:val="21"/>
                <w:szCs w:val="21"/>
              </w:rPr>
            </w:pPr>
            <w:r>
              <w:rPr>
                <w:bCs/>
                <w:sz w:val="21"/>
                <w:szCs w:val="21"/>
              </w:rPr>
              <w:t>1</w:t>
            </w:r>
          </w:p>
        </w:tc>
        <w:tc>
          <w:tcPr>
            <w:tcW w:w="1346" w:type="dxa"/>
            <w:vAlign w:val="center"/>
          </w:tcPr>
          <w:p>
            <w:pPr>
              <w:jc w:val="center"/>
              <w:rPr>
                <w:bCs/>
                <w:sz w:val="21"/>
                <w:szCs w:val="21"/>
              </w:rPr>
            </w:pPr>
            <w:r>
              <w:rPr>
                <w:rFonts w:hint="eastAsia"/>
                <w:bCs/>
                <w:sz w:val="21"/>
                <w:szCs w:val="21"/>
              </w:rPr>
              <w:t>颗粒粒径</w:t>
            </w:r>
          </w:p>
        </w:tc>
        <w:tc>
          <w:tcPr>
            <w:tcW w:w="3230" w:type="dxa"/>
            <w:vAlign w:val="center"/>
          </w:tcPr>
          <w:p>
            <w:pPr>
              <w:jc w:val="center"/>
              <w:rPr>
                <w:bCs/>
                <w:sz w:val="21"/>
                <w:szCs w:val="21"/>
              </w:rPr>
            </w:pPr>
            <w:r>
              <w:rPr>
                <w:rFonts w:hint="eastAsia"/>
                <w:bCs/>
                <w:sz w:val="21"/>
                <w:szCs w:val="21"/>
              </w:rPr>
              <w:t>粒径应符合后续工艺要求</w:t>
            </w:r>
          </w:p>
        </w:tc>
        <w:tc>
          <w:tcPr>
            <w:tcW w:w="1551" w:type="dxa"/>
            <w:vAlign w:val="center"/>
          </w:tcPr>
          <w:p>
            <w:pPr>
              <w:jc w:val="center"/>
              <w:rPr>
                <w:bCs/>
                <w:sz w:val="21"/>
                <w:szCs w:val="21"/>
              </w:rPr>
            </w:pPr>
            <w:r>
              <w:rPr>
                <w:rFonts w:hint="eastAsia"/>
                <w:bCs/>
                <w:sz w:val="21"/>
                <w:szCs w:val="21"/>
              </w:rPr>
              <w:t>筛分法</w:t>
            </w:r>
          </w:p>
        </w:tc>
        <w:tc>
          <w:tcPr>
            <w:tcW w:w="1643" w:type="dxa"/>
            <w:vAlign w:val="center"/>
          </w:tcPr>
          <w:p>
            <w:pPr>
              <w:jc w:val="center"/>
              <w:rPr>
                <w:bCs/>
                <w:sz w:val="21"/>
                <w:szCs w:val="21"/>
              </w:rPr>
            </w:pPr>
            <w:r>
              <w:rPr>
                <w:bCs/>
                <w:sz w:val="21"/>
                <w:szCs w:val="21"/>
              </w:rPr>
              <w:t>JTGE40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752" w:type="dxa"/>
            <w:vAlign w:val="center"/>
          </w:tcPr>
          <w:p>
            <w:pPr>
              <w:jc w:val="center"/>
              <w:rPr>
                <w:bCs/>
                <w:sz w:val="21"/>
                <w:szCs w:val="21"/>
              </w:rPr>
            </w:pPr>
            <w:r>
              <w:rPr>
                <w:bCs/>
                <w:sz w:val="21"/>
                <w:szCs w:val="21"/>
              </w:rPr>
              <w:t>2</w:t>
            </w:r>
          </w:p>
        </w:tc>
        <w:tc>
          <w:tcPr>
            <w:tcW w:w="1346" w:type="dxa"/>
            <w:vAlign w:val="center"/>
          </w:tcPr>
          <w:p>
            <w:pPr>
              <w:jc w:val="center"/>
              <w:rPr>
                <w:bCs/>
                <w:sz w:val="21"/>
                <w:szCs w:val="21"/>
              </w:rPr>
            </w:pPr>
            <w:r>
              <w:rPr>
                <w:rFonts w:hint="eastAsia"/>
                <w:bCs/>
                <w:sz w:val="21"/>
                <w:szCs w:val="21"/>
              </w:rPr>
              <w:t>含水率</w:t>
            </w:r>
          </w:p>
        </w:tc>
        <w:tc>
          <w:tcPr>
            <w:tcW w:w="3230" w:type="dxa"/>
            <w:vAlign w:val="center"/>
          </w:tcPr>
          <w:p>
            <w:pPr>
              <w:jc w:val="center"/>
              <w:rPr>
                <w:bCs/>
                <w:sz w:val="21"/>
                <w:szCs w:val="21"/>
              </w:rPr>
            </w:pPr>
            <w:r>
              <w:rPr>
                <w:rFonts w:hint="eastAsia"/>
                <w:bCs/>
                <w:sz w:val="21"/>
                <w:szCs w:val="21"/>
              </w:rPr>
              <w:t>含水率应符合后续工艺要求</w:t>
            </w:r>
          </w:p>
        </w:tc>
        <w:tc>
          <w:tcPr>
            <w:tcW w:w="1551" w:type="dxa"/>
            <w:vAlign w:val="center"/>
          </w:tcPr>
          <w:p>
            <w:pPr>
              <w:jc w:val="center"/>
              <w:rPr>
                <w:bCs/>
                <w:sz w:val="21"/>
                <w:szCs w:val="21"/>
              </w:rPr>
            </w:pPr>
            <w:r>
              <w:rPr>
                <w:rFonts w:hint="eastAsia"/>
                <w:bCs/>
                <w:sz w:val="21"/>
                <w:szCs w:val="21"/>
              </w:rPr>
              <w:t>烘干法</w:t>
            </w:r>
          </w:p>
        </w:tc>
        <w:tc>
          <w:tcPr>
            <w:tcW w:w="1643" w:type="dxa"/>
            <w:vAlign w:val="center"/>
          </w:tcPr>
          <w:p>
            <w:pPr>
              <w:jc w:val="center"/>
              <w:rPr>
                <w:bCs/>
                <w:sz w:val="21"/>
                <w:szCs w:val="21"/>
              </w:rPr>
            </w:pPr>
            <w:r>
              <w:rPr>
                <w:bCs/>
                <w:sz w:val="21"/>
                <w:szCs w:val="21"/>
              </w:rPr>
              <w:t>JTGE40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752" w:type="dxa"/>
            <w:vAlign w:val="center"/>
          </w:tcPr>
          <w:p>
            <w:pPr>
              <w:jc w:val="center"/>
              <w:rPr>
                <w:bCs/>
                <w:sz w:val="21"/>
                <w:szCs w:val="21"/>
              </w:rPr>
            </w:pPr>
            <w:r>
              <w:rPr>
                <w:rFonts w:hint="eastAsia"/>
                <w:bCs/>
                <w:sz w:val="21"/>
                <w:szCs w:val="21"/>
              </w:rPr>
              <w:t>3</w:t>
            </w:r>
          </w:p>
        </w:tc>
        <w:tc>
          <w:tcPr>
            <w:tcW w:w="1346" w:type="dxa"/>
            <w:vAlign w:val="center"/>
          </w:tcPr>
          <w:p>
            <w:pPr>
              <w:jc w:val="center"/>
              <w:rPr>
                <w:bCs/>
                <w:sz w:val="21"/>
                <w:szCs w:val="21"/>
              </w:rPr>
            </w:pPr>
            <w:r>
              <w:rPr>
                <w:rFonts w:hint="eastAsia"/>
                <w:bCs/>
                <w:sz w:val="21"/>
                <w:szCs w:val="21"/>
              </w:rPr>
              <w:t>阻尼特性</w:t>
            </w:r>
          </w:p>
          <w:p>
            <w:pPr>
              <w:jc w:val="center"/>
              <w:rPr>
                <w:bCs/>
                <w:sz w:val="21"/>
                <w:szCs w:val="21"/>
              </w:rPr>
            </w:pPr>
            <w:r>
              <w:rPr>
                <w:rFonts w:hint="eastAsia"/>
                <w:bCs/>
                <w:sz w:val="21"/>
                <w:szCs w:val="21"/>
              </w:rPr>
              <w:t>阻尼比</w:t>
            </w:r>
          </w:p>
        </w:tc>
        <w:tc>
          <w:tcPr>
            <w:tcW w:w="3230" w:type="dxa"/>
            <w:vAlign w:val="center"/>
          </w:tcPr>
          <w:p>
            <w:pPr>
              <w:jc w:val="center"/>
              <w:rPr>
                <w:bCs/>
                <w:sz w:val="21"/>
                <w:szCs w:val="21"/>
              </w:rPr>
            </w:pPr>
            <w:r>
              <w:rPr>
                <w:rFonts w:hint="eastAsia"/>
                <w:bCs/>
                <w:sz w:val="21"/>
                <w:szCs w:val="21"/>
              </w:rPr>
              <w:t>阻尼比应符合后续工艺要求</w:t>
            </w:r>
          </w:p>
        </w:tc>
        <w:tc>
          <w:tcPr>
            <w:tcW w:w="1551" w:type="dxa"/>
            <w:vAlign w:val="center"/>
          </w:tcPr>
          <w:p>
            <w:pPr>
              <w:jc w:val="center"/>
              <w:rPr>
                <w:bCs/>
                <w:sz w:val="21"/>
                <w:szCs w:val="21"/>
              </w:rPr>
            </w:pPr>
            <w:r>
              <w:rPr>
                <w:rFonts w:hint="eastAsia"/>
                <w:bCs/>
                <w:sz w:val="21"/>
                <w:szCs w:val="21"/>
              </w:rPr>
              <w:t>振动三轴试验</w:t>
            </w:r>
          </w:p>
        </w:tc>
        <w:tc>
          <w:tcPr>
            <w:tcW w:w="1643" w:type="dxa"/>
            <w:vAlign w:val="center"/>
          </w:tcPr>
          <w:p>
            <w:pPr>
              <w:jc w:val="center"/>
              <w:rPr>
                <w:bCs/>
                <w:sz w:val="21"/>
                <w:szCs w:val="21"/>
              </w:rPr>
            </w:pPr>
            <w:r>
              <w:rPr>
                <w:rFonts w:hint="eastAsia"/>
                <w:bCs/>
                <w:sz w:val="21"/>
                <w:szCs w:val="21"/>
              </w:rPr>
              <w:t>GBT 50269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752" w:type="dxa"/>
            <w:vAlign w:val="center"/>
          </w:tcPr>
          <w:p>
            <w:pPr>
              <w:jc w:val="center"/>
              <w:rPr>
                <w:bCs/>
                <w:sz w:val="21"/>
                <w:szCs w:val="21"/>
              </w:rPr>
            </w:pPr>
            <w:r>
              <w:rPr>
                <w:rFonts w:hint="eastAsia"/>
                <w:bCs/>
                <w:sz w:val="21"/>
                <w:szCs w:val="21"/>
              </w:rPr>
              <w:t>4</w:t>
            </w:r>
          </w:p>
        </w:tc>
        <w:tc>
          <w:tcPr>
            <w:tcW w:w="1346" w:type="dxa"/>
            <w:vAlign w:val="center"/>
          </w:tcPr>
          <w:p>
            <w:pPr>
              <w:jc w:val="center"/>
              <w:rPr>
                <w:bCs/>
                <w:sz w:val="21"/>
                <w:szCs w:val="21"/>
              </w:rPr>
            </w:pPr>
            <w:r>
              <w:rPr>
                <w:rFonts w:hint="eastAsia"/>
                <w:bCs/>
                <w:sz w:val="21"/>
                <w:szCs w:val="21"/>
              </w:rPr>
              <w:t>液</w:t>
            </w:r>
            <w:r>
              <w:rPr>
                <w:bCs/>
                <w:sz w:val="21"/>
                <w:szCs w:val="21"/>
              </w:rPr>
              <w:t>塑</w:t>
            </w:r>
            <w:r>
              <w:rPr>
                <w:rFonts w:hint="eastAsia"/>
                <w:bCs/>
                <w:sz w:val="21"/>
                <w:szCs w:val="21"/>
              </w:rPr>
              <w:t>限</w:t>
            </w:r>
          </w:p>
        </w:tc>
        <w:tc>
          <w:tcPr>
            <w:tcW w:w="3230" w:type="dxa"/>
            <w:vAlign w:val="center"/>
          </w:tcPr>
          <w:p>
            <w:pPr>
              <w:jc w:val="center"/>
              <w:rPr>
                <w:bCs/>
                <w:sz w:val="21"/>
                <w:szCs w:val="21"/>
              </w:rPr>
            </w:pPr>
            <w:r>
              <w:rPr>
                <w:rFonts w:hint="eastAsia"/>
                <w:bCs/>
                <w:sz w:val="21"/>
                <w:szCs w:val="21"/>
              </w:rPr>
              <w:t>液塑限应符合后续工艺要求</w:t>
            </w:r>
          </w:p>
        </w:tc>
        <w:tc>
          <w:tcPr>
            <w:tcW w:w="1551" w:type="dxa"/>
            <w:vAlign w:val="center"/>
          </w:tcPr>
          <w:p>
            <w:pPr>
              <w:jc w:val="center"/>
              <w:rPr>
                <w:bCs/>
                <w:sz w:val="21"/>
                <w:szCs w:val="21"/>
              </w:rPr>
            </w:pPr>
            <w:r>
              <w:rPr>
                <w:rFonts w:hint="eastAsia"/>
                <w:bCs/>
                <w:sz w:val="21"/>
                <w:szCs w:val="21"/>
              </w:rPr>
              <w:t>联合测定法</w:t>
            </w:r>
          </w:p>
        </w:tc>
        <w:tc>
          <w:tcPr>
            <w:tcW w:w="1643" w:type="dxa"/>
            <w:vAlign w:val="center"/>
          </w:tcPr>
          <w:p>
            <w:pPr>
              <w:jc w:val="center"/>
              <w:rPr>
                <w:bCs/>
                <w:sz w:val="21"/>
                <w:szCs w:val="21"/>
              </w:rPr>
            </w:pPr>
            <w:r>
              <w:rPr>
                <w:bCs/>
                <w:sz w:val="21"/>
                <w:szCs w:val="21"/>
              </w:rPr>
              <w:t>JTGE40</w:t>
            </w:r>
          </w:p>
        </w:tc>
      </w:tr>
    </w:tbl>
    <w:p>
      <w:r>
        <w:rPr>
          <w:rFonts w:hint="eastAsia"/>
          <w:b/>
          <w:bCs/>
        </w:rPr>
        <w:t>6.3.4</w:t>
      </w:r>
      <w:r>
        <w:rPr>
          <w:rFonts w:hint="eastAsia"/>
        </w:rPr>
        <w:t xml:space="preserve"> </w:t>
      </w:r>
      <w:r>
        <w:t xml:space="preserve"> </w:t>
      </w:r>
      <w:r>
        <w:rPr>
          <w:rFonts w:hint="eastAsia"/>
        </w:rPr>
        <w:t>底</w:t>
      </w:r>
      <w:r>
        <w:rPr>
          <w:rFonts w:hint="eastAsia" w:ascii="宋体" w:hAnsi="宋体" w:cs="宋体"/>
          <w:bCs/>
          <w:kern w:val="44"/>
          <w:szCs w:val="21"/>
        </w:rPr>
        <w:t>泥固化环节宜依据底泥组成</w:t>
      </w:r>
      <w:r>
        <w:rPr>
          <w:rFonts w:hint="eastAsia"/>
        </w:rPr>
        <w:t>成分、理化性质和底泥后处置要求，适度</w:t>
      </w:r>
      <w:r>
        <w:rPr>
          <w:rFonts w:hint="eastAsia" w:ascii="宋体" w:hAnsi="宋体" w:cs="宋体"/>
          <w:bCs/>
          <w:kern w:val="44"/>
          <w:szCs w:val="21"/>
        </w:rPr>
        <w:t>选用</w:t>
      </w:r>
      <w:r>
        <w:rPr>
          <w:rFonts w:hint="eastAsia"/>
        </w:rPr>
        <w:t>化学固封或钝化、生物修复等方法</w:t>
      </w:r>
      <w:r>
        <w:rPr>
          <w:rFonts w:hint="eastAsia" w:ascii="宋体" w:hAnsi="宋体" w:cs="宋体"/>
        </w:rPr>
        <w:t>。</w:t>
      </w:r>
      <w:r>
        <w:rPr>
          <w:rFonts w:hint="eastAsia"/>
        </w:rPr>
        <w:t>该环节主要降低底泥污染物水平，对污染物检测含量等于或低于当地土壤环境背景值水平的，可无需进行。</w:t>
      </w:r>
    </w:p>
    <w:p>
      <w:pPr>
        <w:rPr>
          <w:rFonts w:ascii="宋体" w:hAnsi="宋体" w:cs="宋体"/>
          <w:bCs/>
          <w:kern w:val="44"/>
          <w:szCs w:val="21"/>
        </w:rPr>
      </w:pPr>
      <w:r>
        <w:rPr>
          <w:rFonts w:hint="eastAsia"/>
          <w:b/>
          <w:bCs/>
        </w:rPr>
        <w:t xml:space="preserve">6.3.5 </w:t>
      </w:r>
      <w:r>
        <w:rPr>
          <w:b/>
          <w:bCs/>
        </w:rPr>
        <w:t xml:space="preserve"> </w:t>
      </w:r>
      <w:r>
        <w:rPr>
          <w:rFonts w:hint="eastAsia"/>
        </w:rPr>
        <w:t>底泥脱水环节应结合底泥的处理量、处理工期，因地制宜的</w:t>
      </w:r>
      <w:r>
        <w:rPr>
          <w:rFonts w:hint="eastAsia" w:ascii="宋体" w:hAnsi="宋体" w:cs="宋体"/>
          <w:bCs/>
          <w:kern w:val="44"/>
          <w:szCs w:val="21"/>
        </w:rPr>
        <w:t>选用自然干晒、真空预压、土工管袋、管道挤压和机械分离等工艺技术进行</w:t>
      </w:r>
      <w:r>
        <w:rPr>
          <w:rFonts w:hint="eastAsia"/>
        </w:rPr>
        <w:t>底泥</w:t>
      </w:r>
      <w:r>
        <w:rPr>
          <w:rFonts w:hint="eastAsia" w:ascii="宋体" w:hAnsi="宋体" w:cs="宋体"/>
          <w:bCs/>
          <w:kern w:val="44"/>
          <w:szCs w:val="21"/>
        </w:rPr>
        <w:t>脱水，以降低余土含水率，并</w:t>
      </w:r>
      <w:r>
        <w:rPr>
          <w:rFonts w:hint="eastAsia" w:ascii="宋体" w:hAnsi="宋体" w:cs="宋体"/>
        </w:rPr>
        <w:t>满足后续处置工序要求</w:t>
      </w:r>
      <w:r>
        <w:rPr>
          <w:rFonts w:hint="eastAsia" w:ascii="宋体" w:hAnsi="宋体" w:cs="宋体"/>
          <w:bCs/>
          <w:kern w:val="44"/>
          <w:szCs w:val="21"/>
        </w:rPr>
        <w:t>。</w:t>
      </w:r>
    </w:p>
    <w:bookmarkEnd w:id="66"/>
    <w:p>
      <w:pPr>
        <w:pStyle w:val="3"/>
        <w:spacing w:before="120"/>
        <w:rPr>
          <w:rFonts w:cs="Times New Roman"/>
        </w:rPr>
      </w:pPr>
      <w:bookmarkStart w:id="67" w:name="_Toc37843262"/>
      <w:bookmarkStart w:id="68" w:name="_Toc8917372"/>
      <w:r>
        <w:rPr>
          <w:rFonts w:cs="Times New Roman"/>
        </w:rPr>
        <w:t>6.4  垃圾处置</w:t>
      </w:r>
      <w:bookmarkEnd w:id="67"/>
    </w:p>
    <w:p>
      <w:r>
        <w:rPr>
          <w:rFonts w:hint="eastAsia"/>
          <w:b/>
          <w:bCs/>
        </w:rPr>
        <w:t>6.4.1</w:t>
      </w:r>
      <w:r>
        <w:rPr>
          <w:rFonts w:hint="eastAsia"/>
        </w:rPr>
        <w:t xml:space="preserve"> </w:t>
      </w:r>
      <w:r>
        <w:t xml:space="preserve"> </w:t>
      </w:r>
      <w:r>
        <w:rPr>
          <w:rFonts w:hint="eastAsia"/>
        </w:rPr>
        <w:t>垃圾宜按照组分依据表6.</w:t>
      </w:r>
      <w:r>
        <w:t>4</w:t>
      </w:r>
      <w:r>
        <w:rPr>
          <w:rFonts w:hint="eastAsia"/>
        </w:rPr>
        <w:t>.1分为两类。</w:t>
      </w:r>
    </w:p>
    <w:p>
      <w:pPr>
        <w:jc w:val="center"/>
        <w:rPr>
          <w:rFonts w:asciiTheme="majorBidi" w:hAnsiTheme="majorBidi" w:eastAsiaTheme="minorEastAsia" w:cstheme="majorBidi"/>
          <w:b/>
          <w:bCs/>
        </w:rPr>
      </w:pPr>
      <w:r>
        <w:rPr>
          <w:rFonts w:asciiTheme="majorBidi" w:hAnsiTheme="majorBidi" w:eastAsiaTheme="minorEastAsia" w:cstheme="majorBidi"/>
          <w:b/>
          <w:bCs/>
        </w:rPr>
        <w:t>表6.4.1  垃圾分类</w:t>
      </w:r>
    </w:p>
    <w:tbl>
      <w:tblPr>
        <w:tblStyle w:val="27"/>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3"/>
        <w:gridCol w:w="1587"/>
        <w:gridCol w:w="54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493" w:type="dxa"/>
            <w:vAlign w:val="center"/>
          </w:tcPr>
          <w:p>
            <w:pPr>
              <w:jc w:val="center"/>
              <w:rPr>
                <w:rFonts w:ascii="Calibri" w:hAnsi="Calibri"/>
                <w:sz w:val="21"/>
                <w:szCs w:val="21"/>
              </w:rPr>
            </w:pPr>
            <w:r>
              <w:rPr>
                <w:rFonts w:hint="eastAsia" w:ascii="Calibri" w:hAnsi="Calibri"/>
                <w:sz w:val="21"/>
                <w:szCs w:val="21"/>
              </w:rPr>
              <w:t>分类类别</w:t>
            </w:r>
          </w:p>
        </w:tc>
        <w:tc>
          <w:tcPr>
            <w:tcW w:w="1587" w:type="dxa"/>
            <w:vAlign w:val="center"/>
          </w:tcPr>
          <w:p>
            <w:pPr>
              <w:jc w:val="center"/>
              <w:rPr>
                <w:rFonts w:ascii="Calibri" w:hAnsi="Calibri"/>
                <w:sz w:val="21"/>
                <w:szCs w:val="21"/>
              </w:rPr>
            </w:pPr>
            <w:r>
              <w:rPr>
                <w:rFonts w:hint="eastAsia" w:ascii="Calibri" w:hAnsi="Calibri"/>
                <w:sz w:val="21"/>
                <w:szCs w:val="21"/>
              </w:rPr>
              <w:t>组分</w:t>
            </w:r>
          </w:p>
        </w:tc>
        <w:tc>
          <w:tcPr>
            <w:tcW w:w="5442" w:type="dxa"/>
            <w:vAlign w:val="center"/>
          </w:tcPr>
          <w:p>
            <w:pPr>
              <w:jc w:val="center"/>
              <w:rPr>
                <w:rFonts w:ascii="Calibri" w:hAnsi="Calibri"/>
                <w:sz w:val="21"/>
                <w:szCs w:val="21"/>
              </w:rPr>
            </w:pPr>
            <w:r>
              <w:rPr>
                <w:rFonts w:hint="eastAsia" w:ascii="Calibri" w:hAnsi="Calibri"/>
                <w:sz w:val="21"/>
                <w:szCs w:val="21"/>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493" w:type="dxa"/>
            <w:vAlign w:val="center"/>
          </w:tcPr>
          <w:p>
            <w:pPr>
              <w:jc w:val="center"/>
              <w:rPr>
                <w:rFonts w:ascii="Calibri" w:hAnsi="Calibri"/>
                <w:sz w:val="21"/>
                <w:szCs w:val="21"/>
              </w:rPr>
            </w:pPr>
            <w:r>
              <w:rPr>
                <w:rFonts w:cs="Times New Roman"/>
                <w:sz w:val="21"/>
                <w:szCs w:val="21"/>
              </w:rPr>
              <w:t>A</w:t>
            </w:r>
            <w:r>
              <w:rPr>
                <w:rFonts w:hint="eastAsia" w:ascii="Calibri" w:hAnsi="Calibri"/>
                <w:sz w:val="21"/>
                <w:szCs w:val="21"/>
              </w:rPr>
              <w:t>类垃圾</w:t>
            </w:r>
          </w:p>
        </w:tc>
        <w:tc>
          <w:tcPr>
            <w:tcW w:w="1587" w:type="dxa"/>
            <w:vAlign w:val="center"/>
          </w:tcPr>
          <w:p>
            <w:pPr>
              <w:jc w:val="center"/>
              <w:rPr>
                <w:rFonts w:ascii="Calibri" w:hAnsi="Calibri"/>
                <w:sz w:val="21"/>
                <w:szCs w:val="21"/>
              </w:rPr>
            </w:pPr>
            <w:r>
              <w:rPr>
                <w:rFonts w:hint="eastAsia" w:ascii="Calibri" w:hAnsi="Calibri"/>
                <w:sz w:val="21"/>
                <w:szCs w:val="21"/>
              </w:rPr>
              <w:t>有机类物质</w:t>
            </w:r>
          </w:p>
        </w:tc>
        <w:tc>
          <w:tcPr>
            <w:tcW w:w="5442" w:type="dxa"/>
            <w:vAlign w:val="center"/>
          </w:tcPr>
          <w:p>
            <w:pPr>
              <w:jc w:val="center"/>
              <w:rPr>
                <w:rFonts w:ascii="Calibri" w:hAnsi="Calibri"/>
                <w:sz w:val="21"/>
                <w:szCs w:val="21"/>
              </w:rPr>
            </w:pPr>
            <w:r>
              <w:rPr>
                <w:rFonts w:hint="eastAsia" w:ascii="Calibri" w:hAnsi="Calibri"/>
                <w:sz w:val="21"/>
                <w:szCs w:val="21"/>
              </w:rPr>
              <w:t>废塑料容器、废橡胶、旧织物、废木料等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493" w:type="dxa"/>
            <w:vAlign w:val="center"/>
          </w:tcPr>
          <w:p>
            <w:pPr>
              <w:jc w:val="center"/>
              <w:rPr>
                <w:rFonts w:ascii="Calibri" w:hAnsi="Calibri"/>
                <w:sz w:val="21"/>
                <w:szCs w:val="21"/>
              </w:rPr>
            </w:pPr>
            <w:r>
              <w:rPr>
                <w:rFonts w:cs="Times New Roman"/>
                <w:sz w:val="21"/>
                <w:szCs w:val="21"/>
              </w:rPr>
              <w:t>B</w:t>
            </w:r>
            <w:r>
              <w:rPr>
                <w:rFonts w:hint="eastAsia" w:ascii="Calibri" w:hAnsi="Calibri"/>
                <w:sz w:val="21"/>
                <w:szCs w:val="21"/>
              </w:rPr>
              <w:t>类垃圾</w:t>
            </w:r>
          </w:p>
        </w:tc>
        <w:tc>
          <w:tcPr>
            <w:tcW w:w="1587" w:type="dxa"/>
            <w:vAlign w:val="center"/>
          </w:tcPr>
          <w:p>
            <w:pPr>
              <w:jc w:val="center"/>
              <w:rPr>
                <w:rFonts w:ascii="Calibri" w:hAnsi="Calibri"/>
                <w:sz w:val="21"/>
                <w:szCs w:val="21"/>
              </w:rPr>
            </w:pPr>
            <w:r>
              <w:rPr>
                <w:rFonts w:hint="eastAsia" w:ascii="Calibri" w:hAnsi="Calibri"/>
                <w:sz w:val="21"/>
                <w:szCs w:val="21"/>
              </w:rPr>
              <w:t>无机类物质</w:t>
            </w:r>
          </w:p>
        </w:tc>
        <w:tc>
          <w:tcPr>
            <w:tcW w:w="5442" w:type="dxa"/>
            <w:vAlign w:val="center"/>
          </w:tcPr>
          <w:p>
            <w:pPr>
              <w:jc w:val="center"/>
              <w:rPr>
                <w:rFonts w:ascii="Calibri" w:hAnsi="Calibri"/>
                <w:sz w:val="21"/>
                <w:szCs w:val="21"/>
              </w:rPr>
            </w:pPr>
            <w:r>
              <w:rPr>
                <w:rFonts w:hint="eastAsia" w:ascii="Calibri" w:hAnsi="Calibri"/>
                <w:sz w:val="21"/>
                <w:szCs w:val="21"/>
              </w:rPr>
              <w:t>混凝土块、废旧无机管材、砖块、泥块、贝壳等</w:t>
            </w:r>
          </w:p>
        </w:tc>
      </w:tr>
    </w:tbl>
    <w:p>
      <w:r>
        <w:rPr>
          <w:rFonts w:hint="eastAsia"/>
          <w:b/>
          <w:bCs/>
        </w:rPr>
        <w:t>6.4.2</w:t>
      </w:r>
      <w:r>
        <w:rPr>
          <w:rFonts w:hint="eastAsia"/>
        </w:rPr>
        <w:t xml:space="preserve"> </w:t>
      </w:r>
      <w:r>
        <w:t xml:space="preserve"> </w:t>
      </w:r>
      <w:r>
        <w:rPr>
          <w:rFonts w:hint="eastAsia"/>
        </w:rPr>
        <w:t>垃圾应以安全处置为目标，在满足环保要求的前提下，宜采用多种形式进行资源化利用。</w:t>
      </w:r>
    </w:p>
    <w:p>
      <w:r>
        <w:rPr>
          <w:rFonts w:hint="eastAsia"/>
          <w:b/>
          <w:bCs/>
        </w:rPr>
        <w:t>6.4.3</w:t>
      </w:r>
      <w:r>
        <w:rPr>
          <w:rFonts w:hint="eastAsia"/>
        </w:rPr>
        <w:t xml:space="preserve"> </w:t>
      </w:r>
      <w:r>
        <w:t xml:space="preserve"> </w:t>
      </w:r>
      <w:r>
        <w:rPr>
          <w:rFonts w:hint="eastAsia"/>
        </w:rPr>
        <w:t>A类垃圾应交予具有相应资质的单位集中处置，或交予工程所在当地的环卫部门进行安全处置。</w:t>
      </w:r>
    </w:p>
    <w:p>
      <w:r>
        <w:rPr>
          <w:rFonts w:hint="eastAsia"/>
          <w:b/>
          <w:bCs/>
        </w:rPr>
        <w:t>6.4.4</w:t>
      </w:r>
      <w:r>
        <w:rPr>
          <w:rFonts w:hint="eastAsia"/>
        </w:rPr>
        <w:t xml:space="preserve"> </w:t>
      </w:r>
      <w:r>
        <w:t xml:space="preserve"> </w:t>
      </w:r>
      <w:r>
        <w:rPr>
          <w:rFonts w:hint="eastAsia"/>
        </w:rPr>
        <w:t>B类垃圾应依照工程所在当地建筑垃圾管理规定进行综合利用或处置，可经当地主管部门核准后，用作一般场地、堤防、道路、公园、绿地、商用建筑、公用建筑、市政公用建筑等基础回填原料，或破碎用作混凝土再生骨料、石粉渣回填材料等。</w:t>
      </w:r>
    </w:p>
    <w:p>
      <w:pPr>
        <w:pStyle w:val="3"/>
        <w:spacing w:before="120"/>
      </w:pPr>
      <w:bookmarkStart w:id="69" w:name="_Toc37843263"/>
      <w:bookmarkStart w:id="70" w:name="_Toc8917371"/>
      <w:r>
        <w:rPr>
          <w:rFonts w:hint="eastAsia"/>
        </w:rPr>
        <w:t xml:space="preserve">6.5 </w:t>
      </w:r>
      <w:r>
        <w:t xml:space="preserve"> </w:t>
      </w:r>
      <w:r>
        <w:rPr>
          <w:rFonts w:hint="eastAsia"/>
        </w:rPr>
        <w:t>余砂处置</w:t>
      </w:r>
      <w:bookmarkEnd w:id="69"/>
      <w:bookmarkEnd w:id="70"/>
    </w:p>
    <w:p>
      <w:r>
        <w:rPr>
          <w:rFonts w:hint="eastAsia"/>
          <w:b/>
          <w:bCs/>
        </w:rPr>
        <w:t>6.5.1</w:t>
      </w:r>
      <w:r>
        <w:rPr>
          <w:rFonts w:hint="eastAsia"/>
        </w:rPr>
        <w:t xml:space="preserve"> </w:t>
      </w:r>
      <w:r>
        <w:t xml:space="preserve"> </w:t>
      </w:r>
      <w:r>
        <w:rPr>
          <w:rFonts w:hint="eastAsia"/>
        </w:rPr>
        <w:t>余砂含泥量应&lt;10%，如含泥量≥10%应按余土处置。</w:t>
      </w:r>
    </w:p>
    <w:p>
      <w:r>
        <w:rPr>
          <w:rFonts w:hint="eastAsia"/>
          <w:b/>
          <w:bCs/>
        </w:rPr>
        <w:t xml:space="preserve">6.5.2 </w:t>
      </w:r>
      <w:r>
        <w:rPr>
          <w:b/>
          <w:bCs/>
        </w:rPr>
        <w:t xml:space="preserve"> </w:t>
      </w:r>
      <w:r>
        <w:rPr>
          <w:rFonts w:hint="eastAsia"/>
        </w:rPr>
        <w:t>余砂用于混凝土及砂浆骨料、制砖原料、建材集料和园林绿化、施工用砂、建筑回填等用途时，应</w:t>
      </w:r>
      <w:r>
        <w:t>符合</w:t>
      </w:r>
      <w:r>
        <w:rPr>
          <w:rFonts w:hint="eastAsia"/>
        </w:rPr>
        <w:t>GB/T 14684等相关技术标准的规定。</w:t>
      </w:r>
    </w:p>
    <w:p>
      <w:r>
        <w:rPr>
          <w:rFonts w:hint="eastAsia"/>
          <w:b/>
          <w:bCs/>
        </w:rPr>
        <w:t>6.5.3</w:t>
      </w:r>
      <w:r>
        <w:rPr>
          <w:rFonts w:hint="eastAsia"/>
        </w:rPr>
        <w:t xml:space="preserve"> </w:t>
      </w:r>
      <w:r>
        <w:t xml:space="preserve"> </w:t>
      </w:r>
      <w:r>
        <w:rPr>
          <w:rFonts w:hint="eastAsia"/>
        </w:rPr>
        <w:t>余砂根据相关成分含量及性能指标进行分类，具体分级指标与限值见表6.5.3。</w:t>
      </w:r>
    </w:p>
    <w:p>
      <w:pPr>
        <w:pStyle w:val="9"/>
        <w:keepNext/>
        <w:ind w:firstLine="422"/>
        <w:jc w:val="center"/>
        <w:rPr>
          <w:rFonts w:ascii="Times New Roman" w:hAnsi="Times New Roman"/>
          <w:b/>
          <w:sz w:val="24"/>
          <w:szCs w:val="24"/>
        </w:rPr>
      </w:pPr>
      <w:r>
        <w:rPr>
          <w:rFonts w:hint="eastAsia" w:ascii="Times New Roman" w:hAnsi="Times New Roman"/>
          <w:b/>
          <w:sz w:val="24"/>
          <w:szCs w:val="24"/>
        </w:rPr>
        <w:t>表</w:t>
      </w:r>
      <w:r>
        <w:rPr>
          <w:rFonts w:ascii="Times New Roman" w:hAnsi="Times New Roman"/>
          <w:b/>
          <w:sz w:val="24"/>
          <w:szCs w:val="24"/>
        </w:rPr>
        <w:t>6.</w:t>
      </w:r>
      <w:r>
        <w:rPr>
          <w:rFonts w:hint="eastAsia" w:ascii="Times New Roman" w:hAnsi="Times New Roman"/>
          <w:b/>
          <w:sz w:val="24"/>
          <w:szCs w:val="24"/>
        </w:rPr>
        <w:t xml:space="preserve">5.3 </w:t>
      </w:r>
      <w:r>
        <w:rPr>
          <w:rFonts w:ascii="Times New Roman" w:hAnsi="Times New Roman"/>
          <w:b/>
          <w:sz w:val="24"/>
          <w:szCs w:val="24"/>
        </w:rPr>
        <w:t xml:space="preserve"> </w:t>
      </w:r>
      <w:r>
        <w:rPr>
          <w:rFonts w:hint="eastAsia" w:ascii="Times New Roman" w:hAnsi="Times New Roman"/>
          <w:b/>
          <w:sz w:val="24"/>
          <w:szCs w:val="24"/>
        </w:rPr>
        <w:t>余砂分类指标与限值</w:t>
      </w:r>
    </w:p>
    <w:tbl>
      <w:tblPr>
        <w:tblStyle w:val="27"/>
        <w:tblW w:w="829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8"/>
        <w:gridCol w:w="2246"/>
        <w:gridCol w:w="1607"/>
        <w:gridCol w:w="1712"/>
        <w:gridCol w:w="17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blHeader/>
          <w:jc w:val="center"/>
        </w:trPr>
        <w:tc>
          <w:tcPr>
            <w:tcW w:w="1018" w:type="dxa"/>
            <w:vAlign w:val="center"/>
          </w:tcPr>
          <w:p>
            <w:pPr>
              <w:jc w:val="center"/>
              <w:rPr>
                <w:rFonts w:ascii="Calibri" w:hAnsi="Calibri"/>
                <w:bCs/>
                <w:sz w:val="21"/>
                <w:szCs w:val="21"/>
              </w:rPr>
            </w:pPr>
            <w:r>
              <w:rPr>
                <w:rFonts w:hint="eastAsia" w:ascii="Calibri" w:hAnsi="Calibri"/>
                <w:bCs/>
                <w:sz w:val="21"/>
                <w:szCs w:val="21"/>
              </w:rPr>
              <w:t>序号</w:t>
            </w:r>
          </w:p>
        </w:tc>
        <w:tc>
          <w:tcPr>
            <w:tcW w:w="2246" w:type="dxa"/>
            <w:vAlign w:val="center"/>
          </w:tcPr>
          <w:p>
            <w:pPr>
              <w:jc w:val="center"/>
              <w:rPr>
                <w:rFonts w:ascii="Calibri" w:hAnsi="Calibri"/>
                <w:bCs/>
                <w:sz w:val="21"/>
                <w:szCs w:val="21"/>
              </w:rPr>
            </w:pPr>
            <w:r>
              <w:rPr>
                <w:rFonts w:hint="eastAsia" w:ascii="Calibri" w:hAnsi="Calibri"/>
                <w:bCs/>
                <w:sz w:val="21"/>
                <w:szCs w:val="21"/>
              </w:rPr>
              <w:t>指标</w:t>
            </w:r>
          </w:p>
        </w:tc>
        <w:tc>
          <w:tcPr>
            <w:tcW w:w="1607" w:type="dxa"/>
            <w:vAlign w:val="center"/>
          </w:tcPr>
          <w:p>
            <w:pPr>
              <w:jc w:val="center"/>
              <w:rPr>
                <w:rFonts w:ascii="Calibri" w:hAnsi="Calibri"/>
                <w:bCs/>
                <w:sz w:val="21"/>
                <w:szCs w:val="21"/>
              </w:rPr>
            </w:pPr>
            <w:r>
              <w:rPr>
                <w:rFonts w:hint="eastAsia" w:ascii="Calibri" w:hAnsi="Calibri"/>
                <w:bCs/>
                <w:sz w:val="21"/>
                <w:szCs w:val="21"/>
              </w:rPr>
              <w:t>一级</w:t>
            </w:r>
          </w:p>
        </w:tc>
        <w:tc>
          <w:tcPr>
            <w:tcW w:w="1712" w:type="dxa"/>
            <w:vAlign w:val="center"/>
          </w:tcPr>
          <w:p>
            <w:pPr>
              <w:jc w:val="center"/>
              <w:rPr>
                <w:rFonts w:ascii="Calibri" w:hAnsi="Calibri"/>
                <w:bCs/>
                <w:sz w:val="21"/>
                <w:szCs w:val="21"/>
              </w:rPr>
            </w:pPr>
            <w:r>
              <w:rPr>
                <w:rFonts w:hint="eastAsia" w:ascii="Calibri" w:hAnsi="Calibri"/>
                <w:bCs/>
                <w:sz w:val="21"/>
                <w:szCs w:val="21"/>
              </w:rPr>
              <w:t>二级</w:t>
            </w:r>
          </w:p>
        </w:tc>
        <w:tc>
          <w:tcPr>
            <w:tcW w:w="1710" w:type="dxa"/>
            <w:vAlign w:val="center"/>
          </w:tcPr>
          <w:p>
            <w:pPr>
              <w:jc w:val="center"/>
              <w:rPr>
                <w:rFonts w:ascii="Calibri" w:hAnsi="Calibri"/>
                <w:bCs/>
                <w:sz w:val="21"/>
                <w:szCs w:val="21"/>
              </w:rPr>
            </w:pPr>
            <w:r>
              <w:rPr>
                <w:rFonts w:hint="eastAsia" w:ascii="Calibri" w:hAnsi="Calibri"/>
                <w:bCs/>
                <w:sz w:val="21"/>
                <w:szCs w:val="21"/>
              </w:rPr>
              <w:t>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018" w:type="dxa"/>
            <w:vAlign w:val="center"/>
          </w:tcPr>
          <w:p>
            <w:pPr>
              <w:jc w:val="center"/>
              <w:rPr>
                <w:rFonts w:cs="Times New Roman"/>
                <w:bCs/>
                <w:sz w:val="21"/>
                <w:szCs w:val="21"/>
              </w:rPr>
            </w:pPr>
            <w:r>
              <w:rPr>
                <w:rFonts w:cs="Times New Roman"/>
                <w:bCs/>
                <w:sz w:val="21"/>
                <w:szCs w:val="21"/>
              </w:rPr>
              <w:t>1</w:t>
            </w:r>
          </w:p>
        </w:tc>
        <w:tc>
          <w:tcPr>
            <w:tcW w:w="2246" w:type="dxa"/>
            <w:vAlign w:val="center"/>
          </w:tcPr>
          <w:p>
            <w:pPr>
              <w:jc w:val="center"/>
              <w:rPr>
                <w:rFonts w:ascii="Calibri" w:hAnsi="Calibri"/>
                <w:bCs/>
                <w:sz w:val="21"/>
                <w:szCs w:val="21"/>
              </w:rPr>
            </w:pPr>
            <w:r>
              <w:rPr>
                <w:rFonts w:hint="eastAsia" w:ascii="Calibri" w:hAnsi="Calibri"/>
                <w:bCs/>
                <w:sz w:val="21"/>
                <w:szCs w:val="21"/>
              </w:rPr>
              <w:t>细度模数</w:t>
            </w:r>
          </w:p>
        </w:tc>
        <w:tc>
          <w:tcPr>
            <w:tcW w:w="1607" w:type="dxa"/>
            <w:vAlign w:val="center"/>
          </w:tcPr>
          <w:p>
            <w:pPr>
              <w:jc w:val="center"/>
              <w:rPr>
                <w:rFonts w:asciiTheme="majorBidi" w:hAnsiTheme="majorBidi" w:cstheme="majorBidi"/>
                <w:bCs/>
                <w:sz w:val="21"/>
                <w:szCs w:val="21"/>
              </w:rPr>
            </w:pPr>
            <w:r>
              <w:rPr>
                <w:rFonts w:asciiTheme="majorBidi" w:hAnsiTheme="majorBidi" w:cstheme="majorBidi"/>
                <w:bCs/>
                <w:sz w:val="21"/>
                <w:szCs w:val="21"/>
              </w:rPr>
              <w:t>3.7-1.6</w:t>
            </w:r>
          </w:p>
        </w:tc>
        <w:tc>
          <w:tcPr>
            <w:tcW w:w="1712" w:type="dxa"/>
            <w:vAlign w:val="center"/>
          </w:tcPr>
          <w:p>
            <w:pPr>
              <w:jc w:val="center"/>
              <w:rPr>
                <w:rFonts w:asciiTheme="majorBidi" w:hAnsiTheme="majorBidi" w:cstheme="majorBidi"/>
                <w:bCs/>
                <w:sz w:val="21"/>
                <w:szCs w:val="21"/>
              </w:rPr>
            </w:pPr>
            <w:r>
              <w:rPr>
                <w:rFonts w:asciiTheme="majorBidi" w:hAnsiTheme="majorBidi" w:cstheme="majorBidi"/>
                <w:bCs/>
                <w:sz w:val="21"/>
                <w:szCs w:val="21"/>
              </w:rPr>
              <w:t>3.7-1.6</w:t>
            </w:r>
          </w:p>
        </w:tc>
        <w:tc>
          <w:tcPr>
            <w:tcW w:w="1710" w:type="dxa"/>
            <w:vAlign w:val="center"/>
          </w:tcPr>
          <w:p>
            <w:pPr>
              <w:jc w:val="center"/>
              <w:rPr>
                <w:rFonts w:asciiTheme="majorBidi" w:hAnsiTheme="majorBidi" w:cstheme="majorBidi"/>
                <w:bCs/>
                <w:sz w:val="21"/>
                <w:szCs w:val="21"/>
              </w:rPr>
            </w:pPr>
            <w:r>
              <w:rPr>
                <w:rFonts w:asciiTheme="majorBidi" w:hAnsiTheme="majorBidi" w:cstheme="majorBidi"/>
                <w:bCs/>
                <w:sz w:val="21"/>
                <w:szCs w:val="21"/>
              </w:rPr>
              <w:t>3.7-1.6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018" w:type="dxa"/>
            <w:vAlign w:val="center"/>
          </w:tcPr>
          <w:p>
            <w:pPr>
              <w:jc w:val="center"/>
              <w:rPr>
                <w:rFonts w:cs="Times New Roman"/>
                <w:bCs/>
                <w:sz w:val="21"/>
                <w:szCs w:val="21"/>
              </w:rPr>
            </w:pPr>
            <w:r>
              <w:rPr>
                <w:rFonts w:cs="Times New Roman"/>
                <w:bCs/>
                <w:sz w:val="21"/>
                <w:szCs w:val="21"/>
              </w:rPr>
              <w:t>2</w:t>
            </w:r>
          </w:p>
        </w:tc>
        <w:tc>
          <w:tcPr>
            <w:tcW w:w="2246" w:type="dxa"/>
            <w:vAlign w:val="center"/>
          </w:tcPr>
          <w:p>
            <w:pPr>
              <w:jc w:val="center"/>
              <w:rPr>
                <w:rFonts w:ascii="Calibri" w:hAnsi="Calibri"/>
                <w:bCs/>
                <w:sz w:val="21"/>
                <w:szCs w:val="21"/>
              </w:rPr>
            </w:pPr>
            <w:r>
              <w:rPr>
                <w:rFonts w:hint="eastAsia" w:ascii="Calibri" w:hAnsi="Calibri"/>
                <w:bCs/>
                <w:sz w:val="21"/>
                <w:szCs w:val="21"/>
              </w:rPr>
              <w:t>含泥量（</w:t>
            </w:r>
            <w:r>
              <w:rPr>
                <w:rFonts w:asciiTheme="majorBidi" w:hAnsiTheme="majorBidi" w:cstheme="majorBidi"/>
                <w:bCs/>
                <w:sz w:val="21"/>
                <w:szCs w:val="21"/>
              </w:rPr>
              <w:t>%</w:t>
            </w:r>
            <w:r>
              <w:rPr>
                <w:rFonts w:hint="eastAsia" w:ascii="Calibri" w:hAnsi="Calibri"/>
                <w:bCs/>
                <w:sz w:val="21"/>
                <w:szCs w:val="21"/>
              </w:rPr>
              <w:t>）</w:t>
            </w:r>
          </w:p>
        </w:tc>
        <w:tc>
          <w:tcPr>
            <w:tcW w:w="1607" w:type="dxa"/>
            <w:vAlign w:val="center"/>
          </w:tcPr>
          <w:p>
            <w:pPr>
              <w:jc w:val="center"/>
              <w:rPr>
                <w:rFonts w:asciiTheme="majorBidi" w:hAnsiTheme="majorBidi" w:cstheme="majorBidi"/>
                <w:bCs/>
                <w:sz w:val="21"/>
                <w:szCs w:val="21"/>
              </w:rPr>
            </w:pPr>
            <w:r>
              <w:rPr>
                <w:rFonts w:asciiTheme="majorBidi" w:hAnsiTheme="majorBidi" w:cstheme="majorBidi"/>
                <w:bCs/>
                <w:sz w:val="21"/>
                <w:szCs w:val="21"/>
              </w:rPr>
              <w:t>≤1.0</w:t>
            </w:r>
          </w:p>
        </w:tc>
        <w:tc>
          <w:tcPr>
            <w:tcW w:w="1712" w:type="dxa"/>
            <w:vAlign w:val="center"/>
          </w:tcPr>
          <w:p>
            <w:pPr>
              <w:jc w:val="center"/>
              <w:rPr>
                <w:rFonts w:asciiTheme="majorBidi" w:hAnsiTheme="majorBidi" w:cstheme="majorBidi"/>
                <w:bCs/>
                <w:sz w:val="21"/>
                <w:szCs w:val="21"/>
              </w:rPr>
            </w:pPr>
            <w:r>
              <w:rPr>
                <w:rFonts w:asciiTheme="majorBidi" w:hAnsiTheme="majorBidi" w:cstheme="majorBidi"/>
                <w:bCs/>
                <w:sz w:val="21"/>
                <w:szCs w:val="21"/>
              </w:rPr>
              <w:t>≤</w:t>
            </w:r>
            <w:r>
              <w:rPr>
                <w:rFonts w:hint="eastAsia" w:asciiTheme="majorBidi" w:hAnsiTheme="majorBidi" w:cstheme="majorBidi"/>
                <w:bCs/>
                <w:sz w:val="21"/>
                <w:szCs w:val="21"/>
              </w:rPr>
              <w:t>3</w:t>
            </w:r>
            <w:r>
              <w:rPr>
                <w:rFonts w:asciiTheme="majorBidi" w:hAnsiTheme="majorBidi" w:cstheme="majorBidi"/>
                <w:bCs/>
                <w:sz w:val="21"/>
                <w:szCs w:val="21"/>
              </w:rPr>
              <w:t>.0</w:t>
            </w:r>
          </w:p>
        </w:tc>
        <w:tc>
          <w:tcPr>
            <w:tcW w:w="1710" w:type="dxa"/>
            <w:vAlign w:val="center"/>
          </w:tcPr>
          <w:p>
            <w:pPr>
              <w:jc w:val="center"/>
              <w:rPr>
                <w:rFonts w:asciiTheme="majorBidi" w:hAnsiTheme="majorBidi" w:cstheme="majorBidi"/>
                <w:bCs/>
                <w:sz w:val="21"/>
                <w:szCs w:val="21"/>
              </w:rPr>
            </w:pPr>
            <w:r>
              <w:rPr>
                <w:rFonts w:hint="eastAsia" w:asciiTheme="majorBidi" w:hAnsiTheme="majorBidi" w:cstheme="majorBidi"/>
                <w:bCs/>
                <w:sz w:val="21"/>
                <w:szCs w:val="21"/>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018" w:type="dxa"/>
            <w:vAlign w:val="center"/>
          </w:tcPr>
          <w:p>
            <w:pPr>
              <w:jc w:val="center"/>
              <w:rPr>
                <w:rFonts w:cs="Times New Roman"/>
                <w:bCs/>
                <w:sz w:val="21"/>
                <w:szCs w:val="21"/>
              </w:rPr>
            </w:pPr>
            <w:r>
              <w:rPr>
                <w:rFonts w:cs="Times New Roman"/>
                <w:bCs/>
                <w:sz w:val="21"/>
                <w:szCs w:val="21"/>
              </w:rPr>
              <w:t>3</w:t>
            </w:r>
          </w:p>
        </w:tc>
        <w:tc>
          <w:tcPr>
            <w:tcW w:w="2246" w:type="dxa"/>
            <w:vAlign w:val="center"/>
          </w:tcPr>
          <w:p>
            <w:pPr>
              <w:jc w:val="center"/>
              <w:rPr>
                <w:rFonts w:ascii="Calibri" w:hAnsi="Calibri"/>
                <w:bCs/>
                <w:sz w:val="21"/>
                <w:szCs w:val="21"/>
              </w:rPr>
            </w:pPr>
            <w:r>
              <w:rPr>
                <w:rFonts w:hint="eastAsia" w:ascii="Calibri" w:hAnsi="Calibri"/>
                <w:bCs/>
                <w:sz w:val="21"/>
                <w:szCs w:val="21"/>
              </w:rPr>
              <w:t>泥块含量（</w:t>
            </w:r>
            <w:r>
              <w:rPr>
                <w:rFonts w:cs="Times New Roman"/>
                <w:bCs/>
                <w:sz w:val="21"/>
                <w:szCs w:val="21"/>
              </w:rPr>
              <w:t>%</w:t>
            </w:r>
            <w:r>
              <w:rPr>
                <w:rFonts w:hint="eastAsia" w:ascii="Calibri" w:hAnsi="Calibri"/>
                <w:bCs/>
                <w:sz w:val="21"/>
                <w:szCs w:val="21"/>
              </w:rPr>
              <w:t>）</w:t>
            </w:r>
          </w:p>
        </w:tc>
        <w:tc>
          <w:tcPr>
            <w:tcW w:w="1607" w:type="dxa"/>
            <w:vAlign w:val="center"/>
          </w:tcPr>
          <w:p>
            <w:pPr>
              <w:jc w:val="center"/>
              <w:rPr>
                <w:rFonts w:asciiTheme="majorBidi" w:hAnsiTheme="majorBidi" w:cstheme="majorBidi"/>
                <w:bCs/>
                <w:sz w:val="21"/>
                <w:szCs w:val="21"/>
              </w:rPr>
            </w:pPr>
            <w:r>
              <w:rPr>
                <w:rFonts w:hint="eastAsia" w:asciiTheme="majorBidi" w:hAnsiTheme="majorBidi" w:cstheme="majorBidi"/>
                <w:bCs/>
                <w:sz w:val="21"/>
                <w:szCs w:val="21"/>
              </w:rPr>
              <w:t>0</w:t>
            </w:r>
          </w:p>
        </w:tc>
        <w:tc>
          <w:tcPr>
            <w:tcW w:w="1712" w:type="dxa"/>
            <w:vAlign w:val="center"/>
          </w:tcPr>
          <w:p>
            <w:pPr>
              <w:jc w:val="center"/>
              <w:rPr>
                <w:rFonts w:asciiTheme="majorBidi" w:hAnsiTheme="majorBidi" w:cstheme="majorBidi"/>
                <w:bCs/>
                <w:sz w:val="21"/>
                <w:szCs w:val="21"/>
              </w:rPr>
            </w:pPr>
            <w:r>
              <w:rPr>
                <w:rFonts w:asciiTheme="majorBidi" w:hAnsiTheme="majorBidi" w:cstheme="majorBidi"/>
                <w:bCs/>
                <w:sz w:val="21"/>
                <w:szCs w:val="21"/>
              </w:rPr>
              <w:t>≤</w:t>
            </w:r>
            <w:r>
              <w:rPr>
                <w:rFonts w:hint="eastAsia" w:asciiTheme="majorBidi" w:hAnsiTheme="majorBidi" w:cstheme="majorBidi"/>
                <w:bCs/>
                <w:sz w:val="21"/>
                <w:szCs w:val="21"/>
              </w:rPr>
              <w:t>1</w:t>
            </w:r>
            <w:r>
              <w:rPr>
                <w:rFonts w:asciiTheme="majorBidi" w:hAnsiTheme="majorBidi" w:cstheme="majorBidi"/>
                <w:bCs/>
                <w:sz w:val="21"/>
                <w:szCs w:val="21"/>
              </w:rPr>
              <w:t>.0</w:t>
            </w:r>
          </w:p>
        </w:tc>
        <w:tc>
          <w:tcPr>
            <w:tcW w:w="1710" w:type="dxa"/>
            <w:vAlign w:val="center"/>
          </w:tcPr>
          <w:p>
            <w:pPr>
              <w:jc w:val="center"/>
              <w:rPr>
                <w:rFonts w:asciiTheme="majorBidi" w:hAnsiTheme="majorBidi" w:cstheme="majorBidi"/>
                <w:bCs/>
                <w:sz w:val="21"/>
                <w:szCs w:val="21"/>
              </w:rPr>
            </w:pPr>
            <w:r>
              <w:rPr>
                <w:rFonts w:hint="eastAsia" w:asciiTheme="majorBidi" w:hAnsiTheme="majorBidi" w:cstheme="majorBidi"/>
                <w:bCs/>
                <w:sz w:val="21"/>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018" w:type="dxa"/>
            <w:tcBorders>
              <w:bottom w:val="single" w:color="auto" w:sz="4" w:space="0"/>
            </w:tcBorders>
            <w:vAlign w:val="center"/>
          </w:tcPr>
          <w:p>
            <w:pPr>
              <w:jc w:val="center"/>
              <w:rPr>
                <w:rFonts w:cs="Times New Roman"/>
                <w:bCs/>
                <w:sz w:val="21"/>
                <w:szCs w:val="21"/>
              </w:rPr>
            </w:pPr>
            <w:r>
              <w:rPr>
                <w:rFonts w:hint="eastAsia" w:cs="Times New Roman"/>
                <w:bCs/>
                <w:sz w:val="21"/>
                <w:szCs w:val="21"/>
              </w:rPr>
              <w:t>4</w:t>
            </w:r>
          </w:p>
        </w:tc>
        <w:tc>
          <w:tcPr>
            <w:tcW w:w="2246" w:type="dxa"/>
            <w:tcBorders>
              <w:bottom w:val="single" w:color="auto" w:sz="4" w:space="0"/>
            </w:tcBorders>
            <w:vAlign w:val="center"/>
          </w:tcPr>
          <w:p>
            <w:pPr>
              <w:jc w:val="center"/>
              <w:rPr>
                <w:rFonts w:ascii="Calibri" w:hAnsi="Calibri"/>
                <w:bCs/>
                <w:sz w:val="21"/>
                <w:szCs w:val="21"/>
              </w:rPr>
            </w:pPr>
            <w:r>
              <w:rPr>
                <w:rFonts w:hint="eastAsia" w:ascii="Calibri" w:hAnsi="Calibri"/>
                <w:bCs/>
                <w:sz w:val="21"/>
                <w:szCs w:val="21"/>
              </w:rPr>
              <w:t>压碎指标（</w:t>
            </w:r>
            <w:r>
              <w:rPr>
                <w:rFonts w:asciiTheme="majorBidi" w:hAnsiTheme="majorBidi" w:cstheme="majorBidi"/>
                <w:bCs/>
                <w:sz w:val="21"/>
                <w:szCs w:val="21"/>
              </w:rPr>
              <w:t>%</w:t>
            </w:r>
            <w:r>
              <w:rPr>
                <w:rFonts w:hint="eastAsia" w:ascii="Calibri" w:hAnsi="Calibri"/>
                <w:bCs/>
                <w:sz w:val="21"/>
                <w:szCs w:val="21"/>
              </w:rPr>
              <w:t>）</w:t>
            </w:r>
          </w:p>
        </w:tc>
        <w:tc>
          <w:tcPr>
            <w:tcW w:w="1607" w:type="dxa"/>
            <w:tcBorders>
              <w:bottom w:val="single" w:color="auto" w:sz="4" w:space="0"/>
            </w:tcBorders>
            <w:vAlign w:val="center"/>
          </w:tcPr>
          <w:p>
            <w:pPr>
              <w:jc w:val="center"/>
              <w:rPr>
                <w:rFonts w:cs="Times New Roman"/>
                <w:bCs/>
                <w:sz w:val="21"/>
                <w:szCs w:val="21"/>
              </w:rPr>
            </w:pPr>
            <w:r>
              <w:rPr>
                <w:rFonts w:cs="Times New Roman"/>
                <w:bCs/>
                <w:sz w:val="21"/>
                <w:szCs w:val="21"/>
              </w:rPr>
              <w:t>≤</w:t>
            </w:r>
            <w:r>
              <w:rPr>
                <w:rFonts w:hint="eastAsia" w:cs="Times New Roman"/>
                <w:bCs/>
                <w:sz w:val="21"/>
                <w:szCs w:val="21"/>
              </w:rPr>
              <w:t>2</w:t>
            </w:r>
            <w:r>
              <w:rPr>
                <w:rFonts w:cs="Times New Roman"/>
                <w:bCs/>
                <w:sz w:val="21"/>
                <w:szCs w:val="21"/>
              </w:rPr>
              <w:t>0</w:t>
            </w:r>
          </w:p>
        </w:tc>
        <w:tc>
          <w:tcPr>
            <w:tcW w:w="1712" w:type="dxa"/>
            <w:tcBorders>
              <w:bottom w:val="single" w:color="auto" w:sz="4" w:space="0"/>
            </w:tcBorders>
            <w:vAlign w:val="center"/>
          </w:tcPr>
          <w:p>
            <w:pPr>
              <w:jc w:val="center"/>
              <w:rPr>
                <w:rFonts w:ascii="Calibri" w:hAnsi="Calibri"/>
                <w:bCs/>
                <w:sz w:val="21"/>
                <w:szCs w:val="21"/>
              </w:rPr>
            </w:pPr>
            <w:r>
              <w:rPr>
                <w:rFonts w:hint="eastAsia" w:ascii="Calibri" w:hAnsi="Calibri"/>
                <w:bCs/>
                <w:sz w:val="21"/>
                <w:szCs w:val="21"/>
              </w:rPr>
              <w:t>≤25</w:t>
            </w:r>
          </w:p>
        </w:tc>
        <w:tc>
          <w:tcPr>
            <w:tcW w:w="1710" w:type="dxa"/>
            <w:tcBorders>
              <w:bottom w:val="single" w:color="auto" w:sz="4" w:space="0"/>
            </w:tcBorders>
            <w:vAlign w:val="center"/>
          </w:tcPr>
          <w:p>
            <w:pPr>
              <w:jc w:val="center"/>
              <w:rPr>
                <w:rFonts w:ascii="Calibri" w:hAnsi="Calibri"/>
                <w:bCs/>
                <w:sz w:val="21"/>
                <w:szCs w:val="21"/>
              </w:rPr>
            </w:pPr>
            <w:r>
              <w:rPr>
                <w:rFonts w:hint="eastAsia" w:ascii="Calibri" w:hAnsi="Calibri"/>
                <w:bCs/>
                <w:sz w:val="21"/>
                <w:szCs w:val="21"/>
              </w:rPr>
              <w:t>≤30</w:t>
            </w:r>
          </w:p>
        </w:tc>
      </w:tr>
    </w:tbl>
    <w:p>
      <w:r>
        <w:rPr>
          <w:rFonts w:cs="Times New Roman"/>
          <w:b/>
          <w:bCs/>
        </w:rPr>
        <w:t xml:space="preserve">6.5.4 </w:t>
      </w:r>
      <w:r>
        <w:rPr>
          <w:rFonts w:hint="eastAsia"/>
        </w:rPr>
        <w:t xml:space="preserve"> 余砂应按表6.5.3中的分级指标进行处置。</w:t>
      </w:r>
    </w:p>
    <w:p>
      <w:r>
        <w:rPr>
          <w:rFonts w:hint="eastAsia"/>
          <w:b/>
          <w:bCs/>
        </w:rPr>
        <w:t xml:space="preserve">6.5.5 </w:t>
      </w:r>
      <w:r>
        <w:rPr>
          <w:b/>
          <w:bCs/>
        </w:rPr>
        <w:t xml:space="preserve"> </w:t>
      </w:r>
      <w:r>
        <w:rPr>
          <w:rFonts w:hint="eastAsia"/>
        </w:rPr>
        <w:t>一级余砂可用于结构混凝土骨料，二级余砂可用于建筑砂浆骨料。</w:t>
      </w:r>
    </w:p>
    <w:p>
      <w:r>
        <w:rPr>
          <w:rFonts w:hint="eastAsia"/>
          <w:b/>
          <w:bCs/>
        </w:rPr>
        <w:t xml:space="preserve">6.5.6 </w:t>
      </w:r>
      <w:r>
        <w:rPr>
          <w:b/>
          <w:bCs/>
        </w:rPr>
        <w:t xml:space="preserve"> </w:t>
      </w:r>
      <w:r>
        <w:rPr>
          <w:rFonts w:hint="eastAsia"/>
        </w:rPr>
        <w:t>其他余砂经检测符合GB 36600相关规定后，可用于场馆用地、绿化用地、商业用地、公共市政用地基础用土，一般公路、等级公路路基用土，市政管道工程沟槽回填用土，堤防排水反滤、陆域形成用土，海绵城市设施用土等。</w:t>
      </w:r>
    </w:p>
    <w:p>
      <w:pPr>
        <w:pStyle w:val="3"/>
        <w:spacing w:before="120"/>
      </w:pPr>
      <w:bookmarkStart w:id="71" w:name="_Toc37843264"/>
      <w:r>
        <w:rPr>
          <w:rFonts w:hint="eastAsia"/>
        </w:rPr>
        <w:t xml:space="preserve">6.6 </w:t>
      </w:r>
      <w:r>
        <w:t xml:space="preserve"> </w:t>
      </w:r>
      <w:r>
        <w:rPr>
          <w:rFonts w:hint="eastAsia"/>
        </w:rPr>
        <w:t>余土</w:t>
      </w:r>
      <w:r>
        <w:t>处置</w:t>
      </w:r>
      <w:bookmarkEnd w:id="71"/>
    </w:p>
    <w:p>
      <w:r>
        <w:rPr>
          <w:rFonts w:hint="eastAsia"/>
          <w:b/>
          <w:bCs/>
        </w:rPr>
        <w:t>6.6.1</w:t>
      </w:r>
      <w:r>
        <w:rPr>
          <w:b/>
          <w:bCs/>
        </w:rPr>
        <w:t xml:space="preserve"> </w:t>
      </w:r>
      <w:r>
        <w:rPr>
          <w:rFonts w:hint="eastAsia"/>
        </w:rPr>
        <w:t xml:space="preserve"> 余土处置应采用园林绿化、制砖、工程用土、回填土和填埋等处置方式，并应满足下列要求：</w:t>
      </w:r>
    </w:p>
    <w:p>
      <w:pPr>
        <w:ind w:firstLine="482" w:firstLineChars="200"/>
      </w:pPr>
      <w:r>
        <w:rPr>
          <w:b/>
          <w:bCs/>
        </w:rPr>
        <w:t>1</w:t>
      </w:r>
      <w:r>
        <w:rPr>
          <w:rFonts w:hint="eastAsia"/>
        </w:rPr>
        <w:t xml:space="preserve"> </w:t>
      </w:r>
      <w:r>
        <w:t xml:space="preserve"> </w:t>
      </w:r>
      <w:r>
        <w:rPr>
          <w:rFonts w:hint="eastAsia"/>
        </w:rPr>
        <w:t>余土用于园林绿化、制砖、施工用土、回填土等资源化用途时，应满足相应技术标准要求。</w:t>
      </w:r>
    </w:p>
    <w:p>
      <w:pPr>
        <w:ind w:firstLine="482" w:firstLineChars="200"/>
      </w:pPr>
      <w:r>
        <w:rPr>
          <w:b/>
          <w:bCs/>
        </w:rPr>
        <w:t>2</w:t>
      </w:r>
      <w:r>
        <w:rPr>
          <w:rFonts w:hint="eastAsia"/>
        </w:rPr>
        <w:t xml:space="preserve"> </w:t>
      </w:r>
      <w:r>
        <w:t xml:space="preserve"> </w:t>
      </w:r>
      <w:r>
        <w:rPr>
          <w:rFonts w:hint="eastAsia"/>
        </w:rPr>
        <w:t>处理后的余土达不到资源化利用要求的，应进行单独填埋或卫生填埋。余土进行单独填埋处置时，应符合GB 18599的有关规定；余土进行卫生填埋处置时，应符合GB 16889等的有关规定。</w:t>
      </w:r>
    </w:p>
    <w:p>
      <w:pPr>
        <w:ind w:firstLine="482" w:firstLineChars="200"/>
      </w:pPr>
      <w:r>
        <w:rPr>
          <w:b/>
          <w:bCs/>
        </w:rPr>
        <w:t>3</w:t>
      </w:r>
      <w:r>
        <w:rPr>
          <w:rFonts w:hint="eastAsia"/>
        </w:rPr>
        <w:t xml:space="preserve"> </w:t>
      </w:r>
      <w:r>
        <w:t xml:space="preserve"> </w:t>
      </w:r>
      <w:r>
        <w:rPr>
          <w:rFonts w:hint="eastAsia"/>
        </w:rPr>
        <w:t>达到危废类标准的余土，应交给具有相应许可资质的单位处置。</w:t>
      </w:r>
    </w:p>
    <w:p>
      <w:r>
        <w:rPr>
          <w:rFonts w:hint="eastAsia"/>
          <w:b/>
          <w:bCs/>
        </w:rPr>
        <w:t>6.6.</w:t>
      </w:r>
      <w:r>
        <w:rPr>
          <w:b/>
          <w:bCs/>
        </w:rPr>
        <w:t>2</w:t>
      </w:r>
      <w:r>
        <w:rPr>
          <w:rFonts w:hint="eastAsia"/>
        </w:rPr>
        <w:t xml:space="preserve"> </w:t>
      </w:r>
      <w:r>
        <w:t xml:space="preserve"> </w:t>
      </w:r>
      <w:r>
        <w:rPr>
          <w:rFonts w:hint="eastAsia"/>
        </w:rPr>
        <w:t>余土分类应同时符合物理控制指标和污染物控制指标的相关规定。</w:t>
      </w:r>
    </w:p>
    <w:p>
      <w:r>
        <w:rPr>
          <w:rFonts w:hint="eastAsia"/>
          <w:b/>
          <w:bCs/>
        </w:rPr>
        <w:t>6.6.</w:t>
      </w:r>
      <w:r>
        <w:rPr>
          <w:b/>
          <w:bCs/>
        </w:rPr>
        <w:t xml:space="preserve">3 </w:t>
      </w:r>
      <w:r>
        <w:rPr>
          <w:rFonts w:hint="eastAsia"/>
        </w:rPr>
        <w:t xml:space="preserve"> 余土的物理控制指标应按GB/T 50145的规定执行，且应符合表6.6.3的规定。</w:t>
      </w:r>
    </w:p>
    <w:p>
      <w:pPr>
        <w:pStyle w:val="9"/>
        <w:keepNext/>
        <w:ind w:firstLine="0"/>
        <w:jc w:val="center"/>
        <w:rPr>
          <w:rFonts w:asciiTheme="majorBidi" w:hAnsiTheme="majorBidi" w:eastAsiaTheme="minorEastAsia"/>
          <w:sz w:val="24"/>
          <w:szCs w:val="24"/>
        </w:rPr>
      </w:pPr>
      <w:r>
        <w:rPr>
          <w:rFonts w:asciiTheme="majorBidi" w:hAnsiTheme="majorBidi" w:eastAsiaTheme="minorEastAsia"/>
          <w:b/>
          <w:sz w:val="24"/>
          <w:szCs w:val="24"/>
        </w:rPr>
        <w:t>表6.6.</w:t>
      </w:r>
      <w:r>
        <w:rPr>
          <w:rFonts w:hint="eastAsia" w:asciiTheme="majorBidi" w:hAnsiTheme="majorBidi" w:eastAsiaTheme="minorEastAsia"/>
          <w:b/>
          <w:sz w:val="24"/>
          <w:szCs w:val="24"/>
        </w:rPr>
        <w:t>3</w:t>
      </w:r>
      <w:r>
        <w:rPr>
          <w:rFonts w:asciiTheme="majorBidi" w:hAnsiTheme="majorBidi" w:eastAsiaTheme="minorEastAsia"/>
          <w:b/>
          <w:sz w:val="24"/>
          <w:szCs w:val="24"/>
        </w:rPr>
        <w:t xml:space="preserve">  余土污染物控制指标与限值</w:t>
      </w:r>
    </w:p>
    <w:tbl>
      <w:tblPr>
        <w:tblStyle w:val="27"/>
        <w:tblW w:w="82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4"/>
        <w:gridCol w:w="1774"/>
        <w:gridCol w:w="2529"/>
        <w:gridCol w:w="1440"/>
        <w:gridCol w:w="1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674" w:type="dxa"/>
            <w:vAlign w:val="center"/>
          </w:tcPr>
          <w:p>
            <w:pPr>
              <w:jc w:val="center"/>
              <w:rPr>
                <w:rFonts w:cs="Times New Roman" w:eastAsiaTheme="minorEastAsia"/>
                <w:sz w:val="21"/>
                <w:szCs w:val="21"/>
              </w:rPr>
            </w:pPr>
            <w:r>
              <w:rPr>
                <w:rFonts w:cs="Times New Roman" w:eastAsiaTheme="minorEastAsia"/>
                <w:sz w:val="21"/>
                <w:szCs w:val="21"/>
              </w:rPr>
              <w:t>序号</w:t>
            </w:r>
          </w:p>
        </w:tc>
        <w:tc>
          <w:tcPr>
            <w:tcW w:w="1774" w:type="dxa"/>
            <w:vAlign w:val="center"/>
          </w:tcPr>
          <w:p>
            <w:pPr>
              <w:jc w:val="center"/>
              <w:rPr>
                <w:rFonts w:cs="Times New Roman" w:eastAsiaTheme="minorEastAsia"/>
                <w:sz w:val="21"/>
                <w:szCs w:val="21"/>
              </w:rPr>
            </w:pPr>
            <w:r>
              <w:rPr>
                <w:rFonts w:cs="Times New Roman" w:eastAsiaTheme="minorEastAsia"/>
                <w:sz w:val="21"/>
                <w:szCs w:val="21"/>
              </w:rPr>
              <w:t>基本检测项目</w:t>
            </w:r>
          </w:p>
        </w:tc>
        <w:tc>
          <w:tcPr>
            <w:tcW w:w="2529" w:type="dxa"/>
            <w:vAlign w:val="center"/>
          </w:tcPr>
          <w:p>
            <w:pPr>
              <w:jc w:val="center"/>
              <w:rPr>
                <w:rFonts w:cs="Times New Roman" w:eastAsiaTheme="minorEastAsia"/>
                <w:sz w:val="21"/>
                <w:szCs w:val="21"/>
              </w:rPr>
            </w:pPr>
            <w:r>
              <w:rPr>
                <w:rFonts w:cs="Times New Roman" w:eastAsiaTheme="minorEastAsia"/>
                <w:sz w:val="21"/>
                <w:szCs w:val="21"/>
              </w:rPr>
              <w:t>限值</w:t>
            </w:r>
          </w:p>
        </w:tc>
        <w:tc>
          <w:tcPr>
            <w:tcW w:w="1440" w:type="dxa"/>
            <w:vAlign w:val="center"/>
          </w:tcPr>
          <w:p>
            <w:pPr>
              <w:jc w:val="center"/>
              <w:rPr>
                <w:rFonts w:cs="Times New Roman" w:eastAsiaTheme="minorEastAsia"/>
                <w:sz w:val="21"/>
                <w:szCs w:val="21"/>
              </w:rPr>
            </w:pPr>
            <w:r>
              <w:rPr>
                <w:rFonts w:hint="eastAsia" w:cs="Times New Roman" w:eastAsiaTheme="minorEastAsia"/>
                <w:sz w:val="21"/>
                <w:szCs w:val="21"/>
              </w:rPr>
              <w:t>参考标准</w:t>
            </w:r>
          </w:p>
        </w:tc>
        <w:tc>
          <w:tcPr>
            <w:tcW w:w="1876" w:type="dxa"/>
            <w:vAlign w:val="center"/>
          </w:tcPr>
          <w:p>
            <w:pPr>
              <w:jc w:val="center"/>
              <w:rPr>
                <w:rFonts w:cs="Times New Roman" w:eastAsiaTheme="minorEastAsia"/>
                <w:sz w:val="21"/>
                <w:szCs w:val="21"/>
              </w:rPr>
            </w:pPr>
            <w:r>
              <w:rPr>
                <w:rFonts w:hint="eastAsia" w:cs="Times New Roman" w:eastAsiaTheme="minorEastAsia"/>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674" w:type="dxa"/>
            <w:vAlign w:val="center"/>
          </w:tcPr>
          <w:p>
            <w:pPr>
              <w:jc w:val="center"/>
              <w:rPr>
                <w:rFonts w:cs="Times New Roman" w:eastAsiaTheme="minorEastAsia"/>
                <w:sz w:val="21"/>
                <w:szCs w:val="21"/>
              </w:rPr>
            </w:pPr>
            <w:r>
              <w:rPr>
                <w:rFonts w:cs="Times New Roman" w:eastAsiaTheme="minorEastAsia"/>
                <w:sz w:val="21"/>
                <w:szCs w:val="21"/>
              </w:rPr>
              <w:t>1</w:t>
            </w:r>
          </w:p>
        </w:tc>
        <w:tc>
          <w:tcPr>
            <w:tcW w:w="1774" w:type="dxa"/>
            <w:vAlign w:val="center"/>
          </w:tcPr>
          <w:p>
            <w:pPr>
              <w:jc w:val="center"/>
              <w:rPr>
                <w:rFonts w:cs="Times New Roman" w:eastAsiaTheme="minorEastAsia"/>
                <w:sz w:val="21"/>
                <w:szCs w:val="21"/>
              </w:rPr>
            </w:pPr>
            <w:r>
              <w:rPr>
                <w:rFonts w:cs="Times New Roman" w:eastAsiaTheme="minorEastAsia"/>
                <w:sz w:val="21"/>
                <w:szCs w:val="21"/>
              </w:rPr>
              <w:t>含水率（%）</w:t>
            </w:r>
          </w:p>
        </w:tc>
        <w:tc>
          <w:tcPr>
            <w:tcW w:w="2529" w:type="dxa"/>
            <w:vAlign w:val="center"/>
          </w:tcPr>
          <w:p>
            <w:pPr>
              <w:jc w:val="center"/>
              <w:rPr>
                <w:rFonts w:cs="Times New Roman" w:eastAsiaTheme="minorEastAsia"/>
                <w:sz w:val="21"/>
                <w:szCs w:val="21"/>
              </w:rPr>
            </w:pPr>
            <w:r>
              <w:rPr>
                <w:rFonts w:cs="Times New Roman" w:eastAsiaTheme="minorEastAsia"/>
                <w:sz w:val="21"/>
                <w:szCs w:val="21"/>
              </w:rPr>
              <w:t>≤40</w:t>
            </w:r>
          </w:p>
        </w:tc>
        <w:tc>
          <w:tcPr>
            <w:tcW w:w="1440" w:type="dxa"/>
            <w:vAlign w:val="center"/>
          </w:tcPr>
          <w:p>
            <w:pPr>
              <w:jc w:val="center"/>
              <w:rPr>
                <w:rFonts w:cs="Times New Roman" w:eastAsiaTheme="minorEastAsia"/>
                <w:sz w:val="21"/>
                <w:szCs w:val="21"/>
              </w:rPr>
            </w:pPr>
            <w:r>
              <w:rPr>
                <w:rFonts w:hint="eastAsia" w:cs="Times New Roman" w:eastAsiaTheme="minorEastAsia"/>
                <w:sz w:val="21"/>
                <w:szCs w:val="21"/>
              </w:rPr>
              <w:t>GB/T 23486</w:t>
            </w:r>
          </w:p>
          <w:p>
            <w:pPr>
              <w:jc w:val="center"/>
              <w:rPr>
                <w:rFonts w:cs="Times New Roman" w:eastAsiaTheme="minorEastAsia"/>
                <w:sz w:val="21"/>
                <w:szCs w:val="21"/>
              </w:rPr>
            </w:pPr>
            <w:r>
              <w:rPr>
                <w:rFonts w:hint="eastAsia" w:cs="Times New Roman" w:eastAsiaTheme="minorEastAsia"/>
                <w:sz w:val="21"/>
                <w:szCs w:val="21"/>
              </w:rPr>
              <w:t>GB/T 25031</w:t>
            </w:r>
          </w:p>
        </w:tc>
        <w:tc>
          <w:tcPr>
            <w:tcW w:w="1876" w:type="dxa"/>
            <w:vAlign w:val="center"/>
          </w:tcPr>
          <w:p>
            <w:pPr>
              <w:jc w:val="center"/>
              <w:rPr>
                <w:rFonts w:cs="Times New Roman" w:eastAsiaTheme="minorEastAsia"/>
                <w:sz w:val="21"/>
                <w:szCs w:val="21"/>
              </w:rPr>
            </w:pPr>
            <w:r>
              <w:rPr>
                <w:rFonts w:hint="eastAsia" w:cs="Times New Roman" w:eastAsiaTheme="minorEastAsia"/>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674" w:type="dxa"/>
            <w:vMerge w:val="restart"/>
            <w:vAlign w:val="center"/>
          </w:tcPr>
          <w:p>
            <w:pPr>
              <w:jc w:val="center"/>
              <w:rPr>
                <w:rFonts w:cs="Times New Roman" w:eastAsiaTheme="minorEastAsia"/>
                <w:sz w:val="21"/>
                <w:szCs w:val="21"/>
              </w:rPr>
            </w:pPr>
            <w:r>
              <w:rPr>
                <w:rFonts w:hint="eastAsia" w:cs="Times New Roman" w:eastAsiaTheme="minorEastAsia"/>
                <w:sz w:val="21"/>
                <w:szCs w:val="21"/>
              </w:rPr>
              <w:t>2</w:t>
            </w:r>
          </w:p>
        </w:tc>
        <w:tc>
          <w:tcPr>
            <w:tcW w:w="1774" w:type="dxa"/>
            <w:vMerge w:val="restart"/>
            <w:vAlign w:val="center"/>
          </w:tcPr>
          <w:p>
            <w:pPr>
              <w:jc w:val="center"/>
              <w:rPr>
                <w:rFonts w:cs="Times New Roman" w:eastAsiaTheme="minorEastAsia"/>
                <w:sz w:val="21"/>
                <w:szCs w:val="21"/>
              </w:rPr>
            </w:pPr>
            <w:r>
              <w:rPr>
                <w:rFonts w:cs="Times New Roman" w:eastAsiaTheme="minorEastAsia"/>
                <w:sz w:val="21"/>
                <w:szCs w:val="21"/>
              </w:rPr>
              <w:t>pH值</w:t>
            </w:r>
          </w:p>
        </w:tc>
        <w:tc>
          <w:tcPr>
            <w:tcW w:w="2529" w:type="dxa"/>
            <w:vAlign w:val="center"/>
          </w:tcPr>
          <w:p>
            <w:pPr>
              <w:jc w:val="center"/>
              <w:rPr>
                <w:rFonts w:cs="Times New Roman" w:eastAsiaTheme="minorEastAsia"/>
                <w:sz w:val="21"/>
                <w:szCs w:val="21"/>
              </w:rPr>
            </w:pPr>
            <w:r>
              <w:rPr>
                <w:rFonts w:hint="eastAsia" w:cs="Times New Roman" w:eastAsiaTheme="minorEastAsia"/>
                <w:sz w:val="21"/>
                <w:szCs w:val="21"/>
              </w:rPr>
              <w:t>5.5~7.8（中性和碱性土壤）</w:t>
            </w:r>
          </w:p>
          <w:p>
            <w:pPr>
              <w:jc w:val="center"/>
              <w:rPr>
                <w:rFonts w:cs="Times New Roman" w:eastAsiaTheme="minorEastAsia"/>
                <w:sz w:val="21"/>
                <w:szCs w:val="21"/>
              </w:rPr>
            </w:pPr>
            <w:r>
              <w:rPr>
                <w:rFonts w:hint="eastAsia" w:cs="Times New Roman" w:eastAsiaTheme="minorEastAsia"/>
                <w:sz w:val="21"/>
                <w:szCs w:val="21"/>
              </w:rPr>
              <w:t>6.5~8.5（酸性土壤）</w:t>
            </w:r>
          </w:p>
        </w:tc>
        <w:tc>
          <w:tcPr>
            <w:tcW w:w="1440" w:type="dxa"/>
            <w:vAlign w:val="center"/>
          </w:tcPr>
          <w:p>
            <w:pPr>
              <w:jc w:val="center"/>
              <w:rPr>
                <w:rFonts w:cs="Times New Roman" w:eastAsiaTheme="minorEastAsia"/>
                <w:sz w:val="21"/>
                <w:szCs w:val="21"/>
              </w:rPr>
            </w:pPr>
            <w:r>
              <w:rPr>
                <w:rFonts w:hint="eastAsia" w:cs="Times New Roman" w:eastAsiaTheme="minorEastAsia"/>
                <w:sz w:val="21"/>
                <w:szCs w:val="21"/>
              </w:rPr>
              <w:t>GB/T 23486</w:t>
            </w:r>
          </w:p>
        </w:tc>
        <w:tc>
          <w:tcPr>
            <w:tcW w:w="1876" w:type="dxa"/>
            <w:vAlign w:val="center"/>
          </w:tcPr>
          <w:p>
            <w:pPr>
              <w:jc w:val="center"/>
              <w:rPr>
                <w:rFonts w:cs="Times New Roman" w:eastAsiaTheme="minorEastAsia"/>
                <w:sz w:val="21"/>
                <w:szCs w:val="21"/>
              </w:rPr>
            </w:pPr>
            <w:r>
              <w:rPr>
                <w:rFonts w:hint="eastAsia" w:cs="Times New Roman" w:eastAsiaTheme="minorEastAsia"/>
                <w:sz w:val="21"/>
                <w:szCs w:val="21"/>
              </w:rPr>
              <w:t>作为园林绿化用途时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674" w:type="dxa"/>
            <w:vMerge w:val="continue"/>
            <w:vAlign w:val="center"/>
          </w:tcPr>
          <w:p>
            <w:pPr>
              <w:jc w:val="center"/>
              <w:rPr>
                <w:rFonts w:cs="Times New Roman" w:eastAsiaTheme="minorEastAsia"/>
                <w:sz w:val="21"/>
                <w:szCs w:val="21"/>
              </w:rPr>
            </w:pPr>
          </w:p>
        </w:tc>
        <w:tc>
          <w:tcPr>
            <w:tcW w:w="1774" w:type="dxa"/>
            <w:vMerge w:val="continue"/>
            <w:vAlign w:val="center"/>
          </w:tcPr>
          <w:p>
            <w:pPr>
              <w:jc w:val="center"/>
              <w:rPr>
                <w:rFonts w:cs="Times New Roman" w:eastAsiaTheme="minorEastAsia"/>
                <w:sz w:val="21"/>
                <w:szCs w:val="21"/>
              </w:rPr>
            </w:pPr>
          </w:p>
        </w:tc>
        <w:tc>
          <w:tcPr>
            <w:tcW w:w="2529" w:type="dxa"/>
            <w:vAlign w:val="center"/>
          </w:tcPr>
          <w:p>
            <w:pPr>
              <w:jc w:val="center"/>
              <w:rPr>
                <w:rFonts w:cs="Times New Roman" w:eastAsiaTheme="minorEastAsia"/>
                <w:sz w:val="21"/>
                <w:szCs w:val="21"/>
              </w:rPr>
            </w:pPr>
            <w:r>
              <w:rPr>
                <w:rFonts w:hint="eastAsia" w:cs="Times New Roman" w:eastAsiaTheme="minorEastAsia"/>
                <w:sz w:val="21"/>
                <w:szCs w:val="21"/>
              </w:rPr>
              <w:t>5~10</w:t>
            </w:r>
          </w:p>
        </w:tc>
        <w:tc>
          <w:tcPr>
            <w:tcW w:w="1440" w:type="dxa"/>
            <w:vAlign w:val="center"/>
          </w:tcPr>
          <w:p>
            <w:pPr>
              <w:jc w:val="center"/>
              <w:rPr>
                <w:rFonts w:cs="Times New Roman" w:eastAsiaTheme="minorEastAsia"/>
                <w:sz w:val="21"/>
                <w:szCs w:val="21"/>
              </w:rPr>
            </w:pPr>
            <w:r>
              <w:rPr>
                <w:rFonts w:hint="eastAsia" w:cs="Times New Roman" w:eastAsiaTheme="minorEastAsia"/>
                <w:sz w:val="21"/>
                <w:szCs w:val="21"/>
              </w:rPr>
              <w:t>GB/T 25031</w:t>
            </w:r>
          </w:p>
        </w:tc>
        <w:tc>
          <w:tcPr>
            <w:tcW w:w="1876" w:type="dxa"/>
            <w:vAlign w:val="center"/>
          </w:tcPr>
          <w:p>
            <w:pPr>
              <w:jc w:val="center"/>
              <w:rPr>
                <w:rFonts w:cs="Times New Roman" w:eastAsiaTheme="minorEastAsia"/>
                <w:sz w:val="21"/>
                <w:szCs w:val="21"/>
              </w:rPr>
            </w:pPr>
            <w:r>
              <w:rPr>
                <w:rFonts w:hint="eastAsia" w:cs="Times New Roman" w:eastAsiaTheme="minorEastAsia"/>
                <w:sz w:val="21"/>
                <w:szCs w:val="21"/>
              </w:rPr>
              <w:t>作为建材原料、工程用土等用途时</w:t>
            </w:r>
          </w:p>
        </w:tc>
      </w:tr>
    </w:tbl>
    <w:p>
      <w:pPr>
        <w:rPr>
          <w:b/>
          <w:bCs/>
        </w:rPr>
      </w:pPr>
      <w:r>
        <w:rPr>
          <w:rFonts w:cs="Times New Roman" w:eastAsiaTheme="minorEastAsia"/>
          <w:sz w:val="21"/>
          <w:szCs w:val="21"/>
        </w:rPr>
        <w:t>注</w:t>
      </w:r>
      <w:r>
        <w:rPr>
          <w:rFonts w:hint="eastAsia" w:cs="Times New Roman" w:eastAsiaTheme="minorEastAsia"/>
          <w:sz w:val="21"/>
          <w:szCs w:val="21"/>
        </w:rPr>
        <w:t>：</w:t>
      </w:r>
      <w:r>
        <w:rPr>
          <w:rFonts w:cs="Times New Roman" w:eastAsiaTheme="minorEastAsia"/>
          <w:sz w:val="21"/>
          <w:szCs w:val="21"/>
        </w:rPr>
        <w:t>相关检测项目宜结合余土</w:t>
      </w:r>
      <w:r>
        <w:rPr>
          <w:rFonts w:hint="eastAsia" w:cs="Times New Roman" w:eastAsiaTheme="minorEastAsia"/>
          <w:sz w:val="21"/>
          <w:szCs w:val="21"/>
        </w:rPr>
        <w:t>处置方式及资源化利用途径</w:t>
      </w:r>
      <w:r>
        <w:rPr>
          <w:rFonts w:cs="Times New Roman" w:eastAsiaTheme="minorEastAsia"/>
          <w:sz w:val="21"/>
          <w:szCs w:val="21"/>
        </w:rPr>
        <w:t>进行</w:t>
      </w:r>
      <w:r>
        <w:rPr>
          <w:rFonts w:hint="eastAsia" w:cs="Times New Roman" w:eastAsiaTheme="minorEastAsia"/>
          <w:sz w:val="21"/>
          <w:szCs w:val="21"/>
        </w:rPr>
        <w:t>增补</w:t>
      </w:r>
      <w:r>
        <w:rPr>
          <w:rFonts w:cs="Times New Roman" w:eastAsiaTheme="minorEastAsia"/>
          <w:sz w:val="21"/>
          <w:szCs w:val="21"/>
        </w:rPr>
        <w:t>检测。</w:t>
      </w:r>
    </w:p>
    <w:p>
      <w:pPr>
        <w:spacing w:before="156" w:beforeLines="50"/>
      </w:pPr>
      <w:r>
        <w:rPr>
          <w:rFonts w:hint="eastAsia"/>
          <w:b/>
          <w:bCs/>
        </w:rPr>
        <w:t>6.6.4</w:t>
      </w:r>
      <w:r>
        <w:rPr>
          <w:b/>
          <w:bCs/>
        </w:rPr>
        <w:t xml:space="preserve"> </w:t>
      </w:r>
      <w:r>
        <w:rPr>
          <w:rFonts w:hint="eastAsia"/>
        </w:rPr>
        <w:t xml:space="preserve"> 余土的污染物控制指标应按GB 36600及GB/T 14848的规定执行，具体分级指标与限值见表6.6.</w:t>
      </w:r>
      <w:r>
        <w:t>4</w:t>
      </w:r>
      <w:r>
        <w:rPr>
          <w:rFonts w:hint="eastAsia"/>
        </w:rPr>
        <w:t>。</w:t>
      </w:r>
    </w:p>
    <w:p>
      <w:pPr>
        <w:pStyle w:val="9"/>
        <w:keepNext/>
        <w:ind w:firstLine="422"/>
        <w:jc w:val="center"/>
        <w:rPr>
          <w:rFonts w:ascii="Times New Roman" w:hAnsi="Times New Roman" w:cs="Times New Roman" w:eastAsiaTheme="minorEastAsia"/>
          <w:b/>
          <w:sz w:val="24"/>
          <w:szCs w:val="24"/>
        </w:rPr>
      </w:pPr>
      <w:r>
        <w:rPr>
          <w:rFonts w:ascii="Times New Roman" w:hAnsi="Times New Roman" w:cs="Times New Roman" w:eastAsiaTheme="minorEastAsia"/>
          <w:b/>
          <w:sz w:val="24"/>
          <w:szCs w:val="24"/>
        </w:rPr>
        <w:t>表6.6.4  余土污染物控制指标与限值</w:t>
      </w:r>
    </w:p>
    <w:tbl>
      <w:tblPr>
        <w:tblStyle w:val="27"/>
        <w:tblW w:w="82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58"/>
        <w:gridCol w:w="1236"/>
        <w:gridCol w:w="793"/>
        <w:gridCol w:w="799"/>
        <w:gridCol w:w="793"/>
        <w:gridCol w:w="799"/>
        <w:gridCol w:w="798"/>
        <w:gridCol w:w="798"/>
        <w:gridCol w:w="798"/>
        <w:gridCol w:w="8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00" w:hRule="atLeast"/>
        </w:trPr>
        <w:tc>
          <w:tcPr>
            <w:tcW w:w="658" w:type="dxa"/>
            <w:vMerge w:val="restart"/>
            <w:shd w:val="clear" w:color="auto" w:fill="auto"/>
            <w:tcMar>
              <w:top w:w="15" w:type="dxa"/>
              <w:left w:w="15" w:type="dxa"/>
              <w:right w:w="15" w:type="dxa"/>
            </w:tcMar>
            <w:vAlign w:val="center"/>
          </w:tcPr>
          <w:p>
            <w:pPr>
              <w:widowControl/>
              <w:jc w:val="center"/>
              <w:textAlignment w:val="center"/>
              <w:rPr>
                <w:rFonts w:cs="Times New Roman"/>
                <w:color w:val="000000"/>
                <w:sz w:val="21"/>
                <w:szCs w:val="21"/>
              </w:rPr>
            </w:pPr>
            <w:r>
              <w:rPr>
                <w:rFonts w:hint="eastAsia" w:cs="Times New Roman"/>
                <w:color w:val="000000"/>
                <w:kern w:val="0"/>
                <w:sz w:val="21"/>
                <w:szCs w:val="21"/>
                <w:lang w:bidi="ar"/>
              </w:rPr>
              <w:t>序号</w:t>
            </w:r>
          </w:p>
        </w:tc>
        <w:tc>
          <w:tcPr>
            <w:tcW w:w="1236" w:type="dxa"/>
            <w:vMerge w:val="restart"/>
            <w:shd w:val="clear" w:color="auto" w:fill="auto"/>
            <w:tcMar>
              <w:top w:w="15" w:type="dxa"/>
              <w:left w:w="15" w:type="dxa"/>
              <w:right w:w="15" w:type="dxa"/>
            </w:tcMar>
            <w:vAlign w:val="center"/>
          </w:tcPr>
          <w:p>
            <w:pPr>
              <w:widowControl/>
              <w:jc w:val="center"/>
              <w:textAlignment w:val="center"/>
              <w:rPr>
                <w:rFonts w:cs="Times New Roman"/>
                <w:color w:val="000000"/>
                <w:sz w:val="21"/>
                <w:szCs w:val="21"/>
              </w:rPr>
            </w:pPr>
            <w:r>
              <w:rPr>
                <w:rFonts w:hint="eastAsia" w:cs="Times New Roman"/>
                <w:color w:val="000000"/>
                <w:kern w:val="0"/>
                <w:sz w:val="21"/>
                <w:szCs w:val="21"/>
                <w:lang w:bidi="ar"/>
              </w:rPr>
              <w:t>必检控制</w:t>
            </w:r>
          </w:p>
        </w:tc>
        <w:tc>
          <w:tcPr>
            <w:tcW w:w="1592" w:type="dxa"/>
            <w:gridSpan w:val="2"/>
            <w:shd w:val="clear" w:color="auto" w:fill="auto"/>
            <w:tcMar>
              <w:top w:w="15" w:type="dxa"/>
              <w:left w:w="15" w:type="dxa"/>
              <w:right w:w="15" w:type="dxa"/>
            </w:tcMar>
            <w:vAlign w:val="center"/>
          </w:tcPr>
          <w:p>
            <w:pPr>
              <w:widowControl/>
              <w:jc w:val="center"/>
              <w:textAlignment w:val="center"/>
              <w:rPr>
                <w:rFonts w:cs="Times New Roman"/>
                <w:color w:val="000000"/>
                <w:sz w:val="21"/>
                <w:szCs w:val="21"/>
              </w:rPr>
            </w:pPr>
            <w:r>
              <w:rPr>
                <w:rFonts w:cs="Times New Roman"/>
                <w:color w:val="000000"/>
                <w:kern w:val="0"/>
                <w:sz w:val="21"/>
                <w:szCs w:val="21"/>
                <w:lang w:bidi="ar"/>
              </w:rPr>
              <w:t>Ⅰ</w:t>
            </w:r>
          </w:p>
        </w:tc>
        <w:tc>
          <w:tcPr>
            <w:tcW w:w="1592" w:type="dxa"/>
            <w:gridSpan w:val="2"/>
            <w:shd w:val="clear" w:color="auto" w:fill="auto"/>
            <w:tcMar>
              <w:top w:w="15" w:type="dxa"/>
              <w:left w:w="15" w:type="dxa"/>
              <w:right w:w="15" w:type="dxa"/>
            </w:tcMar>
            <w:vAlign w:val="center"/>
          </w:tcPr>
          <w:p>
            <w:pPr>
              <w:widowControl/>
              <w:jc w:val="center"/>
              <w:textAlignment w:val="center"/>
              <w:rPr>
                <w:rFonts w:cs="Times New Roman"/>
                <w:color w:val="000000"/>
                <w:sz w:val="21"/>
                <w:szCs w:val="21"/>
              </w:rPr>
            </w:pPr>
            <w:r>
              <w:rPr>
                <w:rFonts w:cs="Times New Roman"/>
                <w:color w:val="000000"/>
                <w:kern w:val="0"/>
                <w:sz w:val="21"/>
                <w:szCs w:val="21"/>
                <w:lang w:bidi="ar"/>
              </w:rPr>
              <w:t>Ⅱ</w:t>
            </w:r>
          </w:p>
        </w:tc>
        <w:tc>
          <w:tcPr>
            <w:tcW w:w="1596" w:type="dxa"/>
            <w:gridSpan w:val="2"/>
            <w:shd w:val="clear" w:color="auto" w:fill="auto"/>
            <w:tcMar>
              <w:top w:w="15" w:type="dxa"/>
              <w:left w:w="15" w:type="dxa"/>
              <w:right w:w="15" w:type="dxa"/>
            </w:tcMar>
            <w:vAlign w:val="center"/>
          </w:tcPr>
          <w:p>
            <w:pPr>
              <w:widowControl/>
              <w:jc w:val="center"/>
              <w:textAlignment w:val="center"/>
              <w:rPr>
                <w:rFonts w:cs="Times New Roman"/>
                <w:color w:val="000000"/>
                <w:sz w:val="21"/>
                <w:szCs w:val="21"/>
              </w:rPr>
            </w:pPr>
            <w:r>
              <w:rPr>
                <w:rFonts w:cs="Times New Roman"/>
                <w:color w:val="000000"/>
                <w:kern w:val="0"/>
                <w:sz w:val="21"/>
                <w:szCs w:val="21"/>
                <w:lang w:bidi="ar"/>
              </w:rPr>
              <w:t>III</w:t>
            </w:r>
          </w:p>
        </w:tc>
        <w:tc>
          <w:tcPr>
            <w:tcW w:w="1619" w:type="dxa"/>
            <w:gridSpan w:val="2"/>
            <w:shd w:val="clear" w:color="auto" w:fill="auto"/>
            <w:tcMar>
              <w:top w:w="15" w:type="dxa"/>
              <w:left w:w="15" w:type="dxa"/>
              <w:right w:w="15" w:type="dxa"/>
            </w:tcMar>
            <w:vAlign w:val="center"/>
          </w:tcPr>
          <w:p>
            <w:pPr>
              <w:widowControl/>
              <w:jc w:val="center"/>
              <w:textAlignment w:val="center"/>
              <w:rPr>
                <w:rFonts w:cs="Times New Roman"/>
                <w:color w:val="000000"/>
                <w:sz w:val="21"/>
                <w:szCs w:val="21"/>
              </w:rPr>
            </w:pPr>
            <w:r>
              <w:rPr>
                <w:rFonts w:cs="Times New Roman"/>
                <w:color w:val="000000"/>
                <w:kern w:val="0"/>
                <w:sz w:val="21"/>
                <w:szCs w:val="21"/>
                <w:lang w:bidi="ar"/>
              </w:rPr>
              <w:t>IⅤ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00" w:hRule="atLeast"/>
        </w:trPr>
        <w:tc>
          <w:tcPr>
            <w:tcW w:w="658" w:type="dxa"/>
            <w:vMerge w:val="continue"/>
            <w:shd w:val="clear" w:color="auto" w:fill="auto"/>
            <w:tcMar>
              <w:top w:w="15" w:type="dxa"/>
              <w:left w:w="15" w:type="dxa"/>
              <w:right w:w="15" w:type="dxa"/>
            </w:tcMar>
            <w:vAlign w:val="center"/>
          </w:tcPr>
          <w:p>
            <w:pPr>
              <w:jc w:val="center"/>
              <w:rPr>
                <w:rFonts w:cs="Times New Roman"/>
                <w:color w:val="000000"/>
                <w:sz w:val="21"/>
                <w:szCs w:val="21"/>
              </w:rPr>
            </w:pPr>
          </w:p>
        </w:tc>
        <w:tc>
          <w:tcPr>
            <w:tcW w:w="1236" w:type="dxa"/>
            <w:vMerge w:val="continue"/>
            <w:shd w:val="clear" w:color="auto" w:fill="auto"/>
            <w:tcMar>
              <w:top w:w="15" w:type="dxa"/>
              <w:left w:w="15" w:type="dxa"/>
              <w:right w:w="15" w:type="dxa"/>
            </w:tcMar>
            <w:vAlign w:val="center"/>
          </w:tcPr>
          <w:p>
            <w:pPr>
              <w:jc w:val="center"/>
              <w:rPr>
                <w:rFonts w:cs="Times New Roman"/>
                <w:color w:val="000000"/>
                <w:sz w:val="21"/>
                <w:szCs w:val="21"/>
              </w:rPr>
            </w:pPr>
          </w:p>
        </w:tc>
        <w:tc>
          <w:tcPr>
            <w:tcW w:w="793" w:type="dxa"/>
            <w:shd w:val="clear" w:color="auto" w:fill="auto"/>
            <w:tcMar>
              <w:top w:w="15" w:type="dxa"/>
              <w:left w:w="15" w:type="dxa"/>
              <w:right w:w="15" w:type="dxa"/>
            </w:tcMar>
            <w:vAlign w:val="center"/>
          </w:tcPr>
          <w:p>
            <w:pPr>
              <w:widowControl/>
              <w:jc w:val="center"/>
              <w:textAlignment w:val="center"/>
              <w:rPr>
                <w:rFonts w:cs="Times New Roman"/>
                <w:color w:val="000000"/>
                <w:sz w:val="21"/>
                <w:szCs w:val="21"/>
              </w:rPr>
            </w:pPr>
            <w:r>
              <w:rPr>
                <w:rFonts w:hint="eastAsia" w:cs="Times New Roman"/>
                <w:color w:val="000000"/>
                <w:kern w:val="0"/>
                <w:sz w:val="21"/>
                <w:szCs w:val="21"/>
                <w:lang w:bidi="ar"/>
              </w:rPr>
              <w:t>总量</w:t>
            </w:r>
          </w:p>
        </w:tc>
        <w:tc>
          <w:tcPr>
            <w:tcW w:w="799" w:type="dxa"/>
            <w:shd w:val="clear" w:color="auto" w:fill="auto"/>
            <w:tcMar>
              <w:top w:w="15" w:type="dxa"/>
              <w:left w:w="15" w:type="dxa"/>
              <w:right w:w="15" w:type="dxa"/>
            </w:tcMar>
            <w:vAlign w:val="center"/>
          </w:tcPr>
          <w:p>
            <w:pPr>
              <w:widowControl/>
              <w:jc w:val="center"/>
              <w:textAlignment w:val="center"/>
              <w:rPr>
                <w:rFonts w:cs="Times New Roman"/>
                <w:color w:val="000000"/>
                <w:sz w:val="21"/>
                <w:szCs w:val="21"/>
              </w:rPr>
            </w:pPr>
            <w:r>
              <w:rPr>
                <w:rFonts w:hint="eastAsia" w:cs="Times New Roman"/>
                <w:color w:val="000000"/>
                <w:kern w:val="0"/>
                <w:sz w:val="21"/>
                <w:szCs w:val="21"/>
                <w:lang w:bidi="ar"/>
              </w:rPr>
              <w:t>浸出液</w:t>
            </w:r>
          </w:p>
        </w:tc>
        <w:tc>
          <w:tcPr>
            <w:tcW w:w="793" w:type="dxa"/>
            <w:shd w:val="clear" w:color="auto" w:fill="auto"/>
            <w:tcMar>
              <w:top w:w="15" w:type="dxa"/>
              <w:left w:w="15" w:type="dxa"/>
              <w:right w:w="15" w:type="dxa"/>
            </w:tcMar>
            <w:vAlign w:val="center"/>
          </w:tcPr>
          <w:p>
            <w:pPr>
              <w:widowControl/>
              <w:jc w:val="center"/>
              <w:textAlignment w:val="center"/>
              <w:rPr>
                <w:rFonts w:cs="Times New Roman"/>
                <w:color w:val="000000"/>
                <w:sz w:val="21"/>
                <w:szCs w:val="21"/>
              </w:rPr>
            </w:pPr>
            <w:r>
              <w:rPr>
                <w:rFonts w:hint="eastAsia" w:cs="Times New Roman"/>
                <w:color w:val="000000"/>
                <w:kern w:val="0"/>
                <w:sz w:val="21"/>
                <w:szCs w:val="21"/>
                <w:lang w:bidi="ar"/>
              </w:rPr>
              <w:t>总量</w:t>
            </w:r>
          </w:p>
        </w:tc>
        <w:tc>
          <w:tcPr>
            <w:tcW w:w="799" w:type="dxa"/>
            <w:shd w:val="clear" w:color="auto" w:fill="auto"/>
            <w:tcMar>
              <w:top w:w="15" w:type="dxa"/>
              <w:left w:w="15" w:type="dxa"/>
              <w:right w:w="15" w:type="dxa"/>
            </w:tcMar>
            <w:vAlign w:val="center"/>
          </w:tcPr>
          <w:p>
            <w:pPr>
              <w:widowControl/>
              <w:jc w:val="center"/>
              <w:textAlignment w:val="center"/>
              <w:rPr>
                <w:rFonts w:cs="Times New Roman"/>
                <w:color w:val="000000"/>
                <w:sz w:val="21"/>
                <w:szCs w:val="21"/>
              </w:rPr>
            </w:pPr>
            <w:r>
              <w:rPr>
                <w:rFonts w:hint="eastAsia" w:cs="Times New Roman"/>
                <w:color w:val="000000"/>
                <w:kern w:val="0"/>
                <w:sz w:val="21"/>
                <w:szCs w:val="21"/>
                <w:lang w:bidi="ar"/>
              </w:rPr>
              <w:t>浸出液</w:t>
            </w:r>
          </w:p>
        </w:tc>
        <w:tc>
          <w:tcPr>
            <w:tcW w:w="798" w:type="dxa"/>
            <w:shd w:val="clear" w:color="auto" w:fill="auto"/>
            <w:tcMar>
              <w:top w:w="15" w:type="dxa"/>
              <w:left w:w="15" w:type="dxa"/>
              <w:right w:w="15" w:type="dxa"/>
            </w:tcMar>
            <w:vAlign w:val="center"/>
          </w:tcPr>
          <w:p>
            <w:pPr>
              <w:widowControl/>
              <w:jc w:val="center"/>
              <w:textAlignment w:val="center"/>
              <w:rPr>
                <w:rFonts w:cs="Times New Roman"/>
                <w:color w:val="000000"/>
                <w:sz w:val="21"/>
                <w:szCs w:val="21"/>
              </w:rPr>
            </w:pPr>
            <w:r>
              <w:rPr>
                <w:rFonts w:hint="eastAsia" w:cs="Times New Roman"/>
                <w:color w:val="000000"/>
                <w:kern w:val="0"/>
                <w:sz w:val="21"/>
                <w:szCs w:val="21"/>
                <w:lang w:bidi="ar"/>
              </w:rPr>
              <w:t>总量</w:t>
            </w:r>
          </w:p>
        </w:tc>
        <w:tc>
          <w:tcPr>
            <w:tcW w:w="798" w:type="dxa"/>
            <w:shd w:val="clear" w:color="auto" w:fill="auto"/>
            <w:tcMar>
              <w:top w:w="15" w:type="dxa"/>
              <w:left w:w="15" w:type="dxa"/>
              <w:right w:w="15" w:type="dxa"/>
            </w:tcMar>
            <w:vAlign w:val="center"/>
          </w:tcPr>
          <w:p>
            <w:pPr>
              <w:widowControl/>
              <w:jc w:val="center"/>
              <w:textAlignment w:val="center"/>
              <w:rPr>
                <w:rFonts w:cs="Times New Roman"/>
                <w:color w:val="000000"/>
                <w:sz w:val="21"/>
                <w:szCs w:val="21"/>
              </w:rPr>
            </w:pPr>
            <w:r>
              <w:rPr>
                <w:rFonts w:hint="eastAsia" w:cs="Times New Roman"/>
                <w:color w:val="000000"/>
                <w:kern w:val="0"/>
                <w:sz w:val="21"/>
                <w:szCs w:val="21"/>
                <w:lang w:bidi="ar"/>
              </w:rPr>
              <w:t>浸出液</w:t>
            </w:r>
          </w:p>
        </w:tc>
        <w:tc>
          <w:tcPr>
            <w:tcW w:w="798" w:type="dxa"/>
            <w:shd w:val="clear" w:color="auto" w:fill="auto"/>
            <w:tcMar>
              <w:top w:w="15" w:type="dxa"/>
              <w:left w:w="15" w:type="dxa"/>
              <w:right w:w="15" w:type="dxa"/>
            </w:tcMar>
            <w:vAlign w:val="center"/>
          </w:tcPr>
          <w:p>
            <w:pPr>
              <w:widowControl/>
              <w:jc w:val="center"/>
              <w:textAlignment w:val="center"/>
              <w:rPr>
                <w:rFonts w:cs="Times New Roman"/>
                <w:color w:val="000000"/>
                <w:sz w:val="21"/>
                <w:szCs w:val="21"/>
              </w:rPr>
            </w:pPr>
            <w:r>
              <w:rPr>
                <w:rFonts w:hint="eastAsia" w:cs="Times New Roman"/>
                <w:color w:val="000000"/>
                <w:kern w:val="0"/>
                <w:sz w:val="21"/>
                <w:szCs w:val="21"/>
                <w:lang w:bidi="ar"/>
              </w:rPr>
              <w:t>总量</w:t>
            </w:r>
          </w:p>
        </w:tc>
        <w:tc>
          <w:tcPr>
            <w:tcW w:w="821" w:type="dxa"/>
            <w:shd w:val="clear" w:color="auto" w:fill="auto"/>
            <w:tcMar>
              <w:top w:w="15" w:type="dxa"/>
              <w:left w:w="15" w:type="dxa"/>
              <w:right w:w="15" w:type="dxa"/>
            </w:tcMar>
            <w:vAlign w:val="center"/>
          </w:tcPr>
          <w:p>
            <w:pPr>
              <w:widowControl/>
              <w:jc w:val="center"/>
              <w:textAlignment w:val="center"/>
              <w:rPr>
                <w:rFonts w:cs="Times New Roman"/>
                <w:color w:val="000000"/>
                <w:sz w:val="21"/>
                <w:szCs w:val="21"/>
              </w:rPr>
            </w:pPr>
            <w:r>
              <w:rPr>
                <w:rFonts w:hint="eastAsia" w:cs="Times New Roman"/>
                <w:color w:val="000000"/>
                <w:kern w:val="0"/>
                <w:sz w:val="21"/>
                <w:szCs w:val="21"/>
                <w:lang w:bidi="ar"/>
              </w:rPr>
              <w:t>浸出液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00" w:hRule="atLeast"/>
        </w:trPr>
        <w:tc>
          <w:tcPr>
            <w:tcW w:w="658" w:type="dxa"/>
            <w:vMerge w:val="continue"/>
            <w:shd w:val="clear" w:color="auto" w:fill="auto"/>
            <w:tcMar>
              <w:top w:w="15" w:type="dxa"/>
              <w:left w:w="15" w:type="dxa"/>
              <w:right w:w="15" w:type="dxa"/>
            </w:tcMar>
            <w:vAlign w:val="center"/>
          </w:tcPr>
          <w:p>
            <w:pPr>
              <w:jc w:val="center"/>
              <w:rPr>
                <w:rFonts w:cs="Times New Roman"/>
                <w:color w:val="000000"/>
                <w:sz w:val="21"/>
                <w:szCs w:val="21"/>
              </w:rPr>
            </w:pPr>
          </w:p>
        </w:tc>
        <w:tc>
          <w:tcPr>
            <w:tcW w:w="1236" w:type="dxa"/>
            <w:vMerge w:val="continue"/>
            <w:shd w:val="clear" w:color="auto" w:fill="auto"/>
            <w:tcMar>
              <w:top w:w="15" w:type="dxa"/>
              <w:left w:w="15" w:type="dxa"/>
              <w:right w:w="15" w:type="dxa"/>
            </w:tcMar>
            <w:vAlign w:val="center"/>
          </w:tcPr>
          <w:p>
            <w:pPr>
              <w:jc w:val="center"/>
              <w:rPr>
                <w:rFonts w:cs="Times New Roman"/>
                <w:color w:val="000000"/>
                <w:sz w:val="21"/>
                <w:szCs w:val="21"/>
              </w:rPr>
            </w:pPr>
          </w:p>
        </w:tc>
        <w:tc>
          <w:tcPr>
            <w:tcW w:w="793" w:type="dxa"/>
            <w:shd w:val="clear" w:color="auto" w:fill="auto"/>
            <w:tcMar>
              <w:top w:w="15" w:type="dxa"/>
              <w:left w:w="15" w:type="dxa"/>
              <w:right w:w="15" w:type="dxa"/>
            </w:tcMar>
            <w:vAlign w:val="center"/>
          </w:tcPr>
          <w:p>
            <w:pPr>
              <w:widowControl/>
              <w:jc w:val="center"/>
              <w:textAlignment w:val="center"/>
              <w:rPr>
                <w:rFonts w:cs="Times New Roman"/>
                <w:color w:val="000000"/>
                <w:sz w:val="21"/>
                <w:szCs w:val="21"/>
              </w:rPr>
            </w:pPr>
            <w:r>
              <w:rPr>
                <w:rFonts w:cs="Times New Roman"/>
                <w:color w:val="000000"/>
                <w:kern w:val="0"/>
                <w:sz w:val="21"/>
                <w:szCs w:val="21"/>
                <w:lang w:bidi="ar"/>
              </w:rPr>
              <w:t>mg/kg</w:t>
            </w:r>
          </w:p>
        </w:tc>
        <w:tc>
          <w:tcPr>
            <w:tcW w:w="799" w:type="dxa"/>
            <w:shd w:val="clear" w:color="auto" w:fill="auto"/>
            <w:tcMar>
              <w:top w:w="15" w:type="dxa"/>
              <w:left w:w="15" w:type="dxa"/>
              <w:right w:w="15" w:type="dxa"/>
            </w:tcMar>
            <w:vAlign w:val="center"/>
          </w:tcPr>
          <w:p>
            <w:pPr>
              <w:widowControl/>
              <w:jc w:val="center"/>
              <w:textAlignment w:val="center"/>
              <w:rPr>
                <w:rFonts w:cs="Times New Roman"/>
                <w:color w:val="000000"/>
                <w:sz w:val="21"/>
                <w:szCs w:val="21"/>
              </w:rPr>
            </w:pPr>
            <w:r>
              <w:rPr>
                <w:rFonts w:cs="Times New Roman"/>
                <w:color w:val="000000"/>
                <w:kern w:val="0"/>
                <w:sz w:val="21"/>
                <w:szCs w:val="21"/>
                <w:lang w:bidi="ar"/>
              </w:rPr>
              <w:t>mg/L</w:t>
            </w:r>
          </w:p>
        </w:tc>
        <w:tc>
          <w:tcPr>
            <w:tcW w:w="793" w:type="dxa"/>
            <w:shd w:val="clear" w:color="auto" w:fill="auto"/>
            <w:tcMar>
              <w:top w:w="15" w:type="dxa"/>
              <w:left w:w="15" w:type="dxa"/>
              <w:right w:w="15" w:type="dxa"/>
            </w:tcMar>
            <w:vAlign w:val="center"/>
          </w:tcPr>
          <w:p>
            <w:pPr>
              <w:widowControl/>
              <w:jc w:val="center"/>
              <w:textAlignment w:val="center"/>
              <w:rPr>
                <w:rFonts w:cs="Times New Roman"/>
                <w:color w:val="000000"/>
                <w:sz w:val="21"/>
                <w:szCs w:val="21"/>
              </w:rPr>
            </w:pPr>
            <w:r>
              <w:rPr>
                <w:rFonts w:cs="Times New Roman"/>
                <w:color w:val="000000"/>
                <w:kern w:val="0"/>
                <w:sz w:val="21"/>
                <w:szCs w:val="21"/>
                <w:lang w:bidi="ar"/>
              </w:rPr>
              <w:t>mg/kg</w:t>
            </w:r>
          </w:p>
        </w:tc>
        <w:tc>
          <w:tcPr>
            <w:tcW w:w="799" w:type="dxa"/>
            <w:shd w:val="clear" w:color="auto" w:fill="auto"/>
            <w:tcMar>
              <w:top w:w="15" w:type="dxa"/>
              <w:left w:w="15" w:type="dxa"/>
              <w:right w:w="15" w:type="dxa"/>
            </w:tcMar>
            <w:vAlign w:val="center"/>
          </w:tcPr>
          <w:p>
            <w:pPr>
              <w:widowControl/>
              <w:jc w:val="center"/>
              <w:textAlignment w:val="center"/>
              <w:rPr>
                <w:rFonts w:cs="Times New Roman"/>
                <w:color w:val="000000"/>
                <w:sz w:val="21"/>
                <w:szCs w:val="21"/>
              </w:rPr>
            </w:pPr>
            <w:r>
              <w:rPr>
                <w:rFonts w:cs="Times New Roman"/>
                <w:color w:val="000000"/>
                <w:kern w:val="0"/>
                <w:sz w:val="21"/>
                <w:szCs w:val="21"/>
                <w:lang w:bidi="ar"/>
              </w:rPr>
              <w:t>mg/L</w:t>
            </w:r>
          </w:p>
        </w:tc>
        <w:tc>
          <w:tcPr>
            <w:tcW w:w="798" w:type="dxa"/>
            <w:shd w:val="clear" w:color="auto" w:fill="auto"/>
            <w:tcMar>
              <w:top w:w="15" w:type="dxa"/>
              <w:left w:w="15" w:type="dxa"/>
              <w:right w:w="15" w:type="dxa"/>
            </w:tcMar>
            <w:vAlign w:val="center"/>
          </w:tcPr>
          <w:p>
            <w:pPr>
              <w:widowControl/>
              <w:jc w:val="center"/>
              <w:textAlignment w:val="center"/>
              <w:rPr>
                <w:rFonts w:cs="Times New Roman"/>
                <w:color w:val="000000"/>
                <w:sz w:val="21"/>
                <w:szCs w:val="21"/>
              </w:rPr>
            </w:pPr>
            <w:r>
              <w:rPr>
                <w:rFonts w:cs="Times New Roman"/>
                <w:color w:val="000000"/>
                <w:kern w:val="0"/>
                <w:sz w:val="21"/>
                <w:szCs w:val="21"/>
                <w:lang w:bidi="ar"/>
              </w:rPr>
              <w:t>mg/kg</w:t>
            </w:r>
          </w:p>
        </w:tc>
        <w:tc>
          <w:tcPr>
            <w:tcW w:w="798" w:type="dxa"/>
            <w:shd w:val="clear" w:color="auto" w:fill="auto"/>
            <w:tcMar>
              <w:top w:w="15" w:type="dxa"/>
              <w:left w:w="15" w:type="dxa"/>
              <w:right w:w="15" w:type="dxa"/>
            </w:tcMar>
            <w:vAlign w:val="center"/>
          </w:tcPr>
          <w:p>
            <w:pPr>
              <w:widowControl/>
              <w:jc w:val="center"/>
              <w:textAlignment w:val="center"/>
              <w:rPr>
                <w:rFonts w:cs="Times New Roman"/>
                <w:color w:val="000000"/>
                <w:sz w:val="21"/>
                <w:szCs w:val="21"/>
              </w:rPr>
            </w:pPr>
            <w:r>
              <w:rPr>
                <w:rFonts w:cs="Times New Roman"/>
                <w:color w:val="000000"/>
                <w:kern w:val="0"/>
                <w:sz w:val="21"/>
                <w:szCs w:val="21"/>
                <w:lang w:bidi="ar"/>
              </w:rPr>
              <w:t>mg/L</w:t>
            </w:r>
          </w:p>
        </w:tc>
        <w:tc>
          <w:tcPr>
            <w:tcW w:w="798" w:type="dxa"/>
            <w:shd w:val="clear" w:color="auto" w:fill="auto"/>
            <w:tcMar>
              <w:top w:w="15" w:type="dxa"/>
              <w:left w:w="15" w:type="dxa"/>
              <w:right w:w="15" w:type="dxa"/>
            </w:tcMar>
            <w:vAlign w:val="center"/>
          </w:tcPr>
          <w:p>
            <w:pPr>
              <w:widowControl/>
              <w:jc w:val="center"/>
              <w:textAlignment w:val="center"/>
              <w:rPr>
                <w:rFonts w:cs="Times New Roman"/>
                <w:color w:val="000000"/>
                <w:sz w:val="21"/>
                <w:szCs w:val="21"/>
              </w:rPr>
            </w:pPr>
            <w:r>
              <w:rPr>
                <w:rFonts w:cs="Times New Roman"/>
                <w:color w:val="000000"/>
                <w:kern w:val="0"/>
                <w:sz w:val="21"/>
                <w:szCs w:val="21"/>
                <w:lang w:bidi="ar"/>
              </w:rPr>
              <w:t>mg/kg</w:t>
            </w:r>
          </w:p>
        </w:tc>
        <w:tc>
          <w:tcPr>
            <w:tcW w:w="821" w:type="dxa"/>
            <w:shd w:val="clear" w:color="auto" w:fill="auto"/>
            <w:tcMar>
              <w:top w:w="15" w:type="dxa"/>
              <w:left w:w="15" w:type="dxa"/>
              <w:right w:w="15" w:type="dxa"/>
            </w:tcMar>
            <w:vAlign w:val="center"/>
          </w:tcPr>
          <w:p>
            <w:pPr>
              <w:widowControl/>
              <w:jc w:val="center"/>
              <w:textAlignment w:val="center"/>
              <w:rPr>
                <w:rFonts w:cs="Times New Roman"/>
                <w:color w:val="000000"/>
                <w:sz w:val="21"/>
                <w:szCs w:val="21"/>
              </w:rPr>
            </w:pPr>
            <w:r>
              <w:rPr>
                <w:rFonts w:cs="Times New Roman"/>
                <w:color w:val="000000"/>
                <w:kern w:val="0"/>
                <w:sz w:val="21"/>
                <w:szCs w:val="21"/>
                <w:lang w:bidi="ar"/>
              </w:rPr>
              <w:t>mg/L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00" w:hRule="atLeast"/>
        </w:trPr>
        <w:tc>
          <w:tcPr>
            <w:tcW w:w="658" w:type="dxa"/>
            <w:shd w:val="clear" w:color="auto" w:fill="auto"/>
            <w:tcMar>
              <w:top w:w="15" w:type="dxa"/>
              <w:left w:w="15" w:type="dxa"/>
              <w:right w:w="15" w:type="dxa"/>
            </w:tcMar>
            <w:vAlign w:val="center"/>
          </w:tcPr>
          <w:p>
            <w:pPr>
              <w:widowControl/>
              <w:jc w:val="center"/>
              <w:textAlignment w:val="center"/>
              <w:rPr>
                <w:rFonts w:cs="Times New Roman"/>
                <w:color w:val="000000"/>
                <w:sz w:val="21"/>
                <w:szCs w:val="21"/>
              </w:rPr>
            </w:pPr>
            <w:r>
              <w:rPr>
                <w:rFonts w:cs="Times New Roman"/>
                <w:color w:val="000000"/>
                <w:kern w:val="0"/>
                <w:sz w:val="21"/>
                <w:szCs w:val="21"/>
                <w:lang w:bidi="ar"/>
              </w:rPr>
              <w:t>1</w:t>
            </w:r>
          </w:p>
        </w:tc>
        <w:tc>
          <w:tcPr>
            <w:tcW w:w="1236" w:type="dxa"/>
            <w:shd w:val="clear" w:color="auto" w:fill="auto"/>
            <w:tcMar>
              <w:top w:w="15" w:type="dxa"/>
              <w:left w:w="15" w:type="dxa"/>
              <w:right w:w="15" w:type="dxa"/>
            </w:tcMar>
            <w:vAlign w:val="center"/>
          </w:tcPr>
          <w:p>
            <w:pPr>
              <w:widowControl/>
              <w:jc w:val="center"/>
              <w:textAlignment w:val="center"/>
              <w:rPr>
                <w:rFonts w:cs="Times New Roman"/>
                <w:color w:val="000000"/>
                <w:sz w:val="21"/>
                <w:szCs w:val="21"/>
              </w:rPr>
            </w:pPr>
            <w:r>
              <w:rPr>
                <w:rFonts w:hint="eastAsia" w:cs="Times New Roman"/>
                <w:color w:val="000000"/>
                <w:kern w:val="0"/>
                <w:sz w:val="21"/>
                <w:szCs w:val="21"/>
                <w:lang w:bidi="ar"/>
              </w:rPr>
              <w:t>总镉</w:t>
            </w:r>
          </w:p>
        </w:tc>
        <w:tc>
          <w:tcPr>
            <w:tcW w:w="793" w:type="dxa"/>
            <w:shd w:val="clear" w:color="auto" w:fill="auto"/>
            <w:tcMar>
              <w:top w:w="15" w:type="dxa"/>
              <w:left w:w="15" w:type="dxa"/>
              <w:right w:w="15" w:type="dxa"/>
            </w:tcMar>
            <w:vAlign w:val="center"/>
          </w:tcPr>
          <w:p>
            <w:pPr>
              <w:widowControl/>
              <w:jc w:val="center"/>
              <w:textAlignment w:val="center"/>
              <w:rPr>
                <w:rFonts w:cs="Times New Roman"/>
                <w:color w:val="000000"/>
                <w:sz w:val="21"/>
                <w:szCs w:val="21"/>
              </w:rPr>
            </w:pPr>
            <w:r>
              <w:rPr>
                <w:rFonts w:cs="Times New Roman"/>
                <w:color w:val="000000"/>
                <w:kern w:val="0"/>
                <w:sz w:val="21"/>
                <w:szCs w:val="21"/>
                <w:lang w:bidi="ar"/>
              </w:rPr>
              <w:t>20</w:t>
            </w:r>
          </w:p>
        </w:tc>
        <w:tc>
          <w:tcPr>
            <w:tcW w:w="799" w:type="dxa"/>
            <w:shd w:val="clear" w:color="auto" w:fill="auto"/>
            <w:tcMar>
              <w:top w:w="15" w:type="dxa"/>
              <w:left w:w="15" w:type="dxa"/>
              <w:right w:w="15" w:type="dxa"/>
            </w:tcMar>
            <w:vAlign w:val="center"/>
          </w:tcPr>
          <w:p>
            <w:pPr>
              <w:widowControl/>
              <w:jc w:val="center"/>
              <w:textAlignment w:val="center"/>
              <w:rPr>
                <w:rFonts w:cs="Times New Roman"/>
                <w:color w:val="000000"/>
                <w:sz w:val="21"/>
                <w:szCs w:val="21"/>
              </w:rPr>
            </w:pPr>
            <w:r>
              <w:rPr>
                <w:rFonts w:cs="Times New Roman"/>
                <w:color w:val="000000"/>
                <w:kern w:val="0"/>
                <w:sz w:val="21"/>
                <w:szCs w:val="21"/>
                <w:lang w:bidi="ar"/>
              </w:rPr>
              <w:t>0.005</w:t>
            </w:r>
          </w:p>
        </w:tc>
        <w:tc>
          <w:tcPr>
            <w:tcW w:w="793" w:type="dxa"/>
            <w:shd w:val="clear" w:color="auto" w:fill="auto"/>
            <w:tcMar>
              <w:top w:w="15" w:type="dxa"/>
              <w:left w:w="15" w:type="dxa"/>
              <w:right w:w="15" w:type="dxa"/>
            </w:tcMar>
            <w:vAlign w:val="center"/>
          </w:tcPr>
          <w:p>
            <w:pPr>
              <w:widowControl/>
              <w:jc w:val="center"/>
              <w:textAlignment w:val="center"/>
              <w:rPr>
                <w:rFonts w:cs="Times New Roman"/>
                <w:color w:val="000000"/>
                <w:sz w:val="21"/>
                <w:szCs w:val="21"/>
              </w:rPr>
            </w:pPr>
            <w:r>
              <w:rPr>
                <w:rFonts w:cs="Times New Roman"/>
                <w:color w:val="000000"/>
                <w:kern w:val="0"/>
                <w:sz w:val="21"/>
                <w:szCs w:val="21"/>
                <w:lang w:bidi="ar"/>
              </w:rPr>
              <w:t>65</w:t>
            </w:r>
          </w:p>
        </w:tc>
        <w:tc>
          <w:tcPr>
            <w:tcW w:w="799" w:type="dxa"/>
            <w:shd w:val="clear" w:color="auto" w:fill="auto"/>
            <w:tcMar>
              <w:top w:w="15" w:type="dxa"/>
              <w:left w:w="15" w:type="dxa"/>
              <w:right w:w="15" w:type="dxa"/>
            </w:tcMar>
            <w:vAlign w:val="center"/>
          </w:tcPr>
          <w:p>
            <w:pPr>
              <w:widowControl/>
              <w:jc w:val="center"/>
              <w:textAlignment w:val="center"/>
              <w:rPr>
                <w:rFonts w:cs="Times New Roman"/>
                <w:color w:val="000000"/>
                <w:sz w:val="21"/>
                <w:szCs w:val="21"/>
              </w:rPr>
            </w:pPr>
            <w:r>
              <w:rPr>
                <w:rFonts w:cs="Times New Roman"/>
                <w:color w:val="000000"/>
                <w:kern w:val="0"/>
                <w:sz w:val="21"/>
                <w:szCs w:val="21"/>
                <w:lang w:bidi="ar"/>
              </w:rPr>
              <w:t>0.01</w:t>
            </w:r>
          </w:p>
        </w:tc>
        <w:tc>
          <w:tcPr>
            <w:tcW w:w="798" w:type="dxa"/>
            <w:shd w:val="clear" w:color="auto" w:fill="auto"/>
            <w:tcMar>
              <w:top w:w="15" w:type="dxa"/>
              <w:left w:w="15" w:type="dxa"/>
              <w:right w:w="15" w:type="dxa"/>
            </w:tcMar>
            <w:vAlign w:val="center"/>
          </w:tcPr>
          <w:p>
            <w:pPr>
              <w:widowControl/>
              <w:jc w:val="center"/>
              <w:textAlignment w:val="center"/>
              <w:rPr>
                <w:rFonts w:cs="Times New Roman"/>
                <w:color w:val="000000"/>
                <w:sz w:val="21"/>
                <w:szCs w:val="21"/>
              </w:rPr>
            </w:pPr>
            <w:r>
              <w:rPr>
                <w:rFonts w:cs="Times New Roman"/>
                <w:color w:val="000000"/>
                <w:kern w:val="0"/>
                <w:sz w:val="21"/>
                <w:szCs w:val="21"/>
                <w:lang w:bidi="ar"/>
              </w:rPr>
              <w:t>—</w:t>
            </w:r>
          </w:p>
        </w:tc>
        <w:tc>
          <w:tcPr>
            <w:tcW w:w="798" w:type="dxa"/>
            <w:shd w:val="clear" w:color="auto" w:fill="auto"/>
            <w:tcMar>
              <w:top w:w="15" w:type="dxa"/>
              <w:left w:w="15" w:type="dxa"/>
              <w:right w:w="15" w:type="dxa"/>
            </w:tcMar>
            <w:vAlign w:val="center"/>
          </w:tcPr>
          <w:p>
            <w:pPr>
              <w:widowControl/>
              <w:jc w:val="center"/>
              <w:textAlignment w:val="center"/>
              <w:rPr>
                <w:rFonts w:cs="Times New Roman"/>
                <w:color w:val="000000"/>
                <w:sz w:val="21"/>
                <w:szCs w:val="21"/>
              </w:rPr>
            </w:pPr>
            <w:r>
              <w:rPr>
                <w:rFonts w:cs="Times New Roman"/>
                <w:color w:val="000000"/>
                <w:kern w:val="0"/>
                <w:sz w:val="21"/>
                <w:szCs w:val="21"/>
                <w:lang w:bidi="ar"/>
              </w:rPr>
              <w:t>0.1</w:t>
            </w:r>
          </w:p>
        </w:tc>
        <w:tc>
          <w:tcPr>
            <w:tcW w:w="798" w:type="dxa"/>
            <w:shd w:val="clear" w:color="auto" w:fill="auto"/>
            <w:tcMar>
              <w:top w:w="15" w:type="dxa"/>
              <w:left w:w="15" w:type="dxa"/>
              <w:right w:w="15" w:type="dxa"/>
            </w:tcMar>
            <w:vAlign w:val="center"/>
          </w:tcPr>
          <w:p>
            <w:pPr>
              <w:widowControl/>
              <w:jc w:val="center"/>
              <w:textAlignment w:val="center"/>
              <w:rPr>
                <w:rFonts w:cs="Times New Roman"/>
                <w:color w:val="000000"/>
                <w:sz w:val="21"/>
                <w:szCs w:val="21"/>
              </w:rPr>
            </w:pPr>
            <w:r>
              <w:rPr>
                <w:rFonts w:cs="Times New Roman"/>
                <w:color w:val="000000"/>
                <w:kern w:val="0"/>
                <w:sz w:val="21"/>
                <w:szCs w:val="21"/>
                <w:lang w:bidi="ar"/>
              </w:rPr>
              <w:t>—</w:t>
            </w:r>
          </w:p>
        </w:tc>
        <w:tc>
          <w:tcPr>
            <w:tcW w:w="821" w:type="dxa"/>
            <w:shd w:val="clear" w:color="auto" w:fill="auto"/>
            <w:tcMar>
              <w:top w:w="15" w:type="dxa"/>
              <w:left w:w="15" w:type="dxa"/>
              <w:right w:w="15" w:type="dxa"/>
            </w:tcMar>
            <w:vAlign w:val="center"/>
          </w:tcPr>
          <w:p>
            <w:pPr>
              <w:widowControl/>
              <w:jc w:val="center"/>
              <w:textAlignment w:val="center"/>
              <w:rPr>
                <w:rFonts w:cs="Times New Roman"/>
                <w:color w:val="000000"/>
                <w:sz w:val="21"/>
                <w:szCs w:val="21"/>
              </w:rPr>
            </w:pPr>
            <w:r>
              <w:rPr>
                <w:rFonts w:cs="Times New Roman"/>
                <w:color w:val="000000"/>
                <w:kern w:val="0"/>
                <w:sz w:val="21"/>
                <w:szCs w:val="21"/>
                <w:lang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00" w:hRule="atLeast"/>
        </w:trPr>
        <w:tc>
          <w:tcPr>
            <w:tcW w:w="658" w:type="dxa"/>
            <w:shd w:val="clear" w:color="auto" w:fill="auto"/>
            <w:tcMar>
              <w:top w:w="15" w:type="dxa"/>
              <w:left w:w="15" w:type="dxa"/>
              <w:right w:w="15" w:type="dxa"/>
            </w:tcMar>
            <w:vAlign w:val="center"/>
          </w:tcPr>
          <w:p>
            <w:pPr>
              <w:widowControl/>
              <w:jc w:val="center"/>
              <w:textAlignment w:val="center"/>
              <w:rPr>
                <w:rFonts w:cs="Times New Roman"/>
                <w:color w:val="000000"/>
                <w:sz w:val="21"/>
                <w:szCs w:val="21"/>
              </w:rPr>
            </w:pPr>
            <w:r>
              <w:rPr>
                <w:rFonts w:cs="Times New Roman"/>
                <w:color w:val="000000"/>
                <w:kern w:val="0"/>
                <w:sz w:val="21"/>
                <w:szCs w:val="21"/>
                <w:lang w:bidi="ar"/>
              </w:rPr>
              <w:t>2</w:t>
            </w:r>
          </w:p>
        </w:tc>
        <w:tc>
          <w:tcPr>
            <w:tcW w:w="1236" w:type="dxa"/>
            <w:shd w:val="clear" w:color="auto" w:fill="auto"/>
            <w:tcMar>
              <w:top w:w="15" w:type="dxa"/>
              <w:left w:w="15" w:type="dxa"/>
              <w:right w:w="15" w:type="dxa"/>
            </w:tcMar>
            <w:vAlign w:val="center"/>
          </w:tcPr>
          <w:p>
            <w:pPr>
              <w:widowControl/>
              <w:jc w:val="center"/>
              <w:textAlignment w:val="center"/>
              <w:rPr>
                <w:rFonts w:cs="Times New Roman"/>
                <w:color w:val="000000"/>
                <w:sz w:val="21"/>
                <w:szCs w:val="21"/>
              </w:rPr>
            </w:pPr>
            <w:r>
              <w:rPr>
                <w:rFonts w:hint="eastAsia" w:cs="Times New Roman"/>
                <w:color w:val="000000"/>
                <w:kern w:val="0"/>
                <w:sz w:val="21"/>
                <w:szCs w:val="21"/>
                <w:lang w:bidi="ar"/>
              </w:rPr>
              <w:t>总汞</w:t>
            </w:r>
          </w:p>
        </w:tc>
        <w:tc>
          <w:tcPr>
            <w:tcW w:w="793" w:type="dxa"/>
            <w:shd w:val="clear" w:color="auto" w:fill="auto"/>
            <w:tcMar>
              <w:top w:w="15" w:type="dxa"/>
              <w:left w:w="15" w:type="dxa"/>
              <w:right w:w="15" w:type="dxa"/>
            </w:tcMar>
            <w:vAlign w:val="center"/>
          </w:tcPr>
          <w:p>
            <w:pPr>
              <w:widowControl/>
              <w:jc w:val="center"/>
              <w:textAlignment w:val="center"/>
              <w:rPr>
                <w:rFonts w:cs="Times New Roman"/>
                <w:color w:val="000000"/>
                <w:sz w:val="21"/>
                <w:szCs w:val="21"/>
              </w:rPr>
            </w:pPr>
            <w:r>
              <w:rPr>
                <w:rFonts w:cs="Times New Roman"/>
                <w:color w:val="000000"/>
                <w:kern w:val="0"/>
                <w:sz w:val="21"/>
                <w:szCs w:val="21"/>
                <w:lang w:bidi="ar"/>
              </w:rPr>
              <w:t>5</w:t>
            </w:r>
          </w:p>
        </w:tc>
        <w:tc>
          <w:tcPr>
            <w:tcW w:w="799" w:type="dxa"/>
            <w:shd w:val="clear" w:color="auto" w:fill="auto"/>
            <w:tcMar>
              <w:top w:w="15" w:type="dxa"/>
              <w:left w:w="15" w:type="dxa"/>
              <w:right w:w="15" w:type="dxa"/>
            </w:tcMar>
            <w:vAlign w:val="center"/>
          </w:tcPr>
          <w:p>
            <w:pPr>
              <w:widowControl/>
              <w:jc w:val="center"/>
              <w:textAlignment w:val="center"/>
              <w:rPr>
                <w:rFonts w:cs="Times New Roman"/>
                <w:color w:val="000000"/>
                <w:sz w:val="21"/>
                <w:szCs w:val="21"/>
              </w:rPr>
            </w:pPr>
            <w:r>
              <w:rPr>
                <w:rFonts w:cs="Times New Roman"/>
                <w:color w:val="000000"/>
                <w:kern w:val="0"/>
                <w:sz w:val="21"/>
                <w:szCs w:val="21"/>
                <w:lang w:bidi="ar"/>
              </w:rPr>
              <w:t>0.001</w:t>
            </w:r>
          </w:p>
        </w:tc>
        <w:tc>
          <w:tcPr>
            <w:tcW w:w="793" w:type="dxa"/>
            <w:shd w:val="clear" w:color="auto" w:fill="auto"/>
            <w:tcMar>
              <w:top w:w="15" w:type="dxa"/>
              <w:left w:w="15" w:type="dxa"/>
              <w:right w:w="15" w:type="dxa"/>
            </w:tcMar>
            <w:vAlign w:val="center"/>
          </w:tcPr>
          <w:p>
            <w:pPr>
              <w:widowControl/>
              <w:jc w:val="center"/>
              <w:textAlignment w:val="center"/>
              <w:rPr>
                <w:rFonts w:cs="Times New Roman"/>
                <w:color w:val="000000"/>
                <w:sz w:val="21"/>
                <w:szCs w:val="21"/>
              </w:rPr>
            </w:pPr>
            <w:r>
              <w:rPr>
                <w:rFonts w:cs="Times New Roman"/>
                <w:color w:val="000000"/>
                <w:kern w:val="0"/>
                <w:sz w:val="21"/>
                <w:szCs w:val="21"/>
                <w:lang w:bidi="ar"/>
              </w:rPr>
              <w:t>38</w:t>
            </w:r>
          </w:p>
        </w:tc>
        <w:tc>
          <w:tcPr>
            <w:tcW w:w="799" w:type="dxa"/>
            <w:shd w:val="clear" w:color="auto" w:fill="auto"/>
            <w:tcMar>
              <w:top w:w="15" w:type="dxa"/>
              <w:left w:w="15" w:type="dxa"/>
              <w:right w:w="15" w:type="dxa"/>
            </w:tcMar>
            <w:vAlign w:val="center"/>
          </w:tcPr>
          <w:p>
            <w:pPr>
              <w:widowControl/>
              <w:jc w:val="center"/>
              <w:textAlignment w:val="center"/>
              <w:rPr>
                <w:rFonts w:cs="Times New Roman"/>
                <w:color w:val="000000"/>
                <w:sz w:val="21"/>
                <w:szCs w:val="21"/>
              </w:rPr>
            </w:pPr>
            <w:r>
              <w:rPr>
                <w:rFonts w:cs="Times New Roman"/>
                <w:color w:val="000000"/>
                <w:kern w:val="0"/>
                <w:sz w:val="21"/>
                <w:szCs w:val="21"/>
                <w:lang w:bidi="ar"/>
              </w:rPr>
              <w:t>0.002</w:t>
            </w:r>
          </w:p>
        </w:tc>
        <w:tc>
          <w:tcPr>
            <w:tcW w:w="798" w:type="dxa"/>
            <w:shd w:val="clear" w:color="auto" w:fill="auto"/>
            <w:tcMar>
              <w:top w:w="15" w:type="dxa"/>
              <w:left w:w="15" w:type="dxa"/>
              <w:right w:w="15" w:type="dxa"/>
            </w:tcMar>
            <w:vAlign w:val="center"/>
          </w:tcPr>
          <w:p>
            <w:pPr>
              <w:widowControl/>
              <w:jc w:val="center"/>
              <w:textAlignment w:val="center"/>
              <w:rPr>
                <w:rFonts w:cs="Times New Roman"/>
                <w:color w:val="000000"/>
                <w:sz w:val="21"/>
                <w:szCs w:val="21"/>
              </w:rPr>
            </w:pPr>
            <w:r>
              <w:rPr>
                <w:rFonts w:cs="Times New Roman"/>
                <w:color w:val="000000"/>
                <w:kern w:val="0"/>
                <w:sz w:val="21"/>
                <w:szCs w:val="21"/>
                <w:lang w:bidi="ar"/>
              </w:rPr>
              <w:t>—</w:t>
            </w:r>
          </w:p>
        </w:tc>
        <w:tc>
          <w:tcPr>
            <w:tcW w:w="798" w:type="dxa"/>
            <w:shd w:val="clear" w:color="auto" w:fill="auto"/>
            <w:tcMar>
              <w:top w:w="15" w:type="dxa"/>
              <w:left w:w="15" w:type="dxa"/>
              <w:right w:w="15" w:type="dxa"/>
            </w:tcMar>
            <w:vAlign w:val="center"/>
          </w:tcPr>
          <w:p>
            <w:pPr>
              <w:widowControl/>
              <w:jc w:val="center"/>
              <w:textAlignment w:val="center"/>
              <w:rPr>
                <w:rFonts w:cs="Times New Roman"/>
                <w:color w:val="000000"/>
                <w:sz w:val="21"/>
                <w:szCs w:val="21"/>
              </w:rPr>
            </w:pPr>
            <w:r>
              <w:rPr>
                <w:rFonts w:cs="Times New Roman"/>
                <w:color w:val="000000"/>
                <w:kern w:val="0"/>
                <w:sz w:val="21"/>
                <w:szCs w:val="21"/>
                <w:lang w:bidi="ar"/>
              </w:rPr>
              <w:t>0.05</w:t>
            </w:r>
          </w:p>
        </w:tc>
        <w:tc>
          <w:tcPr>
            <w:tcW w:w="798" w:type="dxa"/>
            <w:shd w:val="clear" w:color="auto" w:fill="auto"/>
            <w:tcMar>
              <w:top w:w="15" w:type="dxa"/>
              <w:left w:w="15" w:type="dxa"/>
              <w:right w:w="15" w:type="dxa"/>
            </w:tcMar>
            <w:vAlign w:val="center"/>
          </w:tcPr>
          <w:p>
            <w:pPr>
              <w:widowControl/>
              <w:jc w:val="center"/>
              <w:textAlignment w:val="center"/>
              <w:rPr>
                <w:rFonts w:cs="Times New Roman"/>
                <w:color w:val="000000"/>
                <w:sz w:val="21"/>
                <w:szCs w:val="21"/>
              </w:rPr>
            </w:pPr>
            <w:r>
              <w:rPr>
                <w:rFonts w:cs="Times New Roman"/>
                <w:color w:val="000000"/>
                <w:kern w:val="0"/>
                <w:sz w:val="21"/>
                <w:szCs w:val="21"/>
                <w:lang w:bidi="ar"/>
              </w:rPr>
              <w:t>—</w:t>
            </w:r>
          </w:p>
        </w:tc>
        <w:tc>
          <w:tcPr>
            <w:tcW w:w="821" w:type="dxa"/>
            <w:shd w:val="clear" w:color="auto" w:fill="auto"/>
            <w:tcMar>
              <w:top w:w="15" w:type="dxa"/>
              <w:left w:w="15" w:type="dxa"/>
              <w:right w:w="15" w:type="dxa"/>
            </w:tcMar>
            <w:vAlign w:val="center"/>
          </w:tcPr>
          <w:p>
            <w:pPr>
              <w:widowControl/>
              <w:jc w:val="center"/>
              <w:textAlignment w:val="center"/>
              <w:rPr>
                <w:rFonts w:cs="Times New Roman"/>
                <w:color w:val="000000"/>
                <w:sz w:val="21"/>
                <w:szCs w:val="21"/>
              </w:rPr>
            </w:pPr>
            <w:r>
              <w:rPr>
                <w:rFonts w:cs="Times New Roman"/>
                <w:color w:val="000000"/>
                <w:kern w:val="0"/>
                <w:sz w:val="21"/>
                <w:szCs w:val="21"/>
                <w:lang w:bidi="ar"/>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00" w:hRule="atLeast"/>
        </w:trPr>
        <w:tc>
          <w:tcPr>
            <w:tcW w:w="658" w:type="dxa"/>
            <w:shd w:val="clear" w:color="auto" w:fill="auto"/>
            <w:tcMar>
              <w:top w:w="15" w:type="dxa"/>
              <w:left w:w="15" w:type="dxa"/>
              <w:right w:w="15" w:type="dxa"/>
            </w:tcMar>
            <w:vAlign w:val="center"/>
          </w:tcPr>
          <w:p>
            <w:pPr>
              <w:widowControl/>
              <w:jc w:val="center"/>
              <w:textAlignment w:val="center"/>
              <w:rPr>
                <w:rFonts w:cs="Times New Roman"/>
                <w:color w:val="000000"/>
                <w:sz w:val="21"/>
                <w:szCs w:val="21"/>
              </w:rPr>
            </w:pPr>
            <w:r>
              <w:rPr>
                <w:rFonts w:cs="Times New Roman"/>
                <w:color w:val="000000"/>
                <w:kern w:val="0"/>
                <w:sz w:val="21"/>
                <w:szCs w:val="21"/>
                <w:lang w:bidi="ar"/>
              </w:rPr>
              <w:t>3</w:t>
            </w:r>
          </w:p>
        </w:tc>
        <w:tc>
          <w:tcPr>
            <w:tcW w:w="1236" w:type="dxa"/>
            <w:shd w:val="clear" w:color="auto" w:fill="auto"/>
            <w:tcMar>
              <w:top w:w="15" w:type="dxa"/>
              <w:left w:w="15" w:type="dxa"/>
              <w:right w:w="15" w:type="dxa"/>
            </w:tcMar>
            <w:vAlign w:val="center"/>
          </w:tcPr>
          <w:p>
            <w:pPr>
              <w:widowControl/>
              <w:jc w:val="center"/>
              <w:textAlignment w:val="center"/>
              <w:rPr>
                <w:rFonts w:cs="Times New Roman"/>
                <w:color w:val="000000"/>
                <w:sz w:val="21"/>
                <w:szCs w:val="21"/>
              </w:rPr>
            </w:pPr>
            <w:r>
              <w:rPr>
                <w:rFonts w:hint="eastAsia" w:cs="Times New Roman"/>
                <w:color w:val="000000"/>
                <w:kern w:val="0"/>
                <w:sz w:val="21"/>
                <w:szCs w:val="21"/>
                <w:lang w:bidi="ar"/>
              </w:rPr>
              <w:t>总砷</w:t>
            </w:r>
          </w:p>
        </w:tc>
        <w:tc>
          <w:tcPr>
            <w:tcW w:w="793" w:type="dxa"/>
            <w:shd w:val="clear" w:color="auto" w:fill="auto"/>
            <w:tcMar>
              <w:top w:w="15" w:type="dxa"/>
              <w:left w:w="15" w:type="dxa"/>
              <w:right w:w="15" w:type="dxa"/>
            </w:tcMar>
            <w:vAlign w:val="center"/>
          </w:tcPr>
          <w:p>
            <w:pPr>
              <w:widowControl/>
              <w:jc w:val="center"/>
              <w:textAlignment w:val="center"/>
              <w:rPr>
                <w:rFonts w:cs="Times New Roman"/>
                <w:color w:val="000000"/>
                <w:sz w:val="21"/>
                <w:szCs w:val="21"/>
              </w:rPr>
            </w:pPr>
            <w:r>
              <w:rPr>
                <w:rFonts w:cs="Times New Roman"/>
                <w:color w:val="000000"/>
                <w:kern w:val="0"/>
                <w:sz w:val="21"/>
                <w:szCs w:val="21"/>
                <w:lang w:bidi="ar"/>
              </w:rPr>
              <w:t>20</w:t>
            </w:r>
          </w:p>
        </w:tc>
        <w:tc>
          <w:tcPr>
            <w:tcW w:w="799" w:type="dxa"/>
            <w:shd w:val="clear" w:color="auto" w:fill="auto"/>
            <w:tcMar>
              <w:top w:w="15" w:type="dxa"/>
              <w:left w:w="15" w:type="dxa"/>
              <w:right w:w="15" w:type="dxa"/>
            </w:tcMar>
            <w:vAlign w:val="center"/>
          </w:tcPr>
          <w:p>
            <w:pPr>
              <w:widowControl/>
              <w:jc w:val="center"/>
              <w:textAlignment w:val="center"/>
              <w:rPr>
                <w:rFonts w:cs="Times New Roman"/>
                <w:color w:val="000000"/>
                <w:sz w:val="21"/>
                <w:szCs w:val="21"/>
              </w:rPr>
            </w:pPr>
            <w:r>
              <w:rPr>
                <w:rFonts w:cs="Times New Roman"/>
                <w:color w:val="000000"/>
                <w:kern w:val="0"/>
                <w:sz w:val="21"/>
                <w:szCs w:val="21"/>
                <w:lang w:bidi="ar"/>
              </w:rPr>
              <w:t>0.01</w:t>
            </w:r>
          </w:p>
        </w:tc>
        <w:tc>
          <w:tcPr>
            <w:tcW w:w="793" w:type="dxa"/>
            <w:shd w:val="clear" w:color="auto" w:fill="auto"/>
            <w:tcMar>
              <w:top w:w="15" w:type="dxa"/>
              <w:left w:w="15" w:type="dxa"/>
              <w:right w:w="15" w:type="dxa"/>
            </w:tcMar>
            <w:vAlign w:val="center"/>
          </w:tcPr>
          <w:p>
            <w:pPr>
              <w:widowControl/>
              <w:jc w:val="center"/>
              <w:textAlignment w:val="center"/>
              <w:rPr>
                <w:rFonts w:cs="Times New Roman"/>
                <w:color w:val="000000"/>
                <w:sz w:val="21"/>
                <w:szCs w:val="21"/>
              </w:rPr>
            </w:pPr>
            <w:r>
              <w:rPr>
                <w:rFonts w:cs="Times New Roman"/>
                <w:color w:val="000000"/>
                <w:kern w:val="0"/>
                <w:sz w:val="21"/>
                <w:szCs w:val="21"/>
                <w:lang w:bidi="ar"/>
              </w:rPr>
              <w:t>60</w:t>
            </w:r>
          </w:p>
        </w:tc>
        <w:tc>
          <w:tcPr>
            <w:tcW w:w="799" w:type="dxa"/>
            <w:shd w:val="clear" w:color="auto" w:fill="auto"/>
            <w:tcMar>
              <w:top w:w="15" w:type="dxa"/>
              <w:left w:w="15" w:type="dxa"/>
              <w:right w:w="15" w:type="dxa"/>
            </w:tcMar>
            <w:vAlign w:val="center"/>
          </w:tcPr>
          <w:p>
            <w:pPr>
              <w:widowControl/>
              <w:jc w:val="center"/>
              <w:textAlignment w:val="center"/>
              <w:rPr>
                <w:rFonts w:cs="Times New Roman"/>
                <w:color w:val="000000"/>
                <w:sz w:val="21"/>
                <w:szCs w:val="21"/>
              </w:rPr>
            </w:pPr>
            <w:r>
              <w:rPr>
                <w:rFonts w:cs="Times New Roman"/>
                <w:color w:val="000000"/>
                <w:kern w:val="0"/>
                <w:sz w:val="21"/>
                <w:szCs w:val="21"/>
                <w:lang w:bidi="ar"/>
              </w:rPr>
              <w:t>0.05</w:t>
            </w:r>
          </w:p>
        </w:tc>
        <w:tc>
          <w:tcPr>
            <w:tcW w:w="798" w:type="dxa"/>
            <w:shd w:val="clear" w:color="auto" w:fill="auto"/>
            <w:tcMar>
              <w:top w:w="15" w:type="dxa"/>
              <w:left w:w="15" w:type="dxa"/>
              <w:right w:w="15" w:type="dxa"/>
            </w:tcMar>
            <w:vAlign w:val="center"/>
          </w:tcPr>
          <w:p>
            <w:pPr>
              <w:widowControl/>
              <w:jc w:val="center"/>
              <w:textAlignment w:val="center"/>
              <w:rPr>
                <w:rFonts w:cs="Times New Roman"/>
                <w:color w:val="000000"/>
                <w:sz w:val="21"/>
                <w:szCs w:val="21"/>
              </w:rPr>
            </w:pPr>
            <w:r>
              <w:rPr>
                <w:rFonts w:cs="Times New Roman"/>
                <w:color w:val="000000"/>
                <w:kern w:val="0"/>
                <w:sz w:val="21"/>
                <w:szCs w:val="21"/>
                <w:lang w:bidi="ar"/>
              </w:rPr>
              <w:t>—</w:t>
            </w:r>
          </w:p>
        </w:tc>
        <w:tc>
          <w:tcPr>
            <w:tcW w:w="798" w:type="dxa"/>
            <w:shd w:val="clear" w:color="auto" w:fill="auto"/>
            <w:tcMar>
              <w:top w:w="15" w:type="dxa"/>
              <w:left w:w="15" w:type="dxa"/>
              <w:right w:w="15" w:type="dxa"/>
            </w:tcMar>
            <w:vAlign w:val="center"/>
          </w:tcPr>
          <w:p>
            <w:pPr>
              <w:widowControl/>
              <w:jc w:val="center"/>
              <w:textAlignment w:val="center"/>
              <w:rPr>
                <w:rFonts w:cs="Times New Roman"/>
                <w:color w:val="000000"/>
                <w:sz w:val="21"/>
                <w:szCs w:val="21"/>
              </w:rPr>
            </w:pPr>
            <w:r>
              <w:rPr>
                <w:rFonts w:cs="Times New Roman"/>
                <w:color w:val="000000"/>
                <w:kern w:val="0"/>
                <w:sz w:val="21"/>
                <w:szCs w:val="21"/>
                <w:lang w:bidi="ar"/>
              </w:rPr>
              <w:t>0.5</w:t>
            </w:r>
          </w:p>
        </w:tc>
        <w:tc>
          <w:tcPr>
            <w:tcW w:w="798" w:type="dxa"/>
            <w:shd w:val="clear" w:color="auto" w:fill="auto"/>
            <w:tcMar>
              <w:top w:w="15" w:type="dxa"/>
              <w:left w:w="15" w:type="dxa"/>
              <w:right w:w="15" w:type="dxa"/>
            </w:tcMar>
            <w:vAlign w:val="center"/>
          </w:tcPr>
          <w:p>
            <w:pPr>
              <w:widowControl/>
              <w:jc w:val="center"/>
              <w:textAlignment w:val="center"/>
              <w:rPr>
                <w:rFonts w:cs="Times New Roman"/>
                <w:color w:val="000000"/>
                <w:sz w:val="21"/>
                <w:szCs w:val="21"/>
              </w:rPr>
            </w:pPr>
            <w:r>
              <w:rPr>
                <w:rFonts w:cs="Times New Roman"/>
                <w:color w:val="000000"/>
                <w:kern w:val="0"/>
                <w:sz w:val="21"/>
                <w:szCs w:val="21"/>
                <w:lang w:bidi="ar"/>
              </w:rPr>
              <w:t>—</w:t>
            </w:r>
          </w:p>
        </w:tc>
        <w:tc>
          <w:tcPr>
            <w:tcW w:w="821" w:type="dxa"/>
            <w:shd w:val="clear" w:color="auto" w:fill="auto"/>
            <w:tcMar>
              <w:top w:w="15" w:type="dxa"/>
              <w:left w:w="15" w:type="dxa"/>
              <w:right w:w="15" w:type="dxa"/>
            </w:tcMar>
            <w:vAlign w:val="center"/>
          </w:tcPr>
          <w:p>
            <w:pPr>
              <w:widowControl/>
              <w:jc w:val="center"/>
              <w:textAlignment w:val="center"/>
              <w:rPr>
                <w:rFonts w:cs="Times New Roman"/>
                <w:color w:val="000000"/>
                <w:sz w:val="21"/>
                <w:szCs w:val="21"/>
              </w:rPr>
            </w:pPr>
            <w:r>
              <w:rPr>
                <w:rFonts w:cs="Times New Roman"/>
                <w:color w:val="000000"/>
                <w:kern w:val="0"/>
                <w:sz w:val="21"/>
                <w:szCs w:val="21"/>
                <w:lang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00" w:hRule="atLeast"/>
        </w:trPr>
        <w:tc>
          <w:tcPr>
            <w:tcW w:w="658" w:type="dxa"/>
            <w:shd w:val="clear" w:color="auto" w:fill="auto"/>
            <w:tcMar>
              <w:top w:w="15" w:type="dxa"/>
              <w:left w:w="15" w:type="dxa"/>
              <w:right w:w="15" w:type="dxa"/>
            </w:tcMar>
            <w:vAlign w:val="center"/>
          </w:tcPr>
          <w:p>
            <w:pPr>
              <w:widowControl/>
              <w:jc w:val="center"/>
              <w:textAlignment w:val="center"/>
              <w:rPr>
                <w:rFonts w:cs="Times New Roman"/>
                <w:color w:val="000000"/>
                <w:sz w:val="21"/>
                <w:szCs w:val="21"/>
              </w:rPr>
            </w:pPr>
            <w:r>
              <w:rPr>
                <w:rFonts w:cs="Times New Roman"/>
                <w:color w:val="000000"/>
                <w:kern w:val="0"/>
                <w:sz w:val="21"/>
                <w:szCs w:val="21"/>
                <w:lang w:bidi="ar"/>
              </w:rPr>
              <w:t>4</w:t>
            </w:r>
          </w:p>
        </w:tc>
        <w:tc>
          <w:tcPr>
            <w:tcW w:w="1236" w:type="dxa"/>
            <w:shd w:val="clear" w:color="auto" w:fill="auto"/>
            <w:tcMar>
              <w:top w:w="15" w:type="dxa"/>
              <w:left w:w="15" w:type="dxa"/>
              <w:right w:w="15" w:type="dxa"/>
            </w:tcMar>
            <w:vAlign w:val="center"/>
          </w:tcPr>
          <w:p>
            <w:pPr>
              <w:widowControl/>
              <w:jc w:val="center"/>
              <w:textAlignment w:val="center"/>
              <w:rPr>
                <w:rFonts w:cs="Times New Roman"/>
                <w:color w:val="000000"/>
                <w:sz w:val="21"/>
                <w:szCs w:val="21"/>
              </w:rPr>
            </w:pPr>
            <w:r>
              <w:rPr>
                <w:rFonts w:hint="eastAsia" w:cs="Times New Roman"/>
                <w:color w:val="000000"/>
                <w:kern w:val="0"/>
                <w:sz w:val="21"/>
                <w:szCs w:val="21"/>
                <w:lang w:bidi="ar"/>
              </w:rPr>
              <w:t>总铅</w:t>
            </w:r>
          </w:p>
        </w:tc>
        <w:tc>
          <w:tcPr>
            <w:tcW w:w="793" w:type="dxa"/>
            <w:shd w:val="clear" w:color="auto" w:fill="auto"/>
            <w:tcMar>
              <w:top w:w="15" w:type="dxa"/>
              <w:left w:w="15" w:type="dxa"/>
              <w:right w:w="15" w:type="dxa"/>
            </w:tcMar>
            <w:vAlign w:val="center"/>
          </w:tcPr>
          <w:p>
            <w:pPr>
              <w:widowControl/>
              <w:jc w:val="center"/>
              <w:textAlignment w:val="center"/>
              <w:rPr>
                <w:rFonts w:cs="Times New Roman"/>
                <w:color w:val="000000"/>
                <w:sz w:val="21"/>
                <w:szCs w:val="21"/>
              </w:rPr>
            </w:pPr>
            <w:r>
              <w:rPr>
                <w:rFonts w:cs="Times New Roman"/>
                <w:color w:val="000000"/>
                <w:kern w:val="0"/>
                <w:sz w:val="21"/>
                <w:szCs w:val="21"/>
                <w:lang w:bidi="ar"/>
              </w:rPr>
              <w:t>300</w:t>
            </w:r>
          </w:p>
        </w:tc>
        <w:tc>
          <w:tcPr>
            <w:tcW w:w="799" w:type="dxa"/>
            <w:shd w:val="clear" w:color="auto" w:fill="auto"/>
            <w:tcMar>
              <w:top w:w="15" w:type="dxa"/>
              <w:left w:w="15" w:type="dxa"/>
              <w:right w:w="15" w:type="dxa"/>
            </w:tcMar>
            <w:vAlign w:val="center"/>
          </w:tcPr>
          <w:p>
            <w:pPr>
              <w:widowControl/>
              <w:jc w:val="center"/>
              <w:textAlignment w:val="center"/>
              <w:rPr>
                <w:rFonts w:cs="Times New Roman"/>
                <w:color w:val="000000"/>
                <w:sz w:val="21"/>
                <w:szCs w:val="21"/>
              </w:rPr>
            </w:pPr>
            <w:r>
              <w:rPr>
                <w:rFonts w:cs="Times New Roman"/>
                <w:color w:val="000000"/>
                <w:kern w:val="0"/>
                <w:sz w:val="21"/>
                <w:szCs w:val="21"/>
                <w:lang w:bidi="ar"/>
              </w:rPr>
              <w:t>0.01</w:t>
            </w:r>
          </w:p>
        </w:tc>
        <w:tc>
          <w:tcPr>
            <w:tcW w:w="793" w:type="dxa"/>
            <w:shd w:val="clear" w:color="auto" w:fill="auto"/>
            <w:tcMar>
              <w:top w:w="15" w:type="dxa"/>
              <w:left w:w="15" w:type="dxa"/>
              <w:right w:w="15" w:type="dxa"/>
            </w:tcMar>
            <w:vAlign w:val="center"/>
          </w:tcPr>
          <w:p>
            <w:pPr>
              <w:widowControl/>
              <w:jc w:val="center"/>
              <w:textAlignment w:val="center"/>
              <w:rPr>
                <w:rFonts w:cs="Times New Roman"/>
                <w:color w:val="000000"/>
                <w:sz w:val="21"/>
                <w:szCs w:val="21"/>
              </w:rPr>
            </w:pPr>
            <w:r>
              <w:rPr>
                <w:rFonts w:cs="Times New Roman"/>
                <w:color w:val="000000"/>
                <w:kern w:val="0"/>
                <w:sz w:val="21"/>
                <w:szCs w:val="21"/>
                <w:lang w:bidi="ar"/>
              </w:rPr>
              <w:t>800</w:t>
            </w:r>
          </w:p>
        </w:tc>
        <w:tc>
          <w:tcPr>
            <w:tcW w:w="799" w:type="dxa"/>
            <w:shd w:val="clear" w:color="auto" w:fill="auto"/>
            <w:tcMar>
              <w:top w:w="15" w:type="dxa"/>
              <w:left w:w="15" w:type="dxa"/>
              <w:right w:w="15" w:type="dxa"/>
            </w:tcMar>
            <w:vAlign w:val="center"/>
          </w:tcPr>
          <w:p>
            <w:pPr>
              <w:widowControl/>
              <w:jc w:val="center"/>
              <w:textAlignment w:val="center"/>
              <w:rPr>
                <w:rFonts w:cs="Times New Roman"/>
                <w:color w:val="000000"/>
                <w:sz w:val="21"/>
                <w:szCs w:val="21"/>
              </w:rPr>
            </w:pPr>
            <w:r>
              <w:rPr>
                <w:rFonts w:cs="Times New Roman"/>
                <w:color w:val="000000"/>
                <w:kern w:val="0"/>
                <w:sz w:val="21"/>
                <w:szCs w:val="21"/>
                <w:lang w:bidi="ar"/>
              </w:rPr>
              <w:t>0.1</w:t>
            </w:r>
          </w:p>
        </w:tc>
        <w:tc>
          <w:tcPr>
            <w:tcW w:w="798" w:type="dxa"/>
            <w:shd w:val="clear" w:color="auto" w:fill="auto"/>
            <w:tcMar>
              <w:top w:w="15" w:type="dxa"/>
              <w:left w:w="15" w:type="dxa"/>
              <w:right w:w="15" w:type="dxa"/>
            </w:tcMar>
            <w:vAlign w:val="center"/>
          </w:tcPr>
          <w:p>
            <w:pPr>
              <w:widowControl/>
              <w:jc w:val="center"/>
              <w:textAlignment w:val="center"/>
              <w:rPr>
                <w:rFonts w:cs="Times New Roman"/>
                <w:color w:val="000000"/>
                <w:sz w:val="21"/>
                <w:szCs w:val="21"/>
              </w:rPr>
            </w:pPr>
            <w:r>
              <w:rPr>
                <w:rFonts w:cs="Times New Roman"/>
                <w:color w:val="000000"/>
                <w:kern w:val="0"/>
                <w:sz w:val="21"/>
                <w:szCs w:val="21"/>
                <w:lang w:bidi="ar"/>
              </w:rPr>
              <w:t>—</w:t>
            </w:r>
          </w:p>
        </w:tc>
        <w:tc>
          <w:tcPr>
            <w:tcW w:w="798" w:type="dxa"/>
            <w:shd w:val="clear" w:color="auto" w:fill="auto"/>
            <w:tcMar>
              <w:top w:w="15" w:type="dxa"/>
              <w:left w:w="15" w:type="dxa"/>
              <w:right w:w="15" w:type="dxa"/>
            </w:tcMar>
            <w:vAlign w:val="center"/>
          </w:tcPr>
          <w:p>
            <w:pPr>
              <w:widowControl/>
              <w:jc w:val="center"/>
              <w:textAlignment w:val="center"/>
              <w:rPr>
                <w:rFonts w:cs="Times New Roman"/>
                <w:color w:val="000000"/>
                <w:sz w:val="21"/>
                <w:szCs w:val="21"/>
              </w:rPr>
            </w:pPr>
            <w:r>
              <w:rPr>
                <w:rFonts w:cs="Times New Roman"/>
                <w:color w:val="000000"/>
                <w:kern w:val="0"/>
                <w:sz w:val="21"/>
                <w:szCs w:val="21"/>
                <w:lang w:bidi="ar"/>
              </w:rPr>
              <w:t>1</w:t>
            </w:r>
          </w:p>
        </w:tc>
        <w:tc>
          <w:tcPr>
            <w:tcW w:w="798" w:type="dxa"/>
            <w:shd w:val="clear" w:color="auto" w:fill="auto"/>
            <w:tcMar>
              <w:top w:w="15" w:type="dxa"/>
              <w:left w:w="15" w:type="dxa"/>
              <w:right w:w="15" w:type="dxa"/>
            </w:tcMar>
            <w:vAlign w:val="center"/>
          </w:tcPr>
          <w:p>
            <w:pPr>
              <w:widowControl/>
              <w:jc w:val="center"/>
              <w:textAlignment w:val="center"/>
              <w:rPr>
                <w:rFonts w:cs="Times New Roman"/>
                <w:color w:val="000000"/>
                <w:sz w:val="21"/>
                <w:szCs w:val="21"/>
              </w:rPr>
            </w:pPr>
            <w:r>
              <w:rPr>
                <w:rFonts w:cs="Times New Roman"/>
                <w:color w:val="000000"/>
                <w:kern w:val="0"/>
                <w:sz w:val="21"/>
                <w:szCs w:val="21"/>
                <w:lang w:bidi="ar"/>
              </w:rPr>
              <w:t>—</w:t>
            </w:r>
          </w:p>
        </w:tc>
        <w:tc>
          <w:tcPr>
            <w:tcW w:w="821" w:type="dxa"/>
            <w:shd w:val="clear" w:color="auto" w:fill="auto"/>
            <w:tcMar>
              <w:top w:w="15" w:type="dxa"/>
              <w:left w:w="15" w:type="dxa"/>
              <w:right w:w="15" w:type="dxa"/>
            </w:tcMar>
            <w:vAlign w:val="center"/>
          </w:tcPr>
          <w:p>
            <w:pPr>
              <w:widowControl/>
              <w:jc w:val="center"/>
              <w:textAlignment w:val="center"/>
              <w:rPr>
                <w:rFonts w:cs="Times New Roman"/>
                <w:color w:val="000000"/>
                <w:sz w:val="21"/>
                <w:szCs w:val="21"/>
              </w:rPr>
            </w:pPr>
            <w:r>
              <w:rPr>
                <w:rFonts w:cs="Times New Roman"/>
                <w:color w:val="000000"/>
                <w:kern w:val="0"/>
                <w:sz w:val="21"/>
                <w:szCs w:val="21"/>
                <w:lang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00" w:hRule="atLeast"/>
        </w:trPr>
        <w:tc>
          <w:tcPr>
            <w:tcW w:w="658" w:type="dxa"/>
            <w:shd w:val="clear" w:color="auto" w:fill="auto"/>
            <w:tcMar>
              <w:top w:w="15" w:type="dxa"/>
              <w:left w:w="15" w:type="dxa"/>
              <w:right w:w="15" w:type="dxa"/>
            </w:tcMar>
            <w:vAlign w:val="center"/>
          </w:tcPr>
          <w:p>
            <w:pPr>
              <w:widowControl/>
              <w:jc w:val="center"/>
              <w:textAlignment w:val="center"/>
              <w:rPr>
                <w:rFonts w:cs="Times New Roman"/>
                <w:color w:val="000000"/>
                <w:sz w:val="21"/>
                <w:szCs w:val="21"/>
              </w:rPr>
            </w:pPr>
            <w:r>
              <w:rPr>
                <w:rFonts w:cs="Times New Roman"/>
                <w:color w:val="000000"/>
                <w:kern w:val="0"/>
                <w:sz w:val="21"/>
                <w:szCs w:val="21"/>
                <w:lang w:bidi="ar"/>
              </w:rPr>
              <w:t>5</w:t>
            </w:r>
          </w:p>
        </w:tc>
        <w:tc>
          <w:tcPr>
            <w:tcW w:w="1236" w:type="dxa"/>
            <w:shd w:val="clear" w:color="auto" w:fill="auto"/>
            <w:tcMar>
              <w:top w:w="15" w:type="dxa"/>
              <w:left w:w="15" w:type="dxa"/>
              <w:right w:w="15" w:type="dxa"/>
            </w:tcMar>
            <w:vAlign w:val="center"/>
          </w:tcPr>
          <w:p>
            <w:pPr>
              <w:widowControl/>
              <w:jc w:val="center"/>
              <w:textAlignment w:val="center"/>
              <w:rPr>
                <w:rFonts w:cs="Times New Roman"/>
                <w:color w:val="000000"/>
                <w:sz w:val="21"/>
                <w:szCs w:val="21"/>
              </w:rPr>
            </w:pPr>
            <w:r>
              <w:rPr>
                <w:rFonts w:hint="eastAsia" w:cs="Times New Roman"/>
                <w:color w:val="000000"/>
                <w:kern w:val="0"/>
                <w:sz w:val="21"/>
                <w:szCs w:val="21"/>
                <w:lang w:bidi="ar"/>
              </w:rPr>
              <w:t>铬（六价）</w:t>
            </w:r>
          </w:p>
        </w:tc>
        <w:tc>
          <w:tcPr>
            <w:tcW w:w="793" w:type="dxa"/>
            <w:shd w:val="clear" w:color="auto" w:fill="auto"/>
            <w:tcMar>
              <w:top w:w="15" w:type="dxa"/>
              <w:left w:w="15" w:type="dxa"/>
              <w:right w:w="15" w:type="dxa"/>
            </w:tcMar>
            <w:vAlign w:val="center"/>
          </w:tcPr>
          <w:p>
            <w:pPr>
              <w:widowControl/>
              <w:jc w:val="center"/>
              <w:textAlignment w:val="center"/>
              <w:rPr>
                <w:rFonts w:cs="Times New Roman"/>
                <w:color w:val="000000"/>
                <w:sz w:val="21"/>
                <w:szCs w:val="21"/>
              </w:rPr>
            </w:pPr>
            <w:r>
              <w:rPr>
                <w:rFonts w:cs="Times New Roman"/>
                <w:color w:val="000000"/>
                <w:kern w:val="0"/>
                <w:sz w:val="21"/>
                <w:szCs w:val="21"/>
                <w:lang w:bidi="ar"/>
              </w:rPr>
              <w:t>3</w:t>
            </w:r>
          </w:p>
        </w:tc>
        <w:tc>
          <w:tcPr>
            <w:tcW w:w="799" w:type="dxa"/>
            <w:shd w:val="clear" w:color="auto" w:fill="auto"/>
            <w:tcMar>
              <w:top w:w="15" w:type="dxa"/>
              <w:left w:w="15" w:type="dxa"/>
              <w:right w:w="15" w:type="dxa"/>
            </w:tcMar>
            <w:vAlign w:val="center"/>
          </w:tcPr>
          <w:p>
            <w:pPr>
              <w:widowControl/>
              <w:jc w:val="center"/>
              <w:textAlignment w:val="center"/>
              <w:rPr>
                <w:rFonts w:cs="Times New Roman"/>
                <w:color w:val="000000"/>
                <w:sz w:val="21"/>
                <w:szCs w:val="21"/>
              </w:rPr>
            </w:pPr>
            <w:r>
              <w:rPr>
                <w:rFonts w:cs="Times New Roman"/>
                <w:color w:val="000000"/>
                <w:kern w:val="0"/>
                <w:sz w:val="21"/>
                <w:szCs w:val="21"/>
                <w:lang w:bidi="ar"/>
              </w:rPr>
              <w:t>0.05</w:t>
            </w:r>
          </w:p>
        </w:tc>
        <w:tc>
          <w:tcPr>
            <w:tcW w:w="793" w:type="dxa"/>
            <w:shd w:val="clear" w:color="auto" w:fill="auto"/>
            <w:tcMar>
              <w:top w:w="15" w:type="dxa"/>
              <w:left w:w="15" w:type="dxa"/>
              <w:right w:w="15" w:type="dxa"/>
            </w:tcMar>
            <w:vAlign w:val="center"/>
          </w:tcPr>
          <w:p>
            <w:pPr>
              <w:widowControl/>
              <w:jc w:val="center"/>
              <w:textAlignment w:val="center"/>
              <w:rPr>
                <w:rFonts w:cs="Times New Roman"/>
                <w:color w:val="000000"/>
                <w:sz w:val="21"/>
                <w:szCs w:val="21"/>
              </w:rPr>
            </w:pPr>
            <w:r>
              <w:rPr>
                <w:rFonts w:cs="Times New Roman"/>
                <w:color w:val="000000"/>
                <w:kern w:val="0"/>
                <w:sz w:val="21"/>
                <w:szCs w:val="21"/>
                <w:lang w:bidi="ar"/>
              </w:rPr>
              <w:t>5.7</w:t>
            </w:r>
          </w:p>
        </w:tc>
        <w:tc>
          <w:tcPr>
            <w:tcW w:w="799" w:type="dxa"/>
            <w:shd w:val="clear" w:color="auto" w:fill="auto"/>
            <w:tcMar>
              <w:top w:w="15" w:type="dxa"/>
              <w:left w:w="15" w:type="dxa"/>
              <w:right w:w="15" w:type="dxa"/>
            </w:tcMar>
            <w:vAlign w:val="center"/>
          </w:tcPr>
          <w:p>
            <w:pPr>
              <w:widowControl/>
              <w:jc w:val="center"/>
              <w:textAlignment w:val="center"/>
              <w:rPr>
                <w:rFonts w:cs="Times New Roman"/>
                <w:color w:val="000000"/>
                <w:sz w:val="21"/>
                <w:szCs w:val="21"/>
              </w:rPr>
            </w:pPr>
            <w:r>
              <w:rPr>
                <w:rFonts w:cs="Times New Roman"/>
                <w:color w:val="000000"/>
                <w:kern w:val="0"/>
                <w:sz w:val="21"/>
                <w:szCs w:val="21"/>
                <w:lang w:bidi="ar"/>
              </w:rPr>
              <w:t>0.1</w:t>
            </w:r>
          </w:p>
        </w:tc>
        <w:tc>
          <w:tcPr>
            <w:tcW w:w="798" w:type="dxa"/>
            <w:shd w:val="clear" w:color="auto" w:fill="auto"/>
            <w:tcMar>
              <w:top w:w="15" w:type="dxa"/>
              <w:left w:w="15" w:type="dxa"/>
              <w:right w:w="15" w:type="dxa"/>
            </w:tcMar>
            <w:vAlign w:val="center"/>
          </w:tcPr>
          <w:p>
            <w:pPr>
              <w:widowControl/>
              <w:jc w:val="center"/>
              <w:textAlignment w:val="center"/>
              <w:rPr>
                <w:rFonts w:cs="Times New Roman"/>
                <w:color w:val="000000"/>
                <w:sz w:val="21"/>
                <w:szCs w:val="21"/>
              </w:rPr>
            </w:pPr>
            <w:r>
              <w:rPr>
                <w:rFonts w:cs="Times New Roman"/>
                <w:color w:val="000000"/>
                <w:kern w:val="0"/>
                <w:sz w:val="21"/>
                <w:szCs w:val="21"/>
                <w:lang w:bidi="ar"/>
              </w:rPr>
              <w:t>—</w:t>
            </w:r>
          </w:p>
        </w:tc>
        <w:tc>
          <w:tcPr>
            <w:tcW w:w="798" w:type="dxa"/>
            <w:shd w:val="clear" w:color="auto" w:fill="auto"/>
            <w:tcMar>
              <w:top w:w="15" w:type="dxa"/>
              <w:left w:w="15" w:type="dxa"/>
              <w:right w:w="15" w:type="dxa"/>
            </w:tcMar>
            <w:vAlign w:val="center"/>
          </w:tcPr>
          <w:p>
            <w:pPr>
              <w:widowControl/>
              <w:jc w:val="center"/>
              <w:textAlignment w:val="center"/>
              <w:rPr>
                <w:rFonts w:cs="Times New Roman"/>
                <w:color w:val="000000"/>
                <w:sz w:val="21"/>
                <w:szCs w:val="21"/>
              </w:rPr>
            </w:pPr>
            <w:r>
              <w:rPr>
                <w:rFonts w:cs="Times New Roman"/>
                <w:color w:val="000000"/>
                <w:kern w:val="0"/>
                <w:sz w:val="21"/>
                <w:szCs w:val="21"/>
                <w:lang w:bidi="ar"/>
              </w:rPr>
              <w:t>0.5</w:t>
            </w:r>
          </w:p>
        </w:tc>
        <w:tc>
          <w:tcPr>
            <w:tcW w:w="798" w:type="dxa"/>
            <w:shd w:val="clear" w:color="auto" w:fill="auto"/>
            <w:tcMar>
              <w:top w:w="15" w:type="dxa"/>
              <w:left w:w="15" w:type="dxa"/>
              <w:right w:w="15" w:type="dxa"/>
            </w:tcMar>
            <w:vAlign w:val="center"/>
          </w:tcPr>
          <w:p>
            <w:pPr>
              <w:widowControl/>
              <w:jc w:val="center"/>
              <w:textAlignment w:val="center"/>
              <w:rPr>
                <w:rFonts w:cs="Times New Roman"/>
                <w:color w:val="000000"/>
                <w:sz w:val="21"/>
                <w:szCs w:val="21"/>
              </w:rPr>
            </w:pPr>
            <w:r>
              <w:rPr>
                <w:rFonts w:cs="Times New Roman"/>
                <w:color w:val="000000"/>
                <w:kern w:val="0"/>
                <w:sz w:val="21"/>
                <w:szCs w:val="21"/>
                <w:lang w:bidi="ar"/>
              </w:rPr>
              <w:t>—</w:t>
            </w:r>
          </w:p>
        </w:tc>
        <w:tc>
          <w:tcPr>
            <w:tcW w:w="821" w:type="dxa"/>
            <w:shd w:val="clear" w:color="auto" w:fill="auto"/>
            <w:tcMar>
              <w:top w:w="15" w:type="dxa"/>
              <w:left w:w="15" w:type="dxa"/>
              <w:right w:w="15" w:type="dxa"/>
            </w:tcMar>
            <w:vAlign w:val="center"/>
          </w:tcPr>
          <w:p>
            <w:pPr>
              <w:widowControl/>
              <w:jc w:val="center"/>
              <w:textAlignment w:val="center"/>
              <w:rPr>
                <w:rFonts w:cs="Times New Roman"/>
                <w:color w:val="000000"/>
                <w:sz w:val="21"/>
                <w:szCs w:val="21"/>
              </w:rPr>
            </w:pPr>
            <w:r>
              <w:rPr>
                <w:rFonts w:cs="Times New Roman"/>
                <w:color w:val="000000"/>
                <w:kern w:val="0"/>
                <w:sz w:val="21"/>
                <w:szCs w:val="21"/>
                <w:lang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00" w:hRule="atLeast"/>
        </w:trPr>
        <w:tc>
          <w:tcPr>
            <w:tcW w:w="658" w:type="dxa"/>
            <w:shd w:val="clear" w:color="auto" w:fill="auto"/>
            <w:tcMar>
              <w:top w:w="15" w:type="dxa"/>
              <w:left w:w="15" w:type="dxa"/>
              <w:right w:w="15" w:type="dxa"/>
            </w:tcMar>
            <w:vAlign w:val="center"/>
          </w:tcPr>
          <w:p>
            <w:pPr>
              <w:widowControl/>
              <w:jc w:val="center"/>
              <w:textAlignment w:val="center"/>
              <w:rPr>
                <w:rFonts w:cs="Times New Roman"/>
                <w:color w:val="000000"/>
                <w:sz w:val="21"/>
                <w:szCs w:val="21"/>
              </w:rPr>
            </w:pPr>
            <w:r>
              <w:rPr>
                <w:rFonts w:cs="Times New Roman"/>
                <w:color w:val="000000"/>
                <w:kern w:val="0"/>
                <w:sz w:val="21"/>
                <w:szCs w:val="21"/>
                <w:lang w:bidi="ar"/>
              </w:rPr>
              <w:t>6</w:t>
            </w:r>
          </w:p>
        </w:tc>
        <w:tc>
          <w:tcPr>
            <w:tcW w:w="1236" w:type="dxa"/>
            <w:shd w:val="clear" w:color="auto" w:fill="auto"/>
            <w:tcMar>
              <w:top w:w="15" w:type="dxa"/>
              <w:left w:w="15" w:type="dxa"/>
              <w:right w:w="15" w:type="dxa"/>
            </w:tcMar>
            <w:vAlign w:val="center"/>
          </w:tcPr>
          <w:p>
            <w:pPr>
              <w:widowControl/>
              <w:jc w:val="center"/>
              <w:textAlignment w:val="center"/>
              <w:rPr>
                <w:rFonts w:cs="Times New Roman"/>
                <w:color w:val="000000"/>
                <w:sz w:val="21"/>
                <w:szCs w:val="21"/>
              </w:rPr>
            </w:pPr>
            <w:r>
              <w:rPr>
                <w:rFonts w:hint="eastAsia" w:cs="Times New Roman"/>
                <w:color w:val="000000"/>
                <w:kern w:val="0"/>
                <w:sz w:val="21"/>
                <w:szCs w:val="21"/>
                <w:lang w:bidi="ar"/>
              </w:rPr>
              <w:t>总铜</w:t>
            </w:r>
          </w:p>
        </w:tc>
        <w:tc>
          <w:tcPr>
            <w:tcW w:w="793" w:type="dxa"/>
            <w:shd w:val="clear" w:color="auto" w:fill="auto"/>
            <w:tcMar>
              <w:top w:w="15" w:type="dxa"/>
              <w:left w:w="15" w:type="dxa"/>
              <w:right w:w="15" w:type="dxa"/>
            </w:tcMar>
            <w:vAlign w:val="center"/>
          </w:tcPr>
          <w:p>
            <w:pPr>
              <w:widowControl/>
              <w:jc w:val="center"/>
              <w:textAlignment w:val="center"/>
              <w:rPr>
                <w:rFonts w:cs="Times New Roman"/>
                <w:color w:val="000000"/>
                <w:sz w:val="21"/>
                <w:szCs w:val="21"/>
              </w:rPr>
            </w:pPr>
            <w:r>
              <w:rPr>
                <w:rFonts w:cs="Times New Roman"/>
                <w:color w:val="000000"/>
                <w:kern w:val="0"/>
                <w:sz w:val="21"/>
                <w:szCs w:val="21"/>
                <w:lang w:bidi="ar"/>
              </w:rPr>
              <w:t>1500</w:t>
            </w:r>
          </w:p>
        </w:tc>
        <w:tc>
          <w:tcPr>
            <w:tcW w:w="799" w:type="dxa"/>
            <w:shd w:val="clear" w:color="auto" w:fill="auto"/>
            <w:tcMar>
              <w:top w:w="15" w:type="dxa"/>
              <w:left w:w="15" w:type="dxa"/>
              <w:right w:w="15" w:type="dxa"/>
            </w:tcMar>
            <w:vAlign w:val="center"/>
          </w:tcPr>
          <w:p>
            <w:pPr>
              <w:widowControl/>
              <w:jc w:val="center"/>
              <w:textAlignment w:val="center"/>
              <w:rPr>
                <w:rFonts w:cs="Times New Roman"/>
                <w:color w:val="000000"/>
                <w:sz w:val="21"/>
                <w:szCs w:val="21"/>
              </w:rPr>
            </w:pPr>
            <w:r>
              <w:rPr>
                <w:rFonts w:cs="Times New Roman"/>
                <w:color w:val="000000"/>
                <w:kern w:val="0"/>
                <w:sz w:val="21"/>
                <w:szCs w:val="21"/>
                <w:lang w:bidi="ar"/>
              </w:rPr>
              <w:t>1</w:t>
            </w:r>
          </w:p>
        </w:tc>
        <w:tc>
          <w:tcPr>
            <w:tcW w:w="793" w:type="dxa"/>
            <w:shd w:val="clear" w:color="auto" w:fill="auto"/>
            <w:tcMar>
              <w:top w:w="15" w:type="dxa"/>
              <w:left w:w="15" w:type="dxa"/>
              <w:right w:w="15" w:type="dxa"/>
            </w:tcMar>
            <w:vAlign w:val="center"/>
          </w:tcPr>
          <w:p>
            <w:pPr>
              <w:widowControl/>
              <w:jc w:val="center"/>
              <w:textAlignment w:val="center"/>
              <w:rPr>
                <w:rFonts w:cs="Times New Roman"/>
                <w:color w:val="000000"/>
                <w:sz w:val="21"/>
                <w:szCs w:val="21"/>
              </w:rPr>
            </w:pPr>
            <w:r>
              <w:rPr>
                <w:rFonts w:cs="Times New Roman"/>
                <w:color w:val="000000"/>
                <w:kern w:val="0"/>
                <w:sz w:val="21"/>
                <w:szCs w:val="21"/>
                <w:lang w:bidi="ar"/>
              </w:rPr>
              <w:t>18000</w:t>
            </w:r>
          </w:p>
        </w:tc>
        <w:tc>
          <w:tcPr>
            <w:tcW w:w="799" w:type="dxa"/>
            <w:shd w:val="clear" w:color="auto" w:fill="auto"/>
            <w:tcMar>
              <w:top w:w="15" w:type="dxa"/>
              <w:left w:w="15" w:type="dxa"/>
              <w:right w:w="15" w:type="dxa"/>
            </w:tcMar>
            <w:vAlign w:val="center"/>
          </w:tcPr>
          <w:p>
            <w:pPr>
              <w:widowControl/>
              <w:jc w:val="center"/>
              <w:textAlignment w:val="center"/>
              <w:rPr>
                <w:rFonts w:cs="Times New Roman"/>
                <w:color w:val="000000"/>
                <w:sz w:val="21"/>
                <w:szCs w:val="21"/>
              </w:rPr>
            </w:pPr>
            <w:r>
              <w:rPr>
                <w:rFonts w:cs="Times New Roman"/>
                <w:color w:val="000000"/>
                <w:kern w:val="0"/>
                <w:sz w:val="21"/>
                <w:szCs w:val="21"/>
                <w:lang w:bidi="ar"/>
              </w:rPr>
              <w:t>1.5</w:t>
            </w:r>
          </w:p>
        </w:tc>
        <w:tc>
          <w:tcPr>
            <w:tcW w:w="798" w:type="dxa"/>
            <w:shd w:val="clear" w:color="auto" w:fill="auto"/>
            <w:tcMar>
              <w:top w:w="15" w:type="dxa"/>
              <w:left w:w="15" w:type="dxa"/>
              <w:right w:w="15" w:type="dxa"/>
            </w:tcMar>
            <w:vAlign w:val="center"/>
          </w:tcPr>
          <w:p>
            <w:pPr>
              <w:widowControl/>
              <w:jc w:val="center"/>
              <w:textAlignment w:val="center"/>
              <w:rPr>
                <w:rFonts w:cs="Times New Roman"/>
                <w:color w:val="000000"/>
                <w:sz w:val="21"/>
                <w:szCs w:val="21"/>
              </w:rPr>
            </w:pPr>
            <w:r>
              <w:rPr>
                <w:rFonts w:cs="Times New Roman"/>
                <w:color w:val="000000"/>
                <w:kern w:val="0"/>
                <w:sz w:val="21"/>
                <w:szCs w:val="21"/>
                <w:lang w:bidi="ar"/>
              </w:rPr>
              <w:t>—</w:t>
            </w:r>
          </w:p>
        </w:tc>
        <w:tc>
          <w:tcPr>
            <w:tcW w:w="798" w:type="dxa"/>
            <w:shd w:val="clear" w:color="auto" w:fill="auto"/>
            <w:tcMar>
              <w:top w:w="15" w:type="dxa"/>
              <w:left w:w="15" w:type="dxa"/>
              <w:right w:w="15" w:type="dxa"/>
            </w:tcMar>
            <w:vAlign w:val="center"/>
          </w:tcPr>
          <w:p>
            <w:pPr>
              <w:widowControl/>
              <w:jc w:val="center"/>
              <w:textAlignment w:val="center"/>
              <w:rPr>
                <w:rFonts w:cs="Times New Roman"/>
                <w:color w:val="000000"/>
                <w:sz w:val="21"/>
                <w:szCs w:val="21"/>
              </w:rPr>
            </w:pPr>
            <w:r>
              <w:rPr>
                <w:rFonts w:cs="Times New Roman"/>
                <w:color w:val="000000"/>
                <w:kern w:val="0"/>
                <w:sz w:val="21"/>
                <w:szCs w:val="21"/>
                <w:lang w:bidi="ar"/>
              </w:rPr>
              <w:t>1.5</w:t>
            </w:r>
          </w:p>
        </w:tc>
        <w:tc>
          <w:tcPr>
            <w:tcW w:w="798" w:type="dxa"/>
            <w:shd w:val="clear" w:color="auto" w:fill="auto"/>
            <w:tcMar>
              <w:top w:w="15" w:type="dxa"/>
              <w:left w:w="15" w:type="dxa"/>
              <w:right w:w="15" w:type="dxa"/>
            </w:tcMar>
            <w:vAlign w:val="center"/>
          </w:tcPr>
          <w:p>
            <w:pPr>
              <w:widowControl/>
              <w:jc w:val="center"/>
              <w:textAlignment w:val="center"/>
              <w:rPr>
                <w:rFonts w:cs="Times New Roman"/>
                <w:color w:val="000000"/>
                <w:sz w:val="21"/>
                <w:szCs w:val="21"/>
              </w:rPr>
            </w:pPr>
            <w:r>
              <w:rPr>
                <w:rFonts w:cs="Times New Roman"/>
                <w:color w:val="000000"/>
                <w:kern w:val="0"/>
                <w:sz w:val="21"/>
                <w:szCs w:val="21"/>
                <w:lang w:bidi="ar"/>
              </w:rPr>
              <w:t>—</w:t>
            </w:r>
          </w:p>
        </w:tc>
        <w:tc>
          <w:tcPr>
            <w:tcW w:w="821" w:type="dxa"/>
            <w:shd w:val="clear" w:color="auto" w:fill="auto"/>
            <w:tcMar>
              <w:top w:w="15" w:type="dxa"/>
              <w:left w:w="15" w:type="dxa"/>
              <w:right w:w="15" w:type="dxa"/>
            </w:tcMar>
            <w:vAlign w:val="center"/>
          </w:tcPr>
          <w:p>
            <w:pPr>
              <w:widowControl/>
              <w:jc w:val="center"/>
              <w:textAlignment w:val="center"/>
              <w:rPr>
                <w:rFonts w:cs="Times New Roman"/>
                <w:color w:val="000000"/>
                <w:sz w:val="21"/>
                <w:szCs w:val="21"/>
              </w:rPr>
            </w:pPr>
            <w:r>
              <w:rPr>
                <w:rFonts w:cs="Times New Roman"/>
                <w:color w:val="000000"/>
                <w:kern w:val="0"/>
                <w:sz w:val="21"/>
                <w:szCs w:val="21"/>
                <w:lang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00" w:hRule="atLeast"/>
        </w:trPr>
        <w:tc>
          <w:tcPr>
            <w:tcW w:w="658" w:type="dxa"/>
            <w:shd w:val="clear" w:color="auto" w:fill="auto"/>
            <w:tcMar>
              <w:top w:w="15" w:type="dxa"/>
              <w:left w:w="15" w:type="dxa"/>
              <w:right w:w="15" w:type="dxa"/>
            </w:tcMar>
            <w:vAlign w:val="center"/>
          </w:tcPr>
          <w:p>
            <w:pPr>
              <w:widowControl/>
              <w:jc w:val="center"/>
              <w:textAlignment w:val="center"/>
              <w:rPr>
                <w:rFonts w:cs="Times New Roman"/>
                <w:color w:val="000000"/>
                <w:sz w:val="21"/>
                <w:szCs w:val="21"/>
              </w:rPr>
            </w:pPr>
            <w:r>
              <w:rPr>
                <w:rFonts w:cs="Times New Roman"/>
                <w:color w:val="000000"/>
                <w:kern w:val="0"/>
                <w:sz w:val="21"/>
                <w:szCs w:val="21"/>
                <w:lang w:bidi="ar"/>
              </w:rPr>
              <w:t>7</w:t>
            </w:r>
          </w:p>
        </w:tc>
        <w:tc>
          <w:tcPr>
            <w:tcW w:w="1236" w:type="dxa"/>
            <w:shd w:val="clear" w:color="auto" w:fill="auto"/>
            <w:tcMar>
              <w:top w:w="15" w:type="dxa"/>
              <w:left w:w="15" w:type="dxa"/>
              <w:right w:w="15" w:type="dxa"/>
            </w:tcMar>
            <w:vAlign w:val="center"/>
          </w:tcPr>
          <w:p>
            <w:pPr>
              <w:widowControl/>
              <w:jc w:val="center"/>
              <w:textAlignment w:val="center"/>
              <w:rPr>
                <w:rFonts w:cs="Times New Roman"/>
                <w:color w:val="000000"/>
                <w:sz w:val="21"/>
                <w:szCs w:val="21"/>
              </w:rPr>
            </w:pPr>
            <w:r>
              <w:rPr>
                <w:rFonts w:hint="eastAsia" w:cs="Times New Roman"/>
                <w:color w:val="000000"/>
                <w:kern w:val="0"/>
                <w:sz w:val="21"/>
                <w:szCs w:val="21"/>
                <w:lang w:bidi="ar"/>
              </w:rPr>
              <w:t>总镍</w:t>
            </w:r>
          </w:p>
        </w:tc>
        <w:tc>
          <w:tcPr>
            <w:tcW w:w="793" w:type="dxa"/>
            <w:shd w:val="clear" w:color="auto" w:fill="auto"/>
            <w:tcMar>
              <w:top w:w="15" w:type="dxa"/>
              <w:left w:w="15" w:type="dxa"/>
              <w:right w:w="15" w:type="dxa"/>
            </w:tcMar>
            <w:vAlign w:val="center"/>
          </w:tcPr>
          <w:p>
            <w:pPr>
              <w:widowControl/>
              <w:jc w:val="center"/>
              <w:textAlignment w:val="center"/>
              <w:rPr>
                <w:rFonts w:cs="Times New Roman"/>
                <w:color w:val="000000"/>
                <w:sz w:val="21"/>
                <w:szCs w:val="21"/>
              </w:rPr>
            </w:pPr>
            <w:r>
              <w:rPr>
                <w:rFonts w:cs="Times New Roman"/>
                <w:color w:val="000000"/>
                <w:kern w:val="0"/>
                <w:sz w:val="21"/>
                <w:szCs w:val="21"/>
                <w:lang w:bidi="ar"/>
              </w:rPr>
              <w:t>150</w:t>
            </w:r>
          </w:p>
        </w:tc>
        <w:tc>
          <w:tcPr>
            <w:tcW w:w="799" w:type="dxa"/>
            <w:shd w:val="clear" w:color="auto" w:fill="auto"/>
            <w:tcMar>
              <w:top w:w="15" w:type="dxa"/>
              <w:left w:w="15" w:type="dxa"/>
              <w:right w:w="15" w:type="dxa"/>
            </w:tcMar>
            <w:vAlign w:val="center"/>
          </w:tcPr>
          <w:p>
            <w:pPr>
              <w:widowControl/>
              <w:jc w:val="center"/>
              <w:textAlignment w:val="center"/>
              <w:rPr>
                <w:rFonts w:cs="Times New Roman"/>
                <w:color w:val="000000"/>
                <w:sz w:val="21"/>
                <w:szCs w:val="21"/>
              </w:rPr>
            </w:pPr>
            <w:r>
              <w:rPr>
                <w:rFonts w:cs="Times New Roman"/>
                <w:color w:val="000000"/>
                <w:kern w:val="0"/>
                <w:sz w:val="21"/>
                <w:szCs w:val="21"/>
                <w:lang w:bidi="ar"/>
              </w:rPr>
              <w:t>0.02</w:t>
            </w:r>
          </w:p>
        </w:tc>
        <w:tc>
          <w:tcPr>
            <w:tcW w:w="793" w:type="dxa"/>
            <w:shd w:val="clear" w:color="auto" w:fill="auto"/>
            <w:tcMar>
              <w:top w:w="15" w:type="dxa"/>
              <w:left w:w="15" w:type="dxa"/>
              <w:right w:w="15" w:type="dxa"/>
            </w:tcMar>
            <w:vAlign w:val="center"/>
          </w:tcPr>
          <w:p>
            <w:pPr>
              <w:widowControl/>
              <w:jc w:val="center"/>
              <w:textAlignment w:val="center"/>
              <w:rPr>
                <w:rFonts w:cs="Times New Roman"/>
                <w:color w:val="000000"/>
                <w:sz w:val="21"/>
                <w:szCs w:val="21"/>
              </w:rPr>
            </w:pPr>
            <w:r>
              <w:rPr>
                <w:rFonts w:cs="Times New Roman"/>
                <w:color w:val="000000"/>
                <w:kern w:val="0"/>
                <w:sz w:val="21"/>
                <w:szCs w:val="21"/>
                <w:lang w:bidi="ar"/>
              </w:rPr>
              <w:t>900</w:t>
            </w:r>
          </w:p>
        </w:tc>
        <w:tc>
          <w:tcPr>
            <w:tcW w:w="799" w:type="dxa"/>
            <w:shd w:val="clear" w:color="auto" w:fill="auto"/>
            <w:tcMar>
              <w:top w:w="15" w:type="dxa"/>
              <w:left w:w="15" w:type="dxa"/>
              <w:right w:w="15" w:type="dxa"/>
            </w:tcMar>
            <w:vAlign w:val="center"/>
          </w:tcPr>
          <w:p>
            <w:pPr>
              <w:widowControl/>
              <w:jc w:val="center"/>
              <w:textAlignment w:val="center"/>
              <w:rPr>
                <w:rFonts w:cs="Times New Roman"/>
                <w:color w:val="000000"/>
                <w:sz w:val="21"/>
                <w:szCs w:val="21"/>
              </w:rPr>
            </w:pPr>
            <w:r>
              <w:rPr>
                <w:rFonts w:cs="Times New Roman"/>
                <w:color w:val="000000"/>
                <w:kern w:val="0"/>
                <w:sz w:val="21"/>
                <w:szCs w:val="21"/>
                <w:lang w:bidi="ar"/>
              </w:rPr>
              <w:t>0.1</w:t>
            </w:r>
          </w:p>
        </w:tc>
        <w:tc>
          <w:tcPr>
            <w:tcW w:w="798" w:type="dxa"/>
            <w:shd w:val="clear" w:color="auto" w:fill="auto"/>
            <w:tcMar>
              <w:top w:w="15" w:type="dxa"/>
              <w:left w:w="15" w:type="dxa"/>
              <w:right w:w="15" w:type="dxa"/>
            </w:tcMar>
            <w:vAlign w:val="center"/>
          </w:tcPr>
          <w:p>
            <w:pPr>
              <w:widowControl/>
              <w:jc w:val="center"/>
              <w:textAlignment w:val="center"/>
              <w:rPr>
                <w:rFonts w:cs="Times New Roman"/>
                <w:color w:val="000000"/>
                <w:sz w:val="21"/>
                <w:szCs w:val="21"/>
              </w:rPr>
            </w:pPr>
            <w:r>
              <w:rPr>
                <w:rFonts w:cs="Times New Roman"/>
                <w:color w:val="000000"/>
                <w:kern w:val="0"/>
                <w:sz w:val="21"/>
                <w:szCs w:val="21"/>
                <w:lang w:bidi="ar"/>
              </w:rPr>
              <w:t>—</w:t>
            </w:r>
          </w:p>
        </w:tc>
        <w:tc>
          <w:tcPr>
            <w:tcW w:w="798" w:type="dxa"/>
            <w:shd w:val="clear" w:color="auto" w:fill="auto"/>
            <w:tcMar>
              <w:top w:w="15" w:type="dxa"/>
              <w:left w:w="15" w:type="dxa"/>
              <w:right w:w="15" w:type="dxa"/>
            </w:tcMar>
            <w:vAlign w:val="center"/>
          </w:tcPr>
          <w:p>
            <w:pPr>
              <w:widowControl/>
              <w:jc w:val="center"/>
              <w:textAlignment w:val="center"/>
              <w:rPr>
                <w:rFonts w:cs="Times New Roman"/>
                <w:color w:val="000000"/>
                <w:sz w:val="21"/>
                <w:szCs w:val="21"/>
              </w:rPr>
            </w:pPr>
            <w:r>
              <w:rPr>
                <w:rFonts w:cs="Times New Roman"/>
                <w:color w:val="000000"/>
                <w:kern w:val="0"/>
                <w:sz w:val="21"/>
                <w:szCs w:val="21"/>
                <w:lang w:bidi="ar"/>
              </w:rPr>
              <w:t>1</w:t>
            </w:r>
          </w:p>
        </w:tc>
        <w:tc>
          <w:tcPr>
            <w:tcW w:w="798" w:type="dxa"/>
            <w:shd w:val="clear" w:color="auto" w:fill="auto"/>
            <w:tcMar>
              <w:top w:w="15" w:type="dxa"/>
              <w:left w:w="15" w:type="dxa"/>
              <w:right w:w="15" w:type="dxa"/>
            </w:tcMar>
            <w:vAlign w:val="center"/>
          </w:tcPr>
          <w:p>
            <w:pPr>
              <w:widowControl/>
              <w:jc w:val="center"/>
              <w:textAlignment w:val="center"/>
              <w:rPr>
                <w:rFonts w:cs="Times New Roman"/>
                <w:color w:val="000000"/>
                <w:sz w:val="21"/>
                <w:szCs w:val="21"/>
              </w:rPr>
            </w:pPr>
            <w:r>
              <w:rPr>
                <w:rFonts w:cs="Times New Roman"/>
                <w:color w:val="000000"/>
                <w:kern w:val="0"/>
                <w:sz w:val="21"/>
                <w:szCs w:val="21"/>
                <w:lang w:bidi="ar"/>
              </w:rPr>
              <w:t>—</w:t>
            </w:r>
          </w:p>
        </w:tc>
        <w:tc>
          <w:tcPr>
            <w:tcW w:w="821" w:type="dxa"/>
            <w:shd w:val="clear" w:color="auto" w:fill="auto"/>
            <w:tcMar>
              <w:top w:w="15" w:type="dxa"/>
              <w:left w:w="15" w:type="dxa"/>
              <w:right w:w="15" w:type="dxa"/>
            </w:tcMar>
            <w:vAlign w:val="center"/>
          </w:tcPr>
          <w:p>
            <w:pPr>
              <w:widowControl/>
              <w:jc w:val="center"/>
              <w:textAlignment w:val="center"/>
              <w:rPr>
                <w:rFonts w:cs="Times New Roman"/>
                <w:color w:val="000000"/>
                <w:sz w:val="21"/>
                <w:szCs w:val="21"/>
              </w:rPr>
            </w:pPr>
            <w:r>
              <w:rPr>
                <w:rFonts w:cs="Times New Roman"/>
                <w:color w:val="000000"/>
                <w:kern w:val="0"/>
                <w:sz w:val="21"/>
                <w:szCs w:val="21"/>
                <w:lang w:bidi="ar"/>
              </w:rPr>
              <w:t>5</w:t>
            </w:r>
          </w:p>
        </w:tc>
      </w:tr>
    </w:tbl>
    <w:p>
      <w:pPr>
        <w:rPr>
          <w:b/>
          <w:bCs/>
        </w:rPr>
      </w:pPr>
      <w:r>
        <w:rPr>
          <w:rFonts w:hint="eastAsia" w:cs="Times New Roman"/>
          <w:color w:val="000000"/>
          <w:kern w:val="0"/>
          <w:sz w:val="21"/>
          <w:szCs w:val="21"/>
          <w:lang w:bidi="ar"/>
        </w:rPr>
        <w:t>注：表中数值为上限值。</w:t>
      </w:r>
    </w:p>
    <w:p>
      <w:r>
        <w:rPr>
          <w:rFonts w:hint="eastAsia"/>
          <w:b/>
          <w:bCs/>
        </w:rPr>
        <w:t>6.6.5</w:t>
      </w:r>
      <w:r>
        <w:rPr>
          <w:b/>
          <w:bCs/>
        </w:rPr>
        <w:t xml:space="preserve"> </w:t>
      </w:r>
      <w:r>
        <w:rPr>
          <w:rFonts w:hint="eastAsia"/>
          <w:b/>
          <w:bCs/>
        </w:rPr>
        <w:t xml:space="preserve"> </w:t>
      </w:r>
      <w:r>
        <w:rPr>
          <w:rFonts w:cs="Times New Roman"/>
        </w:rPr>
        <w:t>Ⅰ</w:t>
      </w:r>
      <w:r>
        <w:rPr>
          <w:rFonts w:hint="eastAsia"/>
        </w:rPr>
        <w:t>类余土可用于建材原料利用，以及包括GB 50137规定的城市建设用地中的居住用地（R），公共管理与公众服务用地中的中小学用地（A33）、医疗卫生用地（A5）和社会福利设施用地（A6），以及公园绿地（G1）中的社区公园或儿童公园用地等。</w:t>
      </w:r>
    </w:p>
    <w:p>
      <w:r>
        <w:rPr>
          <w:rFonts w:hint="eastAsia"/>
          <w:b/>
          <w:bCs/>
        </w:rPr>
        <w:t xml:space="preserve">6.6.6 </w:t>
      </w:r>
      <w:r>
        <w:rPr>
          <w:b/>
          <w:bCs/>
        </w:rPr>
        <w:t xml:space="preserve"> </w:t>
      </w:r>
      <w:r>
        <w:rPr>
          <w:rFonts w:hint="eastAsia"/>
        </w:rPr>
        <w:t>II类余土可用于包括GB 50137规定的城市建设用地中的工业用地（M），物流仓储用地（W），商业服务业设施用地（B），道路与交通设施用地（S），公用设施用地（U），公共管理与公共服务用地（A）（A33、A5、A6除外），以及绿地与广场用地（G）（G1中的社区公园或儿童公园用地除外）等。</w:t>
      </w:r>
    </w:p>
    <w:p>
      <w:r>
        <w:rPr>
          <w:b/>
        </w:rPr>
        <w:t xml:space="preserve">6.6.7  </w:t>
      </w:r>
      <w:r>
        <w:rPr>
          <w:rFonts w:hint="eastAsia"/>
        </w:rPr>
        <w:t>III类余土可用于GB 5137规定的区域交通设施用地（H2），非城市建设用地（E）中的其他非建设用地（E9），并应进行覆盖，且覆盖土层厚度不可小于50cm。</w:t>
      </w:r>
    </w:p>
    <w:p>
      <w:r>
        <w:rPr>
          <w:rFonts w:hint="eastAsia"/>
          <w:b/>
          <w:bCs/>
        </w:rPr>
        <w:t>6.6.</w:t>
      </w:r>
      <w:r>
        <w:rPr>
          <w:b/>
          <w:bCs/>
        </w:rPr>
        <w:t xml:space="preserve">8 </w:t>
      </w:r>
      <w:r>
        <w:rPr>
          <w:rFonts w:hint="eastAsia"/>
          <w:b/>
          <w:bCs/>
        </w:rPr>
        <w:t xml:space="preserve"> </w:t>
      </w:r>
      <w:r>
        <w:rPr>
          <w:bCs/>
        </w:rPr>
        <w:t>IV</w:t>
      </w:r>
      <w:r>
        <w:rPr>
          <w:rFonts w:hint="eastAsia"/>
        </w:rPr>
        <w:t>类余土应进行单独填埋、卫生填埋处置。单独填埋处置时，应符合GB 18599的有关规定；卫生填埋处置时，应符合GB 16889的有关规定。</w:t>
      </w:r>
    </w:p>
    <w:p>
      <w:pPr>
        <w:pStyle w:val="3"/>
        <w:spacing w:before="120"/>
      </w:pPr>
      <w:bookmarkStart w:id="72" w:name="_Toc8917373"/>
      <w:bookmarkStart w:id="73" w:name="_Toc37843265"/>
      <w:r>
        <w:rPr>
          <w:rFonts w:hint="eastAsia"/>
        </w:rPr>
        <w:t xml:space="preserve">6.7 </w:t>
      </w:r>
      <w:bookmarkEnd w:id="72"/>
      <w:r>
        <w:t xml:space="preserve"> </w:t>
      </w:r>
      <w:r>
        <w:rPr>
          <w:rFonts w:hint="eastAsia"/>
        </w:rPr>
        <w:t>余水处理与排放</w:t>
      </w:r>
      <w:bookmarkEnd w:id="73"/>
    </w:p>
    <w:p>
      <w:r>
        <w:rPr>
          <w:rFonts w:hint="eastAsia"/>
          <w:b/>
          <w:bCs/>
        </w:rPr>
        <w:t>6.7.1</w:t>
      </w:r>
      <w:r>
        <w:rPr>
          <w:rFonts w:hint="eastAsia"/>
        </w:rPr>
        <w:t xml:space="preserve"> </w:t>
      </w:r>
      <w:r>
        <w:t xml:space="preserve"> </w:t>
      </w:r>
      <w:r>
        <w:rPr>
          <w:rFonts w:hint="eastAsia"/>
        </w:rPr>
        <w:t>余水应集中处理后达标排放。</w:t>
      </w:r>
    </w:p>
    <w:p>
      <w:r>
        <w:rPr>
          <w:rFonts w:hint="eastAsia"/>
          <w:b/>
          <w:bCs/>
        </w:rPr>
        <w:t>6.7.2</w:t>
      </w:r>
      <w:r>
        <w:rPr>
          <w:b/>
          <w:bCs/>
        </w:rPr>
        <w:t xml:space="preserve">  </w:t>
      </w:r>
      <w:r>
        <w:rPr>
          <w:rFonts w:hint="eastAsia"/>
        </w:rPr>
        <w:t>余水处理量应结合底泥处理工艺、堆场停留时间等，根据底泥处理的产水率确定。</w:t>
      </w:r>
    </w:p>
    <w:p>
      <w:r>
        <w:rPr>
          <w:rFonts w:hint="eastAsia"/>
          <w:b/>
          <w:bCs/>
        </w:rPr>
        <w:t>6.7.3</w:t>
      </w:r>
      <w:r>
        <w:rPr>
          <w:rFonts w:hint="eastAsia"/>
        </w:rPr>
        <w:t xml:space="preserve"> </w:t>
      </w:r>
      <w:r>
        <w:t xml:space="preserve"> </w:t>
      </w:r>
      <w:r>
        <w:rPr>
          <w:rFonts w:hint="eastAsia"/>
        </w:rPr>
        <w:t>对于排入正在实施水环境治理工程的河湖水域内的余水：</w:t>
      </w:r>
    </w:p>
    <w:p>
      <w:pPr>
        <w:tabs>
          <w:tab w:val="left" w:pos="0"/>
        </w:tabs>
        <w:ind w:firstLine="482" w:firstLineChars="200"/>
      </w:pPr>
      <w:r>
        <w:rPr>
          <w:b/>
        </w:rPr>
        <w:t xml:space="preserve">1  </w:t>
      </w:r>
      <w:r>
        <w:rPr>
          <w:rFonts w:hint="eastAsia"/>
        </w:rPr>
        <w:t>其pH指标值不得超过原河湖水体的pH指标值；</w:t>
      </w:r>
    </w:p>
    <w:p>
      <w:pPr>
        <w:tabs>
          <w:tab w:val="left" w:pos="0"/>
        </w:tabs>
        <w:ind w:firstLine="482" w:firstLineChars="200"/>
      </w:pPr>
      <w:r>
        <w:rPr>
          <w:b/>
        </w:rPr>
        <w:t xml:space="preserve">2  </w:t>
      </w:r>
      <w:r>
        <w:rPr>
          <w:rFonts w:hint="eastAsia"/>
        </w:rPr>
        <w:t>其悬浮物（SS）指标值不得超过原河湖水体的悬浮物（SS）指标值；</w:t>
      </w:r>
    </w:p>
    <w:p>
      <w:pPr>
        <w:tabs>
          <w:tab w:val="left" w:pos="0"/>
        </w:tabs>
        <w:ind w:left="480"/>
      </w:pPr>
      <w:r>
        <w:rPr>
          <w:b/>
        </w:rPr>
        <w:t xml:space="preserve">3  </w:t>
      </w:r>
      <w:r>
        <w:rPr>
          <w:rFonts w:hint="eastAsia"/>
        </w:rPr>
        <w:t>当河湖底泥存在重金属污染时，余水的溶解态重金属浓度应不得超过原河湖水体的重金属浓度。</w:t>
      </w:r>
    </w:p>
    <w:p>
      <w:r>
        <w:rPr>
          <w:rFonts w:hint="eastAsia"/>
          <w:b/>
          <w:bCs/>
        </w:rPr>
        <w:t>6.7.4</w:t>
      </w:r>
      <w:r>
        <w:rPr>
          <w:b/>
          <w:bCs/>
        </w:rPr>
        <w:t xml:space="preserve">  </w:t>
      </w:r>
      <w:r>
        <w:rPr>
          <w:rFonts w:hint="eastAsia"/>
        </w:rPr>
        <w:t>对于排入已实施水环境治理工程的河湖水域内的余水，其水质不低于该河湖水质后可排入河湖。</w:t>
      </w:r>
    </w:p>
    <w:p>
      <w:r>
        <w:rPr>
          <w:rFonts w:hint="eastAsia"/>
          <w:b/>
          <w:bCs/>
        </w:rPr>
        <w:t>6.7.5</w:t>
      </w:r>
      <w:r>
        <w:rPr>
          <w:b/>
          <w:bCs/>
        </w:rPr>
        <w:t xml:space="preserve">  </w:t>
      </w:r>
      <w:r>
        <w:rPr>
          <w:rFonts w:hint="eastAsia"/>
        </w:rPr>
        <w:t>对于排入功能水体的余水，其排放标准应符合相应标准规定。根据改善受纳水体水质或生态补水需要等，可相应提高余水排放的执行标准。</w:t>
      </w:r>
    </w:p>
    <w:p>
      <w:r>
        <w:rPr>
          <w:rFonts w:hint="eastAsia"/>
          <w:b/>
          <w:bCs/>
        </w:rPr>
        <w:t>6.7.6</w:t>
      </w:r>
      <w:r>
        <w:rPr>
          <w:b/>
          <w:bCs/>
        </w:rPr>
        <w:t xml:space="preserve">  </w:t>
      </w:r>
      <w:r>
        <w:rPr>
          <w:rFonts w:hint="eastAsia"/>
        </w:rPr>
        <w:t>余水作为再生水资源用于农业、工业、市政等方面用途时，还应满足相应的用水水质要求。</w:t>
      </w:r>
    </w:p>
    <w:p>
      <w:r>
        <w:rPr>
          <w:rFonts w:hint="eastAsia"/>
          <w:b/>
          <w:bCs/>
        </w:rPr>
        <w:t>6.7.7</w:t>
      </w:r>
      <w:r>
        <w:rPr>
          <w:b/>
        </w:rPr>
        <w:t xml:space="preserve"> </w:t>
      </w:r>
      <w:r>
        <w:rPr>
          <w:rFonts w:hint="eastAsia"/>
        </w:rPr>
        <w:t>根据余水特征及排放要求，余水一级处理可采用气浮、沉淀和过滤技术；二级处理可结合余水特征，参考污水处理工艺流程，采取适宜技术。</w:t>
      </w:r>
    </w:p>
    <w:p>
      <w:pPr>
        <w:ind w:firstLine="480"/>
      </w:pPr>
    </w:p>
    <w:p>
      <w:pPr>
        <w:pStyle w:val="2"/>
        <w:spacing w:line="560" w:lineRule="exact"/>
        <w:ind w:firstLine="643"/>
        <w:rPr>
          <w:sz w:val="32"/>
          <w:szCs w:val="32"/>
        </w:rPr>
        <w:sectPr>
          <w:pgSz w:w="11906" w:h="16838"/>
          <w:pgMar w:top="1440" w:right="1800" w:bottom="1440" w:left="1800" w:header="851" w:footer="992" w:gutter="0"/>
          <w:cols w:space="425" w:num="1"/>
          <w:docGrid w:type="lines" w:linePitch="312" w:charSpace="0"/>
        </w:sectPr>
      </w:pPr>
    </w:p>
    <w:p>
      <w:pPr>
        <w:pStyle w:val="2"/>
        <w:rPr>
          <w:szCs w:val="28"/>
        </w:rPr>
      </w:pPr>
      <w:bookmarkStart w:id="74" w:name="_Toc37843266"/>
      <w:bookmarkStart w:id="75" w:name="_Toc4769464"/>
      <w:r>
        <w:rPr>
          <w:szCs w:val="28"/>
        </w:rPr>
        <w:t xml:space="preserve">7  </w:t>
      </w:r>
      <w:r>
        <w:rPr>
          <w:rFonts w:hint="eastAsia"/>
          <w:szCs w:val="28"/>
        </w:rPr>
        <w:t>底泥处理厂</w:t>
      </w:r>
      <w:r>
        <w:rPr>
          <w:szCs w:val="28"/>
        </w:rPr>
        <w:t>建设</w:t>
      </w:r>
      <w:bookmarkEnd w:id="74"/>
      <w:bookmarkEnd w:id="75"/>
    </w:p>
    <w:p>
      <w:pPr>
        <w:pStyle w:val="3"/>
        <w:spacing w:line="560" w:lineRule="exact"/>
        <w:rPr>
          <w:rFonts w:asciiTheme="majorBidi" w:hAnsiTheme="majorBidi"/>
          <w:szCs w:val="28"/>
        </w:rPr>
      </w:pPr>
      <w:bookmarkStart w:id="76" w:name="_Toc37843267"/>
      <w:bookmarkStart w:id="77" w:name="_Toc4769465"/>
      <w:r>
        <w:rPr>
          <w:rFonts w:asciiTheme="majorBidi" w:hAnsiTheme="majorBidi"/>
          <w:szCs w:val="28"/>
        </w:rPr>
        <w:t>7.1  一般规定</w:t>
      </w:r>
      <w:bookmarkEnd w:id="76"/>
      <w:bookmarkEnd w:id="77"/>
    </w:p>
    <w:p>
      <w:pPr>
        <w:jc w:val="left"/>
        <w:rPr>
          <w:rFonts w:asciiTheme="majorBidi" w:hAnsiTheme="majorBidi" w:eastAsiaTheme="minorEastAsia" w:cstheme="majorBidi"/>
          <w:bCs/>
          <w:szCs w:val="24"/>
        </w:rPr>
      </w:pPr>
      <w:r>
        <w:rPr>
          <w:rFonts w:asciiTheme="majorBidi" w:hAnsiTheme="majorBidi" w:eastAsiaTheme="minorEastAsia" w:cstheme="majorBidi"/>
          <w:b/>
          <w:bCs/>
          <w:szCs w:val="24"/>
        </w:rPr>
        <w:t xml:space="preserve">7.1.1  </w:t>
      </w:r>
      <w:r>
        <w:rPr>
          <w:rFonts w:hint="eastAsia" w:asciiTheme="majorBidi" w:hAnsiTheme="majorBidi" w:eastAsiaTheme="minorEastAsia" w:cstheme="majorBidi"/>
          <w:bCs/>
          <w:szCs w:val="24"/>
        </w:rPr>
        <w:t>底泥处理厂宜根据清淤项目的实际需求、施工现场的实际情况进行建设。</w:t>
      </w:r>
    </w:p>
    <w:p>
      <w:pPr>
        <w:jc w:val="left"/>
        <w:rPr>
          <w:rFonts w:asciiTheme="majorBidi" w:hAnsiTheme="majorBidi" w:eastAsiaTheme="minorEastAsia" w:cstheme="majorBidi"/>
          <w:szCs w:val="24"/>
        </w:rPr>
      </w:pPr>
      <w:r>
        <w:rPr>
          <w:rFonts w:asciiTheme="majorBidi" w:hAnsiTheme="majorBidi" w:eastAsiaTheme="minorEastAsia" w:cstheme="majorBidi"/>
          <w:b/>
          <w:bCs/>
          <w:szCs w:val="24"/>
        </w:rPr>
        <w:t xml:space="preserve">7.1.2  </w:t>
      </w:r>
      <w:r>
        <w:rPr>
          <w:rFonts w:asciiTheme="majorBidi" w:hAnsiTheme="majorBidi" w:eastAsiaTheme="minorEastAsia" w:cstheme="majorBidi"/>
          <w:szCs w:val="24"/>
        </w:rPr>
        <w:t>底泥处理厂在设计、施工之前，应对工程现场进行调查和勘测。主要包括地形测量、水文气象、地址勘查及岩土试验等。</w:t>
      </w:r>
    </w:p>
    <w:p>
      <w:pPr>
        <w:jc w:val="left"/>
        <w:rPr>
          <w:rFonts w:asciiTheme="majorBidi" w:hAnsiTheme="majorBidi" w:eastAsiaTheme="minorEastAsia" w:cstheme="majorBidi"/>
          <w:szCs w:val="24"/>
        </w:rPr>
      </w:pPr>
      <w:r>
        <w:rPr>
          <w:rFonts w:asciiTheme="majorBidi" w:hAnsiTheme="majorBidi" w:eastAsiaTheme="minorEastAsia" w:cstheme="majorBidi"/>
          <w:b/>
          <w:bCs/>
          <w:szCs w:val="24"/>
        </w:rPr>
        <w:t xml:space="preserve">7.1.3  </w:t>
      </w:r>
      <w:r>
        <w:rPr>
          <w:rFonts w:asciiTheme="majorBidi" w:hAnsiTheme="majorBidi" w:eastAsiaTheme="minorEastAsia" w:cstheme="majorBidi"/>
          <w:szCs w:val="24"/>
        </w:rPr>
        <w:t>调查和勘测工作应满足工程设计与施工的要求，对大型工程或复杂工程，可分设计、施工两个阶段进行。</w:t>
      </w:r>
    </w:p>
    <w:p>
      <w:pPr>
        <w:pStyle w:val="3"/>
        <w:rPr>
          <w:rFonts w:asciiTheme="majorBidi" w:hAnsiTheme="majorBidi"/>
          <w:szCs w:val="28"/>
        </w:rPr>
      </w:pPr>
      <w:bookmarkStart w:id="78" w:name="_Toc37843268"/>
      <w:r>
        <w:rPr>
          <w:rFonts w:asciiTheme="majorBidi" w:hAnsiTheme="majorBidi"/>
          <w:szCs w:val="28"/>
        </w:rPr>
        <w:t>7.2  项目构成</w:t>
      </w:r>
      <w:bookmarkEnd w:id="78"/>
    </w:p>
    <w:p>
      <w:pPr>
        <w:jc w:val="left"/>
        <w:rPr>
          <w:rFonts w:asciiTheme="majorBidi" w:hAnsiTheme="majorBidi" w:cstheme="majorBidi"/>
          <w:szCs w:val="24"/>
        </w:rPr>
      </w:pPr>
      <w:r>
        <w:rPr>
          <w:rFonts w:asciiTheme="majorBidi" w:hAnsiTheme="majorBidi" w:cstheme="majorBidi"/>
          <w:b/>
          <w:bCs/>
          <w:szCs w:val="24"/>
        </w:rPr>
        <w:t xml:space="preserve">7.2.1  </w:t>
      </w:r>
      <w:r>
        <w:rPr>
          <w:rFonts w:asciiTheme="majorBidi" w:hAnsiTheme="majorBidi" w:cstheme="majorBidi"/>
          <w:szCs w:val="24"/>
        </w:rPr>
        <w:t>底泥处理厂的规划建设规模，应根据城市河湖底泥处理量及其他建设条件，按照河湖水环境治理目标、节约集约利用土地的原则合理确定。</w:t>
      </w:r>
    </w:p>
    <w:p>
      <w:pPr>
        <w:jc w:val="left"/>
        <w:rPr>
          <w:rFonts w:asciiTheme="majorBidi" w:hAnsiTheme="majorBidi" w:eastAsiaTheme="minorEastAsia" w:cstheme="majorBidi"/>
          <w:szCs w:val="24"/>
        </w:rPr>
      </w:pPr>
      <w:r>
        <w:rPr>
          <w:rFonts w:asciiTheme="majorBidi" w:hAnsiTheme="majorBidi" w:eastAsiaTheme="minorEastAsia" w:cstheme="majorBidi"/>
          <w:b/>
          <w:bCs/>
          <w:szCs w:val="24"/>
        </w:rPr>
        <w:t xml:space="preserve">7.2.2 </w:t>
      </w:r>
      <w:r>
        <w:rPr>
          <w:rFonts w:asciiTheme="majorBidi" w:hAnsiTheme="majorBidi" w:cstheme="majorBidi"/>
          <w:b/>
          <w:bCs/>
          <w:szCs w:val="24"/>
        </w:rPr>
        <w:t xml:space="preserve"> </w:t>
      </w:r>
      <w:r>
        <w:rPr>
          <w:rFonts w:asciiTheme="majorBidi" w:hAnsiTheme="majorBidi" w:eastAsiaTheme="minorEastAsia" w:cstheme="majorBidi"/>
          <w:szCs w:val="24"/>
        </w:rPr>
        <w:t>对于分期开发建设的底泥处理厂，各期工程建设规模应根据审定的规划设计规模，统筹考虑水环境治理目标、社会经济发展、生态文明建设等实际情况，经技术经济比较后确定。</w:t>
      </w:r>
    </w:p>
    <w:p>
      <w:pPr>
        <w:jc w:val="left"/>
        <w:rPr>
          <w:rFonts w:asciiTheme="majorBidi" w:hAnsiTheme="majorBidi" w:eastAsiaTheme="minorEastAsia" w:cstheme="majorBidi"/>
          <w:szCs w:val="24"/>
        </w:rPr>
      </w:pPr>
      <w:r>
        <w:rPr>
          <w:rFonts w:asciiTheme="majorBidi" w:hAnsiTheme="majorBidi" w:eastAsiaTheme="minorEastAsia" w:cstheme="majorBidi"/>
          <w:b/>
          <w:bCs/>
          <w:szCs w:val="24"/>
        </w:rPr>
        <w:t>7.2.3</w:t>
      </w:r>
      <w:r>
        <w:rPr>
          <w:rFonts w:asciiTheme="majorBidi" w:hAnsiTheme="majorBidi" w:cstheme="majorBidi"/>
          <w:b/>
          <w:bCs/>
          <w:szCs w:val="24"/>
        </w:rPr>
        <w:t xml:space="preserve">  </w:t>
      </w:r>
      <w:r>
        <w:rPr>
          <w:rFonts w:asciiTheme="majorBidi" w:hAnsiTheme="majorBidi" w:eastAsiaTheme="minorEastAsia" w:cstheme="majorBidi"/>
          <w:szCs w:val="24"/>
        </w:rPr>
        <w:t>底泥处理厂工程项目宜由主要生产系统、辅助配套设施、生产管理与生活服务设施和维护结构等构成。</w:t>
      </w:r>
    </w:p>
    <w:p>
      <w:pPr>
        <w:jc w:val="left"/>
        <w:rPr>
          <w:rFonts w:asciiTheme="majorBidi" w:hAnsiTheme="majorBidi" w:eastAsiaTheme="minorEastAsia" w:cstheme="majorBidi"/>
          <w:szCs w:val="24"/>
        </w:rPr>
      </w:pPr>
      <w:r>
        <w:rPr>
          <w:rFonts w:asciiTheme="majorBidi" w:hAnsiTheme="majorBidi" w:eastAsiaTheme="minorEastAsia" w:cstheme="majorBidi"/>
          <w:b/>
          <w:bCs/>
          <w:szCs w:val="24"/>
        </w:rPr>
        <w:t>7.2.4</w:t>
      </w:r>
      <w:r>
        <w:rPr>
          <w:rFonts w:asciiTheme="majorBidi" w:hAnsiTheme="majorBidi" w:cstheme="majorBidi"/>
          <w:b/>
          <w:bCs/>
          <w:szCs w:val="24"/>
        </w:rPr>
        <w:t xml:space="preserve">  </w:t>
      </w:r>
      <w:r>
        <w:rPr>
          <w:rFonts w:asciiTheme="majorBidi" w:hAnsiTheme="majorBidi" w:eastAsiaTheme="minorEastAsia" w:cstheme="majorBidi"/>
          <w:szCs w:val="24"/>
        </w:rPr>
        <w:t>生产管理和生活服务设施建设标准应执行国家现行有关标准的规定。</w:t>
      </w:r>
    </w:p>
    <w:p>
      <w:pPr>
        <w:pStyle w:val="3"/>
        <w:spacing w:line="560" w:lineRule="exact"/>
        <w:rPr>
          <w:rFonts w:asciiTheme="majorBidi" w:hAnsiTheme="majorBidi"/>
          <w:szCs w:val="28"/>
        </w:rPr>
      </w:pPr>
      <w:bookmarkStart w:id="79" w:name="_Toc37843269"/>
      <w:bookmarkStart w:id="80" w:name="_Toc4769466"/>
      <w:r>
        <w:rPr>
          <w:rFonts w:asciiTheme="majorBidi" w:hAnsiTheme="majorBidi"/>
          <w:szCs w:val="28"/>
        </w:rPr>
        <w:t>7.3  厂址选择</w:t>
      </w:r>
      <w:bookmarkEnd w:id="79"/>
      <w:bookmarkEnd w:id="80"/>
    </w:p>
    <w:p>
      <w:pPr>
        <w:jc w:val="left"/>
        <w:rPr>
          <w:rFonts w:cs="Times New Roman" w:eastAsiaTheme="minorEastAsia"/>
          <w:szCs w:val="24"/>
        </w:rPr>
      </w:pPr>
      <w:r>
        <w:rPr>
          <w:rFonts w:cs="Times New Roman" w:eastAsiaTheme="minorEastAsia"/>
          <w:b/>
          <w:bCs/>
          <w:szCs w:val="24"/>
        </w:rPr>
        <w:t>7.3.1</w:t>
      </w:r>
      <w:r>
        <w:rPr>
          <w:rFonts w:cs="Times New Roman" w:eastAsiaTheme="minorEastAsia"/>
          <w:szCs w:val="24"/>
        </w:rPr>
        <w:t xml:space="preserve">  底泥处理厂的选址应结合地方总体规划，综合考虑处理规模、地形、地质、洪水和潮汐、环境保护、交通、施工、管理和周围环境等因素，经技术经济比较后选定。</w:t>
      </w:r>
    </w:p>
    <w:p>
      <w:pPr>
        <w:jc w:val="left"/>
        <w:rPr>
          <w:szCs w:val="24"/>
        </w:rPr>
      </w:pPr>
      <w:r>
        <w:rPr>
          <w:rFonts w:hint="eastAsia"/>
          <w:b/>
          <w:bCs/>
          <w:szCs w:val="24"/>
        </w:rPr>
        <w:t>7</w:t>
      </w:r>
      <w:r>
        <w:rPr>
          <w:b/>
          <w:bCs/>
          <w:szCs w:val="24"/>
        </w:rPr>
        <w:t xml:space="preserve">.3.2 </w:t>
      </w:r>
      <w:r>
        <w:rPr>
          <w:szCs w:val="24"/>
        </w:rPr>
        <w:t xml:space="preserve"> </w:t>
      </w:r>
      <w:r>
        <w:rPr>
          <w:rFonts w:hint="eastAsia"/>
          <w:szCs w:val="24"/>
        </w:rPr>
        <w:t>厂址选择应遵循下列原则。</w:t>
      </w:r>
    </w:p>
    <w:p>
      <w:pPr>
        <w:ind w:firstLine="482" w:firstLineChars="200"/>
        <w:jc w:val="left"/>
        <w:rPr>
          <w:rFonts w:asciiTheme="majorBidi" w:hAnsiTheme="majorBidi" w:eastAsiaTheme="minorEastAsia" w:cstheme="majorBidi"/>
          <w:szCs w:val="24"/>
        </w:rPr>
      </w:pPr>
      <w:r>
        <w:rPr>
          <w:rFonts w:asciiTheme="majorBidi" w:hAnsiTheme="majorBidi" w:eastAsiaTheme="minorEastAsia" w:cstheme="majorBidi"/>
          <w:b/>
          <w:bCs/>
          <w:szCs w:val="24"/>
        </w:rPr>
        <w:t xml:space="preserve">1 </w:t>
      </w:r>
      <w:r>
        <w:rPr>
          <w:rFonts w:asciiTheme="majorBidi" w:hAnsiTheme="majorBidi" w:eastAsiaTheme="minorEastAsia" w:cstheme="majorBidi"/>
          <w:szCs w:val="24"/>
        </w:rPr>
        <w:t xml:space="preserve"> 应优先选择在河道、湖泊清淤区域周边可利用的空地或荒地，便于清淤</w:t>
      </w:r>
      <w:r>
        <w:rPr>
          <w:rFonts w:hint="eastAsia" w:asciiTheme="majorBidi" w:hAnsiTheme="majorBidi" w:eastAsiaTheme="minorEastAsia" w:cstheme="majorBidi"/>
          <w:szCs w:val="24"/>
        </w:rPr>
        <w:t>底泥</w:t>
      </w:r>
      <w:r>
        <w:rPr>
          <w:rFonts w:asciiTheme="majorBidi" w:hAnsiTheme="majorBidi" w:eastAsiaTheme="minorEastAsia" w:cstheme="majorBidi"/>
          <w:szCs w:val="24"/>
        </w:rPr>
        <w:t>就近运输进厂。</w:t>
      </w:r>
    </w:p>
    <w:p>
      <w:pPr>
        <w:ind w:firstLine="482" w:firstLineChars="200"/>
        <w:jc w:val="left"/>
        <w:rPr>
          <w:rFonts w:asciiTheme="majorBidi" w:hAnsiTheme="majorBidi" w:eastAsiaTheme="minorEastAsia" w:cstheme="majorBidi"/>
          <w:szCs w:val="24"/>
        </w:rPr>
      </w:pPr>
      <w:r>
        <w:rPr>
          <w:rFonts w:asciiTheme="majorBidi" w:hAnsiTheme="majorBidi" w:eastAsiaTheme="minorEastAsia" w:cstheme="majorBidi"/>
          <w:b/>
          <w:bCs/>
          <w:szCs w:val="24"/>
        </w:rPr>
        <w:t xml:space="preserve">2  </w:t>
      </w:r>
      <w:r>
        <w:rPr>
          <w:rFonts w:asciiTheme="majorBidi" w:hAnsiTheme="majorBidi" w:eastAsiaTheme="minorEastAsia" w:cstheme="majorBidi"/>
          <w:szCs w:val="24"/>
        </w:rPr>
        <w:t>应优先选择在地形与地质条件良好、对外交通便利、运距合理、对周边环境影响较小的区域。</w:t>
      </w:r>
    </w:p>
    <w:p>
      <w:pPr>
        <w:ind w:firstLine="482" w:firstLineChars="200"/>
        <w:jc w:val="left"/>
        <w:rPr>
          <w:rFonts w:asciiTheme="majorBidi" w:hAnsiTheme="majorBidi" w:eastAsiaTheme="minorEastAsia" w:cstheme="majorBidi"/>
          <w:szCs w:val="24"/>
        </w:rPr>
      </w:pPr>
      <w:r>
        <w:rPr>
          <w:rFonts w:asciiTheme="majorBidi" w:hAnsiTheme="majorBidi" w:eastAsiaTheme="minorEastAsia" w:cstheme="majorBidi"/>
          <w:b/>
          <w:bCs/>
          <w:szCs w:val="24"/>
        </w:rPr>
        <w:t xml:space="preserve">3 </w:t>
      </w:r>
      <w:r>
        <w:rPr>
          <w:rFonts w:asciiTheme="majorBidi" w:hAnsiTheme="majorBidi" w:eastAsiaTheme="minorEastAsia" w:cstheme="majorBidi"/>
          <w:szCs w:val="24"/>
        </w:rPr>
        <w:t xml:space="preserve"> 应优先选择在土地利用价值及征地费用相对较低的区域。</w:t>
      </w:r>
    </w:p>
    <w:p>
      <w:pPr>
        <w:ind w:firstLine="482" w:firstLineChars="200"/>
        <w:jc w:val="left"/>
        <w:rPr>
          <w:rFonts w:asciiTheme="majorBidi" w:hAnsiTheme="majorBidi" w:eastAsiaTheme="minorEastAsia" w:cstheme="majorBidi"/>
          <w:szCs w:val="24"/>
        </w:rPr>
      </w:pPr>
      <w:r>
        <w:rPr>
          <w:rFonts w:asciiTheme="majorBidi" w:hAnsiTheme="majorBidi" w:eastAsiaTheme="minorEastAsia" w:cstheme="majorBidi"/>
          <w:b/>
          <w:bCs/>
          <w:szCs w:val="24"/>
        </w:rPr>
        <w:t xml:space="preserve">4  </w:t>
      </w:r>
      <w:r>
        <w:rPr>
          <w:rFonts w:asciiTheme="majorBidi" w:hAnsiTheme="majorBidi" w:eastAsiaTheme="minorEastAsia" w:cstheme="majorBidi"/>
          <w:szCs w:val="24"/>
        </w:rPr>
        <w:t>应远离工业区或居民集中区，</w:t>
      </w:r>
      <w:r>
        <w:rPr>
          <w:rFonts w:hint="eastAsia" w:asciiTheme="majorBidi" w:hAnsiTheme="majorBidi" w:eastAsiaTheme="minorEastAsia" w:cstheme="majorBidi"/>
          <w:szCs w:val="24"/>
        </w:rPr>
        <w:t>其</w:t>
      </w:r>
      <w:r>
        <w:rPr>
          <w:rFonts w:asciiTheme="majorBidi" w:hAnsiTheme="majorBidi" w:eastAsiaTheme="minorEastAsia" w:cstheme="majorBidi"/>
          <w:szCs w:val="24"/>
        </w:rPr>
        <w:t>卫生防护距离应根据环境评价要求确定</w:t>
      </w:r>
      <w:r>
        <w:rPr>
          <w:rFonts w:hint="eastAsia" w:asciiTheme="majorBidi" w:hAnsiTheme="majorBidi" w:eastAsiaTheme="minorEastAsia" w:cstheme="majorBidi"/>
          <w:szCs w:val="24"/>
        </w:rPr>
        <w:t>。</w:t>
      </w:r>
    </w:p>
    <w:p>
      <w:pPr>
        <w:ind w:firstLine="482" w:firstLineChars="200"/>
        <w:jc w:val="left"/>
        <w:rPr>
          <w:rFonts w:asciiTheme="majorBidi" w:hAnsiTheme="majorBidi" w:eastAsiaTheme="minorEastAsia" w:cstheme="majorBidi"/>
          <w:szCs w:val="24"/>
        </w:rPr>
      </w:pPr>
      <w:r>
        <w:rPr>
          <w:rFonts w:asciiTheme="majorBidi" w:hAnsiTheme="majorBidi" w:eastAsiaTheme="minorEastAsia" w:cstheme="majorBidi"/>
          <w:b/>
          <w:bCs/>
          <w:szCs w:val="24"/>
        </w:rPr>
        <w:t xml:space="preserve">5  </w:t>
      </w:r>
      <w:r>
        <w:rPr>
          <w:rFonts w:asciiTheme="majorBidi" w:hAnsiTheme="majorBidi" w:eastAsiaTheme="minorEastAsia" w:cstheme="majorBidi"/>
          <w:szCs w:val="24"/>
        </w:rPr>
        <w:t>应避开自然保护区、风景名胜区、水源地保护区和其他需要特别保护的区域。</w:t>
      </w:r>
    </w:p>
    <w:p>
      <w:pPr>
        <w:ind w:firstLine="482" w:firstLineChars="200"/>
        <w:jc w:val="left"/>
        <w:rPr>
          <w:rFonts w:asciiTheme="majorBidi" w:hAnsiTheme="majorBidi" w:eastAsiaTheme="minorEastAsia" w:cstheme="majorBidi"/>
          <w:szCs w:val="24"/>
        </w:rPr>
      </w:pPr>
      <w:r>
        <w:rPr>
          <w:rFonts w:asciiTheme="majorBidi" w:hAnsiTheme="majorBidi" w:eastAsiaTheme="minorEastAsia" w:cstheme="majorBidi"/>
          <w:b/>
          <w:bCs/>
          <w:szCs w:val="24"/>
        </w:rPr>
        <w:t xml:space="preserve">6  </w:t>
      </w:r>
      <w:r>
        <w:rPr>
          <w:rFonts w:asciiTheme="majorBidi" w:hAnsiTheme="majorBidi" w:eastAsiaTheme="minorEastAsia" w:cstheme="majorBidi"/>
          <w:szCs w:val="24"/>
        </w:rPr>
        <w:t>优先选用废弃的采矿坑、塌陷区、废弃鱼塘等，少占用耕地。</w:t>
      </w:r>
    </w:p>
    <w:p>
      <w:pPr>
        <w:ind w:firstLine="482" w:firstLineChars="200"/>
        <w:jc w:val="left"/>
        <w:rPr>
          <w:rFonts w:asciiTheme="majorBidi" w:hAnsiTheme="majorBidi" w:eastAsiaTheme="minorEastAsia" w:cstheme="majorBidi"/>
          <w:szCs w:val="24"/>
        </w:rPr>
      </w:pPr>
      <w:r>
        <w:rPr>
          <w:rFonts w:asciiTheme="majorBidi" w:hAnsiTheme="majorBidi" w:eastAsiaTheme="minorEastAsia" w:cstheme="majorBidi"/>
          <w:b/>
          <w:bCs/>
          <w:szCs w:val="24"/>
        </w:rPr>
        <w:t xml:space="preserve">7  </w:t>
      </w:r>
      <w:r>
        <w:rPr>
          <w:rFonts w:asciiTheme="majorBidi" w:hAnsiTheme="majorBidi" w:eastAsiaTheme="minorEastAsia" w:cstheme="majorBidi"/>
          <w:szCs w:val="24"/>
        </w:rPr>
        <w:t>应避免选择在河道、湖泊最高水位线以下的滩地、洪泛区和受内涝威胁的低洼地带。若不可避免时，应具有可靠的防洪、排涝措施。</w:t>
      </w:r>
    </w:p>
    <w:p>
      <w:pPr>
        <w:pStyle w:val="3"/>
        <w:spacing w:line="560" w:lineRule="exact"/>
        <w:rPr>
          <w:rFonts w:asciiTheme="majorBidi" w:hAnsiTheme="majorBidi" w:eastAsiaTheme="minorEastAsia"/>
          <w:szCs w:val="28"/>
        </w:rPr>
      </w:pPr>
      <w:bookmarkStart w:id="81" w:name="_Toc37843270"/>
      <w:bookmarkStart w:id="82" w:name="_Toc4769467"/>
      <w:r>
        <w:rPr>
          <w:rFonts w:asciiTheme="majorBidi" w:hAnsiTheme="majorBidi" w:eastAsiaTheme="minorEastAsia"/>
          <w:szCs w:val="28"/>
        </w:rPr>
        <w:t>7.4  工艺及生产系统</w:t>
      </w:r>
      <w:bookmarkEnd w:id="81"/>
      <w:bookmarkEnd w:id="82"/>
    </w:p>
    <w:p>
      <w:pPr>
        <w:pStyle w:val="4"/>
        <w:spacing w:line="560" w:lineRule="exact"/>
        <w:rPr>
          <w:szCs w:val="28"/>
        </w:rPr>
      </w:pPr>
      <w:r>
        <w:rPr>
          <w:rFonts w:hint="eastAsia"/>
          <w:szCs w:val="28"/>
        </w:rPr>
        <w:t>7</w:t>
      </w:r>
      <w:r>
        <w:rPr>
          <w:szCs w:val="28"/>
        </w:rPr>
        <w:t xml:space="preserve">.4.1  </w:t>
      </w:r>
      <w:r>
        <w:rPr>
          <w:rFonts w:hint="eastAsia"/>
          <w:b w:val="0"/>
          <w:bCs w:val="0"/>
          <w:szCs w:val="28"/>
        </w:rPr>
        <w:t>一般规定。</w:t>
      </w:r>
    </w:p>
    <w:p>
      <w:pPr>
        <w:ind w:firstLine="482" w:firstLineChars="200"/>
        <w:jc w:val="left"/>
        <w:rPr>
          <w:rFonts w:asciiTheme="majorBidi" w:hAnsiTheme="majorBidi" w:eastAsiaTheme="minorEastAsia" w:cstheme="majorBidi"/>
          <w:szCs w:val="24"/>
        </w:rPr>
      </w:pPr>
      <w:r>
        <w:rPr>
          <w:rFonts w:hint="eastAsia" w:asciiTheme="majorBidi" w:hAnsiTheme="majorBidi" w:eastAsiaTheme="minorEastAsia" w:cstheme="majorBidi"/>
          <w:b/>
          <w:bCs/>
          <w:szCs w:val="24"/>
        </w:rPr>
        <w:t>1</w:t>
      </w:r>
      <w:r>
        <w:rPr>
          <w:rFonts w:asciiTheme="majorBidi" w:hAnsiTheme="majorBidi" w:eastAsiaTheme="minorEastAsia" w:cstheme="majorBidi"/>
          <w:b/>
          <w:bCs/>
          <w:szCs w:val="24"/>
        </w:rPr>
        <w:t xml:space="preserve"> </w:t>
      </w:r>
      <w:r>
        <w:rPr>
          <w:rFonts w:hint="eastAsia" w:asciiTheme="majorBidi" w:hAnsiTheme="majorBidi" w:eastAsiaTheme="minorEastAsia" w:cstheme="majorBidi"/>
          <w:szCs w:val="24"/>
        </w:rPr>
        <w:t xml:space="preserve"> </w:t>
      </w:r>
      <w:r>
        <w:rPr>
          <w:rFonts w:asciiTheme="majorBidi" w:hAnsiTheme="majorBidi" w:eastAsiaTheme="minorEastAsia" w:cstheme="majorBidi"/>
          <w:szCs w:val="24"/>
        </w:rPr>
        <w:t>底泥处理厂的工艺选择应综合考虑工程规模、建设要求、污染物种类及含量水平、清淤设备配置、现场条件以及底泥处理过程中相应的处置途径等因素。</w:t>
      </w:r>
    </w:p>
    <w:p>
      <w:pPr>
        <w:ind w:firstLine="482" w:firstLineChars="200"/>
        <w:jc w:val="left"/>
        <w:rPr>
          <w:rFonts w:asciiTheme="majorBidi" w:hAnsiTheme="majorBidi" w:eastAsiaTheme="minorEastAsia" w:cstheme="majorBidi"/>
          <w:szCs w:val="24"/>
        </w:rPr>
      </w:pPr>
      <w:r>
        <w:rPr>
          <w:rFonts w:hint="eastAsia" w:asciiTheme="majorBidi" w:hAnsiTheme="majorBidi" w:eastAsiaTheme="minorEastAsia" w:cstheme="majorBidi"/>
          <w:b/>
          <w:bCs/>
          <w:szCs w:val="24"/>
        </w:rPr>
        <w:t>2</w:t>
      </w:r>
      <w:r>
        <w:rPr>
          <w:rFonts w:asciiTheme="majorBidi" w:hAnsiTheme="majorBidi" w:eastAsiaTheme="minorEastAsia" w:cstheme="majorBidi"/>
          <w:b/>
          <w:bCs/>
          <w:szCs w:val="24"/>
        </w:rPr>
        <w:t xml:space="preserve"> </w:t>
      </w:r>
      <w:r>
        <w:rPr>
          <w:rFonts w:hint="eastAsia" w:asciiTheme="majorBidi" w:hAnsiTheme="majorBidi" w:eastAsiaTheme="minorEastAsia" w:cstheme="majorBidi"/>
          <w:szCs w:val="24"/>
        </w:rPr>
        <w:t xml:space="preserve"> </w:t>
      </w:r>
      <w:r>
        <w:rPr>
          <w:rFonts w:asciiTheme="majorBidi" w:hAnsiTheme="majorBidi" w:eastAsiaTheme="minorEastAsia" w:cstheme="majorBidi"/>
          <w:szCs w:val="24"/>
        </w:rPr>
        <w:t>工艺路线的选择应遵循资源利用、保护环境、技术先进、安全可靠、经济合理的原则。同一工程应进行不同工艺路线的技术经济比较，结合当地实际提出推荐工艺路线。</w:t>
      </w:r>
    </w:p>
    <w:p>
      <w:pPr>
        <w:ind w:firstLine="482" w:firstLineChars="200"/>
        <w:jc w:val="left"/>
        <w:rPr>
          <w:rFonts w:asciiTheme="majorBidi" w:hAnsiTheme="majorBidi" w:eastAsiaTheme="minorEastAsia" w:cstheme="majorBidi"/>
          <w:szCs w:val="24"/>
        </w:rPr>
      </w:pPr>
      <w:r>
        <w:rPr>
          <w:rFonts w:hint="eastAsia" w:asciiTheme="majorBidi" w:hAnsiTheme="majorBidi" w:eastAsiaTheme="minorEastAsia" w:cstheme="majorBidi"/>
          <w:b/>
          <w:bCs/>
          <w:szCs w:val="24"/>
        </w:rPr>
        <w:t xml:space="preserve">3 </w:t>
      </w:r>
      <w:r>
        <w:rPr>
          <w:rFonts w:asciiTheme="majorBidi" w:hAnsiTheme="majorBidi" w:eastAsiaTheme="minorEastAsia" w:cstheme="majorBidi"/>
          <w:b/>
          <w:bCs/>
          <w:szCs w:val="24"/>
        </w:rPr>
        <w:t xml:space="preserve"> </w:t>
      </w:r>
      <w:r>
        <w:rPr>
          <w:rFonts w:asciiTheme="majorBidi" w:hAnsiTheme="majorBidi" w:eastAsiaTheme="minorEastAsia" w:cstheme="majorBidi"/>
          <w:szCs w:val="24"/>
        </w:rPr>
        <w:t>应积极研究、使用新材料、新设备、新工艺。</w:t>
      </w:r>
    </w:p>
    <w:p>
      <w:pPr>
        <w:pStyle w:val="4"/>
        <w:rPr>
          <w:rFonts w:asciiTheme="majorBidi" w:hAnsiTheme="majorBidi" w:eastAsiaTheme="minorEastAsia" w:cstheme="majorBidi"/>
          <w:szCs w:val="28"/>
        </w:rPr>
      </w:pPr>
      <w:bookmarkStart w:id="83" w:name="_Toc4769468"/>
      <w:r>
        <w:rPr>
          <w:rFonts w:asciiTheme="majorBidi" w:hAnsiTheme="majorBidi" w:eastAsiaTheme="minorEastAsia" w:cstheme="majorBidi"/>
          <w:szCs w:val="28"/>
        </w:rPr>
        <w:t>7.4.</w:t>
      </w:r>
      <w:bookmarkEnd w:id="83"/>
      <w:r>
        <w:rPr>
          <w:rFonts w:asciiTheme="majorBidi" w:hAnsiTheme="majorBidi" w:eastAsiaTheme="minorEastAsia" w:cstheme="majorBidi"/>
          <w:szCs w:val="28"/>
        </w:rPr>
        <w:t>2</w:t>
      </w:r>
      <w:r>
        <w:rPr>
          <w:rFonts w:hint="eastAsia" w:asciiTheme="majorBidi" w:hAnsiTheme="majorBidi" w:eastAsiaTheme="minorEastAsia" w:cstheme="majorBidi"/>
          <w:szCs w:val="28"/>
        </w:rPr>
        <w:t xml:space="preserve"> </w:t>
      </w:r>
      <w:r>
        <w:rPr>
          <w:rFonts w:asciiTheme="majorBidi" w:hAnsiTheme="majorBidi" w:eastAsiaTheme="minorEastAsia" w:cstheme="majorBidi"/>
          <w:szCs w:val="28"/>
        </w:rPr>
        <w:t xml:space="preserve"> </w:t>
      </w:r>
      <w:r>
        <w:rPr>
          <w:rFonts w:asciiTheme="majorBidi" w:hAnsiTheme="majorBidi" w:eastAsiaTheme="minorEastAsia" w:cstheme="majorBidi"/>
          <w:b w:val="0"/>
          <w:bCs w:val="0"/>
          <w:szCs w:val="28"/>
        </w:rPr>
        <w:t>生产工艺</w:t>
      </w:r>
      <w:r>
        <w:rPr>
          <w:rFonts w:hint="eastAsia" w:asciiTheme="majorBidi" w:hAnsiTheme="majorBidi" w:eastAsiaTheme="minorEastAsia" w:cstheme="majorBidi"/>
          <w:b w:val="0"/>
          <w:bCs w:val="0"/>
          <w:szCs w:val="28"/>
        </w:rPr>
        <w:t>。</w:t>
      </w:r>
    </w:p>
    <w:p>
      <w:pPr>
        <w:adjustRightInd w:val="0"/>
        <w:snapToGrid w:val="0"/>
        <w:ind w:firstLine="482" w:firstLineChars="200"/>
        <w:jc w:val="left"/>
        <w:rPr>
          <w:rFonts w:asciiTheme="majorBidi" w:hAnsiTheme="majorBidi" w:eastAsiaTheme="minorEastAsia" w:cstheme="majorBidi"/>
          <w:szCs w:val="24"/>
        </w:rPr>
      </w:pPr>
      <w:r>
        <w:rPr>
          <w:rFonts w:hint="eastAsia" w:asciiTheme="majorBidi" w:hAnsiTheme="majorBidi" w:eastAsiaTheme="minorEastAsia" w:cstheme="majorBidi"/>
          <w:b/>
          <w:bCs/>
          <w:szCs w:val="24"/>
        </w:rPr>
        <w:t xml:space="preserve">1 </w:t>
      </w:r>
      <w:r>
        <w:rPr>
          <w:rFonts w:asciiTheme="majorBidi" w:hAnsiTheme="majorBidi" w:eastAsiaTheme="minorEastAsia" w:cstheme="majorBidi"/>
          <w:b/>
          <w:bCs/>
          <w:szCs w:val="24"/>
        </w:rPr>
        <w:t xml:space="preserve"> </w:t>
      </w:r>
      <w:r>
        <w:rPr>
          <w:rFonts w:asciiTheme="majorBidi" w:hAnsiTheme="majorBidi" w:eastAsiaTheme="minorEastAsia" w:cstheme="majorBidi"/>
          <w:szCs w:val="24"/>
        </w:rPr>
        <w:t>底泥的工厂化处理工艺宜分为垃圾分选、泥砂分离、泥水分离、调理调质、脱水固化、余水处理等环节。</w:t>
      </w:r>
    </w:p>
    <w:p>
      <w:pPr>
        <w:adjustRightInd w:val="0"/>
        <w:snapToGrid w:val="0"/>
        <w:ind w:firstLine="482" w:firstLineChars="200"/>
        <w:jc w:val="left"/>
        <w:rPr>
          <w:rFonts w:asciiTheme="majorBidi" w:hAnsiTheme="majorBidi" w:eastAsiaTheme="minorEastAsia" w:cstheme="majorBidi"/>
          <w:szCs w:val="24"/>
        </w:rPr>
      </w:pPr>
      <w:r>
        <w:rPr>
          <w:rFonts w:hint="eastAsia" w:asciiTheme="majorBidi" w:hAnsiTheme="majorBidi" w:eastAsiaTheme="minorEastAsia" w:cstheme="majorBidi"/>
          <w:b/>
          <w:bCs/>
          <w:szCs w:val="24"/>
        </w:rPr>
        <w:t xml:space="preserve">2 </w:t>
      </w:r>
      <w:r>
        <w:rPr>
          <w:rFonts w:asciiTheme="majorBidi" w:hAnsiTheme="majorBidi" w:eastAsiaTheme="minorEastAsia" w:cstheme="majorBidi"/>
          <w:b/>
          <w:bCs/>
          <w:szCs w:val="24"/>
        </w:rPr>
        <w:t xml:space="preserve"> </w:t>
      </w:r>
      <w:r>
        <w:rPr>
          <w:rFonts w:asciiTheme="majorBidi" w:hAnsiTheme="majorBidi" w:eastAsiaTheme="minorEastAsia" w:cstheme="majorBidi"/>
          <w:szCs w:val="24"/>
        </w:rPr>
        <w:t>应按底泥的处理总量、成分组成、处置途径、处理效率等确定处理厂的规模分级、产品类型、质量要求和产量要求。</w:t>
      </w:r>
    </w:p>
    <w:p>
      <w:pPr>
        <w:adjustRightInd w:val="0"/>
        <w:snapToGrid w:val="0"/>
        <w:ind w:firstLine="482" w:firstLineChars="200"/>
        <w:jc w:val="left"/>
        <w:rPr>
          <w:rFonts w:asciiTheme="majorBidi" w:hAnsiTheme="majorBidi" w:eastAsiaTheme="minorEastAsia" w:cstheme="majorBidi"/>
          <w:szCs w:val="24"/>
        </w:rPr>
      </w:pPr>
      <w:r>
        <w:rPr>
          <w:rFonts w:hint="eastAsia" w:asciiTheme="majorBidi" w:hAnsiTheme="majorBidi" w:eastAsiaTheme="minorEastAsia" w:cstheme="majorBidi"/>
          <w:b/>
          <w:bCs/>
          <w:szCs w:val="24"/>
        </w:rPr>
        <w:t xml:space="preserve">3 </w:t>
      </w:r>
      <w:r>
        <w:rPr>
          <w:rFonts w:asciiTheme="majorBidi" w:hAnsiTheme="majorBidi" w:eastAsiaTheme="minorEastAsia" w:cstheme="majorBidi"/>
          <w:b/>
          <w:bCs/>
          <w:szCs w:val="24"/>
        </w:rPr>
        <w:t xml:space="preserve"> </w:t>
      </w:r>
      <w:r>
        <w:rPr>
          <w:rFonts w:asciiTheme="majorBidi" w:hAnsiTheme="majorBidi" w:eastAsiaTheme="minorEastAsia" w:cstheme="majorBidi"/>
          <w:szCs w:val="24"/>
        </w:rPr>
        <w:t>应根据底泥的清淤方式、产品类型、质量和产量要求确定主要的生产工艺和设备。</w:t>
      </w:r>
    </w:p>
    <w:p>
      <w:pPr>
        <w:adjustRightInd w:val="0"/>
        <w:snapToGrid w:val="0"/>
        <w:ind w:firstLine="482" w:firstLineChars="200"/>
        <w:jc w:val="left"/>
        <w:rPr>
          <w:rFonts w:asciiTheme="majorBidi" w:hAnsiTheme="majorBidi" w:eastAsiaTheme="minorEastAsia" w:cstheme="majorBidi"/>
          <w:szCs w:val="24"/>
        </w:rPr>
      </w:pPr>
      <w:r>
        <w:rPr>
          <w:rFonts w:hint="eastAsia" w:asciiTheme="majorBidi" w:hAnsiTheme="majorBidi" w:eastAsiaTheme="minorEastAsia" w:cstheme="majorBidi"/>
          <w:b/>
          <w:bCs/>
          <w:szCs w:val="24"/>
        </w:rPr>
        <w:t>4</w:t>
      </w:r>
      <w:r>
        <w:rPr>
          <w:rFonts w:asciiTheme="majorBidi" w:hAnsiTheme="majorBidi" w:eastAsiaTheme="minorEastAsia" w:cstheme="majorBidi"/>
          <w:b/>
          <w:bCs/>
          <w:szCs w:val="24"/>
        </w:rPr>
        <w:t xml:space="preserve"> </w:t>
      </w:r>
      <w:r>
        <w:rPr>
          <w:rFonts w:hint="eastAsia" w:asciiTheme="majorBidi" w:hAnsiTheme="majorBidi" w:eastAsiaTheme="minorEastAsia" w:cstheme="majorBidi"/>
          <w:b/>
          <w:bCs/>
          <w:szCs w:val="24"/>
        </w:rPr>
        <w:t xml:space="preserve"> </w:t>
      </w:r>
      <w:r>
        <w:rPr>
          <w:rFonts w:asciiTheme="majorBidi" w:hAnsiTheme="majorBidi" w:eastAsiaTheme="minorEastAsia" w:cstheme="majorBidi"/>
          <w:szCs w:val="24"/>
        </w:rPr>
        <w:t>应按照无害化原则通过试验确定底泥处理过程中掺配材料的配比和掺量。</w:t>
      </w:r>
    </w:p>
    <w:p>
      <w:pPr>
        <w:adjustRightInd w:val="0"/>
        <w:snapToGrid w:val="0"/>
        <w:ind w:firstLine="482" w:firstLineChars="200"/>
        <w:jc w:val="left"/>
        <w:rPr>
          <w:rFonts w:asciiTheme="majorBidi" w:hAnsiTheme="majorBidi" w:eastAsiaTheme="minorEastAsia" w:cstheme="majorBidi"/>
          <w:szCs w:val="24"/>
        </w:rPr>
      </w:pPr>
      <w:r>
        <w:rPr>
          <w:rFonts w:hint="eastAsia" w:asciiTheme="majorBidi" w:hAnsiTheme="majorBidi" w:eastAsiaTheme="minorEastAsia" w:cstheme="majorBidi"/>
          <w:b/>
          <w:bCs/>
          <w:szCs w:val="24"/>
        </w:rPr>
        <w:t>5</w:t>
      </w:r>
      <w:r>
        <w:rPr>
          <w:rFonts w:asciiTheme="majorBidi" w:hAnsiTheme="majorBidi" w:eastAsiaTheme="minorEastAsia" w:cstheme="majorBidi"/>
          <w:b/>
          <w:bCs/>
          <w:szCs w:val="24"/>
        </w:rPr>
        <w:t xml:space="preserve">  </w:t>
      </w:r>
      <w:r>
        <w:rPr>
          <w:rFonts w:asciiTheme="majorBidi" w:hAnsiTheme="majorBidi" w:eastAsiaTheme="minorEastAsia" w:cstheme="majorBidi"/>
          <w:szCs w:val="24"/>
        </w:rPr>
        <w:t>应根据主设备生产方式、适用条件、生产效率和材料配比确定辅助生产工艺和设备。</w:t>
      </w:r>
    </w:p>
    <w:p>
      <w:pPr>
        <w:pStyle w:val="4"/>
        <w:rPr>
          <w:rFonts w:asciiTheme="majorBidi" w:hAnsiTheme="majorBidi" w:eastAsiaTheme="minorEastAsia" w:cstheme="majorBidi"/>
          <w:szCs w:val="28"/>
        </w:rPr>
      </w:pPr>
      <w:bookmarkStart w:id="84" w:name="_Toc4769469"/>
      <w:r>
        <w:rPr>
          <w:rFonts w:asciiTheme="majorBidi" w:hAnsiTheme="majorBidi" w:eastAsiaTheme="minorEastAsia" w:cstheme="majorBidi"/>
          <w:szCs w:val="28"/>
        </w:rPr>
        <w:t>7.4.3</w:t>
      </w:r>
      <w:r>
        <w:rPr>
          <w:rFonts w:hint="eastAsia" w:asciiTheme="majorBidi" w:hAnsiTheme="majorBidi" w:eastAsiaTheme="minorEastAsia" w:cstheme="majorBidi"/>
          <w:szCs w:val="28"/>
        </w:rPr>
        <w:t xml:space="preserve"> </w:t>
      </w:r>
      <w:r>
        <w:rPr>
          <w:rFonts w:asciiTheme="majorBidi" w:hAnsiTheme="majorBidi" w:eastAsiaTheme="minorEastAsia" w:cstheme="majorBidi"/>
          <w:szCs w:val="28"/>
        </w:rPr>
        <w:t xml:space="preserve"> </w:t>
      </w:r>
      <w:r>
        <w:rPr>
          <w:rFonts w:asciiTheme="majorBidi" w:hAnsiTheme="majorBidi" w:eastAsiaTheme="minorEastAsia" w:cstheme="majorBidi"/>
          <w:b w:val="0"/>
          <w:bCs w:val="0"/>
          <w:szCs w:val="28"/>
        </w:rPr>
        <w:t>主要生产系统</w:t>
      </w:r>
      <w:bookmarkEnd w:id="84"/>
      <w:r>
        <w:rPr>
          <w:rFonts w:hint="eastAsia" w:asciiTheme="majorBidi" w:hAnsiTheme="majorBidi" w:eastAsiaTheme="minorEastAsia" w:cstheme="majorBidi"/>
          <w:b w:val="0"/>
          <w:bCs w:val="0"/>
          <w:szCs w:val="28"/>
        </w:rPr>
        <w:t>。</w:t>
      </w:r>
    </w:p>
    <w:p>
      <w:pPr>
        <w:ind w:firstLine="482" w:firstLineChars="200"/>
        <w:rPr>
          <w:rFonts w:cs="Times New Roman" w:eastAsiaTheme="minorEastAsia"/>
          <w:szCs w:val="24"/>
        </w:rPr>
      </w:pPr>
      <w:r>
        <w:rPr>
          <w:rFonts w:hint="eastAsia" w:cs="Times New Roman" w:eastAsiaTheme="minorEastAsia"/>
          <w:b/>
          <w:bCs/>
          <w:szCs w:val="24"/>
        </w:rPr>
        <w:t>1</w:t>
      </w:r>
      <w:r>
        <w:rPr>
          <w:rFonts w:cs="Times New Roman" w:eastAsiaTheme="minorEastAsia"/>
          <w:b/>
          <w:szCs w:val="24"/>
        </w:rPr>
        <w:t xml:space="preserve">  </w:t>
      </w:r>
      <w:r>
        <w:rPr>
          <w:rFonts w:cs="Times New Roman" w:eastAsiaTheme="minorEastAsia"/>
          <w:szCs w:val="24"/>
        </w:rPr>
        <w:t>底泥处理厂的组成宜包括底泥接收系统、垃圾分选系统、泥砂分离系统、泥水分离系统、调理调质系统、脱水固化系统、余水处理系统、自动控制系统。</w:t>
      </w:r>
    </w:p>
    <w:p>
      <w:pPr>
        <w:ind w:firstLine="482" w:firstLineChars="200"/>
        <w:rPr>
          <w:rFonts w:cs="Times New Roman" w:eastAsiaTheme="minorEastAsia"/>
          <w:szCs w:val="24"/>
        </w:rPr>
      </w:pPr>
      <w:r>
        <w:rPr>
          <w:rFonts w:hint="eastAsia" w:cs="Times New Roman" w:eastAsiaTheme="minorEastAsia"/>
          <w:b/>
          <w:bCs/>
          <w:szCs w:val="24"/>
        </w:rPr>
        <w:t>2</w:t>
      </w:r>
      <w:r>
        <w:rPr>
          <w:rFonts w:cs="Times New Roman" w:eastAsiaTheme="minorEastAsia"/>
          <w:b/>
          <w:szCs w:val="24"/>
        </w:rPr>
        <w:t xml:space="preserve">  </w:t>
      </w:r>
      <w:r>
        <w:rPr>
          <w:rFonts w:cs="Times New Roman" w:eastAsiaTheme="minorEastAsia"/>
          <w:szCs w:val="24"/>
        </w:rPr>
        <w:t>底泥接收系统宜同时满足环保清淤底泥、市政建设底泥或城市污水处理厂产生的污泥等接收要求，接收设备应与输送设备的能力和特点匹配。</w:t>
      </w:r>
    </w:p>
    <w:p>
      <w:pPr>
        <w:ind w:firstLine="482" w:firstLineChars="200"/>
        <w:rPr>
          <w:rFonts w:cs="Times New Roman" w:eastAsiaTheme="minorEastAsia"/>
          <w:szCs w:val="24"/>
        </w:rPr>
      </w:pPr>
      <w:r>
        <w:rPr>
          <w:rFonts w:hint="eastAsia" w:cs="Times New Roman" w:eastAsiaTheme="minorEastAsia"/>
          <w:b/>
          <w:bCs/>
          <w:szCs w:val="24"/>
        </w:rPr>
        <w:t>3</w:t>
      </w:r>
      <w:r>
        <w:rPr>
          <w:rFonts w:cs="Times New Roman" w:eastAsiaTheme="minorEastAsia"/>
          <w:b/>
          <w:szCs w:val="24"/>
        </w:rPr>
        <w:t xml:space="preserve">  </w:t>
      </w:r>
      <w:r>
        <w:rPr>
          <w:rFonts w:cs="Times New Roman" w:eastAsiaTheme="minorEastAsia"/>
          <w:szCs w:val="24"/>
        </w:rPr>
        <w:t>垃圾分选系统宜包括垃圾分离设备和垃圾分类筛选设备。垃圾分类设备宜采用格栅机或振动筛，必要时可多级组合使用。</w:t>
      </w:r>
    </w:p>
    <w:p>
      <w:pPr>
        <w:ind w:firstLine="482" w:firstLineChars="200"/>
        <w:rPr>
          <w:rFonts w:cs="Times New Roman" w:eastAsiaTheme="minorEastAsia"/>
          <w:szCs w:val="24"/>
        </w:rPr>
      </w:pPr>
      <w:r>
        <w:rPr>
          <w:rFonts w:hint="eastAsia" w:cs="Times New Roman" w:eastAsiaTheme="minorEastAsia"/>
          <w:b/>
          <w:bCs/>
          <w:szCs w:val="24"/>
        </w:rPr>
        <w:t>4</w:t>
      </w:r>
      <w:r>
        <w:rPr>
          <w:rFonts w:cs="Times New Roman" w:eastAsiaTheme="minorEastAsia"/>
          <w:b/>
          <w:szCs w:val="24"/>
        </w:rPr>
        <w:t xml:space="preserve">  </w:t>
      </w:r>
      <w:r>
        <w:rPr>
          <w:rFonts w:cs="Times New Roman" w:eastAsiaTheme="minorEastAsia"/>
          <w:szCs w:val="24"/>
        </w:rPr>
        <w:t>泥砂分离系统宜采用重力沉淀或旋流分离方式，可配置淋洗和筛分设备。重力沉淀方式宜包括沉砂池、提砂机、洗砂机等构筑物或设备。</w:t>
      </w:r>
    </w:p>
    <w:p>
      <w:pPr>
        <w:ind w:firstLine="482" w:firstLineChars="200"/>
        <w:rPr>
          <w:rFonts w:cs="Times New Roman" w:eastAsiaTheme="minorEastAsia"/>
          <w:szCs w:val="24"/>
        </w:rPr>
      </w:pPr>
      <w:r>
        <w:rPr>
          <w:rFonts w:hint="eastAsia" w:cs="Times New Roman" w:eastAsiaTheme="minorEastAsia"/>
          <w:b/>
          <w:bCs/>
          <w:szCs w:val="24"/>
        </w:rPr>
        <w:t>5</w:t>
      </w:r>
      <w:r>
        <w:rPr>
          <w:rFonts w:cs="Times New Roman" w:eastAsiaTheme="minorEastAsia"/>
          <w:b/>
          <w:bCs/>
          <w:szCs w:val="24"/>
        </w:rPr>
        <w:t xml:space="preserve"> </w:t>
      </w:r>
      <w:r>
        <w:rPr>
          <w:rFonts w:cs="Times New Roman" w:eastAsiaTheme="minorEastAsia"/>
          <w:b/>
          <w:szCs w:val="24"/>
        </w:rPr>
        <w:t xml:space="preserve"> </w:t>
      </w:r>
      <w:r>
        <w:rPr>
          <w:rFonts w:cs="Times New Roman" w:eastAsiaTheme="minorEastAsia"/>
          <w:szCs w:val="24"/>
        </w:rPr>
        <w:t>泥水分离系统宜由沉淀池、滗水器等组成。小型底泥处理厂可通过一组沉淀容器和溢流装置实现。必要时可辅助以絮凝剂或助凝剂。</w:t>
      </w:r>
    </w:p>
    <w:p>
      <w:pPr>
        <w:ind w:firstLine="482" w:firstLineChars="200"/>
        <w:rPr>
          <w:rFonts w:cs="Times New Roman" w:eastAsiaTheme="minorEastAsia"/>
          <w:szCs w:val="24"/>
        </w:rPr>
      </w:pPr>
      <w:r>
        <w:rPr>
          <w:rFonts w:hint="eastAsia" w:cs="Times New Roman" w:eastAsiaTheme="minorEastAsia"/>
          <w:b/>
          <w:bCs/>
          <w:szCs w:val="24"/>
        </w:rPr>
        <w:t>6</w:t>
      </w:r>
      <w:r>
        <w:rPr>
          <w:rFonts w:cs="Times New Roman" w:eastAsiaTheme="minorEastAsia"/>
          <w:b/>
          <w:szCs w:val="24"/>
        </w:rPr>
        <w:t xml:space="preserve">  </w:t>
      </w:r>
      <w:r>
        <w:rPr>
          <w:rFonts w:cs="Times New Roman" w:eastAsiaTheme="minorEastAsia"/>
          <w:szCs w:val="24"/>
        </w:rPr>
        <w:t>调理调质系统宜由调理池或调理容器，底泥调理剂存储、添加、均混设备以及泥浆浓缩设备等组成。</w:t>
      </w:r>
    </w:p>
    <w:p>
      <w:pPr>
        <w:ind w:firstLine="482" w:firstLineChars="200"/>
        <w:rPr>
          <w:rFonts w:cs="Times New Roman" w:eastAsiaTheme="minorEastAsia"/>
          <w:szCs w:val="24"/>
        </w:rPr>
      </w:pPr>
      <w:r>
        <w:rPr>
          <w:rFonts w:hint="eastAsia" w:cs="Times New Roman" w:eastAsiaTheme="minorEastAsia"/>
          <w:b/>
          <w:bCs/>
          <w:szCs w:val="24"/>
        </w:rPr>
        <w:t>7</w:t>
      </w:r>
      <w:r>
        <w:rPr>
          <w:rFonts w:cs="Times New Roman" w:eastAsiaTheme="minorEastAsia"/>
          <w:b/>
          <w:szCs w:val="24"/>
        </w:rPr>
        <w:t xml:space="preserve">  </w:t>
      </w:r>
      <w:r>
        <w:rPr>
          <w:rFonts w:cs="Times New Roman" w:eastAsiaTheme="minorEastAsia"/>
          <w:szCs w:val="24"/>
        </w:rPr>
        <w:t>脱水固化系统应根据工程规模、底泥组成、处置途径具体确定</w:t>
      </w:r>
      <w:r>
        <w:rPr>
          <w:rFonts w:hint="eastAsia" w:cs="Times New Roman" w:eastAsiaTheme="minorEastAsia"/>
          <w:szCs w:val="24"/>
        </w:rPr>
        <w:t>工艺类型，并考虑运行成本、占地等因素，宜优先</w:t>
      </w:r>
      <w:r>
        <w:rPr>
          <w:rFonts w:cs="Times New Roman" w:eastAsiaTheme="minorEastAsia"/>
          <w:szCs w:val="24"/>
        </w:rPr>
        <w:t>选用板框压滤机、带式压滤机或离心脱水机等机械作业方式</w:t>
      </w:r>
      <w:r>
        <w:rPr>
          <w:rFonts w:hint="eastAsia" w:cs="Times New Roman" w:eastAsiaTheme="minorEastAsia"/>
          <w:szCs w:val="24"/>
        </w:rPr>
        <w:t>。</w:t>
      </w:r>
    </w:p>
    <w:p>
      <w:pPr>
        <w:ind w:firstLine="482" w:firstLineChars="200"/>
        <w:rPr>
          <w:rFonts w:cs="Times New Roman" w:eastAsiaTheme="minorEastAsia"/>
          <w:szCs w:val="24"/>
        </w:rPr>
      </w:pPr>
      <w:r>
        <w:rPr>
          <w:rFonts w:hint="eastAsia" w:cs="Times New Roman" w:eastAsiaTheme="minorEastAsia"/>
          <w:b/>
          <w:bCs/>
          <w:szCs w:val="24"/>
        </w:rPr>
        <w:t>8</w:t>
      </w:r>
      <w:r>
        <w:rPr>
          <w:rFonts w:cs="Times New Roman" w:eastAsiaTheme="minorEastAsia"/>
          <w:b/>
          <w:bCs/>
          <w:szCs w:val="24"/>
        </w:rPr>
        <w:t xml:space="preserve"> </w:t>
      </w:r>
      <w:r>
        <w:rPr>
          <w:rFonts w:hint="eastAsia" w:cs="Times New Roman" w:eastAsiaTheme="minorEastAsia"/>
          <w:b/>
          <w:bCs/>
          <w:szCs w:val="24"/>
        </w:rPr>
        <w:t xml:space="preserve"> </w:t>
      </w:r>
      <w:r>
        <w:rPr>
          <w:rFonts w:cs="Times New Roman" w:eastAsiaTheme="minorEastAsia"/>
          <w:szCs w:val="24"/>
        </w:rPr>
        <w:t>余水处理系统根据处理工艺可分为物化法和生物法。单独建设的底泥处理厂余水处理宜选物化法。</w:t>
      </w:r>
    </w:p>
    <w:p>
      <w:pPr>
        <w:ind w:firstLine="482" w:firstLineChars="200"/>
        <w:rPr>
          <w:rFonts w:cs="Times New Roman" w:eastAsiaTheme="minorEastAsia"/>
          <w:szCs w:val="24"/>
        </w:rPr>
      </w:pPr>
      <w:r>
        <w:rPr>
          <w:rFonts w:hint="eastAsia" w:cs="Times New Roman" w:eastAsiaTheme="minorEastAsia"/>
          <w:b/>
          <w:bCs/>
          <w:szCs w:val="24"/>
        </w:rPr>
        <w:t>9</w:t>
      </w:r>
      <w:r>
        <w:rPr>
          <w:rFonts w:cs="Times New Roman" w:eastAsiaTheme="minorEastAsia"/>
          <w:b/>
          <w:szCs w:val="24"/>
        </w:rPr>
        <w:t xml:space="preserve">  </w:t>
      </w:r>
      <w:r>
        <w:rPr>
          <w:rFonts w:cs="Times New Roman" w:eastAsiaTheme="minorEastAsia"/>
          <w:szCs w:val="24"/>
        </w:rPr>
        <w:t>底泥处理厂各系统应采用模块化设计，相对独立布置，各系统之间可采用管路或传输带连通。</w:t>
      </w:r>
    </w:p>
    <w:p>
      <w:pPr>
        <w:pStyle w:val="3"/>
        <w:spacing w:line="560" w:lineRule="exact"/>
        <w:rPr>
          <w:rFonts w:cs="Times New Roman"/>
          <w:szCs w:val="28"/>
        </w:rPr>
      </w:pPr>
      <w:bookmarkStart w:id="85" w:name="_Toc37843271"/>
      <w:bookmarkStart w:id="86" w:name="_Toc4769470"/>
      <w:r>
        <w:rPr>
          <w:rFonts w:cs="Times New Roman"/>
          <w:szCs w:val="28"/>
        </w:rPr>
        <w:t>7.5  辅助配套设施</w:t>
      </w:r>
      <w:bookmarkEnd w:id="85"/>
      <w:bookmarkEnd w:id="86"/>
    </w:p>
    <w:p>
      <w:pPr>
        <w:rPr>
          <w:rFonts w:asciiTheme="majorBidi" w:hAnsiTheme="majorBidi" w:eastAsiaTheme="minorEastAsia" w:cstheme="majorBidi"/>
          <w:szCs w:val="24"/>
        </w:rPr>
      </w:pPr>
      <w:r>
        <w:rPr>
          <w:rFonts w:asciiTheme="majorBidi" w:hAnsiTheme="majorBidi" w:eastAsiaTheme="minorEastAsia" w:cstheme="majorBidi"/>
          <w:b/>
          <w:bCs/>
          <w:szCs w:val="24"/>
        </w:rPr>
        <w:t>7.5.1</w:t>
      </w:r>
      <w:r>
        <w:rPr>
          <w:rFonts w:asciiTheme="majorBidi" w:hAnsiTheme="majorBidi" w:eastAsiaTheme="minorEastAsia" w:cstheme="majorBidi"/>
          <w:b/>
          <w:szCs w:val="24"/>
        </w:rPr>
        <w:t xml:space="preserve">  </w:t>
      </w:r>
      <w:r>
        <w:rPr>
          <w:rFonts w:asciiTheme="majorBidi" w:hAnsiTheme="majorBidi" w:eastAsiaTheme="minorEastAsia" w:cstheme="majorBidi"/>
          <w:szCs w:val="24"/>
        </w:rPr>
        <w:t>底泥处理厂辅助配套设施宜包括配电供电工程、给水排水工程、消防工程、交通工程、防雷设施等。</w:t>
      </w:r>
    </w:p>
    <w:p>
      <w:pPr>
        <w:rPr>
          <w:rFonts w:asciiTheme="majorBidi" w:hAnsiTheme="majorBidi" w:eastAsiaTheme="minorEastAsia" w:cstheme="majorBidi"/>
          <w:szCs w:val="24"/>
        </w:rPr>
      </w:pPr>
      <w:r>
        <w:rPr>
          <w:rFonts w:asciiTheme="majorBidi" w:hAnsiTheme="majorBidi" w:eastAsiaTheme="minorEastAsia" w:cstheme="majorBidi"/>
          <w:b/>
          <w:bCs/>
          <w:szCs w:val="24"/>
        </w:rPr>
        <w:t>7.5.2</w:t>
      </w:r>
      <w:r>
        <w:rPr>
          <w:rFonts w:asciiTheme="majorBidi" w:hAnsiTheme="majorBidi" w:eastAsiaTheme="minorEastAsia" w:cstheme="majorBidi"/>
          <w:b/>
          <w:szCs w:val="24"/>
        </w:rPr>
        <w:t xml:space="preserve">  </w:t>
      </w:r>
      <w:r>
        <w:rPr>
          <w:rFonts w:asciiTheme="majorBidi" w:hAnsiTheme="majorBidi" w:eastAsiaTheme="minorEastAsia" w:cstheme="majorBidi"/>
          <w:szCs w:val="24"/>
        </w:rPr>
        <w:t>底泥处理厂用电宜由当地电网供给，用电负荷等级宜按三级负荷设计。</w:t>
      </w:r>
    </w:p>
    <w:p>
      <w:pPr>
        <w:rPr>
          <w:rFonts w:asciiTheme="majorBidi" w:hAnsiTheme="majorBidi" w:eastAsiaTheme="minorEastAsia" w:cstheme="majorBidi"/>
          <w:szCs w:val="24"/>
        </w:rPr>
      </w:pPr>
      <w:r>
        <w:rPr>
          <w:rFonts w:asciiTheme="majorBidi" w:hAnsiTheme="majorBidi" w:eastAsiaTheme="minorEastAsia" w:cstheme="majorBidi"/>
          <w:b/>
          <w:bCs/>
          <w:szCs w:val="24"/>
        </w:rPr>
        <w:t xml:space="preserve">7.5.3  </w:t>
      </w:r>
      <w:r>
        <w:rPr>
          <w:rFonts w:asciiTheme="majorBidi" w:hAnsiTheme="majorBidi" w:eastAsiaTheme="minorEastAsia" w:cstheme="majorBidi"/>
          <w:szCs w:val="24"/>
        </w:rPr>
        <w:t>底泥处理厂生活用水宜就近使用市政供水，也可因地制宜采用其他水源。辅助生产、厂区绿化等低质用水应优先采用符合水质标准的河水或再生水。生活用水、生产用水和消防用水水质应符合国家现行有关标准的规定。</w:t>
      </w:r>
    </w:p>
    <w:p>
      <w:pPr>
        <w:rPr>
          <w:rFonts w:asciiTheme="majorBidi" w:hAnsiTheme="majorBidi" w:eastAsiaTheme="minorEastAsia" w:cstheme="majorBidi"/>
          <w:szCs w:val="24"/>
        </w:rPr>
      </w:pPr>
      <w:r>
        <w:rPr>
          <w:rFonts w:asciiTheme="majorBidi" w:hAnsiTheme="majorBidi" w:eastAsiaTheme="minorEastAsia" w:cstheme="majorBidi"/>
          <w:b/>
          <w:bCs/>
          <w:szCs w:val="24"/>
        </w:rPr>
        <w:t xml:space="preserve">7.5.4  </w:t>
      </w:r>
      <w:r>
        <w:rPr>
          <w:rFonts w:asciiTheme="majorBidi" w:hAnsiTheme="majorBidi" w:eastAsiaTheme="minorEastAsia" w:cstheme="majorBidi"/>
          <w:szCs w:val="24"/>
        </w:rPr>
        <w:t>底泥处理厂的消防设施应按GB 50016的规定</w:t>
      </w:r>
      <w:r>
        <w:rPr>
          <w:rFonts w:hint="eastAsia" w:asciiTheme="majorBidi" w:hAnsiTheme="majorBidi" w:eastAsiaTheme="minorEastAsia" w:cstheme="majorBidi"/>
          <w:szCs w:val="24"/>
        </w:rPr>
        <w:t>执行</w:t>
      </w:r>
      <w:r>
        <w:rPr>
          <w:rFonts w:asciiTheme="majorBidi" w:hAnsiTheme="majorBidi" w:eastAsiaTheme="minorEastAsia" w:cstheme="majorBidi"/>
          <w:szCs w:val="24"/>
        </w:rPr>
        <w:t>。</w:t>
      </w:r>
    </w:p>
    <w:p>
      <w:pPr>
        <w:rPr>
          <w:rFonts w:asciiTheme="majorBidi" w:hAnsiTheme="majorBidi" w:eastAsiaTheme="minorEastAsia" w:cstheme="majorBidi"/>
          <w:szCs w:val="24"/>
        </w:rPr>
      </w:pPr>
      <w:r>
        <w:rPr>
          <w:rFonts w:asciiTheme="majorBidi" w:hAnsiTheme="majorBidi" w:eastAsiaTheme="minorEastAsia" w:cstheme="majorBidi"/>
          <w:b/>
          <w:bCs/>
          <w:szCs w:val="24"/>
        </w:rPr>
        <w:t xml:space="preserve">7.5.5  </w:t>
      </w:r>
      <w:r>
        <w:rPr>
          <w:rFonts w:asciiTheme="majorBidi" w:hAnsiTheme="majorBidi" w:eastAsiaTheme="minorEastAsia" w:cstheme="majorBidi"/>
          <w:szCs w:val="24"/>
        </w:rPr>
        <w:t>底泥处理厂的防雷和接地装置应按GB 50057的规定</w:t>
      </w:r>
      <w:r>
        <w:rPr>
          <w:rFonts w:hint="eastAsia" w:asciiTheme="majorBidi" w:hAnsiTheme="majorBidi" w:eastAsiaTheme="minorEastAsia" w:cstheme="majorBidi"/>
          <w:szCs w:val="24"/>
        </w:rPr>
        <w:t>执行</w:t>
      </w:r>
      <w:r>
        <w:rPr>
          <w:rFonts w:asciiTheme="majorBidi" w:hAnsiTheme="majorBidi" w:eastAsiaTheme="minorEastAsia" w:cstheme="majorBidi"/>
          <w:szCs w:val="24"/>
        </w:rPr>
        <w:t>。</w:t>
      </w:r>
    </w:p>
    <w:p>
      <w:pPr>
        <w:rPr>
          <w:rFonts w:asciiTheme="majorBidi" w:hAnsiTheme="majorBidi" w:eastAsiaTheme="minorEastAsia" w:cstheme="majorBidi"/>
          <w:szCs w:val="24"/>
        </w:rPr>
      </w:pPr>
      <w:r>
        <w:rPr>
          <w:rFonts w:asciiTheme="majorBidi" w:hAnsiTheme="majorBidi" w:eastAsiaTheme="minorEastAsia" w:cstheme="majorBidi"/>
          <w:b/>
          <w:bCs/>
          <w:szCs w:val="24"/>
        </w:rPr>
        <w:t xml:space="preserve">7.5.6  </w:t>
      </w:r>
      <w:r>
        <w:rPr>
          <w:rFonts w:asciiTheme="majorBidi" w:hAnsiTheme="majorBidi" w:eastAsiaTheme="minorEastAsia" w:cstheme="majorBidi"/>
          <w:szCs w:val="24"/>
        </w:rPr>
        <w:t>交通道路应包括进出厂道路和厂区内道路，交通道路应</w:t>
      </w:r>
      <w:r>
        <w:rPr>
          <w:rFonts w:hint="eastAsia" w:asciiTheme="majorBidi" w:hAnsiTheme="majorBidi" w:eastAsiaTheme="minorEastAsia" w:cstheme="majorBidi"/>
          <w:szCs w:val="24"/>
        </w:rPr>
        <w:t>符合</w:t>
      </w:r>
      <w:r>
        <w:rPr>
          <w:rFonts w:asciiTheme="majorBidi" w:hAnsiTheme="majorBidi" w:eastAsiaTheme="minorEastAsia" w:cstheme="majorBidi"/>
          <w:szCs w:val="24"/>
        </w:rPr>
        <w:t>GBJ 22的规定，宜利用已有道路。</w:t>
      </w:r>
    </w:p>
    <w:p>
      <w:pPr>
        <w:rPr>
          <w:sz w:val="28"/>
          <w:szCs w:val="28"/>
        </w:rPr>
      </w:pPr>
      <w:r>
        <w:rPr>
          <w:rFonts w:asciiTheme="majorBidi" w:hAnsiTheme="majorBidi" w:eastAsiaTheme="minorEastAsia" w:cstheme="majorBidi"/>
          <w:b/>
          <w:bCs/>
          <w:szCs w:val="24"/>
        </w:rPr>
        <w:t xml:space="preserve">7.5.7  </w:t>
      </w:r>
      <w:r>
        <w:rPr>
          <w:rFonts w:asciiTheme="majorBidi" w:hAnsiTheme="majorBidi" w:eastAsiaTheme="minorEastAsia" w:cstheme="majorBidi"/>
          <w:szCs w:val="24"/>
        </w:rPr>
        <w:t>底泥处理厂</w:t>
      </w:r>
      <w:r>
        <w:rPr>
          <w:rFonts w:hint="eastAsia" w:asciiTheme="majorBidi" w:hAnsiTheme="majorBidi" w:eastAsiaTheme="minorEastAsia" w:cstheme="majorBidi"/>
          <w:szCs w:val="24"/>
        </w:rPr>
        <w:t>生产车间应配套做好通风、除臭系统。</w:t>
      </w:r>
    </w:p>
    <w:p>
      <w:pPr>
        <w:pStyle w:val="3"/>
        <w:rPr>
          <w:rFonts w:cs="Times New Roman"/>
          <w:szCs w:val="28"/>
        </w:rPr>
      </w:pPr>
      <w:bookmarkStart w:id="87" w:name="_Toc37843272"/>
      <w:bookmarkStart w:id="88" w:name="_Toc4769472"/>
      <w:r>
        <w:rPr>
          <w:rFonts w:cs="Times New Roman"/>
          <w:szCs w:val="28"/>
        </w:rPr>
        <w:t>7.6</w:t>
      </w:r>
      <w:r>
        <w:rPr>
          <w:rFonts w:hint="eastAsia" w:cs="Times New Roman"/>
          <w:szCs w:val="28"/>
        </w:rPr>
        <w:t xml:space="preserve"> </w:t>
      </w:r>
      <w:r>
        <w:rPr>
          <w:rFonts w:cs="Times New Roman"/>
          <w:szCs w:val="28"/>
        </w:rPr>
        <w:t xml:space="preserve"> 土建工程及建设用地</w:t>
      </w:r>
      <w:bookmarkEnd w:id="87"/>
      <w:bookmarkEnd w:id="88"/>
    </w:p>
    <w:p>
      <w:pPr>
        <w:rPr>
          <w:rFonts w:cs="Times New Roman" w:eastAsiaTheme="minorEastAsia"/>
          <w:szCs w:val="24"/>
        </w:rPr>
      </w:pPr>
      <w:r>
        <w:rPr>
          <w:rFonts w:cs="Times New Roman" w:eastAsiaTheme="minorEastAsia"/>
          <w:b/>
          <w:bCs/>
          <w:szCs w:val="24"/>
        </w:rPr>
        <w:t xml:space="preserve">7.6.1  </w:t>
      </w:r>
      <w:r>
        <w:rPr>
          <w:rFonts w:cs="Times New Roman" w:eastAsiaTheme="minorEastAsia"/>
          <w:szCs w:val="24"/>
        </w:rPr>
        <w:t>底泥处理厂土建工程建设标准应根据建设规模、周围环境区别对待，并符合经济实用、有利生产的原则。</w:t>
      </w:r>
    </w:p>
    <w:p>
      <w:pPr>
        <w:rPr>
          <w:rFonts w:cs="Times New Roman" w:eastAsiaTheme="minorEastAsia"/>
          <w:szCs w:val="24"/>
        </w:rPr>
      </w:pPr>
      <w:r>
        <w:rPr>
          <w:rFonts w:cs="Times New Roman" w:eastAsiaTheme="minorEastAsia"/>
          <w:b/>
          <w:bCs/>
          <w:szCs w:val="24"/>
        </w:rPr>
        <w:t>7.6.2</w:t>
      </w:r>
      <w:r>
        <w:rPr>
          <w:rFonts w:cs="Times New Roman" w:eastAsiaTheme="minorEastAsia"/>
          <w:szCs w:val="24"/>
        </w:rPr>
        <w:t xml:space="preserve">  底泥处理厂总平面布置应统筹考虑生产系统和辅助配套设施的相互协调和流程衔接，并有利于采取封闭管理措施。生产设施管理和生活服务设施建筑，在满足使用功能和安全生产的条件下，宜集中布置。</w:t>
      </w:r>
    </w:p>
    <w:p>
      <w:pPr>
        <w:rPr>
          <w:rFonts w:cs="Times New Roman" w:eastAsiaTheme="minorEastAsia"/>
          <w:szCs w:val="24"/>
        </w:rPr>
      </w:pPr>
      <w:r>
        <w:rPr>
          <w:rFonts w:cs="Times New Roman" w:eastAsiaTheme="minorEastAsia"/>
          <w:b/>
          <w:bCs/>
          <w:szCs w:val="24"/>
        </w:rPr>
        <w:t xml:space="preserve">7.6.3  </w:t>
      </w:r>
      <w:r>
        <w:rPr>
          <w:rFonts w:cs="Times New Roman" w:eastAsiaTheme="minorEastAsia"/>
          <w:szCs w:val="24"/>
        </w:rPr>
        <w:t>底泥处理厂内建（构）筑物</w:t>
      </w:r>
      <w:r>
        <w:rPr>
          <w:rFonts w:hint="eastAsia" w:cs="Times New Roman" w:eastAsiaTheme="minorEastAsia"/>
          <w:szCs w:val="24"/>
        </w:rPr>
        <w:t>，</w:t>
      </w:r>
      <w:r>
        <w:rPr>
          <w:rFonts w:cs="Times New Roman" w:eastAsiaTheme="minorEastAsia"/>
          <w:szCs w:val="24"/>
        </w:rPr>
        <w:t>包括各生产设备基础</w:t>
      </w:r>
      <w:r>
        <w:rPr>
          <w:rFonts w:hint="eastAsia" w:cs="Times New Roman" w:eastAsiaTheme="minorEastAsia"/>
          <w:szCs w:val="24"/>
        </w:rPr>
        <w:t>，</w:t>
      </w:r>
      <w:r>
        <w:rPr>
          <w:rFonts w:cs="Times New Roman" w:eastAsiaTheme="minorEastAsia"/>
          <w:szCs w:val="24"/>
        </w:rPr>
        <w:t>设计应遵循以下原则</w:t>
      </w:r>
      <w:r>
        <w:rPr>
          <w:rFonts w:hint="eastAsia" w:cs="Times New Roman" w:eastAsiaTheme="minorEastAsia"/>
          <w:szCs w:val="24"/>
        </w:rPr>
        <w:t>：</w:t>
      </w:r>
    </w:p>
    <w:p>
      <w:pPr>
        <w:ind w:firstLine="482" w:firstLineChars="200"/>
        <w:rPr>
          <w:rFonts w:cs="Times New Roman" w:eastAsiaTheme="minorEastAsia"/>
          <w:szCs w:val="24"/>
        </w:rPr>
      </w:pPr>
      <w:r>
        <w:rPr>
          <w:rFonts w:hint="eastAsia" w:cs="Times New Roman" w:eastAsiaTheme="minorEastAsia"/>
          <w:b/>
          <w:bCs/>
          <w:szCs w:val="24"/>
        </w:rPr>
        <w:t xml:space="preserve">1 </w:t>
      </w:r>
      <w:r>
        <w:rPr>
          <w:rFonts w:cs="Times New Roman" w:eastAsiaTheme="minorEastAsia"/>
          <w:b/>
          <w:bCs/>
          <w:szCs w:val="24"/>
        </w:rPr>
        <w:t xml:space="preserve"> </w:t>
      </w:r>
      <w:r>
        <w:rPr>
          <w:rFonts w:cs="Times New Roman" w:eastAsiaTheme="minorEastAsia"/>
          <w:szCs w:val="24"/>
        </w:rPr>
        <w:t>厂区建（构）筑物结构应在承载力、稳定、变形和耐久性等方面满足安全生产使用功能的要求，建（构）筑物形式应与周围环境相协调</w:t>
      </w:r>
      <w:r>
        <w:rPr>
          <w:rFonts w:hint="eastAsia" w:cs="Times New Roman" w:eastAsiaTheme="minorEastAsia"/>
          <w:szCs w:val="24"/>
        </w:rPr>
        <w:t>；</w:t>
      </w:r>
    </w:p>
    <w:p>
      <w:pPr>
        <w:ind w:firstLine="482" w:firstLineChars="200"/>
        <w:rPr>
          <w:rFonts w:cs="Times New Roman" w:eastAsiaTheme="minorEastAsia"/>
          <w:szCs w:val="24"/>
        </w:rPr>
      </w:pPr>
      <w:r>
        <w:rPr>
          <w:rFonts w:hint="eastAsia" w:cs="Times New Roman" w:eastAsiaTheme="minorEastAsia"/>
          <w:b/>
          <w:bCs/>
          <w:szCs w:val="24"/>
        </w:rPr>
        <w:t xml:space="preserve">2 </w:t>
      </w:r>
      <w:r>
        <w:rPr>
          <w:rFonts w:cs="Times New Roman" w:eastAsiaTheme="minorEastAsia"/>
          <w:b/>
          <w:bCs/>
          <w:szCs w:val="24"/>
        </w:rPr>
        <w:t xml:space="preserve"> </w:t>
      </w:r>
      <w:r>
        <w:rPr>
          <w:rFonts w:cs="Times New Roman" w:eastAsiaTheme="minorEastAsia"/>
          <w:szCs w:val="24"/>
        </w:rPr>
        <w:t>厂区基础工程与底泥、污水、垃圾等直接或间接接触的基础部分，应进行防渗设计与专业处理</w:t>
      </w:r>
      <w:r>
        <w:rPr>
          <w:rFonts w:hint="eastAsia" w:cs="Times New Roman" w:eastAsiaTheme="minorEastAsia"/>
          <w:szCs w:val="24"/>
        </w:rPr>
        <w:t>；</w:t>
      </w:r>
    </w:p>
    <w:p>
      <w:pPr>
        <w:ind w:firstLine="482" w:firstLineChars="200"/>
        <w:rPr>
          <w:rFonts w:cs="Times New Roman" w:eastAsiaTheme="minorEastAsia"/>
          <w:szCs w:val="24"/>
        </w:rPr>
      </w:pPr>
      <w:r>
        <w:rPr>
          <w:rFonts w:hint="eastAsia" w:cs="Times New Roman" w:eastAsiaTheme="minorEastAsia"/>
          <w:b/>
          <w:bCs/>
          <w:szCs w:val="24"/>
        </w:rPr>
        <w:t xml:space="preserve">3 </w:t>
      </w:r>
      <w:r>
        <w:rPr>
          <w:rFonts w:cs="Times New Roman" w:eastAsiaTheme="minorEastAsia"/>
          <w:b/>
          <w:bCs/>
          <w:szCs w:val="24"/>
        </w:rPr>
        <w:t xml:space="preserve"> </w:t>
      </w:r>
      <w:r>
        <w:rPr>
          <w:rFonts w:cs="Times New Roman" w:eastAsiaTheme="minorEastAsia"/>
          <w:szCs w:val="24"/>
        </w:rPr>
        <w:t>宜根据建（构）筑物布置及所在区域的地质条件进行安全监测设计</w:t>
      </w:r>
      <w:r>
        <w:rPr>
          <w:rFonts w:hint="eastAsia" w:cs="Times New Roman" w:eastAsiaTheme="minorEastAsia"/>
          <w:szCs w:val="24"/>
        </w:rPr>
        <w:t>；</w:t>
      </w:r>
    </w:p>
    <w:p>
      <w:pPr>
        <w:ind w:firstLine="482" w:firstLineChars="200"/>
        <w:rPr>
          <w:rFonts w:cs="Times New Roman" w:eastAsiaTheme="minorEastAsia"/>
          <w:szCs w:val="24"/>
        </w:rPr>
      </w:pPr>
      <w:r>
        <w:rPr>
          <w:rFonts w:hint="eastAsia" w:cs="Times New Roman" w:eastAsiaTheme="minorEastAsia"/>
          <w:b/>
          <w:bCs/>
          <w:szCs w:val="24"/>
        </w:rPr>
        <w:t>4</w:t>
      </w:r>
      <w:r>
        <w:rPr>
          <w:rFonts w:hint="eastAsia" w:cs="Times New Roman" w:eastAsiaTheme="minorEastAsia"/>
          <w:szCs w:val="24"/>
        </w:rPr>
        <w:t xml:space="preserve"> </w:t>
      </w:r>
      <w:r>
        <w:rPr>
          <w:rFonts w:cs="Times New Roman" w:eastAsiaTheme="minorEastAsia"/>
          <w:szCs w:val="24"/>
        </w:rPr>
        <w:t xml:space="preserve"> 建（构）筑物的装饰装修应经济实用，满足环保要求。</w:t>
      </w:r>
    </w:p>
    <w:p>
      <w:pPr>
        <w:rPr>
          <w:rFonts w:cs="Times New Roman" w:eastAsiaTheme="minorEastAsia"/>
          <w:szCs w:val="24"/>
        </w:rPr>
      </w:pPr>
      <w:r>
        <w:rPr>
          <w:rFonts w:cs="Times New Roman" w:eastAsiaTheme="minorEastAsia"/>
          <w:b/>
          <w:bCs/>
          <w:szCs w:val="24"/>
        </w:rPr>
        <w:t xml:space="preserve">7.6.4  </w:t>
      </w:r>
      <w:r>
        <w:rPr>
          <w:rFonts w:cs="Times New Roman" w:eastAsiaTheme="minorEastAsia"/>
          <w:szCs w:val="24"/>
        </w:rPr>
        <w:t>底泥处理厂建设用地宜包括处理厂生产设施和管理、生活服务设施的建设用地，并应符合以下要求</w:t>
      </w:r>
      <w:r>
        <w:rPr>
          <w:rFonts w:hint="eastAsia" w:cs="Times New Roman" w:eastAsiaTheme="minorEastAsia"/>
          <w:szCs w:val="24"/>
        </w:rPr>
        <w:t>：</w:t>
      </w:r>
    </w:p>
    <w:p>
      <w:pPr>
        <w:ind w:firstLine="482" w:firstLineChars="200"/>
        <w:rPr>
          <w:rFonts w:cs="Times New Roman" w:eastAsiaTheme="minorEastAsia"/>
          <w:szCs w:val="24"/>
        </w:rPr>
      </w:pPr>
      <w:r>
        <w:rPr>
          <w:rFonts w:hint="eastAsia" w:cs="Times New Roman" w:eastAsiaTheme="minorEastAsia"/>
          <w:b/>
          <w:bCs/>
          <w:szCs w:val="24"/>
        </w:rPr>
        <w:t>1</w:t>
      </w:r>
      <w:r>
        <w:rPr>
          <w:rFonts w:hint="eastAsia" w:cs="Times New Roman" w:eastAsiaTheme="minorEastAsia"/>
          <w:szCs w:val="24"/>
        </w:rPr>
        <w:t xml:space="preserve"> </w:t>
      </w:r>
      <w:r>
        <w:rPr>
          <w:rFonts w:cs="Times New Roman" w:eastAsiaTheme="minorEastAsia"/>
          <w:szCs w:val="24"/>
        </w:rPr>
        <w:t xml:space="preserve"> 符合节约用地的原则</w:t>
      </w:r>
      <w:r>
        <w:rPr>
          <w:rFonts w:hint="eastAsia" w:cs="Times New Roman" w:eastAsiaTheme="minorEastAsia"/>
          <w:szCs w:val="24"/>
        </w:rPr>
        <w:t>，</w:t>
      </w:r>
      <w:r>
        <w:rPr>
          <w:rFonts w:cs="Times New Roman" w:eastAsiaTheme="minorEastAsia"/>
          <w:szCs w:val="24"/>
        </w:rPr>
        <w:t>提高土地利用率</w:t>
      </w:r>
      <w:r>
        <w:rPr>
          <w:rFonts w:hint="eastAsia" w:cs="Times New Roman" w:eastAsiaTheme="minorEastAsia"/>
          <w:szCs w:val="24"/>
        </w:rPr>
        <w:t>；</w:t>
      </w:r>
    </w:p>
    <w:p>
      <w:pPr>
        <w:ind w:firstLine="482" w:firstLineChars="200"/>
        <w:rPr>
          <w:rFonts w:cs="Times New Roman" w:eastAsiaTheme="minorEastAsia"/>
          <w:szCs w:val="24"/>
        </w:rPr>
      </w:pPr>
      <w:r>
        <w:rPr>
          <w:rFonts w:cs="Times New Roman" w:eastAsiaTheme="minorEastAsia"/>
          <w:b/>
          <w:bCs/>
          <w:szCs w:val="24"/>
        </w:rPr>
        <w:t>2</w:t>
      </w:r>
      <w:r>
        <w:rPr>
          <w:rFonts w:cs="Times New Roman" w:eastAsiaTheme="minorEastAsia"/>
          <w:bCs/>
          <w:szCs w:val="24"/>
        </w:rPr>
        <w:t xml:space="preserve">  </w:t>
      </w:r>
      <w:r>
        <w:rPr>
          <w:rFonts w:cs="Times New Roman" w:eastAsiaTheme="minorEastAsia"/>
          <w:szCs w:val="24"/>
        </w:rPr>
        <w:t>分期建设的项目用地应远近结合</w:t>
      </w:r>
      <w:r>
        <w:rPr>
          <w:rFonts w:hint="eastAsia" w:cs="Times New Roman" w:eastAsiaTheme="minorEastAsia"/>
          <w:szCs w:val="24"/>
        </w:rPr>
        <w:t>，</w:t>
      </w:r>
      <w:r>
        <w:rPr>
          <w:rFonts w:cs="Times New Roman" w:eastAsiaTheme="minorEastAsia"/>
          <w:szCs w:val="24"/>
        </w:rPr>
        <w:t>统筹规划</w:t>
      </w:r>
      <w:r>
        <w:rPr>
          <w:rFonts w:hint="eastAsia" w:cs="Times New Roman" w:eastAsiaTheme="minorEastAsia"/>
          <w:szCs w:val="24"/>
        </w:rPr>
        <w:t>，</w:t>
      </w:r>
      <w:r>
        <w:rPr>
          <w:rFonts w:cs="Times New Roman" w:eastAsiaTheme="minorEastAsia"/>
          <w:szCs w:val="24"/>
        </w:rPr>
        <w:t>并对远期的发展用低留存余地。</w:t>
      </w:r>
    </w:p>
    <w:p>
      <w:pPr>
        <w:pStyle w:val="3"/>
        <w:rPr>
          <w:rFonts w:cs="Times New Roman"/>
          <w:szCs w:val="28"/>
        </w:rPr>
      </w:pPr>
      <w:bookmarkStart w:id="89" w:name="_Toc37843273"/>
      <w:r>
        <w:rPr>
          <w:rFonts w:cs="Times New Roman"/>
          <w:szCs w:val="28"/>
        </w:rPr>
        <w:t>7.7  环境保护与水土保持</w:t>
      </w:r>
      <w:bookmarkEnd w:id="89"/>
    </w:p>
    <w:p>
      <w:pPr>
        <w:rPr>
          <w:rFonts w:cs="Times New Roman" w:eastAsiaTheme="minorEastAsia"/>
          <w:szCs w:val="24"/>
        </w:rPr>
      </w:pPr>
      <w:r>
        <w:rPr>
          <w:rFonts w:cs="Times New Roman" w:eastAsiaTheme="minorEastAsia"/>
          <w:b/>
          <w:bCs/>
          <w:szCs w:val="24"/>
        </w:rPr>
        <w:t>7.7.1</w:t>
      </w:r>
      <w:r>
        <w:rPr>
          <w:rFonts w:cs="Times New Roman" w:eastAsiaTheme="minorEastAsia"/>
          <w:szCs w:val="24"/>
        </w:rPr>
        <w:t xml:space="preserve">  底泥处理厂建设和运行中产生的噪音应符合GB 12523</w:t>
      </w:r>
      <w:r>
        <w:rPr>
          <w:rFonts w:hint="eastAsia" w:cs="Times New Roman" w:eastAsiaTheme="minorEastAsia"/>
          <w:szCs w:val="24"/>
        </w:rPr>
        <w:t>、</w:t>
      </w:r>
      <w:r>
        <w:rPr>
          <w:rFonts w:cs="Times New Roman" w:eastAsiaTheme="minorEastAsia"/>
          <w:szCs w:val="24"/>
        </w:rPr>
        <w:t>GB 12348及GB 3096的规定。</w:t>
      </w:r>
    </w:p>
    <w:p>
      <w:pPr>
        <w:rPr>
          <w:rFonts w:cs="Times New Roman" w:eastAsiaTheme="minorEastAsia"/>
          <w:szCs w:val="24"/>
        </w:rPr>
      </w:pPr>
      <w:r>
        <w:rPr>
          <w:rFonts w:cs="Times New Roman" w:eastAsiaTheme="minorEastAsia"/>
          <w:b/>
          <w:bCs/>
          <w:szCs w:val="24"/>
        </w:rPr>
        <w:t xml:space="preserve">7.7.2  </w:t>
      </w:r>
      <w:r>
        <w:rPr>
          <w:rFonts w:cs="Times New Roman" w:eastAsiaTheme="minorEastAsia"/>
          <w:szCs w:val="24"/>
        </w:rPr>
        <w:t>底泥处理厂工程建设和运行中产生的余土、余砂的处置和余水的排放，应按国家和地方现行有关标准要求进行。</w:t>
      </w:r>
    </w:p>
    <w:p>
      <w:pPr>
        <w:rPr>
          <w:rFonts w:cs="Times New Roman" w:eastAsiaTheme="minorEastAsia"/>
          <w:szCs w:val="24"/>
        </w:rPr>
      </w:pPr>
      <w:r>
        <w:rPr>
          <w:rFonts w:cs="Times New Roman" w:eastAsiaTheme="minorEastAsia"/>
          <w:b/>
          <w:bCs/>
          <w:szCs w:val="24"/>
        </w:rPr>
        <w:t>7.7.3</w:t>
      </w:r>
      <w:r>
        <w:rPr>
          <w:rFonts w:cs="Times New Roman" w:eastAsiaTheme="minorEastAsia"/>
          <w:szCs w:val="24"/>
        </w:rPr>
        <w:t xml:space="preserve">  底泥处理厂工程建设和运行中产生的垃圾、固体废弃物等应先进行分类，并按照国家或地方现行有关标准，分别运送至相应的垃圾焚烧厂、垃圾填埋场或固体废物填埋场进行安全处置。</w:t>
      </w:r>
    </w:p>
    <w:p>
      <w:pPr>
        <w:rPr>
          <w:rFonts w:cs="Times New Roman" w:eastAsiaTheme="minorEastAsia"/>
          <w:szCs w:val="24"/>
        </w:rPr>
      </w:pPr>
      <w:r>
        <w:rPr>
          <w:rFonts w:cs="Times New Roman" w:eastAsiaTheme="minorEastAsia"/>
          <w:b/>
          <w:bCs/>
          <w:szCs w:val="24"/>
        </w:rPr>
        <w:t>7.7.4</w:t>
      </w:r>
      <w:r>
        <w:rPr>
          <w:rFonts w:cs="Times New Roman" w:eastAsiaTheme="minorEastAsia"/>
          <w:szCs w:val="24"/>
        </w:rPr>
        <w:t xml:space="preserve">  底泥处理厂建设和运行中产生的扬尘、机械尾气和恶臭应符合GB 3095的规定。</w:t>
      </w:r>
    </w:p>
    <w:p>
      <w:pPr>
        <w:rPr>
          <w:rFonts w:cs="Times New Roman" w:eastAsiaTheme="minorEastAsia"/>
          <w:szCs w:val="24"/>
        </w:rPr>
      </w:pPr>
      <w:r>
        <w:rPr>
          <w:rFonts w:cs="Times New Roman" w:eastAsiaTheme="minorEastAsia"/>
          <w:b/>
          <w:bCs/>
          <w:szCs w:val="24"/>
        </w:rPr>
        <w:t xml:space="preserve">7.7.5  </w:t>
      </w:r>
      <w:r>
        <w:rPr>
          <w:rFonts w:cs="Times New Roman" w:eastAsiaTheme="minorEastAsia"/>
          <w:szCs w:val="24"/>
        </w:rPr>
        <w:t>底泥处理厂应按水土保持方案的要求，采取植物措施、工程措施和临时防护措施，水土流失防治效果应满足水土保持方案中规定的要求。</w:t>
      </w:r>
    </w:p>
    <w:p>
      <w:pPr>
        <w:ind w:firstLine="480"/>
        <w:sectPr>
          <w:pgSz w:w="11906" w:h="16838"/>
          <w:pgMar w:top="1440" w:right="1800" w:bottom="1440" w:left="1800" w:header="851" w:footer="992" w:gutter="0"/>
          <w:cols w:space="425" w:num="1"/>
          <w:docGrid w:type="lines" w:linePitch="312" w:charSpace="0"/>
        </w:sectPr>
      </w:pPr>
    </w:p>
    <w:bookmarkEnd w:id="59"/>
    <w:bookmarkEnd w:id="68"/>
    <w:p>
      <w:pPr>
        <w:pStyle w:val="2"/>
        <w:spacing w:line="560" w:lineRule="exact"/>
        <w:rPr>
          <w:szCs w:val="28"/>
        </w:rPr>
      </w:pPr>
      <w:bookmarkStart w:id="90" w:name="_Toc37843274"/>
      <w:r>
        <w:rPr>
          <w:rFonts w:hint="eastAsia"/>
          <w:szCs w:val="28"/>
        </w:rPr>
        <w:t>本规程</w:t>
      </w:r>
      <w:r>
        <w:rPr>
          <w:szCs w:val="28"/>
        </w:rPr>
        <w:t>用词说明</w:t>
      </w:r>
      <w:bookmarkEnd w:id="60"/>
      <w:bookmarkEnd w:id="90"/>
    </w:p>
    <w:p/>
    <w:p>
      <w:pPr>
        <w:rPr>
          <w:rFonts w:cs="Times New Roman"/>
        </w:rPr>
      </w:pPr>
      <w:r>
        <w:rPr>
          <w:rFonts w:eastAsia="TimesNewRomanPS-BoldMT" w:cs="Times New Roman"/>
          <w:b/>
          <w:bCs/>
        </w:rPr>
        <w:t xml:space="preserve">1  </w:t>
      </w:r>
      <w:r>
        <w:rPr>
          <w:rFonts w:cs="Times New Roman"/>
        </w:rPr>
        <w:t>为便于在执行本标准条文时区别对待，对要求严格程度不同的用词说明如下：</w:t>
      </w:r>
    </w:p>
    <w:p>
      <w:pPr>
        <w:ind w:left="480" w:leftChars="200"/>
        <w:rPr>
          <w:rFonts w:cs="Times New Roman"/>
        </w:rPr>
      </w:pPr>
      <w:r>
        <w:rPr>
          <w:rFonts w:eastAsia="TimesNewRomanPS-BoldMT" w:cs="Times New Roman"/>
          <w:b/>
          <w:bCs/>
        </w:rPr>
        <w:t>1</w:t>
      </w:r>
      <w:r>
        <w:rPr>
          <w:rFonts w:cs="Times New Roman"/>
        </w:rPr>
        <w:t>）表示很严格，非这样做不可的：正面词采用“必须”；反面词采用“严禁”。</w:t>
      </w:r>
    </w:p>
    <w:p>
      <w:pPr>
        <w:ind w:left="480" w:leftChars="200"/>
        <w:rPr>
          <w:rFonts w:cs="Times New Roman"/>
        </w:rPr>
      </w:pPr>
      <w:r>
        <w:rPr>
          <w:rFonts w:eastAsia="TimesNewRomanPS-BoldMT" w:cs="Times New Roman"/>
          <w:b/>
          <w:bCs/>
        </w:rPr>
        <w:t>2</w:t>
      </w:r>
      <w:r>
        <w:rPr>
          <w:rFonts w:cs="Times New Roman"/>
        </w:rPr>
        <w:t>）表示严格，在正常情况下均应这样做的：正面词采用“应”；反面词采用“不应”或“不得”。</w:t>
      </w:r>
    </w:p>
    <w:p>
      <w:pPr>
        <w:ind w:left="480" w:leftChars="200"/>
        <w:rPr>
          <w:rFonts w:cs="Times New Roman"/>
        </w:rPr>
      </w:pPr>
      <w:r>
        <w:rPr>
          <w:rFonts w:eastAsia="TimesNewRomanPS-BoldMT" w:cs="Times New Roman"/>
          <w:b/>
          <w:bCs/>
        </w:rPr>
        <w:t>3</w:t>
      </w:r>
      <w:r>
        <w:rPr>
          <w:rFonts w:cs="Times New Roman"/>
        </w:rPr>
        <w:t>）表示允许稍有选择，在条件许可时首先应这样做的：正面词采用“宜”；反面词采用“不宜”。</w:t>
      </w:r>
    </w:p>
    <w:p>
      <w:pPr>
        <w:ind w:left="480" w:leftChars="200"/>
        <w:rPr>
          <w:rFonts w:cs="Times New Roman"/>
        </w:rPr>
      </w:pPr>
      <w:r>
        <w:rPr>
          <w:rFonts w:eastAsia="TimesNewRomanPS-BoldMT" w:cs="Times New Roman"/>
          <w:b/>
          <w:bCs/>
        </w:rPr>
        <w:t>4</w:t>
      </w:r>
      <w:r>
        <w:rPr>
          <w:rFonts w:cs="Times New Roman"/>
        </w:rPr>
        <w:t>）表示有选择，在一定条件下可以这样做的，采用“可”。</w:t>
      </w:r>
    </w:p>
    <w:p>
      <w:pPr>
        <w:rPr>
          <w:rFonts w:cs="Times New Roman"/>
          <w:sz w:val="28"/>
          <w:szCs w:val="28"/>
        </w:rPr>
      </w:pPr>
      <w:r>
        <w:rPr>
          <w:rFonts w:eastAsia="TimesNewRomanPS-BoldMT" w:cs="Times New Roman"/>
          <w:b/>
          <w:bCs/>
        </w:rPr>
        <w:t xml:space="preserve">2  </w:t>
      </w:r>
      <w:r>
        <w:rPr>
          <w:rFonts w:cs="Times New Roman"/>
        </w:rPr>
        <w:t>条文中指定应按其他有关标准、规范执行时，写法为“应按</w:t>
      </w:r>
      <w:r>
        <w:rPr>
          <w:rFonts w:eastAsia="TimesNewRomanPSMT" w:cs="Times New Roman"/>
        </w:rPr>
        <w:t>……</w:t>
      </w:r>
      <w:r>
        <w:rPr>
          <w:rFonts w:cs="Times New Roman"/>
        </w:rPr>
        <w:t>执行”或“应符合</w:t>
      </w:r>
      <w:r>
        <w:rPr>
          <w:rFonts w:eastAsia="TimesNewRomanPSMT" w:cs="Times New Roman"/>
        </w:rPr>
        <w:t>……</w:t>
      </w:r>
      <w:r>
        <w:rPr>
          <w:rFonts w:cs="Times New Roman"/>
        </w:rPr>
        <w:t>的规定”。</w:t>
      </w:r>
    </w:p>
    <w:p>
      <w:pPr>
        <w:ind w:firstLine="560"/>
        <w:jc w:val="left"/>
        <w:rPr>
          <w:sz w:val="28"/>
          <w:szCs w:val="28"/>
        </w:rPr>
      </w:pPr>
    </w:p>
    <w:p>
      <w:pPr>
        <w:ind w:firstLine="560"/>
        <w:jc w:val="left"/>
        <w:rPr>
          <w:sz w:val="28"/>
          <w:szCs w:val="28"/>
        </w:rPr>
        <w:sectPr>
          <w:pgSz w:w="11906" w:h="16838"/>
          <w:pgMar w:top="1440" w:right="1800" w:bottom="1440" w:left="1800" w:header="851" w:footer="992" w:gutter="0"/>
          <w:cols w:space="425" w:num="1"/>
          <w:docGrid w:type="lines" w:linePitch="312" w:charSpace="0"/>
        </w:sectPr>
      </w:pPr>
    </w:p>
    <w:p>
      <w:pPr>
        <w:pStyle w:val="2"/>
        <w:spacing w:line="560" w:lineRule="exact"/>
        <w:rPr>
          <w:szCs w:val="28"/>
        </w:rPr>
      </w:pPr>
      <w:bookmarkStart w:id="91" w:name="_Toc4769413"/>
      <w:bookmarkStart w:id="92" w:name="_Toc37843275"/>
      <w:r>
        <w:rPr>
          <w:szCs w:val="28"/>
        </w:rPr>
        <w:t>引用标准名录</w:t>
      </w:r>
      <w:bookmarkEnd w:id="91"/>
      <w:bookmarkEnd w:id="92"/>
    </w:p>
    <w:p/>
    <w:p>
      <w:pPr>
        <w:pStyle w:val="29"/>
        <w:numPr>
          <w:ilvl w:val="0"/>
          <w:numId w:val="1"/>
        </w:numPr>
      </w:pPr>
      <w:r>
        <w:rPr>
          <w:rFonts w:hint="eastAsia"/>
        </w:rPr>
        <w:t>《地表水环境质量标准》G</w:t>
      </w:r>
      <w:r>
        <w:t>B 3838</w:t>
      </w:r>
    </w:p>
    <w:p>
      <w:pPr>
        <w:pStyle w:val="29"/>
        <w:numPr>
          <w:ilvl w:val="0"/>
          <w:numId w:val="1"/>
        </w:numPr>
      </w:pPr>
      <w:r>
        <w:rPr>
          <w:rFonts w:hint="eastAsia"/>
        </w:rPr>
        <w:t>《城镇污水处理厂污染物排放标准》</w:t>
      </w:r>
      <w:r>
        <w:t>GB 18918</w:t>
      </w:r>
    </w:p>
    <w:p>
      <w:pPr>
        <w:pStyle w:val="29"/>
        <w:numPr>
          <w:ilvl w:val="0"/>
          <w:numId w:val="1"/>
        </w:numPr>
      </w:pPr>
      <w:r>
        <w:rPr>
          <w:rFonts w:hint="eastAsia"/>
        </w:rPr>
        <w:t>《污水排入城镇下水道水质标准》</w:t>
      </w:r>
      <w:r>
        <w:t>GB/T 31962</w:t>
      </w:r>
    </w:p>
    <w:p>
      <w:pPr>
        <w:pStyle w:val="29"/>
        <w:numPr>
          <w:ilvl w:val="0"/>
          <w:numId w:val="1"/>
        </w:numPr>
      </w:pPr>
      <w:r>
        <w:rPr>
          <w:rFonts w:hint="eastAsia"/>
        </w:rPr>
        <w:t>《土壤环境质量农用地土壤污染风险管控标准》（试行）GB 15618</w:t>
      </w:r>
    </w:p>
    <w:p>
      <w:pPr>
        <w:pStyle w:val="29"/>
        <w:numPr>
          <w:ilvl w:val="0"/>
          <w:numId w:val="1"/>
        </w:numPr>
      </w:pPr>
      <w:r>
        <w:rPr>
          <w:rFonts w:hint="eastAsia"/>
        </w:rPr>
        <w:t>《土壤环境质量建设用地土壤污染风险管控标准》（试行）</w:t>
      </w:r>
      <w:r>
        <w:t>GB 36600</w:t>
      </w:r>
    </w:p>
    <w:p>
      <w:pPr>
        <w:pStyle w:val="29"/>
        <w:numPr>
          <w:ilvl w:val="0"/>
          <w:numId w:val="1"/>
        </w:numPr>
      </w:pPr>
      <w:r>
        <w:rPr>
          <w:rFonts w:hint="eastAsia"/>
        </w:rPr>
        <w:t>《一般工业固体废弃物贮存、处置场污染控制标准》GB 18599</w:t>
      </w:r>
    </w:p>
    <w:p>
      <w:pPr>
        <w:pStyle w:val="29"/>
        <w:numPr>
          <w:ilvl w:val="0"/>
          <w:numId w:val="1"/>
        </w:numPr>
      </w:pPr>
      <w:r>
        <w:rPr>
          <w:rFonts w:hint="eastAsia"/>
        </w:rPr>
        <w:t>《</w:t>
      </w:r>
      <w:r>
        <w:t>生活垃圾填埋场污染控制标准</w:t>
      </w:r>
      <w:r>
        <w:rPr>
          <w:rFonts w:hint="eastAsia"/>
        </w:rPr>
        <w:t>》G</w:t>
      </w:r>
      <w:r>
        <w:t>B 16889</w:t>
      </w:r>
    </w:p>
    <w:p>
      <w:pPr>
        <w:pStyle w:val="29"/>
        <w:numPr>
          <w:ilvl w:val="0"/>
          <w:numId w:val="1"/>
        </w:numPr>
      </w:pPr>
      <w:r>
        <w:rPr>
          <w:rFonts w:hint="eastAsia"/>
        </w:rPr>
        <w:t>《</w:t>
      </w:r>
      <w:r>
        <w:t>土地利用现状分类</w:t>
      </w:r>
      <w:r>
        <w:rPr>
          <w:rFonts w:hint="eastAsia"/>
        </w:rPr>
        <w:t>》</w:t>
      </w:r>
      <w:r>
        <w:t>GB 21010</w:t>
      </w:r>
    </w:p>
    <w:p>
      <w:pPr>
        <w:pStyle w:val="29"/>
        <w:numPr>
          <w:ilvl w:val="0"/>
          <w:numId w:val="1"/>
        </w:numPr>
      </w:pPr>
      <w:r>
        <w:rPr>
          <w:rFonts w:hint="eastAsia"/>
        </w:rPr>
        <w:t>《</w:t>
      </w:r>
      <w:r>
        <w:t>危险废物鉴别标准</w:t>
      </w:r>
      <w:r>
        <w:rPr>
          <w:rFonts w:hint="eastAsia"/>
        </w:rPr>
        <w:t xml:space="preserve"> 浸出毒性鉴别》</w:t>
      </w:r>
      <w:r>
        <w:t>GB 5085.3</w:t>
      </w:r>
    </w:p>
    <w:p>
      <w:pPr>
        <w:pStyle w:val="29"/>
        <w:numPr>
          <w:ilvl w:val="0"/>
          <w:numId w:val="1"/>
        </w:numPr>
        <w:rPr>
          <w:rFonts w:asciiTheme="majorBidi" w:hAnsiTheme="majorBidi" w:eastAsiaTheme="minorEastAsia" w:cstheme="majorBidi"/>
          <w:szCs w:val="24"/>
        </w:rPr>
      </w:pPr>
      <w:r>
        <w:rPr>
          <w:rFonts w:hint="eastAsia" w:asciiTheme="majorBidi" w:hAnsiTheme="majorBidi" w:eastAsiaTheme="minorEastAsia" w:cstheme="majorBidi"/>
          <w:szCs w:val="24"/>
        </w:rPr>
        <w:t>《</w:t>
      </w:r>
      <w:r>
        <w:rPr>
          <w:rFonts w:asciiTheme="majorBidi" w:hAnsiTheme="majorBidi" w:eastAsiaTheme="minorEastAsia" w:cstheme="majorBidi"/>
          <w:szCs w:val="24"/>
        </w:rPr>
        <w:t>建筑设计防火规范</w:t>
      </w:r>
      <w:r>
        <w:rPr>
          <w:rFonts w:hint="eastAsia" w:asciiTheme="majorBidi" w:hAnsiTheme="majorBidi" w:eastAsiaTheme="minorEastAsia" w:cstheme="majorBidi"/>
          <w:szCs w:val="24"/>
        </w:rPr>
        <w:t>》</w:t>
      </w:r>
      <w:r>
        <w:rPr>
          <w:rFonts w:asciiTheme="majorBidi" w:hAnsiTheme="majorBidi" w:eastAsiaTheme="minorEastAsia" w:cstheme="majorBidi"/>
          <w:szCs w:val="24"/>
        </w:rPr>
        <w:t>GB 50016</w:t>
      </w:r>
    </w:p>
    <w:p>
      <w:pPr>
        <w:pStyle w:val="29"/>
        <w:numPr>
          <w:ilvl w:val="0"/>
          <w:numId w:val="1"/>
        </w:numPr>
        <w:rPr>
          <w:rFonts w:asciiTheme="majorBidi" w:hAnsiTheme="majorBidi" w:eastAsiaTheme="minorEastAsia" w:cstheme="majorBidi"/>
          <w:szCs w:val="24"/>
        </w:rPr>
      </w:pPr>
      <w:r>
        <w:rPr>
          <w:rFonts w:hint="eastAsia" w:asciiTheme="majorBidi" w:hAnsiTheme="majorBidi" w:eastAsiaTheme="minorEastAsia" w:cstheme="majorBidi"/>
          <w:szCs w:val="24"/>
        </w:rPr>
        <w:t>《</w:t>
      </w:r>
      <w:r>
        <w:rPr>
          <w:rFonts w:asciiTheme="majorBidi" w:hAnsiTheme="majorBidi" w:eastAsiaTheme="minorEastAsia" w:cstheme="majorBidi"/>
          <w:szCs w:val="24"/>
        </w:rPr>
        <w:t>建筑物防雷设计规范</w:t>
      </w:r>
      <w:r>
        <w:rPr>
          <w:rFonts w:hint="eastAsia" w:asciiTheme="majorBidi" w:hAnsiTheme="majorBidi" w:eastAsiaTheme="minorEastAsia" w:cstheme="majorBidi"/>
          <w:szCs w:val="24"/>
        </w:rPr>
        <w:t>》</w:t>
      </w:r>
      <w:r>
        <w:rPr>
          <w:rFonts w:asciiTheme="majorBidi" w:hAnsiTheme="majorBidi" w:eastAsiaTheme="minorEastAsia" w:cstheme="majorBidi"/>
          <w:szCs w:val="24"/>
        </w:rPr>
        <w:t>GB 50057</w:t>
      </w:r>
    </w:p>
    <w:p>
      <w:pPr>
        <w:pStyle w:val="29"/>
        <w:numPr>
          <w:ilvl w:val="0"/>
          <w:numId w:val="1"/>
        </w:numPr>
        <w:rPr>
          <w:rFonts w:asciiTheme="majorBidi" w:hAnsiTheme="majorBidi" w:eastAsiaTheme="minorEastAsia" w:cstheme="majorBidi"/>
          <w:szCs w:val="24"/>
        </w:rPr>
      </w:pPr>
      <w:r>
        <w:rPr>
          <w:rFonts w:hint="eastAsia" w:asciiTheme="majorBidi" w:hAnsiTheme="majorBidi" w:eastAsiaTheme="minorEastAsia" w:cstheme="majorBidi"/>
          <w:szCs w:val="24"/>
        </w:rPr>
        <w:t>《</w:t>
      </w:r>
      <w:r>
        <w:rPr>
          <w:rFonts w:asciiTheme="majorBidi" w:hAnsiTheme="majorBidi" w:eastAsiaTheme="minorEastAsia" w:cstheme="majorBidi"/>
          <w:szCs w:val="24"/>
        </w:rPr>
        <w:t>厂矿道路设计规范</w:t>
      </w:r>
      <w:r>
        <w:rPr>
          <w:rFonts w:hint="eastAsia" w:asciiTheme="majorBidi" w:hAnsiTheme="majorBidi" w:eastAsiaTheme="minorEastAsia" w:cstheme="majorBidi"/>
          <w:szCs w:val="24"/>
        </w:rPr>
        <w:t>》</w:t>
      </w:r>
      <w:r>
        <w:rPr>
          <w:rFonts w:asciiTheme="majorBidi" w:hAnsiTheme="majorBidi" w:eastAsiaTheme="minorEastAsia" w:cstheme="majorBidi"/>
          <w:szCs w:val="24"/>
        </w:rPr>
        <w:t xml:space="preserve">GBJ 22 </w:t>
      </w:r>
    </w:p>
    <w:p>
      <w:pPr>
        <w:pStyle w:val="29"/>
        <w:numPr>
          <w:ilvl w:val="0"/>
          <w:numId w:val="1"/>
        </w:numPr>
        <w:rPr>
          <w:rFonts w:cs="Times New Roman" w:eastAsiaTheme="minorEastAsia"/>
          <w:szCs w:val="24"/>
        </w:rPr>
      </w:pPr>
      <w:r>
        <w:rPr>
          <w:rFonts w:hint="eastAsia" w:cs="Times New Roman" w:eastAsiaTheme="minorEastAsia"/>
          <w:szCs w:val="24"/>
        </w:rPr>
        <w:t>《</w:t>
      </w:r>
      <w:r>
        <w:rPr>
          <w:rFonts w:cs="Times New Roman" w:eastAsiaTheme="minorEastAsia"/>
          <w:szCs w:val="24"/>
        </w:rPr>
        <w:t>建筑施工厂界环境噪声排放标准</w:t>
      </w:r>
      <w:r>
        <w:rPr>
          <w:rFonts w:hint="eastAsia" w:cs="Times New Roman" w:eastAsiaTheme="minorEastAsia"/>
          <w:szCs w:val="24"/>
        </w:rPr>
        <w:t>》</w:t>
      </w:r>
      <w:r>
        <w:rPr>
          <w:rFonts w:cs="Times New Roman" w:eastAsiaTheme="minorEastAsia"/>
          <w:szCs w:val="24"/>
        </w:rPr>
        <w:t>GB 12523</w:t>
      </w:r>
    </w:p>
    <w:p>
      <w:pPr>
        <w:pStyle w:val="29"/>
        <w:numPr>
          <w:ilvl w:val="0"/>
          <w:numId w:val="1"/>
        </w:numPr>
        <w:rPr>
          <w:rFonts w:cs="Times New Roman" w:eastAsiaTheme="minorEastAsia"/>
          <w:szCs w:val="24"/>
        </w:rPr>
      </w:pPr>
      <w:r>
        <w:rPr>
          <w:rFonts w:hint="eastAsia" w:cs="Times New Roman" w:eastAsiaTheme="minorEastAsia"/>
          <w:szCs w:val="24"/>
        </w:rPr>
        <w:t>《</w:t>
      </w:r>
      <w:r>
        <w:rPr>
          <w:rFonts w:cs="Times New Roman" w:eastAsiaTheme="minorEastAsia"/>
          <w:szCs w:val="24"/>
        </w:rPr>
        <w:t>工业企业厂界环境噪声排放标准</w:t>
      </w:r>
      <w:r>
        <w:rPr>
          <w:rFonts w:hint="eastAsia" w:cs="Times New Roman" w:eastAsiaTheme="minorEastAsia"/>
          <w:szCs w:val="24"/>
        </w:rPr>
        <w:t>》</w:t>
      </w:r>
      <w:r>
        <w:rPr>
          <w:rFonts w:cs="Times New Roman" w:eastAsiaTheme="minorEastAsia"/>
          <w:szCs w:val="24"/>
        </w:rPr>
        <w:t xml:space="preserve">GB 12348 </w:t>
      </w:r>
    </w:p>
    <w:p>
      <w:pPr>
        <w:pStyle w:val="29"/>
        <w:numPr>
          <w:ilvl w:val="0"/>
          <w:numId w:val="1"/>
        </w:numPr>
        <w:rPr>
          <w:rFonts w:cs="Times New Roman" w:eastAsiaTheme="minorEastAsia"/>
          <w:szCs w:val="24"/>
        </w:rPr>
      </w:pPr>
      <w:r>
        <w:rPr>
          <w:rFonts w:hint="eastAsia" w:cs="Times New Roman" w:eastAsiaTheme="minorEastAsia"/>
          <w:szCs w:val="24"/>
        </w:rPr>
        <w:t>《</w:t>
      </w:r>
      <w:r>
        <w:rPr>
          <w:rFonts w:cs="Times New Roman" w:eastAsiaTheme="minorEastAsia"/>
          <w:szCs w:val="24"/>
        </w:rPr>
        <w:t>声环境质量标准</w:t>
      </w:r>
      <w:r>
        <w:rPr>
          <w:rFonts w:hint="eastAsia" w:cs="Times New Roman" w:eastAsiaTheme="minorEastAsia"/>
          <w:szCs w:val="24"/>
        </w:rPr>
        <w:t>》</w:t>
      </w:r>
      <w:r>
        <w:rPr>
          <w:rFonts w:cs="Times New Roman" w:eastAsiaTheme="minorEastAsia"/>
          <w:szCs w:val="24"/>
        </w:rPr>
        <w:t xml:space="preserve">GB 3096 </w:t>
      </w:r>
    </w:p>
    <w:p>
      <w:pPr>
        <w:pStyle w:val="29"/>
        <w:numPr>
          <w:ilvl w:val="0"/>
          <w:numId w:val="1"/>
        </w:numPr>
      </w:pPr>
      <w:r>
        <w:rPr>
          <w:rFonts w:hint="eastAsia" w:cs="Times New Roman" w:eastAsiaTheme="minorEastAsia"/>
          <w:szCs w:val="24"/>
        </w:rPr>
        <w:t>《</w:t>
      </w:r>
      <w:r>
        <w:rPr>
          <w:rFonts w:cs="Times New Roman" w:eastAsiaTheme="minorEastAsia"/>
          <w:szCs w:val="24"/>
        </w:rPr>
        <w:t>环境空气质量标准</w:t>
      </w:r>
      <w:r>
        <w:rPr>
          <w:rFonts w:hint="eastAsia" w:cs="Times New Roman" w:eastAsiaTheme="minorEastAsia"/>
          <w:szCs w:val="24"/>
        </w:rPr>
        <w:t>》</w:t>
      </w:r>
      <w:r>
        <w:rPr>
          <w:rFonts w:cs="Times New Roman" w:eastAsiaTheme="minorEastAsia"/>
          <w:szCs w:val="24"/>
        </w:rPr>
        <w:t xml:space="preserve">GB 3095 </w:t>
      </w:r>
    </w:p>
    <w:p>
      <w:pPr>
        <w:pStyle w:val="29"/>
        <w:numPr>
          <w:ilvl w:val="0"/>
          <w:numId w:val="1"/>
        </w:numPr>
      </w:pPr>
      <w:r>
        <w:rPr>
          <w:rFonts w:hint="eastAsia" w:cs="Times New Roman" w:eastAsiaTheme="minorEastAsia"/>
          <w:szCs w:val="24"/>
        </w:rPr>
        <w:t>《</w:t>
      </w:r>
      <w:r>
        <w:rPr>
          <w:rFonts w:hint="eastAsia"/>
        </w:rPr>
        <w:t>疏浚</w:t>
      </w:r>
      <w:r>
        <w:t>与吹填工程设计规范</w:t>
      </w:r>
      <w:r>
        <w:rPr>
          <w:rFonts w:hint="eastAsia" w:cs="Times New Roman" w:eastAsiaTheme="minorEastAsia"/>
          <w:szCs w:val="24"/>
        </w:rPr>
        <w:t>》</w:t>
      </w:r>
      <w:r>
        <w:rPr>
          <w:rFonts w:hint="eastAsia"/>
        </w:rPr>
        <w:t>JTS</w:t>
      </w:r>
      <w:r>
        <w:t xml:space="preserve"> 181</w:t>
      </w:r>
      <w:r>
        <w:rPr>
          <w:rFonts w:hint="eastAsia"/>
        </w:rPr>
        <w:t>-</w:t>
      </w:r>
      <w:r>
        <w:t>5</w:t>
      </w:r>
    </w:p>
    <w:p>
      <w:pPr>
        <w:pStyle w:val="29"/>
        <w:numPr>
          <w:ilvl w:val="0"/>
          <w:numId w:val="1"/>
        </w:numPr>
      </w:pPr>
      <w:r>
        <w:rPr>
          <w:rFonts w:hint="eastAsia" w:cs="Times New Roman" w:eastAsiaTheme="minorEastAsia"/>
          <w:szCs w:val="24"/>
        </w:rPr>
        <w:t>《</w:t>
      </w:r>
      <w:r>
        <w:rPr>
          <w:rFonts w:hint="eastAsia"/>
        </w:rPr>
        <w:t>疏浚</w:t>
      </w:r>
      <w:r>
        <w:t>与吹填工程设计规范</w:t>
      </w:r>
      <w:r>
        <w:rPr>
          <w:rFonts w:hint="eastAsia" w:cs="Times New Roman" w:eastAsiaTheme="minorEastAsia"/>
          <w:szCs w:val="24"/>
        </w:rPr>
        <w:t>》</w:t>
      </w:r>
      <w:r>
        <w:rPr>
          <w:rFonts w:hint="eastAsia"/>
        </w:rPr>
        <w:t>S</w:t>
      </w:r>
      <w:r>
        <w:t xml:space="preserve">L 17 </w:t>
      </w:r>
    </w:p>
    <w:p>
      <w:pPr>
        <w:pStyle w:val="29"/>
        <w:numPr>
          <w:ilvl w:val="0"/>
          <w:numId w:val="1"/>
        </w:numPr>
      </w:pPr>
      <w:r>
        <w:rPr>
          <w:rFonts w:hint="eastAsia" w:cs="Times New Roman" w:eastAsiaTheme="minorEastAsia"/>
          <w:szCs w:val="24"/>
        </w:rPr>
        <w:t>《</w:t>
      </w:r>
      <w:r>
        <w:rPr>
          <w:rFonts w:hint="eastAsia"/>
        </w:rPr>
        <w:t>疏浚</w:t>
      </w:r>
      <w:r>
        <w:t>工程技术规范</w:t>
      </w:r>
      <w:r>
        <w:rPr>
          <w:rFonts w:hint="eastAsia" w:cs="Times New Roman" w:eastAsiaTheme="minorEastAsia"/>
          <w:szCs w:val="24"/>
        </w:rPr>
        <w:t>》</w:t>
      </w:r>
      <w:r>
        <w:t xml:space="preserve">JTJ 319      </w:t>
      </w:r>
    </w:p>
    <w:p>
      <w:pPr>
        <w:pStyle w:val="29"/>
        <w:numPr>
          <w:ilvl w:val="0"/>
          <w:numId w:val="1"/>
        </w:numPr>
        <w:tabs>
          <w:tab w:val="right" w:pos="8306"/>
        </w:tabs>
      </w:pPr>
      <w:r>
        <w:rPr>
          <w:rFonts w:hint="eastAsia" w:cs="Times New Roman" w:eastAsiaTheme="minorEastAsia"/>
          <w:szCs w:val="24"/>
        </w:rPr>
        <w:t>《</w:t>
      </w:r>
      <w:r>
        <w:rPr>
          <w:rFonts w:hint="eastAsia"/>
        </w:rPr>
        <w:t>地表水和污水监测技术规范</w:t>
      </w:r>
      <w:r>
        <w:rPr>
          <w:rFonts w:hint="eastAsia" w:cs="Times New Roman" w:eastAsiaTheme="minorEastAsia"/>
          <w:szCs w:val="24"/>
        </w:rPr>
        <w:t>》</w:t>
      </w:r>
      <w:r>
        <w:rPr>
          <w:rFonts w:hint="eastAsia"/>
        </w:rPr>
        <w:t xml:space="preserve">HJ/T 91  </w:t>
      </w:r>
      <w:r>
        <w:t xml:space="preserve">    </w:t>
      </w:r>
    </w:p>
    <w:p>
      <w:pPr>
        <w:pStyle w:val="29"/>
        <w:numPr>
          <w:ilvl w:val="0"/>
          <w:numId w:val="1"/>
        </w:numPr>
      </w:pPr>
      <w:r>
        <w:rPr>
          <w:rFonts w:hint="eastAsia" w:cs="Times New Roman" w:eastAsiaTheme="minorEastAsia"/>
          <w:szCs w:val="24"/>
        </w:rPr>
        <w:t>《</w:t>
      </w:r>
      <w:r>
        <w:rPr>
          <w:rFonts w:hint="eastAsia"/>
        </w:rPr>
        <w:t>广东省水污染物排放限值</w:t>
      </w:r>
      <w:r>
        <w:rPr>
          <w:rFonts w:hint="eastAsia" w:cs="Times New Roman" w:eastAsiaTheme="minorEastAsia"/>
          <w:szCs w:val="24"/>
        </w:rPr>
        <w:t>》</w:t>
      </w:r>
      <w:r>
        <w:rPr>
          <w:rFonts w:hint="eastAsia"/>
        </w:rPr>
        <w:t xml:space="preserve">DB 44/26  </w:t>
      </w:r>
      <w:r>
        <w:t xml:space="preserve">   </w:t>
      </w:r>
    </w:p>
    <w:p>
      <w:pPr>
        <w:ind w:firstLine="480"/>
      </w:pPr>
    </w:p>
    <w:p>
      <w:pPr>
        <w:ind w:firstLine="560"/>
        <w:jc w:val="left"/>
        <w:rPr>
          <w:sz w:val="28"/>
          <w:szCs w:val="28"/>
        </w:rPr>
        <w:sectPr>
          <w:pgSz w:w="11906" w:h="16838"/>
          <w:pgMar w:top="1440" w:right="1800" w:bottom="1440" w:left="1800" w:header="851" w:footer="992" w:gutter="0"/>
          <w:cols w:space="425" w:num="1"/>
          <w:docGrid w:type="lines" w:linePitch="312" w:charSpace="0"/>
        </w:sectPr>
      </w:pPr>
    </w:p>
    <w:p>
      <w:pPr>
        <w:ind w:firstLine="643"/>
        <w:jc w:val="center"/>
        <w:rPr>
          <w:rFonts w:ascii="宋体" w:hAnsi="宋体"/>
          <w:b/>
          <w:sz w:val="32"/>
          <w:szCs w:val="32"/>
        </w:rPr>
      </w:pPr>
    </w:p>
    <w:p>
      <w:pPr>
        <w:jc w:val="center"/>
        <w:rPr>
          <w:rFonts w:eastAsia="黑体"/>
          <w:spacing w:val="28"/>
          <w:sz w:val="48"/>
          <w:szCs w:val="48"/>
        </w:rPr>
      </w:pPr>
      <w:r>
        <w:rPr>
          <w:rFonts w:eastAsia="黑体"/>
          <w:spacing w:val="28"/>
          <w:sz w:val="48"/>
          <w:szCs w:val="48"/>
        </w:rPr>
        <w:t>广东省标准</w:t>
      </w:r>
    </w:p>
    <w:p/>
    <w:p>
      <w:pPr>
        <w:jc w:val="center"/>
        <w:rPr>
          <w:rFonts w:ascii="宋体" w:hAnsi="宋体"/>
          <w:b/>
          <w:sz w:val="48"/>
          <w:szCs w:val="48"/>
        </w:rPr>
      </w:pPr>
      <w:r>
        <w:rPr>
          <w:rFonts w:hint="eastAsia" w:ascii="宋体" w:hAnsi="宋体"/>
          <w:b/>
          <w:sz w:val="48"/>
          <w:szCs w:val="48"/>
        </w:rPr>
        <w:t>城市河湖环保清淤及</w:t>
      </w:r>
      <w:r>
        <w:rPr>
          <w:rFonts w:ascii="宋体" w:hAnsi="宋体"/>
          <w:b/>
          <w:sz w:val="48"/>
          <w:szCs w:val="48"/>
        </w:rPr>
        <w:t>底泥处理处置</w:t>
      </w:r>
    </w:p>
    <w:p>
      <w:pPr>
        <w:jc w:val="center"/>
        <w:rPr>
          <w:rFonts w:ascii="宋体" w:hAnsi="宋体"/>
          <w:b/>
          <w:sz w:val="48"/>
          <w:szCs w:val="48"/>
        </w:rPr>
      </w:pPr>
      <w:r>
        <w:rPr>
          <w:rFonts w:ascii="宋体" w:hAnsi="宋体"/>
          <w:b/>
          <w:sz w:val="48"/>
          <w:szCs w:val="48"/>
        </w:rPr>
        <w:t>技术</w:t>
      </w:r>
      <w:r>
        <w:rPr>
          <w:rFonts w:hint="eastAsia" w:ascii="宋体" w:hAnsi="宋体"/>
          <w:b/>
          <w:sz w:val="48"/>
          <w:szCs w:val="48"/>
        </w:rPr>
        <w:t>规程</w:t>
      </w:r>
    </w:p>
    <w:p>
      <w:pPr>
        <w:spacing w:line="400" w:lineRule="exact"/>
        <w:jc w:val="center"/>
        <w:rPr>
          <w:sz w:val="30"/>
          <w:szCs w:val="30"/>
        </w:rPr>
      </w:pPr>
      <w:r>
        <w:rPr>
          <w:spacing w:val="23"/>
          <w:sz w:val="30"/>
          <w:szCs w:val="30"/>
        </w:rPr>
        <w:t>DBJ</w:t>
      </w:r>
      <w:r>
        <w:rPr>
          <w:rFonts w:hint="eastAsia"/>
          <w:spacing w:val="23"/>
          <w:sz w:val="30"/>
          <w:szCs w:val="30"/>
        </w:rPr>
        <w:t xml:space="preserve"> 15</w:t>
      </w:r>
      <w:r>
        <w:rPr>
          <w:spacing w:val="23"/>
          <w:sz w:val="30"/>
          <w:szCs w:val="30"/>
        </w:rPr>
        <w:t>-</w:t>
      </w:r>
      <w:r>
        <w:rPr>
          <w:rFonts w:hint="eastAsia"/>
          <w:spacing w:val="23"/>
          <w:sz w:val="30"/>
          <w:szCs w:val="30"/>
        </w:rPr>
        <w:t>XX</w:t>
      </w:r>
      <w:r>
        <w:rPr>
          <w:spacing w:val="23"/>
          <w:sz w:val="30"/>
          <w:szCs w:val="30"/>
        </w:rPr>
        <w:t>-</w:t>
      </w:r>
      <w:r>
        <w:rPr>
          <w:sz w:val="30"/>
          <w:szCs w:val="30"/>
        </w:rPr>
        <w:t>201</w:t>
      </w:r>
      <w:r>
        <w:rPr>
          <w:rFonts w:hint="eastAsia"/>
          <w:sz w:val="30"/>
          <w:szCs w:val="30"/>
        </w:rPr>
        <w:t>5</w:t>
      </w:r>
    </w:p>
    <w:p>
      <w:pPr>
        <w:spacing w:line="400" w:lineRule="exact"/>
        <w:jc w:val="center"/>
        <w:rPr>
          <w:spacing w:val="17"/>
          <w:sz w:val="30"/>
          <w:szCs w:val="30"/>
        </w:rPr>
      </w:pPr>
    </w:p>
    <w:p>
      <w:pPr>
        <w:pStyle w:val="2"/>
        <w:spacing w:line="560" w:lineRule="exact"/>
        <w:rPr>
          <w:sz w:val="32"/>
          <w:szCs w:val="32"/>
        </w:rPr>
      </w:pPr>
      <w:bookmarkStart w:id="93" w:name="_Toc4769475"/>
      <w:bookmarkStart w:id="94" w:name="_Toc37843276"/>
      <w:r>
        <w:rPr>
          <w:rFonts w:hint="eastAsia"/>
          <w:sz w:val="32"/>
          <w:szCs w:val="32"/>
        </w:rPr>
        <w:t>条文说明</w:t>
      </w:r>
      <w:bookmarkEnd w:id="93"/>
      <w:bookmarkEnd w:id="94"/>
    </w:p>
    <w:p>
      <w:pPr>
        <w:pStyle w:val="2"/>
      </w:pPr>
      <w:r>
        <w:br w:type="page"/>
      </w:r>
    </w:p>
    <w:p>
      <w:pPr>
        <w:pStyle w:val="2"/>
        <w:sectPr>
          <w:pgSz w:w="11906" w:h="16838"/>
          <w:pgMar w:top="1440" w:right="1800" w:bottom="1440" w:left="1800" w:header="851" w:footer="992" w:gutter="0"/>
          <w:cols w:space="425" w:num="1"/>
          <w:docGrid w:type="lines" w:linePitch="312" w:charSpace="0"/>
        </w:sectPr>
      </w:pPr>
    </w:p>
    <w:p>
      <w:pPr>
        <w:pStyle w:val="2"/>
      </w:pPr>
      <w:bookmarkStart w:id="95" w:name="_Toc21937648"/>
      <w:bookmarkStart w:id="96" w:name="_Toc36629913"/>
      <w:bookmarkStart w:id="97" w:name="_Toc22906645"/>
      <w:bookmarkStart w:id="98" w:name="_Toc27657100"/>
      <w:bookmarkStart w:id="99" w:name="_Toc22906449"/>
      <w:bookmarkStart w:id="100" w:name="_Toc21954792"/>
      <w:bookmarkStart w:id="101" w:name="_Toc36629558"/>
      <w:bookmarkStart w:id="102" w:name="_Toc37843277"/>
      <w:r>
        <w:t>目录</w:t>
      </w:r>
      <w:bookmarkEnd w:id="95"/>
      <w:bookmarkEnd w:id="96"/>
      <w:bookmarkEnd w:id="97"/>
      <w:bookmarkEnd w:id="98"/>
      <w:bookmarkEnd w:id="99"/>
      <w:bookmarkEnd w:id="100"/>
      <w:bookmarkEnd w:id="101"/>
      <w:bookmarkEnd w:id="102"/>
    </w:p>
    <w:p>
      <w:pPr>
        <w:pStyle w:val="18"/>
        <w:tabs>
          <w:tab w:val="right" w:leader="dot" w:pos="8296"/>
        </w:tabs>
        <w:rPr>
          <w:rFonts w:asciiTheme="minorHAnsi" w:hAnsiTheme="minorHAnsi" w:eastAsiaTheme="minorEastAsia" w:cstheme="minorBidi"/>
          <w:color w:val="000000" w:themeColor="text1"/>
          <w:kern w:val="2"/>
          <w:sz w:val="21"/>
          <w14:textFill>
            <w14:solidFill>
              <w14:schemeClr w14:val="tx1"/>
            </w14:solidFill>
          </w14:textFill>
        </w:rPr>
      </w:pPr>
      <w:r>
        <w:fldChar w:fldCharType="begin"/>
      </w:r>
      <w:r>
        <w:instrText xml:space="preserve"> HYPERLINK \l "_Toc22906646" </w:instrText>
      </w:r>
      <w:r>
        <w:fldChar w:fldCharType="separate"/>
      </w:r>
      <w:r>
        <w:rPr>
          <w:rFonts w:eastAsiaTheme="minorEastAsia"/>
          <w:kern w:val="2"/>
        </w:rPr>
        <w:t>3  底泥勘测与污染状况调查评价</w:t>
      </w:r>
      <w:r>
        <w:rPr>
          <w:color w:val="000000" w:themeColor="text1"/>
          <w14:textFill>
            <w14:solidFill>
              <w14:schemeClr w14:val="tx1"/>
            </w14:solidFill>
          </w14:textFill>
        </w:rPr>
        <w:tab/>
      </w:r>
      <w:r>
        <w:rPr>
          <w:color w:val="000000" w:themeColor="text1"/>
          <w14:textFill>
            <w14:solidFill>
              <w14:schemeClr w14:val="tx1"/>
            </w14:solidFill>
          </w14:textFill>
        </w:rPr>
        <w:t>33</w:t>
      </w:r>
      <w:r>
        <w:rPr>
          <w:color w:val="000000" w:themeColor="text1"/>
          <w14:textFill>
            <w14:solidFill>
              <w14:schemeClr w14:val="tx1"/>
            </w14:solidFill>
          </w14:textFill>
        </w:rPr>
        <w:fldChar w:fldCharType="end"/>
      </w:r>
    </w:p>
    <w:p>
      <w:pPr>
        <w:pStyle w:val="18"/>
        <w:tabs>
          <w:tab w:val="right" w:leader="dot" w:pos="8296"/>
        </w:tabs>
        <w:rPr>
          <w:rFonts w:asciiTheme="minorHAnsi" w:hAnsiTheme="minorHAnsi" w:eastAsiaTheme="minorEastAsia" w:cstheme="minorBidi"/>
          <w:color w:val="000000" w:themeColor="text1"/>
          <w:kern w:val="2"/>
          <w:sz w:val="21"/>
          <w14:textFill>
            <w14:solidFill>
              <w14:schemeClr w14:val="tx1"/>
            </w14:solidFill>
          </w14:textFill>
        </w:rPr>
      </w:pPr>
      <w:r>
        <w:fldChar w:fldCharType="begin"/>
      </w:r>
      <w:r>
        <w:instrText xml:space="preserve"> HYPERLINK \l "_Toc22906651" </w:instrText>
      </w:r>
      <w:r>
        <w:fldChar w:fldCharType="separate"/>
      </w:r>
      <w:r>
        <w:rPr>
          <w:rFonts w:hint="eastAsia"/>
        </w:rPr>
        <w:t>4</w:t>
      </w:r>
      <w:r>
        <w:t xml:space="preserve">  环保清淤规模</w:t>
      </w:r>
      <w:r>
        <w:rPr>
          <w:color w:val="000000" w:themeColor="text1"/>
          <w14:textFill>
            <w14:solidFill>
              <w14:schemeClr w14:val="tx1"/>
            </w14:solidFill>
          </w14:textFill>
        </w:rPr>
        <w:tab/>
      </w:r>
      <w:r>
        <w:rPr>
          <w:color w:val="000000" w:themeColor="text1"/>
          <w14:textFill>
            <w14:solidFill>
              <w14:schemeClr w14:val="tx1"/>
            </w14:solidFill>
          </w14:textFill>
        </w:rPr>
        <w:t>35</w:t>
      </w:r>
      <w:r>
        <w:rPr>
          <w:color w:val="000000" w:themeColor="text1"/>
          <w14:textFill>
            <w14:solidFill>
              <w14:schemeClr w14:val="tx1"/>
            </w14:solidFill>
          </w14:textFill>
        </w:rPr>
        <w:fldChar w:fldCharType="end"/>
      </w:r>
    </w:p>
    <w:p>
      <w:pPr>
        <w:pStyle w:val="18"/>
        <w:tabs>
          <w:tab w:val="right" w:leader="dot" w:pos="8296"/>
        </w:tabs>
        <w:rPr>
          <w:rFonts w:asciiTheme="minorHAnsi" w:hAnsiTheme="minorHAnsi" w:eastAsiaTheme="minorEastAsia" w:cstheme="minorBidi"/>
          <w:color w:val="000000" w:themeColor="text1"/>
          <w:kern w:val="2"/>
          <w:sz w:val="21"/>
          <w14:textFill>
            <w14:solidFill>
              <w14:schemeClr w14:val="tx1"/>
            </w14:solidFill>
          </w14:textFill>
        </w:rPr>
      </w:pPr>
      <w:r>
        <w:rPr>
          <w:rFonts w:hint="eastAsia"/>
        </w:rPr>
        <w:t>5</w:t>
      </w:r>
      <w:r>
        <w:t xml:space="preserve">  </w:t>
      </w:r>
      <w:r>
        <w:fldChar w:fldCharType="begin"/>
      </w:r>
      <w:r>
        <w:instrText xml:space="preserve"> HYPERLINK \l "_Toc22906654" </w:instrText>
      </w:r>
      <w:r>
        <w:fldChar w:fldCharType="separate"/>
      </w:r>
      <w:r>
        <w:t>环保清淤施工</w:t>
      </w:r>
      <w:r>
        <w:rPr>
          <w:color w:val="000000" w:themeColor="text1"/>
          <w14:textFill>
            <w14:solidFill>
              <w14:schemeClr w14:val="tx1"/>
            </w14:solidFill>
          </w14:textFill>
        </w:rPr>
        <w:tab/>
      </w:r>
      <w:r>
        <w:rPr>
          <w:color w:val="000000" w:themeColor="text1"/>
          <w14:textFill>
            <w14:solidFill>
              <w14:schemeClr w14:val="tx1"/>
            </w14:solidFill>
          </w14:textFill>
        </w:rPr>
        <w:t>36</w:t>
      </w:r>
      <w:r>
        <w:rPr>
          <w:color w:val="000000" w:themeColor="text1"/>
          <w14:textFill>
            <w14:solidFill>
              <w14:schemeClr w14:val="tx1"/>
            </w14:solidFill>
          </w14:textFill>
        </w:rPr>
        <w:fldChar w:fldCharType="end"/>
      </w:r>
    </w:p>
    <w:p>
      <w:pPr>
        <w:pStyle w:val="18"/>
        <w:tabs>
          <w:tab w:val="right" w:leader="dot" w:pos="8296"/>
        </w:tabs>
        <w:rPr>
          <w:rFonts w:asciiTheme="minorHAnsi" w:hAnsiTheme="minorHAnsi" w:eastAsiaTheme="minorEastAsia" w:cstheme="minorBidi"/>
          <w:color w:val="000000" w:themeColor="text1"/>
          <w:kern w:val="2"/>
          <w:sz w:val="21"/>
          <w14:textFill>
            <w14:solidFill>
              <w14:schemeClr w14:val="tx1"/>
            </w14:solidFill>
          </w14:textFill>
        </w:rPr>
      </w:pPr>
      <w:r>
        <w:rPr>
          <w:rStyle w:val="25"/>
          <w:color w:val="000000" w:themeColor="text1"/>
          <w:u w:val="none"/>
          <w14:textFill>
            <w14:solidFill>
              <w14:schemeClr w14:val="tx1"/>
            </w14:solidFill>
          </w14:textFill>
        </w:rPr>
        <w:t xml:space="preserve">6  </w:t>
      </w:r>
      <w:r>
        <w:fldChar w:fldCharType="begin"/>
      </w:r>
      <w:r>
        <w:instrText xml:space="preserve"> HYPERLINK \l "_Toc22906658" </w:instrText>
      </w:r>
      <w:r>
        <w:fldChar w:fldCharType="separate"/>
      </w:r>
      <w:r>
        <w:t>底泥处理与处置工程</w:t>
      </w:r>
      <w:r>
        <w:rPr>
          <w:color w:val="000000" w:themeColor="text1"/>
          <w14:textFill>
            <w14:solidFill>
              <w14:schemeClr w14:val="tx1"/>
            </w14:solidFill>
          </w14:textFill>
        </w:rPr>
        <w:tab/>
      </w:r>
      <w:r>
        <w:rPr>
          <w:color w:val="000000" w:themeColor="text1"/>
          <w14:textFill>
            <w14:solidFill>
              <w14:schemeClr w14:val="tx1"/>
            </w14:solidFill>
          </w14:textFill>
        </w:rPr>
        <w:t>37</w:t>
      </w:r>
      <w:r>
        <w:rPr>
          <w:color w:val="000000" w:themeColor="text1"/>
          <w14:textFill>
            <w14:solidFill>
              <w14:schemeClr w14:val="tx1"/>
            </w14:solidFill>
          </w14:textFill>
        </w:rPr>
        <w:fldChar w:fldCharType="end"/>
      </w:r>
    </w:p>
    <w:p>
      <w:pPr>
        <w:pStyle w:val="18"/>
        <w:tabs>
          <w:tab w:val="right" w:leader="dot" w:pos="8296"/>
        </w:tabs>
        <w:rPr>
          <w:rFonts w:asciiTheme="minorHAnsi" w:hAnsiTheme="minorHAnsi" w:eastAsiaTheme="minorEastAsia" w:cstheme="minorBidi"/>
          <w:color w:val="000000" w:themeColor="text1"/>
          <w:kern w:val="2"/>
          <w:sz w:val="21"/>
          <w14:textFill>
            <w14:solidFill>
              <w14:schemeClr w14:val="tx1"/>
            </w14:solidFill>
          </w14:textFill>
        </w:rPr>
      </w:pPr>
      <w:r>
        <w:rPr>
          <w:rFonts w:hint="eastAsia"/>
        </w:rPr>
        <w:t>7</w:t>
      </w:r>
      <w:r>
        <w:t xml:space="preserve">  底泥处理厂建设</w:t>
      </w:r>
      <w:r>
        <w:fldChar w:fldCharType="begin"/>
      </w:r>
      <w:r>
        <w:instrText xml:space="preserve"> HYPERLINK \l "_Toc22906664" </w:instrText>
      </w:r>
      <w:r>
        <w:fldChar w:fldCharType="separate"/>
      </w:r>
      <w:r>
        <w:rPr>
          <w:color w:val="000000" w:themeColor="text1"/>
          <w14:textFill>
            <w14:solidFill>
              <w14:schemeClr w14:val="tx1"/>
            </w14:solidFill>
          </w14:textFill>
        </w:rPr>
        <w:tab/>
      </w:r>
      <w:r>
        <w:rPr>
          <w:color w:val="000000" w:themeColor="text1"/>
          <w14:textFill>
            <w14:solidFill>
              <w14:schemeClr w14:val="tx1"/>
            </w14:solidFill>
          </w14:textFill>
        </w:rPr>
        <w:t>40</w:t>
      </w:r>
      <w:r>
        <w:rPr>
          <w:color w:val="000000" w:themeColor="text1"/>
          <w14:textFill>
            <w14:solidFill>
              <w14:schemeClr w14:val="tx1"/>
            </w14:solidFill>
          </w14:textFill>
        </w:rPr>
        <w:fldChar w:fldCharType="end"/>
      </w:r>
    </w:p>
    <w:p>
      <w:pPr>
        <w:ind w:firstLine="480"/>
      </w:pPr>
      <w:r>
        <w:fldChar w:fldCharType="begin"/>
      </w:r>
      <w:r>
        <w:instrText xml:space="preserve">  </w:instrText>
      </w:r>
      <w:r>
        <w:fldChar w:fldCharType="end"/>
      </w:r>
    </w:p>
    <w:p>
      <w:pPr>
        <w:ind w:firstLine="480"/>
        <w:sectPr>
          <w:pgSz w:w="11906" w:h="16838"/>
          <w:pgMar w:top="1440" w:right="1800" w:bottom="1440" w:left="1800" w:header="851" w:footer="992" w:gutter="0"/>
          <w:cols w:space="425" w:num="1"/>
          <w:docGrid w:type="lines" w:linePitch="312" w:charSpace="0"/>
        </w:sectPr>
      </w:pPr>
      <w:r>
        <w:fldChar w:fldCharType="begin"/>
      </w:r>
      <w:r>
        <w:instrText xml:space="preserve"> TOC \f C </w:instrText>
      </w:r>
      <w:r>
        <w:fldChar w:fldCharType="end"/>
      </w:r>
      <w:r>
        <w:t xml:space="preserve"> </w:t>
      </w:r>
    </w:p>
    <w:p>
      <w:pPr>
        <w:pStyle w:val="2"/>
      </w:pPr>
      <w:bookmarkStart w:id="103" w:name="_Toc37843278"/>
      <w:bookmarkStart w:id="104" w:name="_Toc21954793"/>
      <w:bookmarkStart w:id="105" w:name="_Toc22906646"/>
      <w:bookmarkStart w:id="106" w:name="_Toc21937649"/>
      <w:bookmarkStart w:id="107" w:name="_Toc36629914"/>
      <w:bookmarkStart w:id="108" w:name="_Toc36629559"/>
      <w:bookmarkStart w:id="109" w:name="_Toc27657101"/>
      <w:bookmarkStart w:id="110" w:name="_Toc22906450"/>
      <w:r>
        <w:t>3  底泥勘测与污染状况调查</w:t>
      </w:r>
      <w:bookmarkEnd w:id="103"/>
      <w:bookmarkEnd w:id="104"/>
      <w:bookmarkEnd w:id="105"/>
      <w:bookmarkEnd w:id="106"/>
      <w:bookmarkEnd w:id="107"/>
      <w:bookmarkEnd w:id="108"/>
      <w:bookmarkEnd w:id="109"/>
      <w:bookmarkEnd w:id="110"/>
    </w:p>
    <w:p>
      <w:pPr>
        <w:pStyle w:val="3"/>
      </w:pPr>
      <w:bookmarkStart w:id="111" w:name="_Toc36629560"/>
      <w:bookmarkStart w:id="112" w:name="_Toc36629915"/>
      <w:bookmarkStart w:id="113" w:name="_Toc37843279"/>
      <w:r>
        <w:rPr>
          <w:rFonts w:hint="eastAsia"/>
        </w:rPr>
        <w:t>3</w:t>
      </w:r>
      <w:r>
        <w:t>.1  一般规定</w:t>
      </w:r>
      <w:bookmarkEnd w:id="111"/>
      <w:bookmarkEnd w:id="112"/>
      <w:bookmarkEnd w:id="113"/>
    </w:p>
    <w:p>
      <w:r>
        <w:rPr>
          <w:b/>
        </w:rPr>
        <w:t xml:space="preserve">3.1.2  </w:t>
      </w:r>
      <w:r>
        <w:t>底泥勘测中的地形测量</w:t>
      </w:r>
      <w:r>
        <w:rPr>
          <w:rFonts w:hint="eastAsia"/>
        </w:rPr>
        <w:t>、</w:t>
      </w:r>
      <w:r>
        <w:t>地质勘探</w:t>
      </w:r>
      <w:r>
        <w:rPr>
          <w:rFonts w:hint="eastAsia"/>
        </w:rPr>
        <w:t>应符合S</w:t>
      </w:r>
      <w:r>
        <w:t>L 17的</w:t>
      </w:r>
      <w:r>
        <w:rPr>
          <w:rFonts w:hint="eastAsia"/>
        </w:rPr>
        <w:t>相关规定，本规程不再赘述。</w:t>
      </w:r>
    </w:p>
    <w:p>
      <w:r>
        <w:rPr>
          <w:b/>
        </w:rPr>
        <w:t xml:space="preserve">3.1.4  </w:t>
      </w:r>
      <w:r>
        <w:rPr>
          <w:rFonts w:hint="eastAsia"/>
        </w:rPr>
        <w:t>根据</w:t>
      </w:r>
      <w:r>
        <w:t>污染程度</w:t>
      </w:r>
      <w:r>
        <w:rPr>
          <w:rFonts w:hint="eastAsia"/>
        </w:rPr>
        <w:t>将</w:t>
      </w:r>
      <w:r>
        <w:t>河湖底泥自上而下分为</w:t>
      </w:r>
      <w:r>
        <w:rPr>
          <w:rFonts w:hint="eastAsia"/>
        </w:rPr>
        <w:t>污染底泥层</w:t>
      </w:r>
      <w:r>
        <w:t>、</w:t>
      </w:r>
      <w:r>
        <w:rPr>
          <w:rFonts w:hint="eastAsia"/>
        </w:rPr>
        <w:t>污染</w:t>
      </w:r>
      <w:r>
        <w:t>过渡</w:t>
      </w:r>
      <w:r>
        <w:rPr>
          <w:rFonts w:hint="eastAsia"/>
        </w:rPr>
        <w:t>底泥</w:t>
      </w:r>
      <w:r>
        <w:t>层、</w:t>
      </w:r>
      <w:r>
        <w:rPr>
          <w:rFonts w:hint="eastAsia"/>
        </w:rPr>
        <w:t>正常</w:t>
      </w:r>
      <w:r>
        <w:t>河湖沉积</w:t>
      </w:r>
      <w:r>
        <w:rPr>
          <w:rFonts w:hint="eastAsia"/>
        </w:rPr>
        <w:t>泥</w:t>
      </w:r>
      <w:r>
        <w:t>层</w:t>
      </w:r>
      <w:r>
        <w:rPr>
          <w:rFonts w:hint="eastAsia"/>
        </w:rPr>
        <w:t>。如图</w:t>
      </w:r>
      <w:r>
        <w:t>1所示</w:t>
      </w:r>
      <w:r>
        <w:rPr>
          <w:rFonts w:hint="eastAsia"/>
        </w:rPr>
        <w:t>。</w:t>
      </w:r>
    </w:p>
    <w:p>
      <w:pPr>
        <w:jc w:val="center"/>
        <w:rPr>
          <w:b/>
        </w:rPr>
      </w:pPr>
      <w:r>
        <w:drawing>
          <wp:inline distT="0" distB="0" distL="0" distR="0">
            <wp:extent cx="3401060" cy="2224405"/>
            <wp:effectExtent l="0" t="0" r="0" b="4445"/>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6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444574" cy="2253116"/>
                    </a:xfrm>
                    <a:prstGeom prst="rect">
                      <a:avLst/>
                    </a:prstGeom>
                    <a:noFill/>
                  </pic:spPr>
                </pic:pic>
              </a:graphicData>
            </a:graphic>
          </wp:inline>
        </w:drawing>
      </w:r>
    </w:p>
    <w:p>
      <w:pPr>
        <w:jc w:val="center"/>
        <w:rPr>
          <w:b/>
        </w:rPr>
      </w:pPr>
      <w:r>
        <w:rPr>
          <w:rFonts w:hint="eastAsia"/>
          <w:b/>
        </w:rPr>
        <w:t>图</w:t>
      </w:r>
      <w:r>
        <w:rPr>
          <w:b/>
        </w:rPr>
        <w:t xml:space="preserve">1  </w:t>
      </w:r>
      <w:r>
        <w:rPr>
          <w:rFonts w:hint="eastAsia"/>
          <w:b/>
        </w:rPr>
        <w:t>底泥分层示意图</w:t>
      </w:r>
    </w:p>
    <w:p>
      <w:pPr>
        <w:ind w:firstLine="480"/>
      </w:pPr>
      <w:r>
        <w:rPr>
          <w:b/>
        </w:rPr>
        <w:t>1</w:t>
      </w:r>
      <w:r>
        <w:t xml:space="preserve">  </w:t>
      </w:r>
      <w:r>
        <w:rPr>
          <w:rFonts w:hint="eastAsia"/>
        </w:rPr>
        <w:t>污染底泥层：污染</w:t>
      </w:r>
      <w:r>
        <w:t>最严重的一层</w:t>
      </w:r>
      <w:r>
        <w:rPr>
          <w:rFonts w:hint="eastAsia"/>
        </w:rPr>
        <w:t>。</w:t>
      </w:r>
      <w:r>
        <w:t>一般</w:t>
      </w:r>
      <w:r>
        <w:rPr>
          <w:rFonts w:hint="eastAsia"/>
        </w:rPr>
        <w:t>情况下</w:t>
      </w:r>
      <w:r>
        <w:t>，</w:t>
      </w:r>
      <w:r>
        <w:rPr>
          <w:rFonts w:hint="eastAsia"/>
        </w:rPr>
        <w:t>在受</w:t>
      </w:r>
      <w:r>
        <w:t>有机质和营养盐</w:t>
      </w:r>
      <w:r>
        <w:rPr>
          <w:rFonts w:hint="eastAsia"/>
        </w:rPr>
        <w:t>严重</w:t>
      </w:r>
      <w:r>
        <w:t>污染的</w:t>
      </w:r>
      <w:r>
        <w:rPr>
          <w:rFonts w:hint="eastAsia"/>
        </w:rPr>
        <w:t>地区</w:t>
      </w:r>
      <w:r>
        <w:t>，</w:t>
      </w:r>
      <w:r>
        <w:rPr>
          <w:rFonts w:hint="eastAsia"/>
        </w:rPr>
        <w:t>该层</w:t>
      </w:r>
      <w:r>
        <w:t>颜色为</w:t>
      </w:r>
      <w:r>
        <w:rPr>
          <w:rFonts w:hint="eastAsia"/>
        </w:rPr>
        <w:t>黑色</w:t>
      </w:r>
      <w:r>
        <w:t>或深黑</w:t>
      </w:r>
      <w:r>
        <w:rPr>
          <w:rFonts w:hint="eastAsia"/>
        </w:rPr>
        <w:t>色、</w:t>
      </w:r>
      <w:r>
        <w:t>可塑性差、有臭味。</w:t>
      </w:r>
      <w:r>
        <w:rPr>
          <w:rFonts w:hint="eastAsia"/>
        </w:rPr>
        <w:t>其上</w:t>
      </w:r>
      <w:r>
        <w:t>部分</w:t>
      </w:r>
      <w:r>
        <w:rPr>
          <w:rFonts w:hint="eastAsia"/>
        </w:rPr>
        <w:t>为稀浆状</w:t>
      </w:r>
      <w:r>
        <w:t>，</w:t>
      </w:r>
      <w:r>
        <w:rPr>
          <w:rFonts w:hint="eastAsia"/>
        </w:rPr>
        <w:t>含水量高、</w:t>
      </w:r>
      <w:r>
        <w:t>流动性强</w:t>
      </w:r>
      <w:r>
        <w:rPr>
          <w:rFonts w:hint="eastAsia"/>
        </w:rPr>
        <w:t>，</w:t>
      </w:r>
      <w:r>
        <w:t>下半部分</w:t>
      </w:r>
      <w:r>
        <w:rPr>
          <w:rFonts w:hint="eastAsia"/>
        </w:rPr>
        <w:t>为流塑状</w:t>
      </w:r>
      <w:r>
        <w:t>，含水量略微减小</w:t>
      </w:r>
      <w:r>
        <w:rPr>
          <w:rFonts w:hint="eastAsia"/>
        </w:rPr>
        <w:t>。主要</w:t>
      </w:r>
      <w:r>
        <w:t>为近年来人类</w:t>
      </w:r>
      <w:r>
        <w:rPr>
          <w:rFonts w:hint="eastAsia"/>
        </w:rPr>
        <w:t>活动</w:t>
      </w:r>
      <w:r>
        <w:t>的产物，是</w:t>
      </w:r>
      <w:r>
        <w:rPr>
          <w:rFonts w:hint="eastAsia"/>
        </w:rPr>
        <w:t>河湖内源</w:t>
      </w:r>
      <w:r>
        <w:t>污染的</w:t>
      </w:r>
      <w:r>
        <w:rPr>
          <w:rFonts w:hint="eastAsia"/>
        </w:rPr>
        <w:t>主要</w:t>
      </w:r>
      <w:r>
        <w:t>蓄积库</w:t>
      </w:r>
      <w:r>
        <w:rPr>
          <w:rFonts w:hint="eastAsia"/>
        </w:rPr>
        <w:t>。</w:t>
      </w:r>
    </w:p>
    <w:p>
      <w:pPr>
        <w:ind w:firstLine="480"/>
      </w:pPr>
      <w:r>
        <w:rPr>
          <w:b/>
        </w:rPr>
        <w:t>2</w:t>
      </w:r>
      <w:r>
        <w:t xml:space="preserve">  </w:t>
      </w:r>
      <w:r>
        <w:rPr>
          <w:rFonts w:hint="eastAsia"/>
        </w:rPr>
        <w:t>污染过渡底泥层：污染</w:t>
      </w:r>
      <w:r>
        <w:t>相对较轻</w:t>
      </w:r>
      <w:r>
        <w:rPr>
          <w:rFonts w:hint="eastAsia"/>
        </w:rPr>
        <w:t>的</w:t>
      </w:r>
      <w:r>
        <w:t>一层。是</w:t>
      </w:r>
      <w:r>
        <w:rPr>
          <w:rFonts w:hint="eastAsia"/>
        </w:rPr>
        <w:t>污染</w:t>
      </w:r>
      <w:r>
        <w:t>底泥层</w:t>
      </w:r>
      <w:r>
        <w:rPr>
          <w:rFonts w:hint="eastAsia"/>
        </w:rPr>
        <w:t>至</w:t>
      </w:r>
      <w:r>
        <w:t>正常河湖沉积底</w:t>
      </w:r>
      <w:r>
        <w:rPr>
          <w:rFonts w:hint="eastAsia"/>
        </w:rPr>
        <w:t>泥层的</w:t>
      </w:r>
      <w:r>
        <w:t>过渡层</w:t>
      </w:r>
      <w:r>
        <w:rPr>
          <w:rFonts w:hint="eastAsia"/>
        </w:rPr>
        <w:t>。</w:t>
      </w:r>
      <w:r>
        <w:t>一般</w:t>
      </w:r>
      <w:r>
        <w:rPr>
          <w:rFonts w:hint="eastAsia"/>
        </w:rPr>
        <w:t>情况下</w:t>
      </w:r>
      <w:r>
        <w:t>，</w:t>
      </w:r>
      <w:r>
        <w:rPr>
          <w:rFonts w:hint="eastAsia"/>
        </w:rPr>
        <w:t>在</w:t>
      </w:r>
      <w:r>
        <w:t>有机质</w:t>
      </w:r>
      <w:r>
        <w:rPr>
          <w:rFonts w:hint="eastAsia"/>
        </w:rPr>
        <w:t>和</w:t>
      </w:r>
      <w:r>
        <w:t>营养盐</w:t>
      </w:r>
      <w:r>
        <w:rPr>
          <w:rFonts w:hint="eastAsia"/>
        </w:rPr>
        <w:t>污染</w:t>
      </w:r>
      <w:r>
        <w:t>地区，</w:t>
      </w:r>
      <w:r>
        <w:rPr>
          <w:rFonts w:hint="eastAsia"/>
        </w:rPr>
        <w:t>该层</w:t>
      </w:r>
      <w:r>
        <w:t>颜色呈灰色或灰黑色，含水量相对</w:t>
      </w:r>
      <w:r>
        <w:rPr>
          <w:rFonts w:hint="eastAsia"/>
        </w:rPr>
        <w:t>减小</w:t>
      </w:r>
      <w:r>
        <w:t>，</w:t>
      </w:r>
      <w:r>
        <w:rPr>
          <w:rFonts w:hint="eastAsia"/>
        </w:rPr>
        <w:t>具有</w:t>
      </w:r>
      <w:r>
        <w:t>一定的可塑性</w:t>
      </w:r>
      <w:r>
        <w:rPr>
          <w:rFonts w:hint="eastAsia"/>
        </w:rPr>
        <w:t>，</w:t>
      </w:r>
      <w:r>
        <w:t>质地较污染底泥层密实。</w:t>
      </w:r>
    </w:p>
    <w:p>
      <w:pPr>
        <w:ind w:firstLine="480"/>
      </w:pPr>
      <w:r>
        <w:rPr>
          <w:b/>
        </w:rPr>
        <w:t>3</w:t>
      </w:r>
      <w:r>
        <w:t xml:space="preserve">  </w:t>
      </w:r>
      <w:r>
        <w:rPr>
          <w:rFonts w:hint="eastAsia"/>
        </w:rPr>
        <w:t>正常沉积底泥层：未被</w:t>
      </w:r>
      <w:r>
        <w:t>污染的底泥层</w:t>
      </w:r>
      <w:r>
        <w:rPr>
          <w:rFonts w:hint="eastAsia"/>
        </w:rPr>
        <w:t>。其颜色保持未被污染的当地土质正常颜色，一般无异味，含水量相对较</w:t>
      </w:r>
      <w:r>
        <w:t>低，</w:t>
      </w:r>
      <w:r>
        <w:rPr>
          <w:rFonts w:hint="eastAsia"/>
        </w:rPr>
        <w:t>可塑性较</w:t>
      </w:r>
      <w:r>
        <w:t>强，</w:t>
      </w:r>
      <w:r>
        <w:rPr>
          <w:rFonts w:hint="eastAsia"/>
        </w:rPr>
        <w:t>质地较密实。</w:t>
      </w:r>
    </w:p>
    <w:p>
      <w:pPr>
        <w:pStyle w:val="3"/>
      </w:pPr>
      <w:bookmarkStart w:id="114" w:name="_Toc36629561"/>
      <w:bookmarkStart w:id="115" w:name="_Toc36629916"/>
      <w:bookmarkStart w:id="116" w:name="_Toc37843280"/>
      <w:r>
        <w:rPr>
          <w:rFonts w:hint="eastAsia"/>
        </w:rPr>
        <w:t>3</w:t>
      </w:r>
      <w:r>
        <w:t>.2  资料收集与分析</w:t>
      </w:r>
      <w:bookmarkEnd w:id="114"/>
      <w:bookmarkEnd w:id="115"/>
      <w:bookmarkEnd w:id="116"/>
    </w:p>
    <w:p>
      <w:r>
        <w:rPr>
          <w:b/>
        </w:rPr>
        <w:t xml:space="preserve">3.2.3  </w:t>
      </w:r>
      <w:r>
        <w:t>河道</w:t>
      </w:r>
      <w:r>
        <w:rPr>
          <w:rFonts w:hint="eastAsia"/>
        </w:rPr>
        <w:t>、</w:t>
      </w:r>
      <w:r>
        <w:t>湖泊的利用及规划管理资料的历史资料主要包括河湖整治</w:t>
      </w:r>
      <w:r>
        <w:rPr>
          <w:rFonts w:hint="eastAsia"/>
        </w:rPr>
        <w:t>、</w:t>
      </w:r>
      <w:r>
        <w:t>通航</w:t>
      </w:r>
      <w:r>
        <w:rPr>
          <w:rFonts w:hint="eastAsia"/>
        </w:rPr>
        <w:t>、</w:t>
      </w:r>
      <w:r>
        <w:t>渔业等相关历史信息资料</w:t>
      </w:r>
      <w:r>
        <w:rPr>
          <w:rFonts w:hint="eastAsia"/>
        </w:rPr>
        <w:t>。</w:t>
      </w:r>
    </w:p>
    <w:p/>
    <w:p>
      <w:pPr>
        <w:pStyle w:val="3"/>
      </w:pPr>
      <w:bookmarkStart w:id="117" w:name="_Toc21937650"/>
      <w:bookmarkStart w:id="118" w:name="_Toc21954794"/>
      <w:bookmarkStart w:id="119" w:name="_Toc22906451"/>
      <w:bookmarkStart w:id="120" w:name="_Toc22906647"/>
      <w:bookmarkStart w:id="121" w:name="_Toc27657102"/>
      <w:bookmarkStart w:id="122" w:name="_Toc36629562"/>
      <w:bookmarkStart w:id="123" w:name="_Toc36629917"/>
      <w:bookmarkStart w:id="124" w:name="_Toc37843281"/>
      <w:r>
        <w:rPr>
          <w:rFonts w:hint="eastAsia"/>
        </w:rPr>
        <w:t>3</w:t>
      </w:r>
      <w:r>
        <w:t>.4  采样点布设原则</w:t>
      </w:r>
      <w:bookmarkEnd w:id="117"/>
      <w:bookmarkEnd w:id="118"/>
      <w:bookmarkEnd w:id="119"/>
      <w:bookmarkEnd w:id="120"/>
      <w:bookmarkEnd w:id="121"/>
      <w:bookmarkEnd w:id="122"/>
      <w:bookmarkEnd w:id="123"/>
      <w:bookmarkEnd w:id="124"/>
    </w:p>
    <w:p>
      <w:r>
        <w:rPr>
          <w:b/>
        </w:rPr>
        <w:t xml:space="preserve">3.4.2 </w:t>
      </w:r>
      <w:r>
        <w:t xml:space="preserve"> </w:t>
      </w:r>
      <w:r>
        <w:rPr>
          <w:rFonts w:hint="eastAsia"/>
        </w:rPr>
        <w:t>需确保采样</w:t>
      </w:r>
      <w:r>
        <w:t>点</w:t>
      </w:r>
      <w:r>
        <w:rPr>
          <w:rFonts w:hint="eastAsia"/>
        </w:rPr>
        <w:t>的</w:t>
      </w:r>
      <w:r>
        <w:t>代表性</w:t>
      </w:r>
      <w:r>
        <w:rPr>
          <w:rFonts w:hint="eastAsia"/>
        </w:rPr>
        <w:t>，客观</w:t>
      </w:r>
      <w:r>
        <w:t>反映</w:t>
      </w:r>
      <w:r>
        <w:rPr>
          <w:rFonts w:hint="eastAsia"/>
        </w:rPr>
        <w:t>采样</w:t>
      </w:r>
      <w:r>
        <w:t>区域底泥污染现状</w:t>
      </w:r>
      <w:r>
        <w:rPr>
          <w:rFonts w:hint="eastAsia"/>
        </w:rPr>
        <w:t>，否则会造成清淤深度不够导致二次清淤的可能性。</w:t>
      </w:r>
    </w:p>
    <w:p>
      <w:r>
        <w:rPr>
          <w:b/>
        </w:rPr>
        <w:t xml:space="preserve">3.4.3  </w:t>
      </w:r>
      <w:r>
        <w:rPr>
          <w:rFonts w:hint="eastAsia"/>
        </w:rPr>
        <w:t>同类型采样点位的设置条件应一致，并宜与历史采样点位一致，使采样点位获取的监测数据在时间和空间尺度上具有可比性。</w:t>
      </w:r>
    </w:p>
    <w:p>
      <w:pPr>
        <w:pStyle w:val="3"/>
      </w:pPr>
      <w:bookmarkStart w:id="125" w:name="_Toc21937652"/>
      <w:bookmarkStart w:id="126" w:name="_Toc21954796"/>
      <w:bookmarkStart w:id="127" w:name="_Toc22906453"/>
      <w:bookmarkStart w:id="128" w:name="_Toc22906649"/>
      <w:bookmarkStart w:id="129" w:name="_Toc27657104"/>
      <w:bookmarkStart w:id="130" w:name="_Toc36629563"/>
      <w:bookmarkStart w:id="131" w:name="_Toc36629918"/>
      <w:bookmarkStart w:id="132" w:name="_Toc37843282"/>
      <w:r>
        <w:rPr>
          <w:rFonts w:hint="eastAsia"/>
        </w:rPr>
        <w:t>3</w:t>
      </w:r>
      <w:r>
        <w:t xml:space="preserve">.8  </w:t>
      </w:r>
      <w:r>
        <w:rPr>
          <w:rFonts w:hint="eastAsia"/>
        </w:rPr>
        <w:t>采样样品要求</w:t>
      </w:r>
      <w:bookmarkEnd w:id="125"/>
      <w:bookmarkEnd w:id="126"/>
      <w:bookmarkEnd w:id="127"/>
      <w:bookmarkEnd w:id="128"/>
      <w:bookmarkEnd w:id="129"/>
      <w:bookmarkEnd w:id="130"/>
      <w:bookmarkEnd w:id="131"/>
      <w:bookmarkEnd w:id="132"/>
    </w:p>
    <w:p>
      <w:r>
        <w:rPr>
          <w:rFonts w:hint="eastAsia"/>
          <w:b/>
        </w:rPr>
        <w:t>3</w:t>
      </w:r>
      <w:r>
        <w:rPr>
          <w:b/>
        </w:rPr>
        <w:t xml:space="preserve">.8.1 </w:t>
      </w:r>
      <w:r>
        <w:t xml:space="preserve"> </w:t>
      </w:r>
      <w:r>
        <w:rPr>
          <w:rFonts w:hint="eastAsia"/>
        </w:rPr>
        <w:t>采样样品的要求，需保证底泥</w:t>
      </w:r>
      <w:r>
        <w:t>柱状采样</w:t>
      </w:r>
      <w:r>
        <w:rPr>
          <w:rFonts w:hint="eastAsia"/>
        </w:rPr>
        <w:t>的深度</w:t>
      </w:r>
      <w:r>
        <w:t>、完整性</w:t>
      </w:r>
      <w:r>
        <w:rPr>
          <w:rFonts w:hint="eastAsia"/>
        </w:rPr>
        <w:t>，</w:t>
      </w:r>
      <w:r>
        <w:t>反映不同深度底泥污染程度</w:t>
      </w:r>
      <w:r>
        <w:rPr>
          <w:rFonts w:hint="eastAsia"/>
        </w:rPr>
        <w:t>，以确定工程区污染底泥的疏挖深度，防止清淤过深或清淤不足。</w:t>
      </w:r>
    </w:p>
    <w:p>
      <w:pPr>
        <w:pStyle w:val="3"/>
      </w:pPr>
      <w:bookmarkStart w:id="133" w:name="_Toc21937653"/>
      <w:bookmarkStart w:id="134" w:name="_Toc21954797"/>
      <w:bookmarkStart w:id="135" w:name="_Toc22906454"/>
      <w:bookmarkStart w:id="136" w:name="_Toc22906650"/>
      <w:bookmarkStart w:id="137" w:name="_Toc27657105"/>
      <w:bookmarkStart w:id="138" w:name="_Toc36629564"/>
      <w:bookmarkStart w:id="139" w:name="_Toc36629919"/>
      <w:bookmarkStart w:id="140" w:name="_Toc37843283"/>
      <w:r>
        <w:rPr>
          <w:rFonts w:hint="eastAsia"/>
        </w:rPr>
        <w:t>3</w:t>
      </w:r>
      <w:r>
        <w:t>.10  评价方法及标准</w:t>
      </w:r>
      <w:bookmarkEnd w:id="133"/>
      <w:bookmarkEnd w:id="134"/>
      <w:bookmarkEnd w:id="135"/>
      <w:bookmarkEnd w:id="136"/>
      <w:bookmarkEnd w:id="137"/>
      <w:bookmarkEnd w:id="138"/>
      <w:bookmarkEnd w:id="139"/>
      <w:bookmarkEnd w:id="140"/>
    </w:p>
    <w:p>
      <w:pPr>
        <w:ind w:firstLine="480" w:firstLineChars="200"/>
      </w:pPr>
      <w:r>
        <w:rPr>
          <w:rFonts w:hint="eastAsia"/>
        </w:rPr>
        <w:t>污染评价方法及标准，结合底泥污染现状、污染分布及水功能区划、清淤控制指标等，合理选择污染评价方法，确定底泥污染程度及清淤深度，合理确定清淤工程量，减少清淤底泥产生量。</w:t>
      </w:r>
    </w:p>
    <w:p/>
    <w:p>
      <w:pPr>
        <w:rPr>
          <w:b/>
          <w:bCs/>
        </w:rPr>
        <w:sectPr>
          <w:pgSz w:w="11906" w:h="16838"/>
          <w:pgMar w:top="1440" w:right="1800" w:bottom="1440" w:left="1800" w:header="851" w:footer="992" w:gutter="0"/>
          <w:cols w:space="425" w:num="1"/>
          <w:docGrid w:type="lines" w:linePitch="312" w:charSpace="0"/>
        </w:sectPr>
      </w:pPr>
    </w:p>
    <w:p>
      <w:pPr>
        <w:pStyle w:val="2"/>
      </w:pPr>
      <w:bookmarkStart w:id="141" w:name="_Toc21937654"/>
      <w:bookmarkStart w:id="142" w:name="_Toc21954798"/>
      <w:bookmarkStart w:id="143" w:name="_Toc22906455"/>
      <w:bookmarkStart w:id="144" w:name="_Toc22906651"/>
      <w:bookmarkStart w:id="145" w:name="_Toc27657106"/>
      <w:bookmarkStart w:id="146" w:name="_Toc36629565"/>
      <w:bookmarkStart w:id="147" w:name="_Toc36629920"/>
      <w:bookmarkStart w:id="148" w:name="_Toc37843284"/>
      <w:r>
        <w:t>4</w:t>
      </w:r>
      <w:r>
        <w:rPr>
          <w:rFonts w:hint="eastAsia"/>
        </w:rPr>
        <w:t xml:space="preserve"> </w:t>
      </w:r>
      <w:r>
        <w:t xml:space="preserve"> </w:t>
      </w:r>
      <w:r>
        <w:rPr>
          <w:rFonts w:hint="eastAsia"/>
        </w:rPr>
        <w:t>环保清淤</w:t>
      </w:r>
      <w:r>
        <w:t>规模</w:t>
      </w:r>
      <w:bookmarkEnd w:id="141"/>
      <w:bookmarkEnd w:id="142"/>
      <w:bookmarkEnd w:id="143"/>
      <w:bookmarkEnd w:id="144"/>
      <w:bookmarkEnd w:id="145"/>
      <w:bookmarkEnd w:id="146"/>
      <w:bookmarkEnd w:id="147"/>
      <w:bookmarkEnd w:id="148"/>
    </w:p>
    <w:p>
      <w:pPr>
        <w:pStyle w:val="3"/>
      </w:pPr>
      <w:bookmarkStart w:id="149" w:name="_Toc27657107"/>
      <w:bookmarkStart w:id="150" w:name="_Toc36629566"/>
      <w:bookmarkStart w:id="151" w:name="_Toc36629921"/>
      <w:bookmarkStart w:id="152" w:name="_Toc37843285"/>
      <w:r>
        <w:rPr>
          <w:rFonts w:hint="eastAsia"/>
        </w:rPr>
        <w:t>4</w:t>
      </w:r>
      <w:r>
        <w:t>.1  一般规定</w:t>
      </w:r>
      <w:bookmarkEnd w:id="149"/>
      <w:bookmarkEnd w:id="150"/>
      <w:bookmarkEnd w:id="151"/>
      <w:bookmarkEnd w:id="152"/>
    </w:p>
    <w:p>
      <w:r>
        <w:rPr>
          <w:b/>
        </w:rPr>
        <w:t>4.1.3</w:t>
      </w:r>
      <w:r>
        <w:t xml:space="preserve">  </w:t>
      </w:r>
      <w:r>
        <w:rPr>
          <w:rFonts w:hint="eastAsia"/>
        </w:rPr>
        <w:t>底泥勘测与污染状况调查后，如因各种原因，例如政府审批手续缓慢、征地移交工作面等，延迟不能及时开工，淤泥层的数据有可能发生变化，导致工程量不准确需重新勘测，造成投资浪费和影响工程建设。如东莞某河涌治理过程中，勘测后因工作面交接原因，经过两年以上没有及时开工，河道流速慢淤积、生活污水、工业垃圾及余泥倾倒等原因，建设条件发生变化，淤泥平均深度较之前大幅增加，工程费用也随之大幅增加，需按照新测量资料重新编制施工图，既超出了工程既定的投资规模，工期严重滞后也极大影响了工程治理效果。</w:t>
      </w:r>
    </w:p>
    <w:p>
      <w:pPr>
        <w:pStyle w:val="3"/>
      </w:pPr>
      <w:bookmarkStart w:id="153" w:name="_Toc37843286"/>
      <w:r>
        <w:rPr>
          <w:rFonts w:hint="eastAsia"/>
        </w:rPr>
        <w:t>4</w:t>
      </w:r>
      <w:r>
        <w:t>.2  环保清淤控制指标</w:t>
      </w:r>
      <w:bookmarkEnd w:id="153"/>
    </w:p>
    <w:p>
      <w:r>
        <w:t>4.2.5  根据相关的法律法规和管理规定的要求</w:t>
      </w:r>
      <w:r>
        <w:rPr>
          <w:rFonts w:hint="eastAsia"/>
        </w:rPr>
        <w:t>，</w:t>
      </w:r>
      <w:r>
        <w:t>如</w:t>
      </w:r>
      <w:r>
        <w:rPr>
          <w:rFonts w:hint="eastAsia"/>
        </w:rPr>
        <w:t>水利工程管理条例、饮用水源水质保护条例等的水利设施管理保护、水质保护的要求合理划定安全距离。例如，太湖环保疏浚的工程性安全指标为：与太湖、太湖大堤等水利工程措施、及养殖区的安全距离为200m，与水源地取水口的安全距离为500m。</w:t>
      </w:r>
    </w:p>
    <w:p>
      <w:pPr>
        <w:pStyle w:val="3"/>
      </w:pPr>
      <w:bookmarkStart w:id="154" w:name="_Toc21937656"/>
      <w:bookmarkStart w:id="155" w:name="_Toc21954800"/>
      <w:bookmarkStart w:id="156" w:name="_Toc22906456"/>
      <w:bookmarkStart w:id="157" w:name="_Toc22906652"/>
      <w:bookmarkStart w:id="158" w:name="_Toc27657108"/>
      <w:bookmarkStart w:id="159" w:name="_Toc36629567"/>
      <w:bookmarkStart w:id="160" w:name="_Toc36629922"/>
      <w:bookmarkStart w:id="161" w:name="_Toc37843287"/>
      <w:r>
        <w:t>4.3  环保清淤范围确定</w:t>
      </w:r>
      <w:bookmarkEnd w:id="154"/>
      <w:bookmarkEnd w:id="155"/>
      <w:bookmarkEnd w:id="156"/>
      <w:bookmarkEnd w:id="157"/>
      <w:bookmarkEnd w:id="158"/>
      <w:bookmarkEnd w:id="159"/>
      <w:bookmarkEnd w:id="160"/>
      <w:bookmarkEnd w:id="161"/>
    </w:p>
    <w:p>
      <w:pPr>
        <w:spacing w:before="156" w:beforeLines="50"/>
        <w:ind w:firstLine="480" w:firstLineChars="200"/>
        <w:rPr>
          <w:rFonts w:cs="Times New Roman"/>
        </w:rPr>
      </w:pPr>
      <w:r>
        <w:rPr>
          <w:rFonts w:hint="eastAsia" w:cs="Times New Roman"/>
        </w:rPr>
        <w:t>运用清淤控制指标对工程区进行评判，同时结合水质功能区划，具体步骤如下：</w:t>
      </w:r>
      <w:r>
        <w:rPr>
          <w:rFonts w:hint="eastAsia"/>
        </w:rPr>
        <w:t>工程区底泥有机质的清淤控制值宜为有机指数</w:t>
      </w:r>
      <w:r>
        <w:rPr>
          <w:i/>
        </w:rPr>
        <w:t>OI</w:t>
      </w:r>
      <w:r>
        <w:rPr>
          <w:rFonts w:cs="Times New Roman"/>
        </w:rPr>
        <w:t>≥</w:t>
      </w:r>
      <w:r>
        <w:t>0.2</w:t>
      </w:r>
      <w:r>
        <w:rPr>
          <w:rFonts w:hint="eastAsia"/>
        </w:rPr>
        <w:t>。</w:t>
      </w:r>
    </w:p>
    <w:p>
      <w:pPr>
        <w:spacing w:before="156" w:beforeLines="50"/>
        <w:ind w:firstLine="482" w:firstLineChars="200"/>
        <w:rPr>
          <w:rFonts w:cs="Times New Roman"/>
        </w:rPr>
      </w:pPr>
      <w:r>
        <w:rPr>
          <w:rFonts w:cs="Times New Roman"/>
          <w:b/>
        </w:rPr>
        <w:t xml:space="preserve">1  </w:t>
      </w:r>
      <w:r>
        <w:rPr>
          <w:rFonts w:hint="eastAsia" w:cs="Times New Roman"/>
        </w:rPr>
        <w:t>对工程区底泥的有机指数进行空间插值分析，确定</w:t>
      </w:r>
      <w:r>
        <w:rPr>
          <w:rFonts w:hint="eastAsia"/>
        </w:rPr>
        <w:t>有机指数</w:t>
      </w:r>
      <w:r>
        <w:rPr>
          <w:i/>
        </w:rPr>
        <w:t>OI</w:t>
      </w:r>
      <w:r>
        <w:rPr>
          <w:rFonts w:cs="Times New Roman"/>
        </w:rPr>
        <w:t>≥</w:t>
      </w:r>
      <w:r>
        <w:t>0.2</w:t>
      </w:r>
      <w:r>
        <w:rPr>
          <w:rFonts w:hint="eastAsia" w:cs="Times New Roman"/>
        </w:rPr>
        <w:t>底泥清淤有机质控制值的区域。</w:t>
      </w:r>
    </w:p>
    <w:p>
      <w:pPr>
        <w:ind w:firstLine="482" w:firstLineChars="200"/>
        <w:rPr>
          <w:rFonts w:cs="Times New Roman"/>
        </w:rPr>
      </w:pPr>
      <w:r>
        <w:rPr>
          <w:rFonts w:cs="Times New Roman"/>
          <w:b/>
          <w:bCs/>
        </w:rPr>
        <w:t>2</w:t>
      </w:r>
      <w:r>
        <w:rPr>
          <w:rFonts w:hint="eastAsia" w:cs="Times New Roman"/>
        </w:rPr>
        <w:t xml:space="preserve"> </w:t>
      </w:r>
      <w:r>
        <w:rPr>
          <w:rFonts w:cs="Times New Roman"/>
        </w:rPr>
        <w:t xml:space="preserve"> </w:t>
      </w:r>
      <w:r>
        <w:rPr>
          <w:rFonts w:hint="eastAsia" w:cs="Times New Roman"/>
        </w:rPr>
        <w:t>对工程区底泥中总氮进行空间插值分析，确定总氮含量大于等于营养盐污染底泥清淤氮控制值的区域。</w:t>
      </w:r>
    </w:p>
    <w:p>
      <w:pPr>
        <w:ind w:firstLine="482" w:firstLineChars="200"/>
        <w:rPr>
          <w:rFonts w:cs="Times New Roman"/>
        </w:rPr>
      </w:pPr>
      <w:r>
        <w:rPr>
          <w:rFonts w:cs="Times New Roman"/>
          <w:b/>
          <w:bCs/>
        </w:rPr>
        <w:t>3</w:t>
      </w:r>
      <w:r>
        <w:rPr>
          <w:rFonts w:hint="eastAsia" w:cs="Times New Roman"/>
          <w:b/>
          <w:bCs/>
        </w:rPr>
        <w:t xml:space="preserve"> </w:t>
      </w:r>
      <w:r>
        <w:rPr>
          <w:rFonts w:cs="Times New Roman"/>
          <w:b/>
          <w:bCs/>
        </w:rPr>
        <w:t xml:space="preserve"> </w:t>
      </w:r>
      <w:r>
        <w:rPr>
          <w:rFonts w:hint="eastAsia" w:cs="Times New Roman"/>
        </w:rPr>
        <w:t>对工程区底泥中总磷进行空间插值分析，确定总磷含量大于等于营养盐污染底泥清淤磷控制值的区域。</w:t>
      </w:r>
    </w:p>
    <w:p>
      <w:pPr>
        <w:ind w:firstLine="482" w:firstLineChars="200"/>
        <w:rPr>
          <w:rFonts w:cs="Times New Roman"/>
        </w:rPr>
      </w:pPr>
      <w:r>
        <w:rPr>
          <w:rFonts w:cs="Times New Roman"/>
          <w:b/>
          <w:bCs/>
        </w:rPr>
        <w:t>4</w:t>
      </w:r>
      <w:r>
        <w:rPr>
          <w:rFonts w:hint="eastAsia" w:cs="Times New Roman"/>
        </w:rPr>
        <w:t xml:space="preserve"> </w:t>
      </w:r>
      <w:r>
        <w:rPr>
          <w:rFonts w:cs="Times New Roman"/>
        </w:rPr>
        <w:t xml:space="preserve"> </w:t>
      </w:r>
      <w:r>
        <w:rPr>
          <w:rFonts w:hint="eastAsia" w:cs="Times New Roman"/>
        </w:rPr>
        <w:t>对工程区底泥中重金属生态风险指数进行分析，确定重金属生态风险指数</w:t>
      </w:r>
      <w:r>
        <w:rPr>
          <w:rFonts w:cs="Times New Roman"/>
        </w:rPr>
        <w:t>≥</w:t>
      </w:r>
      <w:r>
        <w:rPr>
          <w:rFonts w:hint="eastAsia" w:cs="Times New Roman"/>
        </w:rPr>
        <w:t>300的区域。</w:t>
      </w:r>
    </w:p>
    <w:p>
      <w:pPr>
        <w:ind w:firstLine="482" w:firstLineChars="200"/>
        <w:rPr>
          <w:rFonts w:cs="Times New Roman"/>
        </w:rPr>
      </w:pPr>
      <w:r>
        <w:rPr>
          <w:rFonts w:cs="Times New Roman"/>
          <w:b/>
          <w:bCs/>
        </w:rPr>
        <w:t>5</w:t>
      </w:r>
      <w:r>
        <w:rPr>
          <w:rFonts w:hint="eastAsia" w:cs="Times New Roman"/>
          <w:b/>
          <w:bCs/>
        </w:rPr>
        <w:t xml:space="preserve"> </w:t>
      </w:r>
      <w:r>
        <w:rPr>
          <w:rFonts w:cs="Times New Roman"/>
          <w:b/>
          <w:bCs/>
        </w:rPr>
        <w:t xml:space="preserve"> </w:t>
      </w:r>
      <w:r>
        <w:rPr>
          <w:rFonts w:hint="eastAsia" w:cs="Times New Roman"/>
        </w:rPr>
        <w:t>对使用有机质、总氮、总磷、重金属所控制区域进行叠加，控制区域为有机质、总氮、总磷和重金属所控制区域的并集。</w:t>
      </w:r>
    </w:p>
    <w:p>
      <w:pPr>
        <w:ind w:firstLine="482" w:firstLineChars="200"/>
        <w:rPr>
          <w:rFonts w:cs="Times New Roman"/>
        </w:rPr>
      </w:pPr>
      <w:r>
        <w:rPr>
          <w:rFonts w:hint="eastAsia" w:cs="Times New Roman"/>
          <w:b/>
          <w:bCs/>
        </w:rPr>
        <w:t xml:space="preserve">6 </w:t>
      </w:r>
      <w:r>
        <w:rPr>
          <w:rFonts w:cs="Times New Roman"/>
          <w:b/>
          <w:bCs/>
        </w:rPr>
        <w:t xml:space="preserve"> </w:t>
      </w:r>
      <w:r>
        <w:rPr>
          <w:rFonts w:hint="eastAsia" w:cs="Times New Roman"/>
        </w:rPr>
        <w:t>根据安全性控制指标，扣除水利工程实施、取水口以及重要渔业养殖场周围的安全规划保护区域。</w:t>
      </w:r>
    </w:p>
    <w:p>
      <w:pPr>
        <w:ind w:firstLine="480" w:firstLineChars="200"/>
        <w:rPr>
          <w:rFonts w:cs="Times New Roman"/>
        </w:rPr>
      </w:pPr>
      <w:r>
        <w:rPr>
          <w:rFonts w:hint="eastAsia" w:cs="Times New Roman"/>
        </w:rPr>
        <w:t>经过上述步骤得到的区域即为污染底泥环保清淤范围。</w:t>
      </w:r>
    </w:p>
    <w:p>
      <w:pPr>
        <w:pStyle w:val="2"/>
      </w:pPr>
      <w:bookmarkStart w:id="162" w:name="_Toc22906654"/>
      <w:bookmarkStart w:id="163" w:name="_Toc21937659"/>
      <w:bookmarkStart w:id="164" w:name="_Toc21954803"/>
      <w:bookmarkStart w:id="165" w:name="_Toc22906458"/>
      <w:bookmarkStart w:id="166" w:name="_Toc27657110"/>
      <w:bookmarkStart w:id="167" w:name="_Toc36629568"/>
      <w:bookmarkStart w:id="168" w:name="_Toc36629923"/>
      <w:bookmarkStart w:id="169" w:name="_Toc37843288"/>
      <w:r>
        <w:t xml:space="preserve">5  </w:t>
      </w:r>
      <w:r>
        <w:rPr>
          <w:rFonts w:hint="eastAsia"/>
        </w:rPr>
        <w:t>环保清淤施工</w:t>
      </w:r>
      <w:bookmarkEnd w:id="162"/>
      <w:bookmarkEnd w:id="163"/>
      <w:bookmarkEnd w:id="164"/>
      <w:bookmarkEnd w:id="165"/>
      <w:bookmarkEnd w:id="166"/>
      <w:bookmarkEnd w:id="167"/>
      <w:bookmarkEnd w:id="168"/>
      <w:bookmarkEnd w:id="169"/>
    </w:p>
    <w:p>
      <w:pPr>
        <w:pStyle w:val="3"/>
      </w:pPr>
      <w:bookmarkStart w:id="170" w:name="_Toc21937660"/>
      <w:bookmarkStart w:id="171" w:name="_Toc21954804"/>
      <w:bookmarkStart w:id="172" w:name="_Toc22906459"/>
      <w:bookmarkStart w:id="173" w:name="_Toc22906655"/>
      <w:bookmarkStart w:id="174" w:name="_Toc27657111"/>
      <w:bookmarkStart w:id="175" w:name="_Toc36629569"/>
      <w:bookmarkStart w:id="176" w:name="_Toc36629924"/>
      <w:bookmarkStart w:id="177" w:name="_Toc37843289"/>
      <w:r>
        <w:rPr>
          <w:rFonts w:hint="eastAsia"/>
        </w:rPr>
        <w:t>5</w:t>
      </w:r>
      <w:r>
        <w:t>.2  环保清淤施工区划分</w:t>
      </w:r>
      <w:bookmarkEnd w:id="170"/>
      <w:bookmarkEnd w:id="171"/>
      <w:bookmarkEnd w:id="172"/>
      <w:bookmarkEnd w:id="173"/>
      <w:bookmarkEnd w:id="174"/>
      <w:bookmarkEnd w:id="175"/>
      <w:bookmarkEnd w:id="176"/>
      <w:bookmarkEnd w:id="177"/>
    </w:p>
    <w:p>
      <w:r>
        <w:rPr>
          <w:rFonts w:hint="eastAsia"/>
          <w:b/>
        </w:rPr>
        <w:t>5</w:t>
      </w:r>
      <w:r>
        <w:rPr>
          <w:b/>
        </w:rPr>
        <w:t xml:space="preserve">.2.1  </w:t>
      </w:r>
      <w:r>
        <w:rPr>
          <w:rFonts w:hint="eastAsia"/>
        </w:rPr>
        <w:t>清淤施工区应以底泥污染区域划分为基础，不同污染种类、程度的底泥不应划分到同一施工区，以避免影响污染底泥的处理处置。</w:t>
      </w:r>
    </w:p>
    <w:p>
      <w:pPr>
        <w:pStyle w:val="3"/>
      </w:pPr>
      <w:bookmarkStart w:id="178" w:name="_Toc21937661"/>
      <w:bookmarkStart w:id="179" w:name="_Toc21954805"/>
      <w:bookmarkStart w:id="180" w:name="_Toc22906460"/>
      <w:bookmarkStart w:id="181" w:name="_Toc22906656"/>
      <w:bookmarkStart w:id="182" w:name="_Toc27657112"/>
      <w:bookmarkStart w:id="183" w:name="_Toc36629570"/>
      <w:bookmarkStart w:id="184" w:name="_Toc36629925"/>
      <w:bookmarkStart w:id="185" w:name="_Toc37843290"/>
      <w:r>
        <w:rPr>
          <w:rFonts w:hint="eastAsia"/>
        </w:rPr>
        <w:t>5</w:t>
      </w:r>
      <w:r>
        <w:t>.4  环保清淤设备</w:t>
      </w:r>
      <w:bookmarkEnd w:id="178"/>
      <w:bookmarkEnd w:id="179"/>
      <w:bookmarkEnd w:id="180"/>
      <w:bookmarkEnd w:id="181"/>
      <w:bookmarkEnd w:id="182"/>
      <w:bookmarkEnd w:id="183"/>
      <w:bookmarkEnd w:id="184"/>
      <w:bookmarkEnd w:id="185"/>
    </w:p>
    <w:p>
      <w:r>
        <w:rPr>
          <w:rFonts w:hint="eastAsia"/>
          <w:b/>
        </w:rPr>
        <w:t>5</w:t>
      </w:r>
      <w:r>
        <w:rPr>
          <w:b/>
        </w:rPr>
        <w:t xml:space="preserve">.4.1  </w:t>
      </w:r>
      <w:r>
        <w:rPr>
          <w:rFonts w:hint="eastAsia"/>
        </w:rPr>
        <w:t>目前市场上的清淤设备种类较多，近年来也出现了越来越多的更新、更环保、更高效的设备，具体的清淤方案可因地制宜，结合设备技术发展予以综合考虑确定。如城市河道两侧居民区较多的，可采取尽量对周边居民影响小的清淤方案，通航河段清淤及底泥输送可采用绞吸式挖泥船，挖掘机、水陆两用绞吸泵及吸泥泵等环保清淤方式配合输泥管输送方案；非通航河段可采用水陆两用搅吸泵、挖掘机及吸泥泵等环保清淤方式配合输泥管输送方案。</w:t>
      </w:r>
    </w:p>
    <w:p>
      <w:pPr>
        <w:pStyle w:val="3"/>
      </w:pPr>
      <w:bookmarkStart w:id="186" w:name="_Toc21937662"/>
      <w:bookmarkStart w:id="187" w:name="_Toc21954806"/>
      <w:bookmarkStart w:id="188" w:name="_Toc22906461"/>
      <w:bookmarkStart w:id="189" w:name="_Toc22906657"/>
      <w:bookmarkStart w:id="190" w:name="_Toc27657113"/>
      <w:bookmarkStart w:id="191" w:name="_Toc36629571"/>
      <w:bookmarkStart w:id="192" w:name="_Toc36629926"/>
      <w:bookmarkStart w:id="193" w:name="_Toc37843291"/>
      <w:r>
        <w:rPr>
          <w:rFonts w:hint="eastAsia"/>
        </w:rPr>
        <w:t>5</w:t>
      </w:r>
      <w:r>
        <w:t>.5  底泥运输方式</w:t>
      </w:r>
      <w:bookmarkEnd w:id="186"/>
      <w:bookmarkEnd w:id="187"/>
      <w:bookmarkEnd w:id="188"/>
      <w:bookmarkEnd w:id="189"/>
      <w:bookmarkEnd w:id="190"/>
      <w:bookmarkEnd w:id="191"/>
      <w:bookmarkEnd w:id="192"/>
      <w:bookmarkEnd w:id="193"/>
    </w:p>
    <w:p>
      <w:r>
        <w:rPr>
          <w:rFonts w:hint="eastAsia"/>
          <w:b/>
        </w:rPr>
        <w:t>5</w:t>
      </w:r>
      <w:r>
        <w:rPr>
          <w:b/>
        </w:rPr>
        <w:t xml:space="preserve">.5.1  </w:t>
      </w:r>
      <w:r>
        <w:rPr>
          <w:rFonts w:hint="eastAsia"/>
        </w:rPr>
        <w:t>转运底泥的车辆及船只，应选用经城管部门认证备案，纳入监控的相关车辆、船只，运输未干化处理底泥的车辆应采用槽罐车等不泄漏的专用车辆。</w:t>
      </w:r>
    </w:p>
    <w:p>
      <w:pPr>
        <w:ind w:firstLine="480"/>
      </w:pPr>
    </w:p>
    <w:p>
      <w:pPr>
        <w:ind w:firstLine="480"/>
      </w:pPr>
    </w:p>
    <w:p>
      <w:pPr>
        <w:ind w:firstLine="480"/>
        <w:sectPr>
          <w:pgSz w:w="11906" w:h="16838"/>
          <w:pgMar w:top="1440" w:right="1800" w:bottom="1440" w:left="1800" w:header="851" w:footer="992" w:gutter="0"/>
          <w:cols w:space="425" w:num="1"/>
          <w:docGrid w:type="lines" w:linePitch="312" w:charSpace="0"/>
        </w:sectPr>
      </w:pPr>
    </w:p>
    <w:p>
      <w:pPr>
        <w:pStyle w:val="2"/>
        <w:ind w:left="360"/>
      </w:pPr>
      <w:bookmarkStart w:id="194" w:name="_Toc21937663"/>
      <w:bookmarkStart w:id="195" w:name="_Toc21954807"/>
      <w:bookmarkStart w:id="196" w:name="_Toc22906462"/>
      <w:bookmarkStart w:id="197" w:name="_Toc22906658"/>
      <w:bookmarkStart w:id="198" w:name="_Toc27657114"/>
      <w:bookmarkStart w:id="199" w:name="_Toc36629572"/>
      <w:bookmarkStart w:id="200" w:name="_Toc36629927"/>
      <w:bookmarkStart w:id="201" w:name="_Toc37843292"/>
      <w:r>
        <w:t>6</w:t>
      </w:r>
      <w:r>
        <w:rPr>
          <w:rFonts w:hint="eastAsia"/>
        </w:rPr>
        <w:t xml:space="preserve"> </w:t>
      </w:r>
      <w:r>
        <w:t xml:space="preserve"> </w:t>
      </w:r>
      <w:r>
        <w:rPr>
          <w:rFonts w:hint="eastAsia"/>
        </w:rPr>
        <w:t>底泥处理及处置工程</w:t>
      </w:r>
      <w:bookmarkEnd w:id="194"/>
      <w:bookmarkEnd w:id="195"/>
      <w:bookmarkEnd w:id="196"/>
      <w:bookmarkEnd w:id="197"/>
      <w:bookmarkEnd w:id="198"/>
      <w:bookmarkEnd w:id="199"/>
      <w:bookmarkEnd w:id="200"/>
      <w:bookmarkEnd w:id="201"/>
    </w:p>
    <w:p>
      <w:pPr>
        <w:pStyle w:val="3"/>
        <w:keepNext w:val="0"/>
        <w:keepLines w:val="0"/>
        <w:numPr>
          <w:ilvl w:val="1"/>
          <w:numId w:val="0"/>
        </w:numPr>
        <w:rPr>
          <w:szCs w:val="28"/>
        </w:rPr>
      </w:pPr>
      <w:bookmarkStart w:id="202" w:name="_Toc22906463"/>
      <w:bookmarkStart w:id="203" w:name="_Toc22906659"/>
      <w:bookmarkStart w:id="204" w:name="_Toc27657115"/>
      <w:bookmarkStart w:id="205" w:name="_Toc36629573"/>
      <w:bookmarkStart w:id="206" w:name="_Toc36629928"/>
      <w:bookmarkStart w:id="207" w:name="_Toc37843293"/>
      <w:r>
        <w:rPr>
          <w:rFonts w:hint="eastAsia"/>
          <w:szCs w:val="28"/>
        </w:rPr>
        <w:t xml:space="preserve">6.2 </w:t>
      </w:r>
      <w:r>
        <w:rPr>
          <w:szCs w:val="28"/>
        </w:rPr>
        <w:t xml:space="preserve"> </w:t>
      </w:r>
      <w:r>
        <w:rPr>
          <w:rFonts w:hint="eastAsia"/>
          <w:szCs w:val="28"/>
        </w:rPr>
        <w:t>处理工艺</w:t>
      </w:r>
      <w:bookmarkEnd w:id="202"/>
      <w:bookmarkEnd w:id="203"/>
      <w:bookmarkEnd w:id="204"/>
      <w:bookmarkEnd w:id="205"/>
      <w:bookmarkEnd w:id="206"/>
      <w:bookmarkEnd w:id="207"/>
    </w:p>
    <w:p>
      <w:r>
        <w:rPr>
          <w:b/>
        </w:rPr>
        <w:t xml:space="preserve">6.2.1  </w:t>
      </w:r>
      <w:r>
        <w:rPr>
          <w:rFonts w:hint="eastAsia"/>
        </w:rPr>
        <w:t>目前国内采用的处理工艺较多，在满足底泥无害化的前提下，具体采取的工艺应结合工程实施当地的技术水平、经济条件、施工环境条件予以综合考虑确定。如城市河道湖泊两岸居民区、商业区较多的，应尽量采用占地少、能效高、对周边居民环境影响小的工艺方案。</w:t>
      </w:r>
    </w:p>
    <w:p>
      <w:pPr>
        <w:pStyle w:val="3"/>
      </w:pPr>
      <w:bookmarkStart w:id="208" w:name="_Toc22906464"/>
      <w:bookmarkStart w:id="209" w:name="_Toc22906660"/>
      <w:bookmarkStart w:id="210" w:name="_Toc27657116"/>
      <w:bookmarkStart w:id="211" w:name="_Toc36629574"/>
      <w:bookmarkStart w:id="212" w:name="_Toc36629929"/>
      <w:bookmarkStart w:id="213" w:name="_Toc37843294"/>
      <w:r>
        <w:rPr>
          <w:rFonts w:hint="eastAsia"/>
        </w:rPr>
        <w:t>6.3</w:t>
      </w:r>
      <w:r>
        <w:t xml:space="preserve"> </w:t>
      </w:r>
      <w:r>
        <w:rPr>
          <w:rFonts w:hint="eastAsia"/>
        </w:rPr>
        <w:t xml:space="preserve"> 处理环节</w:t>
      </w:r>
      <w:bookmarkEnd w:id="208"/>
      <w:bookmarkEnd w:id="209"/>
      <w:bookmarkEnd w:id="210"/>
      <w:bookmarkEnd w:id="211"/>
      <w:bookmarkEnd w:id="212"/>
      <w:bookmarkEnd w:id="213"/>
    </w:p>
    <w:p>
      <w:r>
        <w:rPr>
          <w:b/>
        </w:rPr>
        <w:t xml:space="preserve">6.3.2  </w:t>
      </w:r>
      <w:r>
        <w:rPr>
          <w:rFonts w:hint="eastAsia"/>
        </w:rPr>
        <w:t>底泥筛分设备应根据底泥组分、清淤方式以及处理工艺设备综合考虑确定，如采用水上挖掘清淤、抓斗船清淤、耙吸式清淤工艺，宜采用振筛机、滚筒式筛分机、格栅机等分离设备先行去除垃圾杂质，再通过洗砂机、水力旋流分离器、多层分级筛等二级分离设备筛分出大颗粒无机类杂质。底泥中有机类垃圾包括废塑料容器、废橡胶、旧织物、废木料等，无机类垃圾包括混凝土块、废旧无机管材、砖块、泥块、贝壳等。</w:t>
      </w:r>
    </w:p>
    <w:p>
      <w:r>
        <w:rPr>
          <w:rFonts w:hint="eastAsia"/>
          <w:b/>
          <w:bCs/>
        </w:rPr>
        <w:t>6.3.3</w:t>
      </w:r>
      <w:r>
        <w:rPr>
          <w:b/>
          <w:bCs/>
        </w:rPr>
        <w:t xml:space="preserve">  </w:t>
      </w:r>
      <w:r>
        <w:rPr>
          <w:rFonts w:hint="eastAsia"/>
        </w:rPr>
        <w:t>底泥</w:t>
      </w:r>
      <w:r>
        <w:rPr>
          <w:rFonts w:hint="eastAsia" w:ascii="宋体" w:hAnsi="宋体" w:cs="宋体"/>
        </w:rPr>
        <w:t>特性包括含水率、颗粒</w:t>
      </w:r>
      <w:r>
        <w:rPr>
          <w:rFonts w:hint="eastAsia" w:ascii="宋体" w:hAnsi="宋体" w:cs="宋体"/>
          <w:bCs/>
          <w:kern w:val="44"/>
          <w:szCs w:val="21"/>
        </w:rPr>
        <w:t>级</w:t>
      </w:r>
      <w:r>
        <w:rPr>
          <w:rFonts w:hint="eastAsia" w:ascii="宋体" w:hAnsi="宋体" w:cs="宋体"/>
        </w:rPr>
        <w:t>配、流变特性和阻尼特性等。</w:t>
      </w:r>
    </w:p>
    <w:p>
      <w:r>
        <w:rPr>
          <w:b/>
        </w:rPr>
        <w:t xml:space="preserve">6.3.4  </w:t>
      </w:r>
      <w:r>
        <w:rPr>
          <w:rFonts w:hint="eastAsia"/>
        </w:rPr>
        <w:t>底泥固化应适度选用化学固封或钝化、生物修复等方法，其固化方式及采用的添加剂宜先进行试验及检测，确保其使用效果可达到底泥处理处置要求，并确定其最佳掺入量，做到经济合理。</w:t>
      </w:r>
    </w:p>
    <w:p>
      <w:r>
        <w:rPr>
          <w:b/>
        </w:rPr>
        <w:t xml:space="preserve">6.3.5  </w:t>
      </w:r>
      <w:r>
        <w:rPr>
          <w:rFonts w:hint="eastAsia"/>
        </w:rPr>
        <w:t>目前国内采用的底泥处理设备种类较多，具体采用的设备宜结合其处理能力、占地面积、处理效果、环保指标综合考虑选用。如城市河道湖泊底泥处理工程，应尽量选用脱水效率高、处理能力高的脱水设备。</w:t>
      </w:r>
    </w:p>
    <w:p>
      <w:pPr>
        <w:pStyle w:val="3"/>
      </w:pPr>
      <w:bookmarkStart w:id="214" w:name="_Toc22906465"/>
      <w:bookmarkStart w:id="215" w:name="_Toc22906661"/>
      <w:bookmarkStart w:id="216" w:name="_Toc27657117"/>
      <w:bookmarkStart w:id="217" w:name="_Toc36629575"/>
      <w:bookmarkStart w:id="218" w:name="_Toc36629930"/>
      <w:bookmarkStart w:id="219" w:name="_Toc37843295"/>
      <w:r>
        <w:rPr>
          <w:rFonts w:hint="eastAsia"/>
        </w:rPr>
        <w:t xml:space="preserve">6.4 </w:t>
      </w:r>
      <w:r>
        <w:t xml:space="preserve"> </w:t>
      </w:r>
      <w:r>
        <w:rPr>
          <w:rFonts w:hint="eastAsia"/>
        </w:rPr>
        <w:t>垃圾处置</w:t>
      </w:r>
      <w:bookmarkEnd w:id="214"/>
      <w:bookmarkEnd w:id="215"/>
      <w:bookmarkEnd w:id="216"/>
      <w:bookmarkEnd w:id="217"/>
      <w:bookmarkEnd w:id="218"/>
      <w:bookmarkEnd w:id="219"/>
    </w:p>
    <w:p>
      <w:bookmarkStart w:id="220" w:name="_Toc22906466"/>
      <w:bookmarkStart w:id="221" w:name="_Toc22906662"/>
      <w:r>
        <w:rPr>
          <w:b/>
        </w:rPr>
        <w:t xml:space="preserve">6.4.4  </w:t>
      </w:r>
      <w:r>
        <w:rPr>
          <w:rFonts w:hint="eastAsia"/>
        </w:rPr>
        <w:t>B类垃圾用作一般场地、堤防、道路、公园、绿地、商用建筑、公用建筑、市政公用建筑等基础回填原料，应进行覆盖，且覆盖土层厚度不应小于50cm。</w:t>
      </w:r>
    </w:p>
    <w:p>
      <w:pPr>
        <w:pStyle w:val="3"/>
      </w:pPr>
      <w:bookmarkStart w:id="222" w:name="_Toc27657118"/>
      <w:bookmarkStart w:id="223" w:name="_Toc36629576"/>
      <w:bookmarkStart w:id="224" w:name="_Toc36629931"/>
      <w:bookmarkStart w:id="225" w:name="_Toc37843296"/>
      <w:r>
        <w:rPr>
          <w:rFonts w:hint="eastAsia"/>
        </w:rPr>
        <w:t xml:space="preserve">6.6 </w:t>
      </w:r>
      <w:r>
        <w:t xml:space="preserve"> </w:t>
      </w:r>
      <w:r>
        <w:rPr>
          <w:rFonts w:hint="eastAsia"/>
        </w:rPr>
        <w:t>余土处置</w:t>
      </w:r>
      <w:bookmarkEnd w:id="220"/>
      <w:bookmarkEnd w:id="221"/>
      <w:bookmarkEnd w:id="222"/>
      <w:bookmarkEnd w:id="223"/>
      <w:bookmarkEnd w:id="224"/>
      <w:bookmarkEnd w:id="225"/>
    </w:p>
    <w:p>
      <w:r>
        <w:rPr>
          <w:b/>
        </w:rPr>
        <w:t xml:space="preserve">6.6.1  </w:t>
      </w:r>
      <w:r>
        <w:rPr>
          <w:rFonts w:hint="eastAsia"/>
        </w:rPr>
        <w:t>余土应根据污染物控制指标与限值，尽量分类进行资源化利用。采用的消纳途径，宜结合当地土地规划、经济水平综合考虑。并应通过试验及检测确保其利用效果，例如用作工程回填用土，应确保其承载力、压实度等物理指标符合相关施工验收规范要求。如采用二次加工形成衍生产品的消纳方式如制砖、制作建材等，也应满足国家相关行业标准。</w:t>
      </w:r>
    </w:p>
    <w:p>
      <w:r>
        <w:rPr>
          <w:b/>
        </w:rPr>
        <w:t xml:space="preserve">6.6.3  </w:t>
      </w:r>
      <w:r>
        <w:rPr>
          <w:rFonts w:hint="eastAsia"/>
        </w:rPr>
        <w:t>余土含水率指余土出厂含水率。为确保其减量效果及降低余土运输过程所产生的环境风险隐患，余土进行外运消纳前应满足含水率限值要求。</w:t>
      </w:r>
    </w:p>
    <w:p>
      <w:pPr>
        <w:pStyle w:val="3"/>
        <w:keepNext w:val="0"/>
        <w:keepLines w:val="0"/>
        <w:numPr>
          <w:ilvl w:val="1"/>
          <w:numId w:val="0"/>
        </w:numPr>
        <w:rPr>
          <w:rFonts w:asciiTheme="majorBidi" w:hAnsiTheme="majorBidi"/>
          <w:szCs w:val="28"/>
        </w:rPr>
      </w:pPr>
      <w:bookmarkStart w:id="226" w:name="_Toc21937664"/>
      <w:bookmarkStart w:id="227" w:name="_Toc21954808"/>
      <w:bookmarkStart w:id="228" w:name="_Toc22906467"/>
      <w:bookmarkStart w:id="229" w:name="_Toc22906663"/>
      <w:bookmarkStart w:id="230" w:name="_Toc27657119"/>
      <w:bookmarkStart w:id="231" w:name="_Toc36629577"/>
      <w:bookmarkStart w:id="232" w:name="_Toc36629932"/>
      <w:bookmarkStart w:id="233" w:name="_Toc37843297"/>
      <w:r>
        <w:rPr>
          <w:rFonts w:asciiTheme="majorBidi" w:hAnsiTheme="majorBidi"/>
          <w:szCs w:val="28"/>
        </w:rPr>
        <w:t>6.7  余水处理与排放</w:t>
      </w:r>
      <w:bookmarkEnd w:id="226"/>
      <w:bookmarkEnd w:id="227"/>
      <w:bookmarkEnd w:id="228"/>
      <w:bookmarkEnd w:id="229"/>
      <w:bookmarkEnd w:id="230"/>
      <w:bookmarkEnd w:id="231"/>
      <w:bookmarkEnd w:id="232"/>
      <w:bookmarkEnd w:id="233"/>
    </w:p>
    <w:p>
      <w:r>
        <w:rPr>
          <w:rFonts w:hint="eastAsia"/>
          <w:b/>
          <w:bCs/>
        </w:rPr>
        <w:t>6.7.1</w:t>
      </w:r>
      <w:r>
        <w:rPr>
          <w:b/>
          <w:bCs/>
        </w:rPr>
        <w:t xml:space="preserve"> </w:t>
      </w:r>
      <w:r>
        <w:rPr>
          <w:rFonts w:hint="eastAsia"/>
          <w:b/>
          <w:bCs/>
        </w:rPr>
        <w:t xml:space="preserve"> </w:t>
      </w:r>
      <w:r>
        <w:rPr>
          <w:rFonts w:hint="eastAsia"/>
        </w:rPr>
        <w:t>通常的清淤方式中，余水总量可以通过挖泥船上排泥管总流量与泥浆中固体物总量、渗漏与蒸发量、堆场底泥含水量等计算求出，其中大部分余水通过沉降方式有可能达到排放要求，该部分余水应直接排放。剩余不达标余水，应处理后达标排放。</w:t>
      </w:r>
    </w:p>
    <w:p>
      <w:r>
        <w:rPr>
          <w:rFonts w:hint="eastAsia"/>
          <w:b/>
          <w:bCs/>
        </w:rPr>
        <w:t>6.7.2</w:t>
      </w:r>
      <w:r>
        <w:rPr>
          <w:rFonts w:hint="eastAsia"/>
        </w:rPr>
        <w:t xml:space="preserve"> </w:t>
      </w:r>
      <w:r>
        <w:t xml:space="preserve"> </w:t>
      </w:r>
      <w:r>
        <w:rPr>
          <w:rFonts w:hint="eastAsia"/>
        </w:rPr>
        <w:t>余水量和污染程度受泥浆在堆场的停留时间、堆场的形状和结构、清淤作业模式、底泥处置工艺等影响，处理量应根据工程情况现场确定。</w:t>
      </w:r>
    </w:p>
    <w:p>
      <w:r>
        <w:rPr>
          <w:rFonts w:hint="eastAsia"/>
          <w:b/>
          <w:bCs/>
        </w:rPr>
        <w:t>6.7.3</w:t>
      </w:r>
      <w:r>
        <w:rPr>
          <w:rFonts w:hint="eastAsia"/>
        </w:rPr>
        <w:t xml:space="preserve"> 由于清淤底泥堆场余水中的污染物大部分存在或黏附在底泥细小颗粒上，通过对余水中悬浮颗粒的去除，基本上可以控制余水的水质。目前国内已实施的以氮磷为主要污染物的环保</w:t>
      </w:r>
      <w:r>
        <w:t>清淤</w:t>
      </w:r>
      <w:r>
        <w:rPr>
          <w:rFonts w:hint="eastAsia"/>
        </w:rPr>
        <w:t>工程的余水水质标准均以悬浮物（SS）为主要控制项目。对于重金属污染的底泥，除控制SS指标外，还需控制排放的水中溶解态重金属的浓度。</w:t>
      </w:r>
    </w:p>
    <w:p>
      <w:r>
        <w:rPr>
          <w:rFonts w:hint="eastAsia"/>
          <w:b/>
          <w:bCs/>
        </w:rPr>
        <w:t xml:space="preserve">6.7.4 </w:t>
      </w:r>
      <w:r>
        <w:rPr>
          <w:b/>
          <w:bCs/>
        </w:rPr>
        <w:t xml:space="preserve"> </w:t>
      </w:r>
      <w:r>
        <w:rPr>
          <w:rFonts w:hint="eastAsia"/>
        </w:rPr>
        <w:t>已实施水环境治理河湖水域进行环保清淤时，余水排放水质应按照治理后水体质量考核标准为最低要求，以防止由于技术、施工等主客观原因造成污染物随余水进入治理后水体，反而造成污染物释放量增加。</w:t>
      </w:r>
    </w:p>
    <w:p>
      <w:r>
        <w:rPr>
          <w:rFonts w:hint="eastAsia"/>
          <w:b/>
          <w:bCs/>
        </w:rPr>
        <w:t>6</w:t>
      </w:r>
      <w:r>
        <w:rPr>
          <w:b/>
          <w:bCs/>
        </w:rPr>
        <w:t>.7.</w:t>
      </w:r>
      <w:r>
        <w:rPr>
          <w:rFonts w:hint="eastAsia"/>
          <w:b/>
          <w:bCs/>
        </w:rPr>
        <w:t>5、6</w:t>
      </w:r>
      <w:r>
        <w:rPr>
          <w:b/>
          <w:bCs/>
        </w:rPr>
        <w:t>.7.</w:t>
      </w:r>
      <w:r>
        <w:rPr>
          <w:rFonts w:hint="eastAsia"/>
          <w:b/>
          <w:bCs/>
        </w:rPr>
        <w:t>6</w:t>
      </w:r>
      <w:r>
        <w:rPr>
          <w:b/>
          <w:bCs/>
        </w:rPr>
        <w:t xml:space="preserve"> </w:t>
      </w:r>
      <w:r>
        <w:rPr>
          <w:rFonts w:hint="eastAsia"/>
          <w:b/>
          <w:bCs/>
        </w:rPr>
        <w:t xml:space="preserve"> </w:t>
      </w:r>
      <w:r>
        <w:rPr>
          <w:rFonts w:hint="eastAsia"/>
        </w:rPr>
        <w:t>排入功能水体或用于再生利用的余水应符合表</w:t>
      </w:r>
      <w:r>
        <w:t>1</w:t>
      </w:r>
      <w:r>
        <w:rPr>
          <w:rFonts w:hint="eastAsia"/>
        </w:rPr>
        <w:t>的相应排放标准。</w:t>
      </w:r>
    </w:p>
    <w:p>
      <w:pPr>
        <w:jc w:val="center"/>
        <w:rPr>
          <w:rFonts w:asciiTheme="majorBidi" w:hAnsiTheme="majorBidi" w:eastAsiaTheme="minorEastAsia" w:cstheme="majorBidi"/>
          <w:b/>
          <w:bCs/>
        </w:rPr>
      </w:pPr>
      <w:r>
        <w:rPr>
          <w:rFonts w:asciiTheme="majorBidi" w:hAnsiTheme="majorBidi" w:eastAsiaTheme="minorEastAsia" w:cstheme="majorBidi"/>
          <w:b/>
          <w:bCs/>
        </w:rPr>
        <w:t>表1  余水排放标准</w:t>
      </w:r>
    </w:p>
    <w:tbl>
      <w:tblPr>
        <w:tblStyle w:val="28"/>
        <w:tblW w:w="779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4961"/>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spacing w:line="240" w:lineRule="auto"/>
              <w:jc w:val="center"/>
              <w:rPr>
                <w:rFonts w:asciiTheme="majorBidi" w:hAnsiTheme="majorBidi" w:eastAsiaTheme="minorEastAsia" w:cstheme="majorBidi"/>
              </w:rPr>
            </w:pPr>
            <w:r>
              <w:rPr>
                <w:rFonts w:asciiTheme="majorBidi" w:hAnsiTheme="majorBidi" w:eastAsiaTheme="minorEastAsia" w:cstheme="majorBidi"/>
                <w:sz w:val="21"/>
                <w:szCs w:val="21"/>
              </w:rPr>
              <w:t>序号</w:t>
            </w:r>
          </w:p>
        </w:tc>
        <w:tc>
          <w:tcPr>
            <w:tcW w:w="4961" w:type="dxa"/>
            <w:vAlign w:val="center"/>
          </w:tcPr>
          <w:p>
            <w:pPr>
              <w:spacing w:line="240" w:lineRule="auto"/>
              <w:jc w:val="center"/>
              <w:rPr>
                <w:rFonts w:asciiTheme="majorBidi" w:hAnsiTheme="majorBidi" w:eastAsiaTheme="minorEastAsia" w:cstheme="majorBidi"/>
              </w:rPr>
            </w:pPr>
            <w:r>
              <w:rPr>
                <w:rFonts w:asciiTheme="majorBidi" w:hAnsiTheme="majorBidi" w:eastAsiaTheme="minorEastAsia" w:cstheme="majorBidi"/>
                <w:sz w:val="21"/>
                <w:szCs w:val="21"/>
              </w:rPr>
              <w:t>受纳水体或用途</w:t>
            </w:r>
          </w:p>
        </w:tc>
        <w:tc>
          <w:tcPr>
            <w:tcW w:w="2126" w:type="dxa"/>
            <w:vAlign w:val="center"/>
          </w:tcPr>
          <w:p>
            <w:pPr>
              <w:spacing w:line="240" w:lineRule="auto"/>
              <w:jc w:val="center"/>
              <w:rPr>
                <w:rFonts w:asciiTheme="majorBidi" w:hAnsiTheme="majorBidi" w:eastAsiaTheme="minorEastAsia" w:cstheme="majorBidi"/>
              </w:rPr>
            </w:pPr>
            <w:r>
              <w:rPr>
                <w:rFonts w:asciiTheme="majorBidi" w:hAnsiTheme="majorBidi" w:eastAsiaTheme="minorEastAsia" w:cstheme="majorBidi"/>
                <w:sz w:val="21"/>
                <w:szCs w:val="21"/>
              </w:rPr>
              <w:t>执行标准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spacing w:line="240" w:lineRule="auto"/>
              <w:jc w:val="center"/>
              <w:rPr>
                <w:rFonts w:asciiTheme="majorBidi" w:hAnsiTheme="majorBidi" w:eastAsiaTheme="minorEastAsia" w:cstheme="majorBidi"/>
              </w:rPr>
            </w:pPr>
            <w:r>
              <w:rPr>
                <w:rFonts w:asciiTheme="majorBidi" w:hAnsiTheme="majorBidi" w:eastAsiaTheme="minorEastAsia" w:cstheme="majorBidi"/>
                <w:sz w:val="21"/>
                <w:szCs w:val="21"/>
              </w:rPr>
              <w:t>1</w:t>
            </w:r>
          </w:p>
        </w:tc>
        <w:tc>
          <w:tcPr>
            <w:tcW w:w="4961" w:type="dxa"/>
            <w:vAlign w:val="center"/>
          </w:tcPr>
          <w:p>
            <w:pPr>
              <w:spacing w:line="240" w:lineRule="auto"/>
              <w:jc w:val="center"/>
              <w:rPr>
                <w:rFonts w:asciiTheme="majorBidi" w:hAnsiTheme="majorBidi" w:eastAsiaTheme="minorEastAsia" w:cstheme="majorBidi"/>
              </w:rPr>
            </w:pPr>
            <w:r>
              <w:rPr>
                <w:rFonts w:asciiTheme="majorBidi" w:hAnsiTheme="majorBidi" w:eastAsiaTheme="minorEastAsia" w:cstheme="majorBidi"/>
                <w:sz w:val="21"/>
                <w:szCs w:val="21"/>
              </w:rPr>
              <w:t>市政污水管网系统</w:t>
            </w:r>
          </w:p>
        </w:tc>
        <w:tc>
          <w:tcPr>
            <w:tcW w:w="2126" w:type="dxa"/>
            <w:vAlign w:val="center"/>
          </w:tcPr>
          <w:p>
            <w:pPr>
              <w:spacing w:line="240" w:lineRule="auto"/>
              <w:jc w:val="center"/>
              <w:rPr>
                <w:rFonts w:asciiTheme="majorBidi" w:hAnsiTheme="majorBidi" w:eastAsiaTheme="minorEastAsia" w:cstheme="majorBidi"/>
              </w:rPr>
            </w:pPr>
            <w:r>
              <w:rPr>
                <w:rFonts w:asciiTheme="majorBidi" w:hAnsiTheme="majorBidi" w:eastAsiaTheme="minorEastAsia" w:cstheme="majorBidi"/>
                <w:sz w:val="21"/>
                <w:szCs w:val="21"/>
              </w:rPr>
              <w:t>GB/T 31962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spacing w:line="240" w:lineRule="auto"/>
              <w:jc w:val="center"/>
              <w:rPr>
                <w:rFonts w:asciiTheme="majorBidi" w:hAnsiTheme="majorBidi" w:eastAsiaTheme="minorEastAsia" w:cstheme="majorBidi"/>
              </w:rPr>
            </w:pPr>
            <w:r>
              <w:rPr>
                <w:rFonts w:asciiTheme="majorBidi" w:hAnsiTheme="majorBidi" w:eastAsiaTheme="minorEastAsia" w:cstheme="majorBidi"/>
                <w:sz w:val="21"/>
                <w:szCs w:val="21"/>
              </w:rPr>
              <w:t>2</w:t>
            </w:r>
          </w:p>
        </w:tc>
        <w:tc>
          <w:tcPr>
            <w:tcW w:w="4961" w:type="dxa"/>
            <w:vAlign w:val="center"/>
          </w:tcPr>
          <w:p>
            <w:pPr>
              <w:spacing w:line="240" w:lineRule="auto"/>
              <w:jc w:val="center"/>
              <w:rPr>
                <w:rFonts w:asciiTheme="majorBidi" w:hAnsiTheme="majorBidi" w:eastAsiaTheme="minorEastAsia" w:cstheme="majorBidi"/>
                <w:sz w:val="21"/>
                <w:szCs w:val="21"/>
              </w:rPr>
            </w:pPr>
            <w:r>
              <w:rPr>
                <w:rFonts w:asciiTheme="majorBidi" w:hAnsiTheme="majorBidi" w:eastAsiaTheme="minorEastAsia" w:cstheme="majorBidi"/>
                <w:sz w:val="21"/>
                <w:szCs w:val="21"/>
              </w:rPr>
              <w:t>工业用水</w:t>
            </w:r>
          </w:p>
          <w:p>
            <w:pPr>
              <w:spacing w:line="240" w:lineRule="auto"/>
              <w:jc w:val="center"/>
              <w:rPr>
                <w:rFonts w:asciiTheme="majorBidi" w:hAnsiTheme="majorBidi" w:eastAsiaTheme="minorEastAsia" w:cstheme="majorBidi"/>
              </w:rPr>
            </w:pPr>
            <w:r>
              <w:rPr>
                <w:rFonts w:asciiTheme="majorBidi" w:hAnsiTheme="majorBidi" w:eastAsiaTheme="minorEastAsia" w:cstheme="majorBidi"/>
                <w:sz w:val="21"/>
                <w:szCs w:val="21"/>
              </w:rPr>
              <w:t>（符合GB/T18919划定的城市污水再生利用类别）</w:t>
            </w:r>
          </w:p>
        </w:tc>
        <w:tc>
          <w:tcPr>
            <w:tcW w:w="2126" w:type="dxa"/>
            <w:vAlign w:val="center"/>
          </w:tcPr>
          <w:p>
            <w:pPr>
              <w:spacing w:line="240" w:lineRule="auto"/>
              <w:jc w:val="center"/>
              <w:rPr>
                <w:rFonts w:asciiTheme="majorBidi" w:hAnsiTheme="majorBidi" w:eastAsiaTheme="minorEastAsia" w:cstheme="majorBidi"/>
              </w:rPr>
            </w:pPr>
            <w:r>
              <w:rPr>
                <w:rFonts w:asciiTheme="majorBidi" w:hAnsiTheme="majorBidi" w:eastAsiaTheme="minorEastAsia" w:cstheme="majorBidi"/>
                <w:sz w:val="21"/>
                <w:szCs w:val="21"/>
              </w:rPr>
              <w:t>GB/T19923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spacing w:line="240" w:lineRule="auto"/>
              <w:jc w:val="center"/>
              <w:rPr>
                <w:rFonts w:asciiTheme="majorBidi" w:hAnsiTheme="majorBidi" w:eastAsiaTheme="minorEastAsia" w:cstheme="majorBidi"/>
              </w:rPr>
            </w:pPr>
            <w:r>
              <w:rPr>
                <w:rFonts w:asciiTheme="majorBidi" w:hAnsiTheme="majorBidi" w:eastAsiaTheme="minorEastAsia" w:cstheme="majorBidi"/>
                <w:sz w:val="21"/>
                <w:szCs w:val="21"/>
              </w:rPr>
              <w:t>3</w:t>
            </w:r>
          </w:p>
        </w:tc>
        <w:tc>
          <w:tcPr>
            <w:tcW w:w="4961" w:type="dxa"/>
            <w:vAlign w:val="center"/>
          </w:tcPr>
          <w:p>
            <w:pPr>
              <w:spacing w:line="240" w:lineRule="auto"/>
              <w:jc w:val="center"/>
              <w:rPr>
                <w:rFonts w:asciiTheme="majorBidi" w:hAnsiTheme="majorBidi" w:eastAsiaTheme="minorEastAsia" w:cstheme="majorBidi"/>
                <w:sz w:val="21"/>
                <w:szCs w:val="21"/>
              </w:rPr>
            </w:pPr>
            <w:r>
              <w:rPr>
                <w:rFonts w:asciiTheme="majorBidi" w:hAnsiTheme="majorBidi" w:eastAsiaTheme="minorEastAsia" w:cstheme="majorBidi"/>
                <w:sz w:val="21"/>
                <w:szCs w:val="21"/>
              </w:rPr>
              <w:t>城市杂用水</w:t>
            </w:r>
          </w:p>
          <w:p>
            <w:pPr>
              <w:spacing w:line="240" w:lineRule="auto"/>
              <w:jc w:val="center"/>
              <w:rPr>
                <w:rFonts w:asciiTheme="majorBidi" w:hAnsiTheme="majorBidi" w:eastAsiaTheme="minorEastAsia" w:cstheme="majorBidi"/>
              </w:rPr>
            </w:pPr>
            <w:r>
              <w:rPr>
                <w:rFonts w:asciiTheme="majorBidi" w:hAnsiTheme="majorBidi" w:eastAsiaTheme="minorEastAsia" w:cstheme="majorBidi"/>
                <w:sz w:val="21"/>
                <w:szCs w:val="21"/>
              </w:rPr>
              <w:t>（符合GB/T18919划定的城市污水再生利用类别）</w:t>
            </w:r>
          </w:p>
        </w:tc>
        <w:tc>
          <w:tcPr>
            <w:tcW w:w="2126" w:type="dxa"/>
            <w:vAlign w:val="center"/>
          </w:tcPr>
          <w:p>
            <w:pPr>
              <w:spacing w:line="240" w:lineRule="auto"/>
              <w:jc w:val="center"/>
              <w:rPr>
                <w:rFonts w:asciiTheme="majorBidi" w:hAnsiTheme="majorBidi" w:eastAsiaTheme="minorEastAsia" w:cstheme="majorBidi"/>
              </w:rPr>
            </w:pPr>
            <w:r>
              <w:rPr>
                <w:rFonts w:asciiTheme="majorBidi" w:hAnsiTheme="majorBidi" w:eastAsiaTheme="minorEastAsia" w:cstheme="majorBidi"/>
                <w:sz w:val="21"/>
                <w:szCs w:val="21"/>
              </w:rPr>
              <w:t>GB/T 18920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spacing w:line="240" w:lineRule="auto"/>
              <w:jc w:val="center"/>
              <w:rPr>
                <w:rFonts w:asciiTheme="majorBidi" w:hAnsiTheme="majorBidi" w:eastAsiaTheme="minorEastAsia" w:cstheme="majorBidi"/>
              </w:rPr>
            </w:pPr>
            <w:r>
              <w:rPr>
                <w:rFonts w:asciiTheme="majorBidi" w:hAnsiTheme="majorBidi" w:eastAsiaTheme="minorEastAsia" w:cstheme="majorBidi"/>
                <w:sz w:val="21"/>
                <w:szCs w:val="21"/>
              </w:rPr>
              <w:t>4</w:t>
            </w:r>
          </w:p>
        </w:tc>
        <w:tc>
          <w:tcPr>
            <w:tcW w:w="4961" w:type="dxa"/>
            <w:vAlign w:val="center"/>
          </w:tcPr>
          <w:p>
            <w:pPr>
              <w:spacing w:line="240" w:lineRule="auto"/>
              <w:jc w:val="center"/>
              <w:rPr>
                <w:rFonts w:asciiTheme="majorBidi" w:hAnsiTheme="majorBidi" w:eastAsiaTheme="minorEastAsia" w:cstheme="majorBidi"/>
              </w:rPr>
            </w:pPr>
            <w:r>
              <w:rPr>
                <w:rFonts w:asciiTheme="majorBidi" w:hAnsiTheme="majorBidi" w:eastAsiaTheme="minorEastAsia" w:cstheme="majorBidi"/>
                <w:sz w:val="21"/>
                <w:szCs w:val="21"/>
              </w:rPr>
              <w:t>排入地表水（GB 3838）或海水（GB 3097）标准所规定的相应类别的水域或海域</w:t>
            </w:r>
          </w:p>
        </w:tc>
        <w:tc>
          <w:tcPr>
            <w:tcW w:w="2126" w:type="dxa"/>
            <w:vAlign w:val="center"/>
          </w:tcPr>
          <w:p>
            <w:pPr>
              <w:spacing w:line="240" w:lineRule="auto"/>
              <w:jc w:val="center"/>
              <w:rPr>
                <w:rFonts w:asciiTheme="majorBidi" w:hAnsiTheme="majorBidi" w:eastAsiaTheme="minorEastAsia" w:cstheme="majorBidi"/>
              </w:rPr>
            </w:pPr>
            <w:r>
              <w:rPr>
                <w:rFonts w:asciiTheme="majorBidi" w:hAnsiTheme="majorBidi" w:eastAsiaTheme="minorEastAsia" w:cstheme="majorBidi"/>
                <w:sz w:val="21"/>
                <w:szCs w:val="21"/>
              </w:rPr>
              <w:t>该水体的控制标准的对应类别</w:t>
            </w:r>
          </w:p>
        </w:tc>
      </w:tr>
    </w:tbl>
    <w:p>
      <w:r>
        <w:rPr>
          <w:rFonts w:hint="eastAsia"/>
          <w:b/>
          <w:bCs/>
        </w:rPr>
        <w:t xml:space="preserve">6.7.7 </w:t>
      </w:r>
      <w:r>
        <w:rPr>
          <w:b/>
          <w:bCs/>
        </w:rPr>
        <w:t xml:space="preserve"> </w:t>
      </w:r>
      <w:r>
        <w:rPr>
          <w:rFonts w:hint="eastAsia"/>
        </w:rPr>
        <w:t>对于污染较轻的河道底泥，余水可以靠气浮、磁分离、沉淀等一级处理工艺处理后达标排放。对于受工业污染的底泥，余水中可能含有大量的重金属和有毒有害难降解有机物，宜可以结合两类废水特点，采用组合技术去除目标污染物。如采用高级氧化技术对复合污染余水进行处理，去除其中的有毒有害难降解有机物，然后再通过中和沉淀或者混凝处理等技术途径从水相中去除重金属，沉淀物与干化后的清淤底泥一并处理。</w:t>
      </w:r>
    </w:p>
    <w:p>
      <w:pPr>
        <w:ind w:firstLine="480"/>
        <w:sectPr>
          <w:pgSz w:w="11906" w:h="16838"/>
          <w:pgMar w:top="1440" w:right="1800" w:bottom="1440" w:left="1800" w:header="851" w:footer="992" w:gutter="0"/>
          <w:cols w:space="425" w:num="1"/>
          <w:docGrid w:type="lines" w:linePitch="312" w:charSpace="0"/>
        </w:sectPr>
      </w:pPr>
    </w:p>
    <w:p>
      <w:pPr>
        <w:pStyle w:val="2"/>
      </w:pPr>
      <w:bookmarkStart w:id="234" w:name="_Toc37843298"/>
      <w:bookmarkStart w:id="235" w:name="_Toc36629933"/>
      <w:bookmarkStart w:id="236" w:name="_Toc36629578"/>
      <w:bookmarkStart w:id="237" w:name="_Toc27657120"/>
      <w:bookmarkStart w:id="238" w:name="_Toc21937665"/>
      <w:bookmarkStart w:id="239" w:name="_Toc21954809"/>
      <w:bookmarkStart w:id="240" w:name="_Toc22906468"/>
      <w:bookmarkStart w:id="241" w:name="_Toc22906664"/>
      <w:r>
        <w:t xml:space="preserve">7  </w:t>
      </w:r>
      <w:r>
        <w:rPr>
          <w:rFonts w:hint="eastAsia"/>
        </w:rPr>
        <w:t>底泥处理厂建设</w:t>
      </w:r>
      <w:bookmarkEnd w:id="234"/>
      <w:bookmarkEnd w:id="235"/>
      <w:bookmarkEnd w:id="236"/>
      <w:bookmarkEnd w:id="237"/>
    </w:p>
    <w:p>
      <w:pPr>
        <w:pStyle w:val="3"/>
        <w:spacing w:line="560" w:lineRule="exact"/>
        <w:rPr>
          <w:rFonts w:asciiTheme="majorBidi" w:hAnsiTheme="majorBidi"/>
          <w:szCs w:val="28"/>
        </w:rPr>
      </w:pPr>
      <w:bookmarkStart w:id="242" w:name="_Toc21937666"/>
      <w:bookmarkStart w:id="243" w:name="_Toc21954810"/>
      <w:bookmarkStart w:id="244" w:name="_Toc22906469"/>
      <w:bookmarkStart w:id="245" w:name="_Toc22906665"/>
      <w:bookmarkStart w:id="246" w:name="_Toc27657121"/>
      <w:bookmarkStart w:id="247" w:name="_Toc36629579"/>
      <w:bookmarkStart w:id="248" w:name="_Toc36629934"/>
      <w:bookmarkStart w:id="249" w:name="_Toc37843299"/>
      <w:r>
        <w:rPr>
          <w:rFonts w:asciiTheme="majorBidi" w:hAnsiTheme="majorBidi"/>
          <w:szCs w:val="28"/>
        </w:rPr>
        <w:t>7.1  一般规定</w:t>
      </w:r>
      <w:bookmarkEnd w:id="242"/>
      <w:bookmarkEnd w:id="243"/>
      <w:bookmarkEnd w:id="244"/>
      <w:bookmarkEnd w:id="245"/>
      <w:bookmarkEnd w:id="246"/>
      <w:bookmarkEnd w:id="247"/>
      <w:bookmarkEnd w:id="248"/>
      <w:bookmarkEnd w:id="249"/>
    </w:p>
    <w:p>
      <w:pPr>
        <w:rPr>
          <w:rFonts w:asciiTheme="majorBidi" w:hAnsiTheme="majorBidi" w:eastAsiaTheme="minorEastAsia" w:cstheme="majorBidi"/>
          <w:szCs w:val="24"/>
        </w:rPr>
      </w:pPr>
      <w:r>
        <w:rPr>
          <w:rFonts w:asciiTheme="majorBidi" w:hAnsiTheme="majorBidi" w:eastAsiaTheme="minorEastAsia" w:cstheme="majorBidi"/>
          <w:b/>
          <w:bCs/>
          <w:szCs w:val="24"/>
        </w:rPr>
        <w:t>7.1.1</w:t>
      </w:r>
      <w:r>
        <w:rPr>
          <w:rFonts w:asciiTheme="majorBidi" w:hAnsiTheme="majorBidi" w:eastAsiaTheme="minorEastAsia" w:cstheme="majorBidi"/>
          <w:szCs w:val="24"/>
        </w:rPr>
        <w:t xml:space="preserve">  大中型底泥处理厂建设可适当提高建设，采取永临结合、政府采购、公私合营等多种方式，工程结束后，作为城市污泥、底泥集中处理中心长期运行，减少重复投资，扩大工程效益。</w:t>
      </w:r>
    </w:p>
    <w:p>
      <w:pPr>
        <w:pStyle w:val="3"/>
        <w:spacing w:line="560" w:lineRule="exact"/>
        <w:rPr>
          <w:rFonts w:asciiTheme="majorBidi" w:hAnsiTheme="majorBidi"/>
          <w:szCs w:val="28"/>
        </w:rPr>
      </w:pPr>
      <w:bookmarkStart w:id="250" w:name="_Toc21937667"/>
      <w:bookmarkStart w:id="251" w:name="_Toc21954811"/>
      <w:bookmarkStart w:id="252" w:name="_Toc22906470"/>
      <w:bookmarkStart w:id="253" w:name="_Toc22906666"/>
      <w:bookmarkStart w:id="254" w:name="_Toc27657122"/>
      <w:bookmarkStart w:id="255" w:name="_Toc36629580"/>
      <w:bookmarkStart w:id="256" w:name="_Toc36629935"/>
      <w:bookmarkStart w:id="257" w:name="_Toc37843300"/>
      <w:r>
        <w:rPr>
          <w:rFonts w:asciiTheme="majorBidi" w:hAnsiTheme="majorBidi"/>
          <w:szCs w:val="28"/>
        </w:rPr>
        <w:t>7.2  建设规模与项目构成</w:t>
      </w:r>
      <w:bookmarkEnd w:id="250"/>
      <w:bookmarkEnd w:id="251"/>
      <w:bookmarkEnd w:id="252"/>
      <w:bookmarkEnd w:id="253"/>
      <w:bookmarkEnd w:id="254"/>
      <w:bookmarkEnd w:id="255"/>
      <w:bookmarkEnd w:id="256"/>
      <w:bookmarkEnd w:id="257"/>
    </w:p>
    <w:p>
      <w:pPr>
        <w:ind w:firstLine="480" w:firstLineChars="200"/>
        <w:rPr>
          <w:rFonts w:asciiTheme="majorBidi" w:hAnsiTheme="majorBidi" w:eastAsiaTheme="minorEastAsia" w:cstheme="majorBidi"/>
          <w:szCs w:val="24"/>
        </w:rPr>
      </w:pPr>
      <w:r>
        <w:rPr>
          <w:rFonts w:hint="eastAsia" w:asciiTheme="majorBidi" w:hAnsiTheme="majorBidi" w:eastAsiaTheme="minorEastAsia" w:cstheme="majorBidi"/>
          <w:szCs w:val="24"/>
        </w:rPr>
        <w:t>底泥处理厂应按照“减量化、稳定化、无害化、资源化”原则，通过各工艺车间连续流水作业，实现底泥的稳定化、集成化、无害化、自动化集中处理和资源再生。为确保底泥处理安全、质量和效率，统一标准，以减量率、含水率作为底泥处理厂主要设计指标，并根据工程规模明确相应最低或最高标准。</w:t>
      </w:r>
    </w:p>
    <w:p>
      <w:pPr>
        <w:pStyle w:val="3"/>
        <w:spacing w:line="560" w:lineRule="exact"/>
        <w:rPr>
          <w:rFonts w:asciiTheme="majorBidi" w:hAnsiTheme="majorBidi"/>
          <w:szCs w:val="28"/>
        </w:rPr>
      </w:pPr>
      <w:bookmarkStart w:id="258" w:name="_Toc21937668"/>
      <w:bookmarkStart w:id="259" w:name="_Toc21954812"/>
      <w:bookmarkStart w:id="260" w:name="_Toc22906471"/>
      <w:bookmarkStart w:id="261" w:name="_Toc22906667"/>
      <w:bookmarkStart w:id="262" w:name="_Toc27657123"/>
      <w:bookmarkStart w:id="263" w:name="_Toc36629581"/>
      <w:bookmarkStart w:id="264" w:name="_Toc36629936"/>
      <w:bookmarkStart w:id="265" w:name="_Toc37843301"/>
      <w:r>
        <w:rPr>
          <w:rFonts w:asciiTheme="majorBidi" w:hAnsiTheme="majorBidi"/>
          <w:szCs w:val="28"/>
        </w:rPr>
        <w:t>7.3</w:t>
      </w:r>
      <w:r>
        <w:rPr>
          <w:rFonts w:hint="eastAsia" w:asciiTheme="majorBidi" w:hAnsiTheme="majorBidi"/>
          <w:szCs w:val="28"/>
        </w:rPr>
        <w:t xml:space="preserve"> </w:t>
      </w:r>
      <w:r>
        <w:rPr>
          <w:rFonts w:asciiTheme="majorBidi" w:hAnsiTheme="majorBidi"/>
          <w:szCs w:val="28"/>
        </w:rPr>
        <w:t xml:space="preserve"> 厂址选择</w:t>
      </w:r>
      <w:bookmarkEnd w:id="258"/>
      <w:bookmarkEnd w:id="259"/>
      <w:bookmarkEnd w:id="260"/>
      <w:bookmarkEnd w:id="261"/>
      <w:bookmarkEnd w:id="262"/>
      <w:bookmarkEnd w:id="263"/>
      <w:bookmarkEnd w:id="264"/>
      <w:bookmarkEnd w:id="265"/>
    </w:p>
    <w:p>
      <w:pPr>
        <w:rPr>
          <w:rFonts w:asciiTheme="majorBidi" w:hAnsiTheme="majorBidi" w:eastAsiaTheme="minorEastAsia" w:cstheme="majorBidi"/>
          <w:szCs w:val="24"/>
        </w:rPr>
      </w:pPr>
      <w:r>
        <w:rPr>
          <w:rFonts w:hint="eastAsia" w:asciiTheme="majorBidi" w:hAnsiTheme="majorBidi" w:eastAsiaTheme="minorEastAsia" w:cstheme="majorBidi"/>
          <w:b/>
          <w:bCs/>
          <w:szCs w:val="24"/>
        </w:rPr>
        <w:t>7</w:t>
      </w:r>
      <w:r>
        <w:rPr>
          <w:rFonts w:asciiTheme="majorBidi" w:hAnsiTheme="majorBidi" w:eastAsiaTheme="minorEastAsia" w:cstheme="majorBidi"/>
          <w:b/>
          <w:bCs/>
          <w:szCs w:val="24"/>
        </w:rPr>
        <w:t xml:space="preserve">.3.1 </w:t>
      </w:r>
      <w:r>
        <w:rPr>
          <w:rFonts w:asciiTheme="majorBidi" w:hAnsiTheme="majorBidi" w:eastAsiaTheme="minorEastAsia" w:cstheme="majorBidi"/>
          <w:szCs w:val="24"/>
        </w:rPr>
        <w:t xml:space="preserve"> </w:t>
      </w:r>
      <w:r>
        <w:rPr>
          <w:rFonts w:hint="eastAsia" w:asciiTheme="majorBidi" w:hAnsiTheme="majorBidi" w:eastAsiaTheme="minorEastAsia" w:cstheme="majorBidi"/>
          <w:szCs w:val="24"/>
        </w:rPr>
        <w:t>厂址选择是处理厂建设的重要部分，是处理厂建设的第一步，应符合地方总体规划的要求，并且处理厂的建设应打破乡、镇、市的行政区划，应以流域为单位进行综合规划。处理厂的选址与众多因素有关，主要从安全可靠、防止污染、经济合适、因地制宜四方面综合各种因素，分析比较选定。</w:t>
      </w:r>
    </w:p>
    <w:p>
      <w:pPr>
        <w:rPr>
          <w:szCs w:val="24"/>
        </w:rPr>
      </w:pPr>
      <w:r>
        <w:rPr>
          <w:rFonts w:hint="eastAsia"/>
          <w:b/>
          <w:bCs/>
          <w:szCs w:val="24"/>
        </w:rPr>
        <w:t>7</w:t>
      </w:r>
      <w:r>
        <w:rPr>
          <w:b/>
          <w:bCs/>
          <w:szCs w:val="24"/>
        </w:rPr>
        <w:t>.3.2</w:t>
      </w:r>
      <w:r>
        <w:rPr>
          <w:szCs w:val="24"/>
        </w:rPr>
        <w:t xml:space="preserve">  </w:t>
      </w:r>
      <w:r>
        <w:rPr>
          <w:rFonts w:hint="eastAsia"/>
          <w:szCs w:val="24"/>
        </w:rPr>
        <w:t>选址应遵循下列原则。</w:t>
      </w:r>
    </w:p>
    <w:p>
      <w:pPr>
        <w:ind w:firstLine="561"/>
        <w:rPr>
          <w:rFonts w:asciiTheme="majorBidi" w:hAnsiTheme="majorBidi" w:eastAsiaTheme="minorEastAsia" w:cstheme="majorBidi"/>
          <w:szCs w:val="24"/>
        </w:rPr>
      </w:pPr>
      <w:r>
        <w:rPr>
          <w:rFonts w:asciiTheme="majorBidi" w:hAnsiTheme="majorBidi" w:eastAsiaTheme="minorEastAsia" w:cstheme="majorBidi"/>
          <w:b/>
          <w:bCs/>
          <w:szCs w:val="24"/>
        </w:rPr>
        <w:t>1</w:t>
      </w:r>
      <w:r>
        <w:rPr>
          <w:rFonts w:asciiTheme="majorBidi" w:hAnsiTheme="majorBidi" w:eastAsiaTheme="minorEastAsia" w:cstheme="majorBidi"/>
          <w:szCs w:val="24"/>
        </w:rPr>
        <w:t xml:space="preserve">  底泥处理厂应优先选择在河道、湖泊清淤区域周边未经使用的空地或荒地，缩短清淤区域与处理厂之间的输送距离，减少或避免输泥管经过多级加压输送，提高清淤效率，控制输送投资。但在经济发达或较好城市存在土地资源紧张，难以在河道、湖泊清淤区域周边找到合适区域建厂，当厂址不可避免选择在远离河道、湖泊清淤区域时，需要对清淤底泥输送进行设计，选择经济、可靠地输送方案。</w:t>
      </w:r>
    </w:p>
    <w:p>
      <w:pPr>
        <w:ind w:firstLine="561"/>
        <w:rPr>
          <w:rFonts w:asciiTheme="majorBidi" w:hAnsiTheme="majorBidi" w:eastAsiaTheme="minorEastAsia" w:cstheme="majorBidi"/>
          <w:szCs w:val="24"/>
        </w:rPr>
      </w:pPr>
      <w:r>
        <w:rPr>
          <w:rFonts w:hint="eastAsia" w:asciiTheme="majorBidi" w:hAnsiTheme="majorBidi" w:eastAsiaTheme="minorEastAsia" w:cstheme="majorBidi"/>
          <w:b/>
          <w:bCs/>
          <w:szCs w:val="24"/>
        </w:rPr>
        <w:t>2</w:t>
      </w:r>
      <w:r>
        <w:rPr>
          <w:rFonts w:asciiTheme="majorBidi" w:hAnsiTheme="majorBidi" w:eastAsiaTheme="minorEastAsia" w:cstheme="majorBidi"/>
          <w:b/>
          <w:bCs/>
          <w:szCs w:val="24"/>
        </w:rPr>
        <w:t xml:space="preserve"> </w:t>
      </w:r>
      <w:r>
        <w:rPr>
          <w:rFonts w:hint="eastAsia" w:asciiTheme="majorBidi" w:hAnsiTheme="majorBidi" w:eastAsiaTheme="minorEastAsia" w:cstheme="majorBidi"/>
          <w:b/>
          <w:bCs/>
          <w:szCs w:val="24"/>
        </w:rPr>
        <w:t xml:space="preserve"> </w:t>
      </w:r>
      <w:r>
        <w:rPr>
          <w:rFonts w:hint="eastAsia" w:asciiTheme="majorBidi" w:hAnsiTheme="majorBidi" w:eastAsiaTheme="minorEastAsia" w:cstheme="majorBidi"/>
          <w:szCs w:val="24"/>
        </w:rPr>
        <w:t>底泥</w:t>
      </w:r>
      <w:r>
        <w:rPr>
          <w:rFonts w:asciiTheme="majorBidi" w:hAnsiTheme="majorBidi" w:eastAsiaTheme="minorEastAsia" w:cstheme="majorBidi"/>
          <w:szCs w:val="24"/>
        </w:rPr>
        <w:t>处理厂各处理单元中清淤泥浆采用重力流方式输送，因此处理厂宜优先选择在地形条件较为平整的区域，避免地势高低起伏的区域。</w:t>
      </w:r>
    </w:p>
    <w:p>
      <w:pPr>
        <w:ind w:firstLine="561"/>
        <w:rPr>
          <w:rFonts w:asciiTheme="majorBidi" w:hAnsiTheme="majorBidi" w:eastAsiaTheme="minorEastAsia" w:cstheme="majorBidi"/>
          <w:szCs w:val="24"/>
        </w:rPr>
      </w:pPr>
      <w:r>
        <w:rPr>
          <w:rFonts w:asciiTheme="majorBidi" w:hAnsiTheme="majorBidi" w:eastAsiaTheme="minorEastAsia" w:cstheme="majorBidi"/>
          <w:szCs w:val="24"/>
        </w:rPr>
        <w:t>厂址地质要求能够满足建筑物的承载力要求和一定的防渗要求，因此宜优先选用地质条件良好的天然地基，最好选用新鲜完整的岩石地基，或承载力大、压缩性低、抗渗稳定性好的土质地基。如果不可避免选择在地质条件不好的天然地基，需采用经济、可靠的地基处理方式。</w:t>
      </w:r>
    </w:p>
    <w:p>
      <w:pPr>
        <w:ind w:firstLine="561"/>
        <w:rPr>
          <w:rFonts w:asciiTheme="majorBidi" w:hAnsiTheme="majorBidi" w:eastAsiaTheme="minorEastAsia" w:cstheme="majorBidi"/>
          <w:szCs w:val="24"/>
        </w:rPr>
      </w:pPr>
      <w:r>
        <w:rPr>
          <w:rFonts w:asciiTheme="majorBidi" w:hAnsiTheme="majorBidi" w:eastAsiaTheme="minorEastAsia" w:cstheme="majorBidi"/>
          <w:szCs w:val="24"/>
        </w:rPr>
        <w:t>厂址选择应考虑处理厂的余土、余砂和垃圾对外的运送条件，从经济角度考虑，宜优先选择在对外交通便利、运距合理的区域。</w:t>
      </w:r>
    </w:p>
    <w:p>
      <w:pPr>
        <w:ind w:firstLine="561"/>
        <w:rPr>
          <w:rFonts w:asciiTheme="majorBidi" w:hAnsiTheme="majorBidi" w:eastAsiaTheme="minorEastAsia" w:cstheme="majorBidi"/>
          <w:szCs w:val="24"/>
        </w:rPr>
      </w:pPr>
      <w:r>
        <w:rPr>
          <w:rFonts w:asciiTheme="majorBidi" w:hAnsiTheme="majorBidi" w:eastAsiaTheme="minorEastAsia" w:cstheme="majorBidi"/>
          <w:szCs w:val="24"/>
        </w:rPr>
        <w:t>处理厂运行过程中存在散发气味、黑臭底泥视觉效果差的风险，宜优先选择在对周围环境影响小的区域，防止或避免出现二次污染。</w:t>
      </w:r>
    </w:p>
    <w:p>
      <w:pPr>
        <w:ind w:firstLine="561"/>
        <w:rPr>
          <w:rFonts w:asciiTheme="majorBidi" w:hAnsiTheme="majorBidi" w:eastAsiaTheme="minorEastAsia" w:cstheme="majorBidi"/>
          <w:szCs w:val="24"/>
        </w:rPr>
      </w:pPr>
      <w:r>
        <w:rPr>
          <w:rFonts w:hint="eastAsia" w:asciiTheme="majorBidi" w:hAnsiTheme="majorBidi" w:eastAsiaTheme="minorEastAsia" w:cstheme="majorBidi"/>
          <w:b/>
          <w:bCs/>
          <w:szCs w:val="24"/>
        </w:rPr>
        <w:t xml:space="preserve">3 </w:t>
      </w:r>
      <w:r>
        <w:rPr>
          <w:rFonts w:asciiTheme="majorBidi" w:hAnsiTheme="majorBidi" w:eastAsiaTheme="minorEastAsia" w:cstheme="majorBidi"/>
          <w:b/>
          <w:bCs/>
          <w:szCs w:val="24"/>
        </w:rPr>
        <w:t xml:space="preserve"> </w:t>
      </w:r>
      <w:r>
        <w:rPr>
          <w:rFonts w:asciiTheme="majorBidi" w:hAnsiTheme="majorBidi" w:eastAsiaTheme="minorEastAsia" w:cstheme="majorBidi"/>
          <w:szCs w:val="24"/>
        </w:rPr>
        <w:t>随着我国城市经济的发展，城市土地价值升高，为降低处理厂投资，厂址宜优先选择在土地利用价值低和征地费用低的区域。</w:t>
      </w:r>
    </w:p>
    <w:p>
      <w:pPr>
        <w:ind w:firstLine="561"/>
        <w:rPr>
          <w:rFonts w:asciiTheme="majorBidi" w:hAnsiTheme="majorBidi" w:eastAsiaTheme="minorEastAsia" w:cstheme="majorBidi"/>
          <w:szCs w:val="24"/>
        </w:rPr>
      </w:pPr>
      <w:r>
        <w:rPr>
          <w:rFonts w:hint="eastAsia" w:asciiTheme="majorBidi" w:hAnsiTheme="majorBidi" w:eastAsiaTheme="minorEastAsia" w:cstheme="majorBidi"/>
          <w:b/>
          <w:bCs/>
          <w:szCs w:val="24"/>
        </w:rPr>
        <w:t xml:space="preserve">4 </w:t>
      </w:r>
      <w:r>
        <w:rPr>
          <w:rFonts w:asciiTheme="majorBidi" w:hAnsiTheme="majorBidi" w:eastAsiaTheme="minorEastAsia" w:cstheme="majorBidi"/>
          <w:b/>
          <w:bCs/>
          <w:szCs w:val="24"/>
        </w:rPr>
        <w:t xml:space="preserve"> </w:t>
      </w:r>
      <w:r>
        <w:rPr>
          <w:rFonts w:hint="eastAsia" w:asciiTheme="majorBidi" w:hAnsiTheme="majorBidi" w:eastAsiaTheme="minorEastAsia" w:cstheme="majorBidi"/>
          <w:szCs w:val="24"/>
        </w:rPr>
        <w:t>底泥</w:t>
      </w:r>
      <w:r>
        <w:rPr>
          <w:rFonts w:asciiTheme="majorBidi" w:hAnsiTheme="majorBidi" w:eastAsiaTheme="minorEastAsia" w:cstheme="majorBidi"/>
          <w:szCs w:val="24"/>
        </w:rPr>
        <w:t>处理厂应与工业区和居住区有一定的防护距离，控制距离</w:t>
      </w:r>
      <w:r>
        <w:rPr>
          <w:rFonts w:hint="eastAsia" w:asciiTheme="majorBidi" w:hAnsiTheme="majorBidi" w:eastAsiaTheme="minorEastAsia" w:cstheme="majorBidi"/>
          <w:szCs w:val="24"/>
        </w:rPr>
        <w:t>应</w:t>
      </w:r>
      <w:r>
        <w:rPr>
          <w:rFonts w:asciiTheme="majorBidi" w:hAnsiTheme="majorBidi" w:eastAsiaTheme="minorEastAsia" w:cstheme="majorBidi"/>
          <w:szCs w:val="24"/>
        </w:rPr>
        <w:t>根据环境评价确定。</w:t>
      </w:r>
    </w:p>
    <w:p>
      <w:pPr>
        <w:pStyle w:val="3"/>
        <w:spacing w:line="560" w:lineRule="exact"/>
        <w:rPr>
          <w:szCs w:val="28"/>
        </w:rPr>
      </w:pPr>
      <w:bookmarkStart w:id="266" w:name="_Toc21937669"/>
      <w:bookmarkStart w:id="267" w:name="_Toc21954813"/>
      <w:bookmarkStart w:id="268" w:name="_Toc22906472"/>
      <w:bookmarkStart w:id="269" w:name="_Toc22906668"/>
      <w:bookmarkStart w:id="270" w:name="_Toc27657124"/>
      <w:bookmarkStart w:id="271" w:name="_Toc36629582"/>
      <w:bookmarkStart w:id="272" w:name="_Toc36629937"/>
      <w:bookmarkStart w:id="273" w:name="_Toc37843302"/>
      <w:r>
        <w:rPr>
          <w:rFonts w:hint="eastAsia"/>
          <w:szCs w:val="28"/>
        </w:rPr>
        <w:t>7</w:t>
      </w:r>
      <w:r>
        <w:rPr>
          <w:szCs w:val="28"/>
        </w:rPr>
        <w:t xml:space="preserve">.4  </w:t>
      </w:r>
      <w:r>
        <w:rPr>
          <w:rFonts w:hint="eastAsia"/>
          <w:szCs w:val="28"/>
        </w:rPr>
        <w:t>工艺及生产系统</w:t>
      </w:r>
      <w:bookmarkEnd w:id="266"/>
      <w:bookmarkEnd w:id="267"/>
      <w:bookmarkEnd w:id="268"/>
      <w:bookmarkEnd w:id="269"/>
      <w:bookmarkEnd w:id="270"/>
      <w:bookmarkEnd w:id="271"/>
      <w:bookmarkEnd w:id="272"/>
      <w:bookmarkEnd w:id="273"/>
    </w:p>
    <w:p>
      <w:pPr>
        <w:rPr>
          <w:szCs w:val="24"/>
        </w:rPr>
      </w:pPr>
      <w:r>
        <w:rPr>
          <w:rFonts w:hint="eastAsia"/>
          <w:b/>
          <w:bCs/>
          <w:szCs w:val="24"/>
        </w:rPr>
        <w:t>7</w:t>
      </w:r>
      <w:r>
        <w:rPr>
          <w:b/>
          <w:bCs/>
          <w:szCs w:val="24"/>
        </w:rPr>
        <w:t>.4.3</w:t>
      </w:r>
      <w:r>
        <w:rPr>
          <w:rFonts w:hint="eastAsia"/>
          <w:b/>
          <w:bCs/>
          <w:szCs w:val="24"/>
        </w:rPr>
        <w:t xml:space="preserve"> </w:t>
      </w:r>
      <w:r>
        <w:rPr>
          <w:b/>
          <w:bCs/>
          <w:szCs w:val="24"/>
        </w:rPr>
        <w:t xml:space="preserve"> </w:t>
      </w:r>
      <w:r>
        <w:rPr>
          <w:rFonts w:hint="eastAsia"/>
          <w:szCs w:val="24"/>
        </w:rPr>
        <w:t>主要生产系统。</w:t>
      </w:r>
    </w:p>
    <w:p>
      <w:pPr>
        <w:ind w:firstLine="480" w:firstLineChars="200"/>
        <w:rPr>
          <w:rFonts w:asciiTheme="majorBidi" w:hAnsiTheme="majorBidi" w:eastAsiaTheme="minorEastAsia" w:cstheme="majorBidi"/>
          <w:szCs w:val="24"/>
        </w:rPr>
      </w:pPr>
      <w:r>
        <w:rPr>
          <w:rFonts w:asciiTheme="majorBidi" w:hAnsiTheme="majorBidi" w:eastAsiaTheme="minorEastAsia" w:cstheme="majorBidi"/>
          <w:szCs w:val="24"/>
        </w:rPr>
        <w:t>常用的调理浓缩药物有PAM、铁铝盐等絮凝剂或助凝剂。浓缩方式的选择应根据工程规模、运行周期、颗粒粒径、处理效率、占地面积等因素进行选择。泥浆调理设备及工艺应根据添加调理调质材料类型、使用方法和顺序、均拌方式、停留时间等选择。</w:t>
      </w:r>
    </w:p>
    <w:p>
      <w:pPr>
        <w:pStyle w:val="3"/>
        <w:spacing w:line="560" w:lineRule="exact"/>
        <w:rPr>
          <w:rFonts w:asciiTheme="majorBidi" w:hAnsiTheme="majorBidi"/>
          <w:szCs w:val="28"/>
        </w:rPr>
      </w:pPr>
      <w:bookmarkStart w:id="274" w:name="_Toc21937670"/>
      <w:bookmarkStart w:id="275" w:name="_Toc21954814"/>
      <w:bookmarkStart w:id="276" w:name="_Toc22906473"/>
      <w:bookmarkStart w:id="277" w:name="_Toc22906669"/>
      <w:bookmarkStart w:id="278" w:name="_Toc27657125"/>
      <w:bookmarkStart w:id="279" w:name="_Toc36629583"/>
      <w:bookmarkStart w:id="280" w:name="_Toc36629938"/>
      <w:bookmarkStart w:id="281" w:name="_Toc37843303"/>
      <w:r>
        <w:rPr>
          <w:rFonts w:asciiTheme="majorBidi" w:hAnsiTheme="majorBidi"/>
          <w:szCs w:val="28"/>
        </w:rPr>
        <w:t>7.5  辅助配套设施</w:t>
      </w:r>
      <w:bookmarkEnd w:id="274"/>
      <w:bookmarkEnd w:id="275"/>
      <w:bookmarkEnd w:id="276"/>
      <w:bookmarkEnd w:id="277"/>
      <w:bookmarkEnd w:id="278"/>
      <w:bookmarkEnd w:id="279"/>
      <w:bookmarkEnd w:id="280"/>
      <w:bookmarkEnd w:id="281"/>
    </w:p>
    <w:p>
      <w:pPr>
        <w:rPr>
          <w:rFonts w:asciiTheme="majorBidi" w:hAnsiTheme="majorBidi" w:eastAsiaTheme="minorEastAsia" w:cstheme="majorBidi"/>
          <w:szCs w:val="24"/>
        </w:rPr>
      </w:pPr>
      <w:r>
        <w:rPr>
          <w:rFonts w:asciiTheme="majorBidi" w:hAnsiTheme="majorBidi" w:eastAsiaTheme="minorEastAsia" w:cstheme="majorBidi"/>
          <w:b/>
          <w:bCs/>
          <w:szCs w:val="24"/>
        </w:rPr>
        <w:t xml:space="preserve">7.5.1 </w:t>
      </w:r>
      <w:r>
        <w:rPr>
          <w:rFonts w:asciiTheme="majorBidi" w:hAnsiTheme="majorBidi" w:eastAsiaTheme="minorEastAsia" w:cstheme="majorBidi"/>
          <w:szCs w:val="24"/>
        </w:rPr>
        <w:t xml:space="preserve"> 底泥处理厂对供电可靠性要求不高，因此按三级用电负荷设计可以满足要求。</w:t>
      </w:r>
    </w:p>
    <w:p>
      <w:pPr>
        <w:rPr>
          <w:rFonts w:asciiTheme="majorBidi" w:hAnsiTheme="majorBidi" w:eastAsiaTheme="minorEastAsia" w:cstheme="majorBidi"/>
          <w:szCs w:val="24"/>
        </w:rPr>
      </w:pPr>
      <w:r>
        <w:rPr>
          <w:rFonts w:asciiTheme="majorBidi" w:hAnsiTheme="majorBidi" w:eastAsiaTheme="minorEastAsia" w:cstheme="majorBidi"/>
          <w:b/>
          <w:bCs/>
          <w:szCs w:val="24"/>
        </w:rPr>
        <w:t xml:space="preserve">7.5.2 </w:t>
      </w:r>
      <w:r>
        <w:rPr>
          <w:rFonts w:asciiTheme="majorBidi" w:hAnsiTheme="majorBidi" w:eastAsiaTheme="minorEastAsia" w:cstheme="majorBidi"/>
          <w:szCs w:val="24"/>
        </w:rPr>
        <w:t xml:space="preserve"> 本条规定底泥处理厂生活用水、辅助生产、厂区绿化和消防用水的来源。底泥处理厂生活用水应根据当地供水条件确定，附近已有市政供水管网的，有限使用市政供水；当附近无市政供水管网时，可取用地下水或其他水源；个别饮用水尚未达到国家生活饮用水标准的地区，底泥处理厂的生活饮用水标准可保持与该地区同等水平。</w:t>
      </w:r>
    </w:p>
    <w:p>
      <w:pPr>
        <w:pStyle w:val="3"/>
        <w:spacing w:line="560" w:lineRule="exact"/>
        <w:rPr>
          <w:sz w:val="30"/>
          <w:szCs w:val="30"/>
        </w:rPr>
      </w:pPr>
      <w:bookmarkStart w:id="282" w:name="_Toc21937671"/>
      <w:bookmarkStart w:id="283" w:name="_Toc21954815"/>
      <w:bookmarkStart w:id="284" w:name="_Toc22906474"/>
      <w:bookmarkStart w:id="285" w:name="_Toc22906670"/>
      <w:bookmarkStart w:id="286" w:name="_Toc27657126"/>
      <w:bookmarkStart w:id="287" w:name="_Toc36629584"/>
      <w:bookmarkStart w:id="288" w:name="_Toc36629939"/>
      <w:bookmarkStart w:id="289" w:name="_Toc37843304"/>
      <w:r>
        <w:rPr>
          <w:rFonts w:hint="eastAsia"/>
          <w:szCs w:val="28"/>
        </w:rPr>
        <w:t>7</w:t>
      </w:r>
      <w:r>
        <w:rPr>
          <w:szCs w:val="28"/>
        </w:rPr>
        <w:t xml:space="preserve">.6  </w:t>
      </w:r>
      <w:r>
        <w:rPr>
          <w:rFonts w:hint="eastAsia"/>
          <w:szCs w:val="28"/>
        </w:rPr>
        <w:t>土建工程及建设用地</w:t>
      </w:r>
      <w:bookmarkEnd w:id="282"/>
      <w:bookmarkEnd w:id="283"/>
      <w:bookmarkEnd w:id="284"/>
      <w:bookmarkEnd w:id="285"/>
      <w:bookmarkEnd w:id="286"/>
      <w:bookmarkEnd w:id="287"/>
      <w:bookmarkEnd w:id="288"/>
      <w:bookmarkEnd w:id="289"/>
    </w:p>
    <w:p>
      <w:pPr>
        <w:rPr>
          <w:rFonts w:asciiTheme="majorBidi" w:hAnsiTheme="majorBidi" w:eastAsiaTheme="minorEastAsia" w:cstheme="majorBidi"/>
          <w:szCs w:val="24"/>
        </w:rPr>
      </w:pPr>
      <w:r>
        <w:rPr>
          <w:rFonts w:asciiTheme="majorBidi" w:hAnsiTheme="majorBidi" w:eastAsiaTheme="minorEastAsia" w:cstheme="majorBidi"/>
          <w:b/>
          <w:bCs/>
          <w:szCs w:val="24"/>
        </w:rPr>
        <w:t xml:space="preserve">7.6.1 </w:t>
      </w:r>
      <w:r>
        <w:rPr>
          <w:rFonts w:asciiTheme="majorBidi" w:hAnsiTheme="majorBidi" w:eastAsiaTheme="minorEastAsia" w:cstheme="majorBidi"/>
          <w:szCs w:val="24"/>
        </w:rPr>
        <w:t xml:space="preserve"> 本条提出底泥处理厂土建工程建设的总原则。在满足使用功能的条件下，要安全实用、经济合理。</w:t>
      </w:r>
    </w:p>
    <w:p>
      <w:pPr>
        <w:rPr>
          <w:rFonts w:asciiTheme="majorBidi" w:hAnsiTheme="majorBidi" w:eastAsiaTheme="minorEastAsia" w:cstheme="majorBidi"/>
          <w:szCs w:val="24"/>
        </w:rPr>
      </w:pPr>
      <w:r>
        <w:rPr>
          <w:rFonts w:asciiTheme="majorBidi" w:hAnsiTheme="majorBidi" w:eastAsiaTheme="minorEastAsia" w:cstheme="majorBidi"/>
          <w:b/>
          <w:bCs/>
          <w:szCs w:val="24"/>
        </w:rPr>
        <w:t>7.6.2</w:t>
      </w:r>
      <w:r>
        <w:rPr>
          <w:rFonts w:asciiTheme="majorBidi" w:hAnsiTheme="majorBidi" w:eastAsiaTheme="minorEastAsia" w:cstheme="majorBidi"/>
          <w:szCs w:val="24"/>
        </w:rPr>
        <w:t xml:space="preserve">  目前国内</w:t>
      </w:r>
      <w:r>
        <w:rPr>
          <w:rFonts w:hint="eastAsia" w:asciiTheme="majorBidi" w:hAnsiTheme="majorBidi" w:eastAsiaTheme="minorEastAsia" w:cstheme="majorBidi"/>
          <w:szCs w:val="24"/>
        </w:rPr>
        <w:t>底泥</w:t>
      </w:r>
      <w:r>
        <w:rPr>
          <w:rFonts w:asciiTheme="majorBidi" w:hAnsiTheme="majorBidi" w:eastAsiaTheme="minorEastAsia" w:cstheme="majorBidi"/>
          <w:szCs w:val="24"/>
        </w:rPr>
        <w:t>处理厂建设不多，功能相似的</w:t>
      </w:r>
      <w:r>
        <w:rPr>
          <w:rFonts w:hint="eastAsia" w:asciiTheme="majorBidi" w:hAnsiTheme="majorBidi" w:eastAsiaTheme="minorEastAsia" w:cstheme="majorBidi"/>
          <w:szCs w:val="24"/>
        </w:rPr>
        <w:t>底泥</w:t>
      </w:r>
      <w:r>
        <w:rPr>
          <w:rFonts w:asciiTheme="majorBidi" w:hAnsiTheme="majorBidi" w:eastAsiaTheme="minorEastAsia" w:cstheme="majorBidi"/>
          <w:szCs w:val="24"/>
        </w:rPr>
        <w:t>处理厂的占地面积由于规模、城市地理位置、工程任务的不同而不同。本条是厂区总平面布置的原则，生产设施、管理和生活服务设施建筑，在满足使用功能和安全生产的条件下均宜集中布置，其建设面积应当本着合理设置、节约投资的原则确定。</w:t>
      </w:r>
    </w:p>
    <w:p>
      <w:pPr>
        <w:rPr>
          <w:rFonts w:asciiTheme="majorBidi" w:hAnsiTheme="majorBidi" w:eastAsiaTheme="minorEastAsia" w:cstheme="majorBidi"/>
          <w:szCs w:val="24"/>
        </w:rPr>
      </w:pPr>
      <w:r>
        <w:rPr>
          <w:rFonts w:asciiTheme="majorBidi" w:hAnsiTheme="majorBidi" w:eastAsiaTheme="minorEastAsia" w:cstheme="majorBidi"/>
          <w:b/>
          <w:bCs/>
          <w:szCs w:val="24"/>
        </w:rPr>
        <w:t>7.6.3</w:t>
      </w:r>
      <w:r>
        <w:rPr>
          <w:rFonts w:asciiTheme="majorBidi" w:hAnsiTheme="majorBidi" w:eastAsiaTheme="minorEastAsia" w:cstheme="majorBidi"/>
          <w:szCs w:val="24"/>
        </w:rPr>
        <w:t xml:space="preserve">  本条是关于厂区建（构）筑物设计的原则。</w:t>
      </w:r>
    </w:p>
    <w:p>
      <w:pPr>
        <w:rPr>
          <w:rFonts w:asciiTheme="majorBidi" w:hAnsiTheme="majorBidi" w:eastAsiaTheme="minorEastAsia" w:cstheme="majorBidi"/>
          <w:szCs w:val="24"/>
        </w:rPr>
      </w:pPr>
      <w:r>
        <w:rPr>
          <w:rFonts w:asciiTheme="majorBidi" w:hAnsiTheme="majorBidi" w:eastAsiaTheme="minorEastAsia" w:cstheme="majorBidi"/>
          <w:b/>
          <w:bCs/>
          <w:szCs w:val="24"/>
        </w:rPr>
        <w:t>7.6.4</w:t>
      </w:r>
      <w:r>
        <w:rPr>
          <w:rFonts w:asciiTheme="majorBidi" w:hAnsiTheme="majorBidi" w:eastAsiaTheme="minorEastAsia" w:cstheme="majorBidi"/>
          <w:szCs w:val="24"/>
        </w:rPr>
        <w:t xml:space="preserve">  本条提出的底泥处理厂定员人数、管理和生活设施建设面积指标为参考指标，不作为控制性指标。</w:t>
      </w:r>
    </w:p>
    <w:p>
      <w:pPr>
        <w:rPr>
          <w:rFonts w:asciiTheme="majorBidi" w:hAnsiTheme="majorBidi" w:eastAsiaTheme="minorEastAsia" w:cstheme="majorBidi"/>
          <w:szCs w:val="24"/>
        </w:rPr>
      </w:pPr>
      <w:r>
        <w:rPr>
          <w:rFonts w:asciiTheme="majorBidi" w:hAnsiTheme="majorBidi" w:eastAsiaTheme="minorEastAsia" w:cstheme="majorBidi"/>
          <w:b/>
          <w:bCs/>
          <w:szCs w:val="24"/>
        </w:rPr>
        <w:t xml:space="preserve">7.6.5 </w:t>
      </w:r>
      <w:r>
        <w:rPr>
          <w:rFonts w:asciiTheme="majorBidi" w:hAnsiTheme="majorBidi" w:eastAsiaTheme="minorEastAsia" w:cstheme="majorBidi"/>
          <w:szCs w:val="24"/>
        </w:rPr>
        <w:t xml:space="preserve"> 本条规定了底泥处理厂工程建设的土地使用及征用的原则。土地是国家不可再生的资源，因此底泥处理厂要严格执行国家对土地管理的有关规定，科学合理地使用土地，解决好近期、远期土地使用的关系，提高土地利用率。</w:t>
      </w:r>
    </w:p>
    <w:p>
      <w:pPr>
        <w:pStyle w:val="3"/>
        <w:spacing w:line="560" w:lineRule="exact"/>
        <w:rPr>
          <w:rFonts w:asciiTheme="majorBidi" w:hAnsiTheme="majorBidi"/>
          <w:szCs w:val="28"/>
        </w:rPr>
      </w:pPr>
      <w:bookmarkStart w:id="290" w:name="_Toc21937672"/>
      <w:bookmarkStart w:id="291" w:name="_Toc21954816"/>
      <w:bookmarkStart w:id="292" w:name="_Toc22906475"/>
      <w:bookmarkStart w:id="293" w:name="_Toc22906671"/>
      <w:bookmarkStart w:id="294" w:name="_Toc27657127"/>
      <w:bookmarkStart w:id="295" w:name="_Toc36629585"/>
      <w:bookmarkStart w:id="296" w:name="_Toc36629940"/>
      <w:bookmarkStart w:id="297" w:name="_Toc37843305"/>
      <w:r>
        <w:rPr>
          <w:rFonts w:asciiTheme="majorBidi" w:hAnsiTheme="majorBidi"/>
          <w:szCs w:val="28"/>
        </w:rPr>
        <w:t>7.7  环境保护与水土保持</w:t>
      </w:r>
      <w:bookmarkEnd w:id="290"/>
      <w:bookmarkEnd w:id="291"/>
      <w:bookmarkEnd w:id="292"/>
      <w:bookmarkEnd w:id="293"/>
      <w:bookmarkEnd w:id="294"/>
      <w:bookmarkEnd w:id="295"/>
      <w:bookmarkEnd w:id="296"/>
      <w:bookmarkEnd w:id="297"/>
    </w:p>
    <w:p>
      <w:pPr>
        <w:rPr>
          <w:rFonts w:asciiTheme="majorBidi" w:hAnsiTheme="majorBidi" w:eastAsiaTheme="minorEastAsia" w:cstheme="majorBidi"/>
          <w:szCs w:val="24"/>
        </w:rPr>
      </w:pPr>
      <w:r>
        <w:rPr>
          <w:rFonts w:asciiTheme="majorBidi" w:hAnsiTheme="majorBidi" w:eastAsiaTheme="minorEastAsia" w:cstheme="majorBidi"/>
          <w:b/>
          <w:bCs/>
          <w:szCs w:val="24"/>
        </w:rPr>
        <w:t>7.7.1</w:t>
      </w:r>
      <w:r>
        <w:rPr>
          <w:rFonts w:asciiTheme="majorBidi" w:hAnsiTheme="majorBidi" w:eastAsiaTheme="minorEastAsia" w:cstheme="majorBidi"/>
          <w:szCs w:val="24"/>
        </w:rPr>
        <w:t xml:space="preserve">  底泥处理厂建设和运行中噪声主要来自施工机械和生产机械，尽量选用噪声符合国家现行有关标准的机械设备。当</w:t>
      </w:r>
      <w:r>
        <w:rPr>
          <w:rFonts w:hint="eastAsia" w:asciiTheme="majorBidi" w:hAnsiTheme="majorBidi" w:eastAsiaTheme="minorEastAsia" w:cstheme="majorBidi"/>
          <w:szCs w:val="24"/>
        </w:rPr>
        <w:t>底泥</w:t>
      </w:r>
      <w:r>
        <w:rPr>
          <w:rFonts w:asciiTheme="majorBidi" w:hAnsiTheme="majorBidi" w:eastAsiaTheme="minorEastAsia" w:cstheme="majorBidi"/>
          <w:szCs w:val="24"/>
        </w:rPr>
        <w:t>处理厂内机械所产生的噪声超过GB 12348的规定时，应采取降噪、防噪措施。</w:t>
      </w:r>
    </w:p>
    <w:p>
      <w:pPr>
        <w:rPr>
          <w:rFonts w:asciiTheme="majorBidi" w:hAnsiTheme="majorBidi" w:eastAsiaTheme="minorEastAsia" w:cstheme="majorBidi"/>
          <w:szCs w:val="24"/>
        </w:rPr>
      </w:pPr>
      <w:r>
        <w:rPr>
          <w:rFonts w:asciiTheme="majorBidi" w:hAnsiTheme="majorBidi" w:eastAsiaTheme="minorEastAsia" w:cstheme="majorBidi"/>
          <w:b/>
          <w:bCs/>
          <w:szCs w:val="24"/>
        </w:rPr>
        <w:t>7.7.2</w:t>
      </w:r>
      <w:r>
        <w:rPr>
          <w:rFonts w:asciiTheme="majorBidi" w:hAnsiTheme="majorBidi" w:eastAsiaTheme="minorEastAsia" w:cstheme="majorBidi"/>
          <w:szCs w:val="24"/>
        </w:rPr>
        <w:t xml:space="preserve">  底泥处理厂生产余土、余砂、余水等尚无现行适用标准，余土、余砂处置和余水排放，推荐根据现行法律、法规、标准等制定地方标准，优先执行。</w:t>
      </w:r>
    </w:p>
    <w:p>
      <w:pPr>
        <w:rPr>
          <w:rFonts w:asciiTheme="majorBidi" w:hAnsiTheme="majorBidi" w:eastAsiaTheme="minorEastAsia" w:cstheme="majorBidi"/>
          <w:szCs w:val="24"/>
        </w:rPr>
      </w:pPr>
      <w:r>
        <w:rPr>
          <w:rFonts w:asciiTheme="majorBidi" w:hAnsiTheme="majorBidi" w:eastAsiaTheme="minorEastAsia" w:cstheme="majorBidi"/>
          <w:b/>
          <w:bCs/>
          <w:szCs w:val="24"/>
        </w:rPr>
        <w:t>7.7.3</w:t>
      </w:r>
      <w:r>
        <w:rPr>
          <w:rFonts w:asciiTheme="majorBidi" w:hAnsiTheme="majorBidi" w:eastAsiaTheme="minorEastAsia" w:cstheme="majorBidi"/>
          <w:szCs w:val="24"/>
        </w:rPr>
        <w:t xml:space="preserve">  底泥处理厂工程建设和运行中产生的固体废弃物、垃圾处置途径不同，需按相应的处置标准对待，如固体废弃物运送至相应的固体废物填埋场，垃圾则运送至相应的填埋场或垃圾焚烧厂。</w:t>
      </w:r>
    </w:p>
    <w:p>
      <w:pPr>
        <w:rPr>
          <w:rFonts w:asciiTheme="majorBidi" w:hAnsiTheme="majorBidi" w:eastAsiaTheme="minorEastAsia" w:cstheme="majorBidi"/>
          <w:szCs w:val="24"/>
        </w:rPr>
      </w:pPr>
      <w:r>
        <w:rPr>
          <w:rFonts w:asciiTheme="majorBidi" w:hAnsiTheme="majorBidi" w:eastAsiaTheme="minorEastAsia" w:cstheme="majorBidi"/>
          <w:b/>
          <w:bCs/>
          <w:szCs w:val="24"/>
        </w:rPr>
        <w:t>7.7.4</w:t>
      </w:r>
      <w:r>
        <w:rPr>
          <w:rFonts w:asciiTheme="majorBidi" w:hAnsiTheme="majorBidi" w:eastAsiaTheme="minorEastAsia" w:cstheme="majorBidi"/>
          <w:szCs w:val="24"/>
        </w:rPr>
        <w:t xml:space="preserve">  底泥处理厂建设和运行中对厂区道路应定期清扫和洒水，对</w:t>
      </w:r>
      <w:r>
        <w:rPr>
          <w:rFonts w:hint="eastAsia" w:asciiTheme="majorBidi" w:hAnsiTheme="majorBidi" w:eastAsiaTheme="minorEastAsia" w:cstheme="majorBidi"/>
          <w:szCs w:val="24"/>
        </w:rPr>
        <w:t>底泥</w:t>
      </w:r>
      <w:r>
        <w:rPr>
          <w:rFonts w:asciiTheme="majorBidi" w:hAnsiTheme="majorBidi" w:eastAsiaTheme="minorEastAsia" w:cstheme="majorBidi"/>
          <w:szCs w:val="24"/>
        </w:rPr>
        <w:t>处理厂产生的固体废弃物或垃圾应及时外运或覆盖，减少垃圾暴露的时间。</w:t>
      </w:r>
    </w:p>
    <w:p>
      <w:pPr>
        <w:ind w:firstLine="480"/>
        <w:rPr>
          <w:rFonts w:asciiTheme="majorBidi" w:hAnsiTheme="majorBidi" w:eastAsiaTheme="minorEastAsia" w:cstheme="majorBidi"/>
          <w:szCs w:val="24"/>
        </w:rPr>
      </w:pPr>
    </w:p>
    <w:bookmarkEnd w:id="238"/>
    <w:bookmarkEnd w:id="239"/>
    <w:bookmarkEnd w:id="240"/>
    <w:bookmarkEnd w:id="241"/>
    <w:p>
      <w:pPr>
        <w:pStyle w:val="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Calibri Light">
    <w:panose1 w:val="020F0302020204030204"/>
    <w:charset w:val="00"/>
    <w:family w:val="swiss"/>
    <w:pitch w:val="default"/>
    <w:sig w:usb0="A00002EF" w:usb1="4000207B"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PMingLiU">
    <w:panose1 w:val="02020500000000000000"/>
    <w:charset w:val="88"/>
    <w:family w:val="roman"/>
    <w:pitch w:val="default"/>
    <w:sig w:usb0="A00002FF" w:usb1="28CFFCFA" w:usb2="00000016" w:usb3="00000000" w:csb0="00100001" w:csb1="00000000"/>
  </w:font>
  <w:font w:name="等线">
    <w:altName w:val="微软雅黑"/>
    <w:panose1 w:val="00000000000000000000"/>
    <w:charset w:val="86"/>
    <w:family w:val="auto"/>
    <w:pitch w:val="default"/>
    <w:sig w:usb0="00000000" w:usb1="00000000" w:usb2="00000016" w:usb3="00000000" w:csb0="0004000F" w:csb1="00000000"/>
  </w:font>
  <w:font w:name="Book Antiqua">
    <w:altName w:val="Segoe Print"/>
    <w:panose1 w:val="02040602050305030304"/>
    <w:charset w:val="00"/>
    <w:family w:val="roman"/>
    <w:pitch w:val="default"/>
    <w:sig w:usb0="00000000" w:usb1="00000000" w:usb2="00000000" w:usb3="00000000" w:csb0="0000009F" w:csb1="00000000"/>
  </w:font>
  <w:font w:name="MingLiU">
    <w:panose1 w:val="02020509000000000000"/>
    <w:charset w:val="88"/>
    <w:family w:val="modern"/>
    <w:pitch w:val="default"/>
    <w:sig w:usb0="A00002FF" w:usb1="28CFFCFA" w:usb2="00000016" w:usb3="00000000" w:csb0="00100001" w:csb1="00000000"/>
  </w:font>
  <w:font w:name="Microsoft JhengHei">
    <w:panose1 w:val="020B0604030504040204"/>
    <w:charset w:val="88"/>
    <w:family w:val="swiss"/>
    <w:pitch w:val="default"/>
    <w:sig w:usb0="00000087" w:usb1="28AF4000" w:usb2="00000016" w:usb3="00000000" w:csb0="00100009" w:csb1="00000000"/>
  </w:font>
  <w:font w:name="MS Gothic">
    <w:panose1 w:val="020B0609070205080204"/>
    <w:charset w:val="80"/>
    <w:family w:val="modern"/>
    <w:pitch w:val="default"/>
    <w:sig w:usb0="E00002FF" w:usb1="6AC7FDFB" w:usb2="00000012" w:usb3="00000000" w:csb0="4002009F" w:csb1="DFD70000"/>
  </w:font>
  <w:font w:name="TimesNewRomanPSMT">
    <w:altName w:val="Times New Roman"/>
    <w:panose1 w:val="00000000000000000000"/>
    <w:charset w:val="00"/>
    <w:family w:val="roman"/>
    <w:pitch w:val="default"/>
    <w:sig w:usb0="00000000" w:usb1="00000000" w:usb2="00000010" w:usb3="00000000" w:csb0="00040001"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TimesNewRomanPS-BoldMT">
    <w:altName w:val="宋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jc w:val="center"/>
    </w:pPr>
  </w:p>
  <w:p>
    <w:pPr>
      <w:pStyle w:val="1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40911307"/>
      <w:showingPlcHdr/>
    </w:sdtPr>
    <w:sdtContent>
      <w:p>
        <w:pPr>
          <w:pStyle w:val="16"/>
          <w:ind w:firstLine="360"/>
          <w:jc w:val="center"/>
        </w:pPr>
        <w:r>
          <w:t xml:space="preserve">     </w:t>
        </w:r>
      </w:p>
    </w:sdtContent>
  </w:sdt>
  <w:p>
    <w:pPr>
      <w:pStyle w:val="16"/>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35247253"/>
      <w:docPartObj>
        <w:docPartGallery w:val="AutoText"/>
      </w:docPartObj>
    </w:sdtPr>
    <w:sdtContent>
      <w:p>
        <w:pPr>
          <w:pStyle w:val="16"/>
          <w:jc w:val="center"/>
        </w:pPr>
        <w:r>
          <w:fldChar w:fldCharType="begin"/>
        </w:r>
        <w:r>
          <w:instrText xml:space="preserve">PAGE   \* MERGEFORMAT</w:instrText>
        </w:r>
        <w:r>
          <w:fldChar w:fldCharType="separate"/>
        </w:r>
        <w:r>
          <w:rPr>
            <w:lang w:val="zh-CN"/>
          </w:rPr>
          <w:t>15</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37798B"/>
    <w:multiLevelType w:val="multilevel"/>
    <w:tmpl w:val="1237798B"/>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0"/>
  <w:drawingGridHorizontalSpacing w:val="120"/>
  <w:drawingGridVerticalSpacing w:val="163"/>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35"/>
    <w:rsid w:val="00003352"/>
    <w:rsid w:val="0000648E"/>
    <w:rsid w:val="0000762E"/>
    <w:rsid w:val="0001189D"/>
    <w:rsid w:val="000202EC"/>
    <w:rsid w:val="000217BF"/>
    <w:rsid w:val="0002469E"/>
    <w:rsid w:val="00026156"/>
    <w:rsid w:val="00032015"/>
    <w:rsid w:val="00041A5B"/>
    <w:rsid w:val="00042C6E"/>
    <w:rsid w:val="00044629"/>
    <w:rsid w:val="00054017"/>
    <w:rsid w:val="00054AB8"/>
    <w:rsid w:val="00063981"/>
    <w:rsid w:val="00063E03"/>
    <w:rsid w:val="00066527"/>
    <w:rsid w:val="00071E13"/>
    <w:rsid w:val="00073414"/>
    <w:rsid w:val="000734A5"/>
    <w:rsid w:val="000823C4"/>
    <w:rsid w:val="00084551"/>
    <w:rsid w:val="0008606A"/>
    <w:rsid w:val="000862FA"/>
    <w:rsid w:val="00091106"/>
    <w:rsid w:val="00091E2E"/>
    <w:rsid w:val="00093FE0"/>
    <w:rsid w:val="000B3BDB"/>
    <w:rsid w:val="000B3D92"/>
    <w:rsid w:val="000B5DEA"/>
    <w:rsid w:val="000B6F54"/>
    <w:rsid w:val="000B7C80"/>
    <w:rsid w:val="000C16DF"/>
    <w:rsid w:val="000C380E"/>
    <w:rsid w:val="000C541F"/>
    <w:rsid w:val="000C5753"/>
    <w:rsid w:val="000D109F"/>
    <w:rsid w:val="000D1722"/>
    <w:rsid w:val="000D2A74"/>
    <w:rsid w:val="000D30AA"/>
    <w:rsid w:val="000D35B7"/>
    <w:rsid w:val="000D75CA"/>
    <w:rsid w:val="000E0485"/>
    <w:rsid w:val="000E0D37"/>
    <w:rsid w:val="000E264D"/>
    <w:rsid w:val="000E2B47"/>
    <w:rsid w:val="000F53A7"/>
    <w:rsid w:val="000F7127"/>
    <w:rsid w:val="000F79C2"/>
    <w:rsid w:val="00100134"/>
    <w:rsid w:val="00100DA9"/>
    <w:rsid w:val="00102DB2"/>
    <w:rsid w:val="0010354B"/>
    <w:rsid w:val="001070AA"/>
    <w:rsid w:val="0010725C"/>
    <w:rsid w:val="00107860"/>
    <w:rsid w:val="001112D8"/>
    <w:rsid w:val="00141063"/>
    <w:rsid w:val="00141465"/>
    <w:rsid w:val="00141B8A"/>
    <w:rsid w:val="001428EE"/>
    <w:rsid w:val="00142BAF"/>
    <w:rsid w:val="00143CA7"/>
    <w:rsid w:val="00144372"/>
    <w:rsid w:val="001464D2"/>
    <w:rsid w:val="001525FC"/>
    <w:rsid w:val="00155DC0"/>
    <w:rsid w:val="00172600"/>
    <w:rsid w:val="00172A27"/>
    <w:rsid w:val="00177CD0"/>
    <w:rsid w:val="001802A4"/>
    <w:rsid w:val="00180AB2"/>
    <w:rsid w:val="001837EC"/>
    <w:rsid w:val="00186A62"/>
    <w:rsid w:val="00190197"/>
    <w:rsid w:val="001906CC"/>
    <w:rsid w:val="00195B78"/>
    <w:rsid w:val="00195C21"/>
    <w:rsid w:val="001A0181"/>
    <w:rsid w:val="001A31BA"/>
    <w:rsid w:val="001A38D6"/>
    <w:rsid w:val="001A44F7"/>
    <w:rsid w:val="001B0B47"/>
    <w:rsid w:val="001B193C"/>
    <w:rsid w:val="001C29FF"/>
    <w:rsid w:val="001C5DAE"/>
    <w:rsid w:val="001D41B3"/>
    <w:rsid w:val="001D4E97"/>
    <w:rsid w:val="001D51F6"/>
    <w:rsid w:val="001D6B55"/>
    <w:rsid w:val="001E0CEB"/>
    <w:rsid w:val="001E2269"/>
    <w:rsid w:val="001E35B3"/>
    <w:rsid w:val="001E611E"/>
    <w:rsid w:val="001F0BAF"/>
    <w:rsid w:val="001F0D21"/>
    <w:rsid w:val="001F3C66"/>
    <w:rsid w:val="0020233D"/>
    <w:rsid w:val="0020602B"/>
    <w:rsid w:val="002159DC"/>
    <w:rsid w:val="00221AC3"/>
    <w:rsid w:val="00224714"/>
    <w:rsid w:val="00224DAD"/>
    <w:rsid w:val="00227F31"/>
    <w:rsid w:val="0023204E"/>
    <w:rsid w:val="00234474"/>
    <w:rsid w:val="002350A0"/>
    <w:rsid w:val="002412BA"/>
    <w:rsid w:val="00241FD0"/>
    <w:rsid w:val="00242CF4"/>
    <w:rsid w:val="00243DC5"/>
    <w:rsid w:val="00244F93"/>
    <w:rsid w:val="00245F6C"/>
    <w:rsid w:val="00250223"/>
    <w:rsid w:val="00251864"/>
    <w:rsid w:val="00256869"/>
    <w:rsid w:val="00256918"/>
    <w:rsid w:val="00261403"/>
    <w:rsid w:val="002653E5"/>
    <w:rsid w:val="00270D4B"/>
    <w:rsid w:val="002737B0"/>
    <w:rsid w:val="00274285"/>
    <w:rsid w:val="00274E26"/>
    <w:rsid w:val="002750FA"/>
    <w:rsid w:val="00282452"/>
    <w:rsid w:val="00287FF9"/>
    <w:rsid w:val="00291FE1"/>
    <w:rsid w:val="00292327"/>
    <w:rsid w:val="00297618"/>
    <w:rsid w:val="00297619"/>
    <w:rsid w:val="002A005A"/>
    <w:rsid w:val="002A10C8"/>
    <w:rsid w:val="002A1EA6"/>
    <w:rsid w:val="002A2863"/>
    <w:rsid w:val="002A395E"/>
    <w:rsid w:val="002A43C7"/>
    <w:rsid w:val="002A4786"/>
    <w:rsid w:val="002A6FCD"/>
    <w:rsid w:val="002A7F41"/>
    <w:rsid w:val="002B3689"/>
    <w:rsid w:val="002B4E2D"/>
    <w:rsid w:val="002B6ADB"/>
    <w:rsid w:val="002C15E6"/>
    <w:rsid w:val="002C1B11"/>
    <w:rsid w:val="002C241D"/>
    <w:rsid w:val="002C796B"/>
    <w:rsid w:val="002C7C0E"/>
    <w:rsid w:val="002D0E3C"/>
    <w:rsid w:val="002D362C"/>
    <w:rsid w:val="002D5EB3"/>
    <w:rsid w:val="002E22F2"/>
    <w:rsid w:val="002E6458"/>
    <w:rsid w:val="002E65D6"/>
    <w:rsid w:val="002F146D"/>
    <w:rsid w:val="002F38F8"/>
    <w:rsid w:val="002F592B"/>
    <w:rsid w:val="002F6819"/>
    <w:rsid w:val="0030168D"/>
    <w:rsid w:val="00301DDE"/>
    <w:rsid w:val="00306ACA"/>
    <w:rsid w:val="003141D4"/>
    <w:rsid w:val="003148C1"/>
    <w:rsid w:val="00315301"/>
    <w:rsid w:val="0031742C"/>
    <w:rsid w:val="00322622"/>
    <w:rsid w:val="00323174"/>
    <w:rsid w:val="00325E92"/>
    <w:rsid w:val="00326A43"/>
    <w:rsid w:val="00331EB6"/>
    <w:rsid w:val="00333D8A"/>
    <w:rsid w:val="00344728"/>
    <w:rsid w:val="00345AC5"/>
    <w:rsid w:val="00351C0F"/>
    <w:rsid w:val="00361B5C"/>
    <w:rsid w:val="00372257"/>
    <w:rsid w:val="0037434F"/>
    <w:rsid w:val="00375664"/>
    <w:rsid w:val="003775F5"/>
    <w:rsid w:val="003933E4"/>
    <w:rsid w:val="00395A30"/>
    <w:rsid w:val="003972BE"/>
    <w:rsid w:val="003977D0"/>
    <w:rsid w:val="003A21E2"/>
    <w:rsid w:val="003A693E"/>
    <w:rsid w:val="003A79BF"/>
    <w:rsid w:val="003B035C"/>
    <w:rsid w:val="003B3AB1"/>
    <w:rsid w:val="003B45F1"/>
    <w:rsid w:val="003B613C"/>
    <w:rsid w:val="003B7CA1"/>
    <w:rsid w:val="003C7F58"/>
    <w:rsid w:val="003D187C"/>
    <w:rsid w:val="003D3AB8"/>
    <w:rsid w:val="003E231A"/>
    <w:rsid w:val="003E53AB"/>
    <w:rsid w:val="003E6540"/>
    <w:rsid w:val="003F1710"/>
    <w:rsid w:val="003F25B1"/>
    <w:rsid w:val="003F2691"/>
    <w:rsid w:val="003F5490"/>
    <w:rsid w:val="00401CA8"/>
    <w:rsid w:val="004029A1"/>
    <w:rsid w:val="00420F7D"/>
    <w:rsid w:val="00423DA5"/>
    <w:rsid w:val="00424053"/>
    <w:rsid w:val="004275AA"/>
    <w:rsid w:val="004313A0"/>
    <w:rsid w:val="004339A6"/>
    <w:rsid w:val="004350F9"/>
    <w:rsid w:val="00437E15"/>
    <w:rsid w:val="00440398"/>
    <w:rsid w:val="00444FCE"/>
    <w:rsid w:val="00445CC6"/>
    <w:rsid w:val="00454BC4"/>
    <w:rsid w:val="00466670"/>
    <w:rsid w:val="00467DDF"/>
    <w:rsid w:val="00472916"/>
    <w:rsid w:val="00477693"/>
    <w:rsid w:val="0048173B"/>
    <w:rsid w:val="00484329"/>
    <w:rsid w:val="004866A8"/>
    <w:rsid w:val="00492DFC"/>
    <w:rsid w:val="004945D7"/>
    <w:rsid w:val="004A0E16"/>
    <w:rsid w:val="004B3729"/>
    <w:rsid w:val="004C150E"/>
    <w:rsid w:val="004C71D1"/>
    <w:rsid w:val="004D161A"/>
    <w:rsid w:val="004D1CE6"/>
    <w:rsid w:val="004D6EE6"/>
    <w:rsid w:val="004F476D"/>
    <w:rsid w:val="00500563"/>
    <w:rsid w:val="005045B0"/>
    <w:rsid w:val="005112E9"/>
    <w:rsid w:val="00512E18"/>
    <w:rsid w:val="00516AF2"/>
    <w:rsid w:val="0052500F"/>
    <w:rsid w:val="005274E4"/>
    <w:rsid w:val="00530439"/>
    <w:rsid w:val="00530B81"/>
    <w:rsid w:val="00537542"/>
    <w:rsid w:val="005416F8"/>
    <w:rsid w:val="00542296"/>
    <w:rsid w:val="00552103"/>
    <w:rsid w:val="00552A69"/>
    <w:rsid w:val="00555998"/>
    <w:rsid w:val="00556404"/>
    <w:rsid w:val="00561BFB"/>
    <w:rsid w:val="00562541"/>
    <w:rsid w:val="0056333C"/>
    <w:rsid w:val="005646C3"/>
    <w:rsid w:val="005652E1"/>
    <w:rsid w:val="00567C29"/>
    <w:rsid w:val="00575CA9"/>
    <w:rsid w:val="0058043C"/>
    <w:rsid w:val="0058512A"/>
    <w:rsid w:val="00590D24"/>
    <w:rsid w:val="00592B36"/>
    <w:rsid w:val="00595904"/>
    <w:rsid w:val="00596664"/>
    <w:rsid w:val="005A3BE3"/>
    <w:rsid w:val="005B3363"/>
    <w:rsid w:val="005B500C"/>
    <w:rsid w:val="005C6214"/>
    <w:rsid w:val="005D0B74"/>
    <w:rsid w:val="005D3089"/>
    <w:rsid w:val="005D3FB9"/>
    <w:rsid w:val="005D5CA2"/>
    <w:rsid w:val="005E250B"/>
    <w:rsid w:val="005E2511"/>
    <w:rsid w:val="005E4B32"/>
    <w:rsid w:val="005E5068"/>
    <w:rsid w:val="005E67CF"/>
    <w:rsid w:val="005E7134"/>
    <w:rsid w:val="005F3206"/>
    <w:rsid w:val="005F429D"/>
    <w:rsid w:val="005F78E8"/>
    <w:rsid w:val="0060038E"/>
    <w:rsid w:val="00606F6D"/>
    <w:rsid w:val="00611066"/>
    <w:rsid w:val="006127F4"/>
    <w:rsid w:val="00614B05"/>
    <w:rsid w:val="00622471"/>
    <w:rsid w:val="006309AE"/>
    <w:rsid w:val="00632DC7"/>
    <w:rsid w:val="0064607D"/>
    <w:rsid w:val="0065463D"/>
    <w:rsid w:val="006561F4"/>
    <w:rsid w:val="00663791"/>
    <w:rsid w:val="00670BB5"/>
    <w:rsid w:val="00672811"/>
    <w:rsid w:val="00673A71"/>
    <w:rsid w:val="00673BCA"/>
    <w:rsid w:val="006834B6"/>
    <w:rsid w:val="00683B56"/>
    <w:rsid w:val="00687E39"/>
    <w:rsid w:val="00693539"/>
    <w:rsid w:val="00693C28"/>
    <w:rsid w:val="006A0790"/>
    <w:rsid w:val="006A197F"/>
    <w:rsid w:val="006A3943"/>
    <w:rsid w:val="006A69C4"/>
    <w:rsid w:val="006B0002"/>
    <w:rsid w:val="006B363E"/>
    <w:rsid w:val="006B7628"/>
    <w:rsid w:val="006C5B38"/>
    <w:rsid w:val="006C6B1A"/>
    <w:rsid w:val="006D3779"/>
    <w:rsid w:val="006D7D82"/>
    <w:rsid w:val="006E47C2"/>
    <w:rsid w:val="006E4AF5"/>
    <w:rsid w:val="006E54F8"/>
    <w:rsid w:val="006E6849"/>
    <w:rsid w:val="006E6B13"/>
    <w:rsid w:val="006F0FF4"/>
    <w:rsid w:val="006F4FF6"/>
    <w:rsid w:val="006F52B0"/>
    <w:rsid w:val="00700D01"/>
    <w:rsid w:val="00702DA6"/>
    <w:rsid w:val="007103B5"/>
    <w:rsid w:val="00713F4B"/>
    <w:rsid w:val="00714E2E"/>
    <w:rsid w:val="00723A7F"/>
    <w:rsid w:val="0072434F"/>
    <w:rsid w:val="007254AF"/>
    <w:rsid w:val="00732466"/>
    <w:rsid w:val="00737519"/>
    <w:rsid w:val="007444D9"/>
    <w:rsid w:val="0075056A"/>
    <w:rsid w:val="00751B01"/>
    <w:rsid w:val="00751E91"/>
    <w:rsid w:val="00752BD4"/>
    <w:rsid w:val="007536B4"/>
    <w:rsid w:val="00755B90"/>
    <w:rsid w:val="00756D44"/>
    <w:rsid w:val="00757CF5"/>
    <w:rsid w:val="00761C56"/>
    <w:rsid w:val="00762FA1"/>
    <w:rsid w:val="00763E64"/>
    <w:rsid w:val="00765580"/>
    <w:rsid w:val="007711BD"/>
    <w:rsid w:val="00773613"/>
    <w:rsid w:val="00774227"/>
    <w:rsid w:val="00775765"/>
    <w:rsid w:val="007758D2"/>
    <w:rsid w:val="00780858"/>
    <w:rsid w:val="00780BA9"/>
    <w:rsid w:val="00787808"/>
    <w:rsid w:val="00790096"/>
    <w:rsid w:val="00793DF3"/>
    <w:rsid w:val="00797ED0"/>
    <w:rsid w:val="007A2938"/>
    <w:rsid w:val="007B0165"/>
    <w:rsid w:val="007B0CC4"/>
    <w:rsid w:val="007B2FDE"/>
    <w:rsid w:val="007B7282"/>
    <w:rsid w:val="007B72A9"/>
    <w:rsid w:val="007C01AA"/>
    <w:rsid w:val="007C0795"/>
    <w:rsid w:val="007C0823"/>
    <w:rsid w:val="007D0CE2"/>
    <w:rsid w:val="007D3F5C"/>
    <w:rsid w:val="007E062E"/>
    <w:rsid w:val="007E0E82"/>
    <w:rsid w:val="007E6105"/>
    <w:rsid w:val="007F0181"/>
    <w:rsid w:val="007F22A0"/>
    <w:rsid w:val="007F533D"/>
    <w:rsid w:val="007F67D2"/>
    <w:rsid w:val="0080427E"/>
    <w:rsid w:val="00804BCC"/>
    <w:rsid w:val="0080521E"/>
    <w:rsid w:val="0081012D"/>
    <w:rsid w:val="008148F2"/>
    <w:rsid w:val="00815379"/>
    <w:rsid w:val="00820FD4"/>
    <w:rsid w:val="00821798"/>
    <w:rsid w:val="008244DB"/>
    <w:rsid w:val="0082776B"/>
    <w:rsid w:val="0083264E"/>
    <w:rsid w:val="008376E7"/>
    <w:rsid w:val="00840503"/>
    <w:rsid w:val="00841B67"/>
    <w:rsid w:val="00850A95"/>
    <w:rsid w:val="00854767"/>
    <w:rsid w:val="008553F1"/>
    <w:rsid w:val="00855408"/>
    <w:rsid w:val="00863DD8"/>
    <w:rsid w:val="0086751C"/>
    <w:rsid w:val="00867CC8"/>
    <w:rsid w:val="00872B08"/>
    <w:rsid w:val="00874826"/>
    <w:rsid w:val="00876643"/>
    <w:rsid w:val="00880107"/>
    <w:rsid w:val="00880514"/>
    <w:rsid w:val="00880F88"/>
    <w:rsid w:val="00881BDB"/>
    <w:rsid w:val="00887062"/>
    <w:rsid w:val="00891349"/>
    <w:rsid w:val="00892694"/>
    <w:rsid w:val="008A0BAE"/>
    <w:rsid w:val="008A2D0C"/>
    <w:rsid w:val="008B0112"/>
    <w:rsid w:val="008B16EC"/>
    <w:rsid w:val="008B191C"/>
    <w:rsid w:val="008B3494"/>
    <w:rsid w:val="008B6FDC"/>
    <w:rsid w:val="008C2045"/>
    <w:rsid w:val="008C658D"/>
    <w:rsid w:val="008C6B47"/>
    <w:rsid w:val="008D0A96"/>
    <w:rsid w:val="008D7D8D"/>
    <w:rsid w:val="008E0E5F"/>
    <w:rsid w:val="008E1F37"/>
    <w:rsid w:val="008E4B5D"/>
    <w:rsid w:val="008E6E78"/>
    <w:rsid w:val="008F300F"/>
    <w:rsid w:val="00910442"/>
    <w:rsid w:val="009111E5"/>
    <w:rsid w:val="00912C12"/>
    <w:rsid w:val="00914212"/>
    <w:rsid w:val="0091429D"/>
    <w:rsid w:val="00915566"/>
    <w:rsid w:val="00947BF6"/>
    <w:rsid w:val="00955D18"/>
    <w:rsid w:val="009564CD"/>
    <w:rsid w:val="00960F99"/>
    <w:rsid w:val="00961541"/>
    <w:rsid w:val="0096182A"/>
    <w:rsid w:val="00973AC5"/>
    <w:rsid w:val="00976FAE"/>
    <w:rsid w:val="00983376"/>
    <w:rsid w:val="00983AA1"/>
    <w:rsid w:val="00984509"/>
    <w:rsid w:val="0098498F"/>
    <w:rsid w:val="0098727C"/>
    <w:rsid w:val="0099460E"/>
    <w:rsid w:val="00994B01"/>
    <w:rsid w:val="009A13C7"/>
    <w:rsid w:val="009A2D73"/>
    <w:rsid w:val="009B1236"/>
    <w:rsid w:val="009B3E39"/>
    <w:rsid w:val="009B513A"/>
    <w:rsid w:val="009B55AC"/>
    <w:rsid w:val="009B5EA7"/>
    <w:rsid w:val="009B64F3"/>
    <w:rsid w:val="009B7EAB"/>
    <w:rsid w:val="009C38EC"/>
    <w:rsid w:val="009C4AED"/>
    <w:rsid w:val="009D1340"/>
    <w:rsid w:val="009D1ABF"/>
    <w:rsid w:val="009D3280"/>
    <w:rsid w:val="009D485E"/>
    <w:rsid w:val="009D4AF5"/>
    <w:rsid w:val="009D6E1D"/>
    <w:rsid w:val="009E3843"/>
    <w:rsid w:val="009E4057"/>
    <w:rsid w:val="009E514E"/>
    <w:rsid w:val="009F13C5"/>
    <w:rsid w:val="009F1C52"/>
    <w:rsid w:val="009F7FDE"/>
    <w:rsid w:val="00A025D4"/>
    <w:rsid w:val="00A1489A"/>
    <w:rsid w:val="00A14F87"/>
    <w:rsid w:val="00A15F10"/>
    <w:rsid w:val="00A168B6"/>
    <w:rsid w:val="00A1731A"/>
    <w:rsid w:val="00A20BE0"/>
    <w:rsid w:val="00A2689F"/>
    <w:rsid w:val="00A31FED"/>
    <w:rsid w:val="00A3608A"/>
    <w:rsid w:val="00A40814"/>
    <w:rsid w:val="00A45DBF"/>
    <w:rsid w:val="00A46658"/>
    <w:rsid w:val="00A5244E"/>
    <w:rsid w:val="00A54851"/>
    <w:rsid w:val="00A62DEE"/>
    <w:rsid w:val="00A75DB8"/>
    <w:rsid w:val="00A814D1"/>
    <w:rsid w:val="00A81D53"/>
    <w:rsid w:val="00A84BED"/>
    <w:rsid w:val="00A8554C"/>
    <w:rsid w:val="00A860BA"/>
    <w:rsid w:val="00A87AC1"/>
    <w:rsid w:val="00A9243B"/>
    <w:rsid w:val="00A9400B"/>
    <w:rsid w:val="00A97921"/>
    <w:rsid w:val="00AA3C60"/>
    <w:rsid w:val="00AA48E7"/>
    <w:rsid w:val="00AA6BE9"/>
    <w:rsid w:val="00AB16AD"/>
    <w:rsid w:val="00AB19D6"/>
    <w:rsid w:val="00AB667F"/>
    <w:rsid w:val="00AC029C"/>
    <w:rsid w:val="00AC5E72"/>
    <w:rsid w:val="00AC7AF3"/>
    <w:rsid w:val="00AD2F2D"/>
    <w:rsid w:val="00AD3546"/>
    <w:rsid w:val="00AD51EB"/>
    <w:rsid w:val="00AE10EA"/>
    <w:rsid w:val="00AE17D7"/>
    <w:rsid w:val="00AE48BC"/>
    <w:rsid w:val="00AF247B"/>
    <w:rsid w:val="00AF2822"/>
    <w:rsid w:val="00AF416B"/>
    <w:rsid w:val="00AF43F1"/>
    <w:rsid w:val="00AF70FA"/>
    <w:rsid w:val="00B011CA"/>
    <w:rsid w:val="00B045B5"/>
    <w:rsid w:val="00B05171"/>
    <w:rsid w:val="00B05978"/>
    <w:rsid w:val="00B11B6C"/>
    <w:rsid w:val="00B153C4"/>
    <w:rsid w:val="00B164EB"/>
    <w:rsid w:val="00B27EF0"/>
    <w:rsid w:val="00B304D0"/>
    <w:rsid w:val="00B354BD"/>
    <w:rsid w:val="00B36518"/>
    <w:rsid w:val="00B36584"/>
    <w:rsid w:val="00B422C3"/>
    <w:rsid w:val="00B44B60"/>
    <w:rsid w:val="00B4513B"/>
    <w:rsid w:val="00B45DAD"/>
    <w:rsid w:val="00B46304"/>
    <w:rsid w:val="00B53FCD"/>
    <w:rsid w:val="00B56B86"/>
    <w:rsid w:val="00B637E9"/>
    <w:rsid w:val="00B6492F"/>
    <w:rsid w:val="00B64B89"/>
    <w:rsid w:val="00B679B1"/>
    <w:rsid w:val="00B70F9C"/>
    <w:rsid w:val="00B72C35"/>
    <w:rsid w:val="00B72F42"/>
    <w:rsid w:val="00B758AA"/>
    <w:rsid w:val="00B769B6"/>
    <w:rsid w:val="00B80BF2"/>
    <w:rsid w:val="00B84289"/>
    <w:rsid w:val="00B85657"/>
    <w:rsid w:val="00B860B9"/>
    <w:rsid w:val="00B876AD"/>
    <w:rsid w:val="00B90318"/>
    <w:rsid w:val="00B9048D"/>
    <w:rsid w:val="00B915F1"/>
    <w:rsid w:val="00B927D1"/>
    <w:rsid w:val="00B95389"/>
    <w:rsid w:val="00B97284"/>
    <w:rsid w:val="00B9762E"/>
    <w:rsid w:val="00BA398C"/>
    <w:rsid w:val="00BA78E6"/>
    <w:rsid w:val="00BB1823"/>
    <w:rsid w:val="00BB3D51"/>
    <w:rsid w:val="00BB592E"/>
    <w:rsid w:val="00BC0ED4"/>
    <w:rsid w:val="00BC3F2D"/>
    <w:rsid w:val="00BC4E67"/>
    <w:rsid w:val="00BD158B"/>
    <w:rsid w:val="00BD18F7"/>
    <w:rsid w:val="00BD4C88"/>
    <w:rsid w:val="00BD5336"/>
    <w:rsid w:val="00BD71F2"/>
    <w:rsid w:val="00BE0822"/>
    <w:rsid w:val="00BE0A3F"/>
    <w:rsid w:val="00BE38E2"/>
    <w:rsid w:val="00BE3D13"/>
    <w:rsid w:val="00BE6C75"/>
    <w:rsid w:val="00C0188F"/>
    <w:rsid w:val="00C046A1"/>
    <w:rsid w:val="00C23071"/>
    <w:rsid w:val="00C32272"/>
    <w:rsid w:val="00C3269F"/>
    <w:rsid w:val="00C35E00"/>
    <w:rsid w:val="00C42A8C"/>
    <w:rsid w:val="00C434E5"/>
    <w:rsid w:val="00C61BAF"/>
    <w:rsid w:val="00C64604"/>
    <w:rsid w:val="00C65008"/>
    <w:rsid w:val="00C6591C"/>
    <w:rsid w:val="00C72E34"/>
    <w:rsid w:val="00C737FE"/>
    <w:rsid w:val="00C74695"/>
    <w:rsid w:val="00C777E8"/>
    <w:rsid w:val="00C842A8"/>
    <w:rsid w:val="00C85A77"/>
    <w:rsid w:val="00C90E40"/>
    <w:rsid w:val="00C92CD7"/>
    <w:rsid w:val="00C960E6"/>
    <w:rsid w:val="00CA2C97"/>
    <w:rsid w:val="00CA7A09"/>
    <w:rsid w:val="00CB1D0D"/>
    <w:rsid w:val="00CB47E2"/>
    <w:rsid w:val="00CB545A"/>
    <w:rsid w:val="00CB687F"/>
    <w:rsid w:val="00CC2E47"/>
    <w:rsid w:val="00CC53AC"/>
    <w:rsid w:val="00CD3C37"/>
    <w:rsid w:val="00CD3CD5"/>
    <w:rsid w:val="00CE2E84"/>
    <w:rsid w:val="00CE3AC2"/>
    <w:rsid w:val="00CE6A29"/>
    <w:rsid w:val="00CE6A6B"/>
    <w:rsid w:val="00CF0F44"/>
    <w:rsid w:val="00CF2B06"/>
    <w:rsid w:val="00CF4B29"/>
    <w:rsid w:val="00D00924"/>
    <w:rsid w:val="00D03CD3"/>
    <w:rsid w:val="00D040E1"/>
    <w:rsid w:val="00D10A27"/>
    <w:rsid w:val="00D10A4F"/>
    <w:rsid w:val="00D12363"/>
    <w:rsid w:val="00D133D0"/>
    <w:rsid w:val="00D23738"/>
    <w:rsid w:val="00D244E2"/>
    <w:rsid w:val="00D25C45"/>
    <w:rsid w:val="00D34C63"/>
    <w:rsid w:val="00D34F59"/>
    <w:rsid w:val="00D36F57"/>
    <w:rsid w:val="00D37DFC"/>
    <w:rsid w:val="00D52D11"/>
    <w:rsid w:val="00D531F4"/>
    <w:rsid w:val="00D56C2E"/>
    <w:rsid w:val="00D63920"/>
    <w:rsid w:val="00D700C1"/>
    <w:rsid w:val="00D733C5"/>
    <w:rsid w:val="00D747CC"/>
    <w:rsid w:val="00D74EEE"/>
    <w:rsid w:val="00D75470"/>
    <w:rsid w:val="00D81028"/>
    <w:rsid w:val="00D923F1"/>
    <w:rsid w:val="00D92A1B"/>
    <w:rsid w:val="00D941B0"/>
    <w:rsid w:val="00D96191"/>
    <w:rsid w:val="00D9699C"/>
    <w:rsid w:val="00D97172"/>
    <w:rsid w:val="00DA4879"/>
    <w:rsid w:val="00DA5781"/>
    <w:rsid w:val="00DA6398"/>
    <w:rsid w:val="00DC15FA"/>
    <w:rsid w:val="00DC1E10"/>
    <w:rsid w:val="00DC6710"/>
    <w:rsid w:val="00DC7319"/>
    <w:rsid w:val="00DD0A93"/>
    <w:rsid w:val="00DD1D62"/>
    <w:rsid w:val="00DD2792"/>
    <w:rsid w:val="00DD4A4B"/>
    <w:rsid w:val="00DD508D"/>
    <w:rsid w:val="00DE0452"/>
    <w:rsid w:val="00DE1E97"/>
    <w:rsid w:val="00DE20CA"/>
    <w:rsid w:val="00DE4927"/>
    <w:rsid w:val="00DE62CB"/>
    <w:rsid w:val="00DF17C7"/>
    <w:rsid w:val="00DF535F"/>
    <w:rsid w:val="00E0268A"/>
    <w:rsid w:val="00E02E98"/>
    <w:rsid w:val="00E058AE"/>
    <w:rsid w:val="00E13851"/>
    <w:rsid w:val="00E15152"/>
    <w:rsid w:val="00E15F2A"/>
    <w:rsid w:val="00E20358"/>
    <w:rsid w:val="00E245D1"/>
    <w:rsid w:val="00E25D0D"/>
    <w:rsid w:val="00E27CCA"/>
    <w:rsid w:val="00E30110"/>
    <w:rsid w:val="00E336E7"/>
    <w:rsid w:val="00E339BE"/>
    <w:rsid w:val="00E44D81"/>
    <w:rsid w:val="00E4652F"/>
    <w:rsid w:val="00E47183"/>
    <w:rsid w:val="00E5713C"/>
    <w:rsid w:val="00E5799B"/>
    <w:rsid w:val="00E57B25"/>
    <w:rsid w:val="00E624FD"/>
    <w:rsid w:val="00E63142"/>
    <w:rsid w:val="00E637EC"/>
    <w:rsid w:val="00E707A9"/>
    <w:rsid w:val="00E708BC"/>
    <w:rsid w:val="00E70F94"/>
    <w:rsid w:val="00E72154"/>
    <w:rsid w:val="00E753B0"/>
    <w:rsid w:val="00E75887"/>
    <w:rsid w:val="00E87659"/>
    <w:rsid w:val="00E9254E"/>
    <w:rsid w:val="00E93E12"/>
    <w:rsid w:val="00E96B62"/>
    <w:rsid w:val="00EA07DA"/>
    <w:rsid w:val="00EA5E99"/>
    <w:rsid w:val="00EA6A44"/>
    <w:rsid w:val="00EA74FF"/>
    <w:rsid w:val="00EB12FF"/>
    <w:rsid w:val="00EB6EF0"/>
    <w:rsid w:val="00EC0E8A"/>
    <w:rsid w:val="00EC3678"/>
    <w:rsid w:val="00EC5303"/>
    <w:rsid w:val="00EC7BCE"/>
    <w:rsid w:val="00ED4669"/>
    <w:rsid w:val="00ED5B70"/>
    <w:rsid w:val="00ED6C64"/>
    <w:rsid w:val="00EE0801"/>
    <w:rsid w:val="00EE0876"/>
    <w:rsid w:val="00EE3198"/>
    <w:rsid w:val="00EF0757"/>
    <w:rsid w:val="00EF4602"/>
    <w:rsid w:val="00F02890"/>
    <w:rsid w:val="00F052D7"/>
    <w:rsid w:val="00F0660A"/>
    <w:rsid w:val="00F066AD"/>
    <w:rsid w:val="00F137F1"/>
    <w:rsid w:val="00F158EB"/>
    <w:rsid w:val="00F164F1"/>
    <w:rsid w:val="00F211DA"/>
    <w:rsid w:val="00F22D27"/>
    <w:rsid w:val="00F22FAF"/>
    <w:rsid w:val="00F345E5"/>
    <w:rsid w:val="00F347F7"/>
    <w:rsid w:val="00F348A7"/>
    <w:rsid w:val="00F3570B"/>
    <w:rsid w:val="00F36707"/>
    <w:rsid w:val="00F52153"/>
    <w:rsid w:val="00F52DCC"/>
    <w:rsid w:val="00F52DEA"/>
    <w:rsid w:val="00F535EB"/>
    <w:rsid w:val="00F5605C"/>
    <w:rsid w:val="00F576B7"/>
    <w:rsid w:val="00F57E7C"/>
    <w:rsid w:val="00F615F0"/>
    <w:rsid w:val="00F62B72"/>
    <w:rsid w:val="00F6349E"/>
    <w:rsid w:val="00F63742"/>
    <w:rsid w:val="00F6501C"/>
    <w:rsid w:val="00F668A8"/>
    <w:rsid w:val="00F7165C"/>
    <w:rsid w:val="00F716E1"/>
    <w:rsid w:val="00F71BB1"/>
    <w:rsid w:val="00F72431"/>
    <w:rsid w:val="00F84987"/>
    <w:rsid w:val="00F90C75"/>
    <w:rsid w:val="00F936AB"/>
    <w:rsid w:val="00F96D96"/>
    <w:rsid w:val="00F973D3"/>
    <w:rsid w:val="00FA3879"/>
    <w:rsid w:val="00FA65F2"/>
    <w:rsid w:val="00FA676A"/>
    <w:rsid w:val="00FA6BB7"/>
    <w:rsid w:val="00FB3943"/>
    <w:rsid w:val="00FB514E"/>
    <w:rsid w:val="00FB67FC"/>
    <w:rsid w:val="00FB6CDF"/>
    <w:rsid w:val="00FC5E8B"/>
    <w:rsid w:val="00FC6739"/>
    <w:rsid w:val="00FC7440"/>
    <w:rsid w:val="00FC7889"/>
    <w:rsid w:val="00FD47BC"/>
    <w:rsid w:val="00FD5A21"/>
    <w:rsid w:val="00FE02C4"/>
    <w:rsid w:val="00FE17AF"/>
    <w:rsid w:val="00FF1784"/>
    <w:rsid w:val="00FF1E87"/>
    <w:rsid w:val="00FF2107"/>
    <w:rsid w:val="00FF26A3"/>
    <w:rsid w:val="00FF2EA1"/>
    <w:rsid w:val="00FF63AE"/>
    <w:rsid w:val="00FF7F1A"/>
    <w:rsid w:val="08EC3ECB"/>
    <w:rsid w:val="0FF777EE"/>
    <w:rsid w:val="4E5868BD"/>
    <w:rsid w:val="6F211CF6"/>
    <w:rsid w:val="7E602675"/>
  </w:rsids>
  <m:mathPr>
    <m:mathFont m:val="Cambria Math"/>
    <m:brkBin m:val="before"/>
    <m:brkBinSub m:val="--"/>
    <m:smallFrac m:val="1"/>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semiHidden="0" w:name="toc 2"/>
    <w:lsdException w:uiPriority="39" w:semiHidden="0" w:name="toc 3"/>
    <w:lsdException w:uiPriority="39" w:semiHidden="0" w:name="toc 4"/>
    <w:lsdException w:uiPriority="39" w:semiHidden="0" w:name="toc 5"/>
    <w:lsdException w:qFormat="1" w:uiPriority="39" w:semiHidden="0" w:name="toc 6"/>
    <w:lsdException w:uiPriority="39" w:semiHidden="0" w:name="toc 7"/>
    <w:lsdException w:qFormat="1" w:uiPriority="39" w:semiHidden="0" w:name="toc 8"/>
    <w:lsdException w:qFormat="1" w:uiPriority="39" w:semiHidden="0"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Times New Roman" w:hAnsi="Times New Roman" w:eastAsia="宋体" w:cstheme="minorBidi"/>
      <w:kern w:val="2"/>
      <w:sz w:val="24"/>
      <w:szCs w:val="22"/>
      <w:lang w:val="en-US" w:eastAsia="zh-CN" w:bidi="ar-SA"/>
    </w:rPr>
  </w:style>
  <w:style w:type="paragraph" w:styleId="2">
    <w:name w:val="heading 1"/>
    <w:basedOn w:val="1"/>
    <w:next w:val="1"/>
    <w:link w:val="33"/>
    <w:qFormat/>
    <w:uiPriority w:val="9"/>
    <w:pPr>
      <w:keepNext/>
      <w:keepLines/>
      <w:jc w:val="center"/>
      <w:outlineLvl w:val="0"/>
    </w:pPr>
    <w:rPr>
      <w:rFonts w:eastAsia="黑体"/>
      <w:b/>
      <w:bCs/>
      <w:kern w:val="44"/>
      <w:sz w:val="28"/>
      <w:szCs w:val="44"/>
    </w:rPr>
  </w:style>
  <w:style w:type="paragraph" w:styleId="3">
    <w:name w:val="heading 2"/>
    <w:basedOn w:val="1"/>
    <w:next w:val="1"/>
    <w:link w:val="34"/>
    <w:unhideWhenUsed/>
    <w:qFormat/>
    <w:uiPriority w:val="9"/>
    <w:pPr>
      <w:keepNext/>
      <w:keepLines/>
      <w:jc w:val="center"/>
      <w:outlineLvl w:val="1"/>
    </w:pPr>
    <w:rPr>
      <w:rFonts w:eastAsia="黑体" w:cstheme="majorBidi"/>
      <w:b/>
      <w:bCs/>
      <w:sz w:val="28"/>
      <w:szCs w:val="32"/>
    </w:rPr>
  </w:style>
  <w:style w:type="paragraph" w:styleId="4">
    <w:name w:val="heading 3"/>
    <w:basedOn w:val="1"/>
    <w:next w:val="1"/>
    <w:link w:val="35"/>
    <w:unhideWhenUsed/>
    <w:qFormat/>
    <w:uiPriority w:val="9"/>
    <w:pPr>
      <w:keepNext/>
      <w:keepLines/>
      <w:outlineLvl w:val="2"/>
    </w:pPr>
    <w:rPr>
      <w:b/>
      <w:bCs/>
      <w:szCs w:val="32"/>
    </w:rPr>
  </w:style>
  <w:style w:type="paragraph" w:styleId="5">
    <w:name w:val="heading 4"/>
    <w:basedOn w:val="1"/>
    <w:next w:val="1"/>
    <w:link w:val="55"/>
    <w:unhideWhenUsed/>
    <w:qFormat/>
    <w:uiPriority w:val="9"/>
    <w:pPr>
      <w:keepNext/>
      <w:keepLines/>
      <w:outlineLvl w:val="3"/>
    </w:pPr>
    <w:rPr>
      <w:rFonts w:eastAsiaTheme="majorEastAsia" w:cstheme="majorBidi"/>
      <w:b/>
      <w:bCs/>
      <w:szCs w:val="28"/>
    </w:rPr>
  </w:style>
  <w:style w:type="character" w:default="1" w:styleId="23">
    <w:name w:val="Default Paragraph Font"/>
    <w:semiHidden/>
    <w:unhideWhenUsed/>
    <w:uiPriority w:val="1"/>
  </w:style>
  <w:style w:type="table" w:default="1" w:styleId="27">
    <w:name w:val="Normal Table"/>
    <w:semiHidden/>
    <w:unhideWhenUsed/>
    <w:uiPriority w:val="99"/>
    <w:tblPr>
      <w:tblLayout w:type="fixed"/>
      <w:tblCellMar>
        <w:top w:w="0" w:type="dxa"/>
        <w:left w:w="108" w:type="dxa"/>
        <w:bottom w:w="0" w:type="dxa"/>
        <w:right w:w="108" w:type="dxa"/>
      </w:tblCellMar>
    </w:tblPr>
  </w:style>
  <w:style w:type="paragraph" w:styleId="6">
    <w:name w:val="annotation subject"/>
    <w:basedOn w:val="7"/>
    <w:next w:val="7"/>
    <w:link w:val="54"/>
    <w:semiHidden/>
    <w:unhideWhenUsed/>
    <w:uiPriority w:val="99"/>
    <w:rPr>
      <w:b/>
      <w:bCs/>
    </w:rPr>
  </w:style>
  <w:style w:type="paragraph" w:styleId="7">
    <w:name w:val="annotation text"/>
    <w:basedOn w:val="1"/>
    <w:link w:val="53"/>
    <w:semiHidden/>
    <w:unhideWhenUsed/>
    <w:uiPriority w:val="99"/>
    <w:pPr>
      <w:jc w:val="left"/>
    </w:pPr>
  </w:style>
  <w:style w:type="paragraph" w:styleId="8">
    <w:name w:val="toc 7"/>
    <w:basedOn w:val="1"/>
    <w:next w:val="1"/>
    <w:unhideWhenUsed/>
    <w:uiPriority w:val="39"/>
    <w:pPr>
      <w:spacing w:line="240" w:lineRule="auto"/>
      <w:ind w:left="2520" w:leftChars="1200"/>
    </w:pPr>
    <w:rPr>
      <w:rFonts w:asciiTheme="minorHAnsi" w:hAnsiTheme="minorHAnsi" w:eastAsiaTheme="minorEastAsia"/>
      <w:sz w:val="21"/>
    </w:rPr>
  </w:style>
  <w:style w:type="paragraph" w:styleId="9">
    <w:name w:val="caption"/>
    <w:basedOn w:val="1"/>
    <w:next w:val="1"/>
    <w:unhideWhenUsed/>
    <w:qFormat/>
    <w:uiPriority w:val="35"/>
    <w:pPr>
      <w:ind w:firstLine="640"/>
    </w:pPr>
    <w:rPr>
      <w:rFonts w:eastAsia="黑体" w:asciiTheme="majorHAnsi" w:hAnsiTheme="majorHAnsi" w:cstheme="majorBidi"/>
      <w:sz w:val="20"/>
      <w:szCs w:val="20"/>
    </w:rPr>
  </w:style>
  <w:style w:type="paragraph" w:styleId="10">
    <w:name w:val="Document Map"/>
    <w:basedOn w:val="1"/>
    <w:link w:val="43"/>
    <w:semiHidden/>
    <w:unhideWhenUsed/>
    <w:uiPriority w:val="99"/>
    <w:rPr>
      <w:rFonts w:ascii="宋体"/>
      <w:sz w:val="18"/>
      <w:szCs w:val="18"/>
    </w:rPr>
  </w:style>
  <w:style w:type="paragraph" w:styleId="11">
    <w:name w:val="toc 5"/>
    <w:basedOn w:val="1"/>
    <w:next w:val="1"/>
    <w:unhideWhenUsed/>
    <w:uiPriority w:val="39"/>
    <w:pPr>
      <w:spacing w:line="240" w:lineRule="auto"/>
      <w:ind w:left="1680" w:leftChars="800"/>
    </w:pPr>
    <w:rPr>
      <w:rFonts w:asciiTheme="minorHAnsi" w:hAnsiTheme="minorHAnsi" w:eastAsiaTheme="minorEastAsia"/>
      <w:sz w:val="21"/>
    </w:rPr>
  </w:style>
  <w:style w:type="paragraph" w:styleId="12">
    <w:name w:val="toc 3"/>
    <w:basedOn w:val="1"/>
    <w:next w:val="1"/>
    <w:unhideWhenUsed/>
    <w:uiPriority w:val="39"/>
    <w:pPr>
      <w:widowControl/>
      <w:spacing w:after="100" w:line="259" w:lineRule="auto"/>
      <w:ind w:left="440"/>
      <w:jc w:val="left"/>
    </w:pPr>
    <w:rPr>
      <w:rFonts w:cs="Times New Roman"/>
      <w:kern w:val="0"/>
      <w:sz w:val="22"/>
    </w:rPr>
  </w:style>
  <w:style w:type="paragraph" w:styleId="13">
    <w:name w:val="toc 8"/>
    <w:basedOn w:val="1"/>
    <w:next w:val="1"/>
    <w:unhideWhenUsed/>
    <w:qFormat/>
    <w:uiPriority w:val="39"/>
    <w:pPr>
      <w:spacing w:line="240" w:lineRule="auto"/>
      <w:ind w:left="2940" w:leftChars="1400"/>
    </w:pPr>
    <w:rPr>
      <w:rFonts w:asciiTheme="minorHAnsi" w:hAnsiTheme="minorHAnsi" w:eastAsiaTheme="minorEastAsia"/>
      <w:sz w:val="21"/>
    </w:rPr>
  </w:style>
  <w:style w:type="paragraph" w:styleId="14">
    <w:name w:val="Date"/>
    <w:basedOn w:val="1"/>
    <w:next w:val="1"/>
    <w:link w:val="44"/>
    <w:semiHidden/>
    <w:unhideWhenUsed/>
    <w:uiPriority w:val="99"/>
    <w:pPr>
      <w:ind w:left="100" w:leftChars="2500"/>
    </w:pPr>
  </w:style>
  <w:style w:type="paragraph" w:styleId="15">
    <w:name w:val="Balloon Text"/>
    <w:basedOn w:val="1"/>
    <w:link w:val="42"/>
    <w:semiHidden/>
    <w:unhideWhenUsed/>
    <w:qFormat/>
    <w:uiPriority w:val="99"/>
    <w:rPr>
      <w:sz w:val="18"/>
      <w:szCs w:val="18"/>
    </w:rPr>
  </w:style>
  <w:style w:type="paragraph" w:styleId="16">
    <w:name w:val="footer"/>
    <w:basedOn w:val="1"/>
    <w:link w:val="31"/>
    <w:unhideWhenUsed/>
    <w:uiPriority w:val="99"/>
    <w:pPr>
      <w:tabs>
        <w:tab w:val="center" w:pos="4153"/>
        <w:tab w:val="right" w:pos="8306"/>
      </w:tabs>
      <w:snapToGrid w:val="0"/>
      <w:jc w:val="left"/>
    </w:pPr>
    <w:rPr>
      <w:sz w:val="18"/>
      <w:szCs w:val="18"/>
    </w:rPr>
  </w:style>
  <w:style w:type="paragraph" w:styleId="17">
    <w:name w:val="header"/>
    <w:basedOn w:val="1"/>
    <w:link w:val="30"/>
    <w:unhideWhenUsed/>
    <w:uiPriority w:val="99"/>
    <w:pPr>
      <w:pBdr>
        <w:bottom w:val="single" w:color="auto" w:sz="6" w:space="1"/>
      </w:pBdr>
      <w:tabs>
        <w:tab w:val="center" w:pos="4153"/>
        <w:tab w:val="right" w:pos="8306"/>
      </w:tabs>
      <w:snapToGrid w:val="0"/>
      <w:jc w:val="center"/>
    </w:pPr>
    <w:rPr>
      <w:sz w:val="18"/>
      <w:szCs w:val="18"/>
    </w:rPr>
  </w:style>
  <w:style w:type="paragraph" w:styleId="18">
    <w:name w:val="toc 1"/>
    <w:basedOn w:val="1"/>
    <w:next w:val="1"/>
    <w:unhideWhenUsed/>
    <w:qFormat/>
    <w:uiPriority w:val="39"/>
    <w:pPr>
      <w:widowControl/>
      <w:spacing w:after="100" w:line="259" w:lineRule="auto"/>
      <w:jc w:val="left"/>
    </w:pPr>
    <w:rPr>
      <w:rFonts w:cs="Times New Roman"/>
      <w:kern w:val="0"/>
      <w:sz w:val="22"/>
    </w:rPr>
  </w:style>
  <w:style w:type="paragraph" w:styleId="19">
    <w:name w:val="toc 4"/>
    <w:basedOn w:val="1"/>
    <w:next w:val="1"/>
    <w:unhideWhenUsed/>
    <w:uiPriority w:val="39"/>
    <w:pPr>
      <w:spacing w:line="240" w:lineRule="auto"/>
      <w:ind w:left="1260" w:leftChars="600"/>
    </w:pPr>
    <w:rPr>
      <w:rFonts w:asciiTheme="minorHAnsi" w:hAnsiTheme="minorHAnsi" w:eastAsiaTheme="minorEastAsia"/>
      <w:sz w:val="21"/>
    </w:rPr>
  </w:style>
  <w:style w:type="paragraph" w:styleId="20">
    <w:name w:val="toc 6"/>
    <w:basedOn w:val="1"/>
    <w:next w:val="1"/>
    <w:unhideWhenUsed/>
    <w:qFormat/>
    <w:uiPriority w:val="39"/>
    <w:pPr>
      <w:spacing w:line="240" w:lineRule="auto"/>
      <w:ind w:left="2100" w:leftChars="1000"/>
    </w:pPr>
    <w:rPr>
      <w:rFonts w:asciiTheme="minorHAnsi" w:hAnsiTheme="minorHAnsi" w:eastAsiaTheme="minorEastAsia"/>
      <w:sz w:val="21"/>
    </w:rPr>
  </w:style>
  <w:style w:type="paragraph" w:styleId="21">
    <w:name w:val="toc 2"/>
    <w:basedOn w:val="1"/>
    <w:next w:val="1"/>
    <w:unhideWhenUsed/>
    <w:uiPriority w:val="39"/>
    <w:pPr>
      <w:widowControl/>
      <w:spacing w:after="100" w:line="259" w:lineRule="auto"/>
      <w:ind w:left="220"/>
      <w:jc w:val="left"/>
    </w:pPr>
    <w:rPr>
      <w:rFonts w:cs="Times New Roman"/>
      <w:kern w:val="0"/>
      <w:sz w:val="22"/>
    </w:rPr>
  </w:style>
  <w:style w:type="paragraph" w:styleId="22">
    <w:name w:val="toc 9"/>
    <w:basedOn w:val="1"/>
    <w:next w:val="1"/>
    <w:unhideWhenUsed/>
    <w:qFormat/>
    <w:uiPriority w:val="39"/>
    <w:pPr>
      <w:spacing w:line="240" w:lineRule="auto"/>
      <w:ind w:left="3360" w:leftChars="1600"/>
    </w:pPr>
    <w:rPr>
      <w:rFonts w:asciiTheme="minorHAnsi" w:hAnsiTheme="minorHAnsi" w:eastAsiaTheme="minorEastAsia"/>
      <w:sz w:val="21"/>
    </w:rPr>
  </w:style>
  <w:style w:type="character" w:styleId="24">
    <w:name w:val="FollowedHyperlink"/>
    <w:basedOn w:val="23"/>
    <w:semiHidden/>
    <w:unhideWhenUsed/>
    <w:qFormat/>
    <w:uiPriority w:val="99"/>
    <w:rPr>
      <w:color w:val="954F72" w:themeColor="followedHyperlink"/>
      <w:u w:val="single"/>
      <w14:textFill>
        <w14:solidFill>
          <w14:schemeClr w14:val="folHlink"/>
        </w14:solidFill>
      </w14:textFill>
    </w:rPr>
  </w:style>
  <w:style w:type="character" w:styleId="25">
    <w:name w:val="Hyperlink"/>
    <w:basedOn w:val="23"/>
    <w:unhideWhenUsed/>
    <w:qFormat/>
    <w:uiPriority w:val="99"/>
    <w:rPr>
      <w:color w:val="0563C1" w:themeColor="hyperlink"/>
      <w:u w:val="single"/>
      <w14:textFill>
        <w14:solidFill>
          <w14:schemeClr w14:val="hlink"/>
        </w14:solidFill>
      </w14:textFill>
    </w:rPr>
  </w:style>
  <w:style w:type="character" w:styleId="26">
    <w:name w:val="annotation reference"/>
    <w:basedOn w:val="23"/>
    <w:semiHidden/>
    <w:unhideWhenUsed/>
    <w:uiPriority w:val="99"/>
    <w:rPr>
      <w:sz w:val="21"/>
      <w:szCs w:val="21"/>
    </w:rPr>
  </w:style>
  <w:style w:type="table" w:styleId="28">
    <w:name w:val="Table Grid"/>
    <w:basedOn w:val="27"/>
    <w:qFormat/>
    <w:uiPriority w:val="3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styleId="29">
    <w:name w:val="List Paragraph"/>
    <w:basedOn w:val="1"/>
    <w:qFormat/>
    <w:uiPriority w:val="34"/>
    <w:pPr>
      <w:ind w:firstLine="420"/>
    </w:pPr>
  </w:style>
  <w:style w:type="character" w:customStyle="1" w:styleId="30">
    <w:name w:val="页眉 Char"/>
    <w:basedOn w:val="23"/>
    <w:link w:val="17"/>
    <w:qFormat/>
    <w:uiPriority w:val="99"/>
    <w:rPr>
      <w:sz w:val="18"/>
      <w:szCs w:val="18"/>
    </w:rPr>
  </w:style>
  <w:style w:type="character" w:customStyle="1" w:styleId="31">
    <w:name w:val="页脚 Char"/>
    <w:basedOn w:val="23"/>
    <w:link w:val="16"/>
    <w:qFormat/>
    <w:uiPriority w:val="99"/>
    <w:rPr>
      <w:sz w:val="18"/>
      <w:szCs w:val="18"/>
    </w:rPr>
  </w:style>
  <w:style w:type="character" w:customStyle="1" w:styleId="32">
    <w:name w:val="fontstyle01"/>
    <w:basedOn w:val="23"/>
    <w:uiPriority w:val="0"/>
    <w:rPr>
      <w:rFonts w:hint="eastAsia" w:ascii="仿宋_GB2312" w:eastAsia="仿宋_GB2312"/>
      <w:color w:val="000000"/>
      <w:sz w:val="30"/>
      <w:szCs w:val="30"/>
    </w:rPr>
  </w:style>
  <w:style w:type="character" w:customStyle="1" w:styleId="33">
    <w:name w:val="标题 1 Char"/>
    <w:basedOn w:val="23"/>
    <w:link w:val="2"/>
    <w:qFormat/>
    <w:uiPriority w:val="9"/>
    <w:rPr>
      <w:rFonts w:eastAsia="黑体" w:cstheme="minorBidi"/>
      <w:b/>
      <w:bCs/>
      <w:kern w:val="44"/>
      <w:sz w:val="28"/>
      <w:szCs w:val="44"/>
    </w:rPr>
  </w:style>
  <w:style w:type="character" w:customStyle="1" w:styleId="34">
    <w:name w:val="标题 2 Char"/>
    <w:basedOn w:val="23"/>
    <w:link w:val="3"/>
    <w:qFormat/>
    <w:uiPriority w:val="9"/>
    <w:rPr>
      <w:rFonts w:eastAsia="黑体" w:cstheme="majorBidi"/>
      <w:b/>
      <w:bCs/>
      <w:kern w:val="2"/>
      <w:sz w:val="28"/>
      <w:szCs w:val="32"/>
    </w:rPr>
  </w:style>
  <w:style w:type="character" w:customStyle="1" w:styleId="35">
    <w:name w:val="标题 3 Char"/>
    <w:basedOn w:val="23"/>
    <w:link w:val="4"/>
    <w:qFormat/>
    <w:uiPriority w:val="9"/>
    <w:rPr>
      <w:rFonts w:cstheme="minorBidi"/>
      <w:b/>
      <w:bCs/>
      <w:kern w:val="2"/>
      <w:sz w:val="24"/>
      <w:szCs w:val="32"/>
    </w:rPr>
  </w:style>
  <w:style w:type="paragraph" w:customStyle="1" w:styleId="36">
    <w:name w:val="TOC 标题1"/>
    <w:basedOn w:val="2"/>
    <w:next w:val="1"/>
    <w:unhideWhenUsed/>
    <w:qFormat/>
    <w:uiPriority w:val="39"/>
    <w:pPr>
      <w:widowControl/>
      <w:spacing w:before="240" w:line="259" w:lineRule="auto"/>
      <w:outlineLvl w:val="9"/>
    </w:pPr>
    <w:rPr>
      <w:rFonts w:asciiTheme="majorHAnsi" w:hAnsiTheme="majorHAnsi" w:eastAsiaTheme="majorEastAsia" w:cstheme="majorBidi"/>
      <w:b w:val="0"/>
      <w:bCs w:val="0"/>
      <w:color w:val="2E75B6" w:themeColor="accent1" w:themeShade="BF"/>
      <w:kern w:val="0"/>
      <w:sz w:val="32"/>
      <w:szCs w:val="32"/>
    </w:rPr>
  </w:style>
  <w:style w:type="paragraph" w:customStyle="1" w:styleId="37">
    <w:name w:val="正文0"/>
    <w:basedOn w:val="1"/>
    <w:next w:val="1"/>
    <w:qFormat/>
    <w:uiPriority w:val="0"/>
    <w:rPr>
      <w:rFonts w:cs="宋体"/>
      <w:szCs w:val="20"/>
    </w:rPr>
  </w:style>
  <w:style w:type="character" w:customStyle="1" w:styleId="38">
    <w:name w:val="不明显强调1"/>
    <w:basedOn w:val="23"/>
    <w:qFormat/>
    <w:uiPriority w:val="19"/>
    <w:rPr>
      <w:rFonts w:ascii="Times New Roman" w:hAnsi="Times New Roman" w:eastAsia="宋体"/>
      <w:iCs/>
      <w:color w:val="404040" w:themeColor="text1" w:themeTint="BF"/>
      <w:sz w:val="21"/>
      <w14:textFill>
        <w14:solidFill>
          <w14:schemeClr w14:val="tx1">
            <w14:lumMod w14:val="75000"/>
            <w14:lumOff w14:val="25000"/>
          </w14:schemeClr>
        </w14:solidFill>
      </w14:textFill>
    </w:rPr>
  </w:style>
  <w:style w:type="character" w:customStyle="1" w:styleId="39">
    <w:name w:val="M报告正文 Char"/>
    <w:basedOn w:val="23"/>
    <w:qFormat/>
    <w:uiPriority w:val="0"/>
    <w:rPr>
      <w:rFonts w:ascii="Times New Roman" w:hAnsi="Times New Roman" w:eastAsia="宋体"/>
      <w:sz w:val="24"/>
    </w:rPr>
  </w:style>
  <w:style w:type="paragraph" w:customStyle="1" w:styleId="40">
    <w:name w:val="M表中字体"/>
    <w:link w:val="41"/>
    <w:qFormat/>
    <w:uiPriority w:val="0"/>
    <w:pPr>
      <w:adjustRightInd w:val="0"/>
      <w:snapToGrid w:val="0"/>
      <w:jc w:val="center"/>
    </w:pPr>
    <w:rPr>
      <w:rFonts w:ascii="Times New Roman" w:hAnsi="Times New Roman" w:eastAsia="宋体" w:cstheme="minorBidi"/>
      <w:kern w:val="2"/>
      <w:sz w:val="21"/>
      <w:szCs w:val="21"/>
      <w:lang w:val="en-US" w:eastAsia="zh-CN" w:bidi="ar-SA"/>
    </w:rPr>
  </w:style>
  <w:style w:type="character" w:customStyle="1" w:styleId="41">
    <w:name w:val="M表中字体 Char"/>
    <w:basedOn w:val="23"/>
    <w:link w:val="40"/>
    <w:uiPriority w:val="0"/>
    <w:rPr>
      <w:rFonts w:cstheme="minorBidi"/>
      <w:kern w:val="2"/>
      <w:sz w:val="21"/>
      <w:szCs w:val="21"/>
    </w:rPr>
  </w:style>
  <w:style w:type="character" w:customStyle="1" w:styleId="42">
    <w:name w:val="批注框文本 Char"/>
    <w:basedOn w:val="23"/>
    <w:link w:val="15"/>
    <w:semiHidden/>
    <w:uiPriority w:val="99"/>
    <w:rPr>
      <w:rFonts w:asciiTheme="minorHAnsi" w:hAnsiTheme="minorHAnsi" w:eastAsiaTheme="minorEastAsia" w:cstheme="minorBidi"/>
      <w:kern w:val="2"/>
      <w:sz w:val="18"/>
      <w:szCs w:val="18"/>
    </w:rPr>
  </w:style>
  <w:style w:type="character" w:customStyle="1" w:styleId="43">
    <w:name w:val="文档结构图 Char"/>
    <w:basedOn w:val="23"/>
    <w:link w:val="10"/>
    <w:semiHidden/>
    <w:uiPriority w:val="99"/>
    <w:rPr>
      <w:rFonts w:ascii="宋体" w:hAnsiTheme="minorHAnsi" w:cstheme="minorBidi"/>
      <w:kern w:val="2"/>
      <w:sz w:val="18"/>
      <w:szCs w:val="18"/>
    </w:rPr>
  </w:style>
  <w:style w:type="character" w:customStyle="1" w:styleId="44">
    <w:name w:val="日期 Char"/>
    <w:basedOn w:val="23"/>
    <w:link w:val="14"/>
    <w:semiHidden/>
    <w:uiPriority w:val="99"/>
    <w:rPr>
      <w:rFonts w:asciiTheme="minorHAnsi" w:hAnsiTheme="minorHAnsi" w:eastAsiaTheme="minorEastAsia" w:cstheme="minorBidi"/>
      <w:kern w:val="2"/>
      <w:sz w:val="21"/>
      <w:szCs w:val="22"/>
    </w:rPr>
  </w:style>
  <w:style w:type="paragraph" w:customStyle="1" w:styleId="45">
    <w:name w:val="Body text|2"/>
    <w:basedOn w:val="1"/>
    <w:link w:val="46"/>
    <w:qFormat/>
    <w:uiPriority w:val="0"/>
    <w:pPr>
      <w:shd w:val="clear" w:color="auto" w:fill="FFFFFF"/>
      <w:spacing w:line="390" w:lineRule="exact"/>
      <w:jc w:val="center"/>
    </w:pPr>
    <w:rPr>
      <w:rFonts w:ascii="PMingLiU" w:hAnsi="PMingLiU" w:eastAsia="PMingLiU" w:cs="PMingLiU"/>
      <w:color w:val="000000"/>
      <w:spacing w:val="20"/>
      <w:kern w:val="0"/>
      <w:sz w:val="19"/>
      <w:szCs w:val="19"/>
      <w:lang w:val="zh-CN" w:bidi="zh-CN"/>
    </w:rPr>
  </w:style>
  <w:style w:type="character" w:customStyle="1" w:styleId="46">
    <w:name w:val="Body text|2_"/>
    <w:basedOn w:val="23"/>
    <w:link w:val="45"/>
    <w:uiPriority w:val="0"/>
    <w:rPr>
      <w:rFonts w:ascii="PMingLiU" w:hAnsi="PMingLiU" w:eastAsia="PMingLiU" w:cs="PMingLiU"/>
      <w:color w:val="000000"/>
      <w:spacing w:val="20"/>
      <w:sz w:val="19"/>
      <w:szCs w:val="19"/>
      <w:shd w:val="clear" w:color="auto" w:fill="FFFFFF"/>
      <w:lang w:val="zh-CN" w:bidi="zh-CN"/>
    </w:rPr>
  </w:style>
  <w:style w:type="character" w:customStyle="1" w:styleId="47">
    <w:name w:val="Body text|3 Exact"/>
    <w:basedOn w:val="23"/>
    <w:link w:val="48"/>
    <w:qFormat/>
    <w:uiPriority w:val="0"/>
    <w:rPr>
      <w:sz w:val="34"/>
      <w:szCs w:val="34"/>
      <w:shd w:val="clear" w:color="auto" w:fill="FFFFFF"/>
      <w:lang w:eastAsia="en-US" w:bidi="en-US"/>
    </w:rPr>
  </w:style>
  <w:style w:type="paragraph" w:customStyle="1" w:styleId="48">
    <w:name w:val="Body text|3"/>
    <w:basedOn w:val="1"/>
    <w:link w:val="47"/>
    <w:uiPriority w:val="0"/>
    <w:pPr>
      <w:shd w:val="clear" w:color="auto" w:fill="FFFFFF"/>
      <w:spacing w:line="376" w:lineRule="exact"/>
      <w:jc w:val="left"/>
    </w:pPr>
    <w:rPr>
      <w:rFonts w:cs="Times New Roman"/>
      <w:kern w:val="0"/>
      <w:sz w:val="34"/>
      <w:szCs w:val="34"/>
      <w:lang w:eastAsia="en-US" w:bidi="en-US"/>
    </w:rPr>
  </w:style>
  <w:style w:type="character" w:customStyle="1" w:styleId="49">
    <w:name w:val="Body text|3 + Spacing 1 pt"/>
    <w:basedOn w:val="23"/>
    <w:semiHidden/>
    <w:unhideWhenUsed/>
    <w:uiPriority w:val="0"/>
    <w:rPr>
      <w:rFonts w:ascii="PMingLiU" w:hAnsi="PMingLiU" w:eastAsia="PMingLiU" w:cs="PMingLiU"/>
      <w:color w:val="000000"/>
      <w:spacing w:val="30"/>
      <w:w w:val="100"/>
      <w:position w:val="0"/>
      <w:sz w:val="22"/>
      <w:szCs w:val="22"/>
      <w:u w:val="none"/>
      <w:lang w:val="zh-CN" w:eastAsia="zh-CN" w:bidi="zh-CN"/>
    </w:rPr>
  </w:style>
  <w:style w:type="character" w:customStyle="1" w:styleId="50">
    <w:name w:val="font21"/>
    <w:basedOn w:val="23"/>
    <w:qFormat/>
    <w:uiPriority w:val="0"/>
    <w:rPr>
      <w:rFonts w:hint="eastAsia" w:ascii="宋体" w:hAnsi="宋体" w:eastAsia="宋体" w:cs="宋体"/>
      <w:color w:val="000000"/>
      <w:sz w:val="24"/>
      <w:szCs w:val="24"/>
      <w:u w:val="none"/>
      <w:vertAlign w:val="superscript"/>
    </w:rPr>
  </w:style>
  <w:style w:type="character" w:customStyle="1" w:styleId="51">
    <w:name w:val="font01"/>
    <w:basedOn w:val="23"/>
    <w:uiPriority w:val="0"/>
    <w:rPr>
      <w:rFonts w:hint="eastAsia" w:ascii="宋体" w:hAnsi="宋体" w:eastAsia="宋体" w:cs="宋体"/>
      <w:color w:val="000000"/>
      <w:sz w:val="24"/>
      <w:szCs w:val="24"/>
      <w:u w:val="none"/>
    </w:rPr>
  </w:style>
  <w:style w:type="character" w:customStyle="1" w:styleId="52">
    <w:name w:val="font11"/>
    <w:basedOn w:val="23"/>
    <w:uiPriority w:val="0"/>
    <w:rPr>
      <w:rFonts w:hint="eastAsia" w:ascii="宋体" w:hAnsi="宋体" w:eastAsia="宋体" w:cs="宋体"/>
      <w:color w:val="000000"/>
      <w:sz w:val="24"/>
      <w:szCs w:val="24"/>
      <w:u w:val="none"/>
      <w:vertAlign w:val="superscript"/>
    </w:rPr>
  </w:style>
  <w:style w:type="character" w:customStyle="1" w:styleId="53">
    <w:name w:val="批注文字 Char"/>
    <w:basedOn w:val="23"/>
    <w:link w:val="7"/>
    <w:semiHidden/>
    <w:uiPriority w:val="99"/>
    <w:rPr>
      <w:rFonts w:cstheme="minorBidi"/>
      <w:kern w:val="2"/>
      <w:sz w:val="24"/>
      <w:szCs w:val="22"/>
    </w:rPr>
  </w:style>
  <w:style w:type="character" w:customStyle="1" w:styleId="54">
    <w:name w:val="批注主题 Char"/>
    <w:basedOn w:val="53"/>
    <w:link w:val="6"/>
    <w:semiHidden/>
    <w:uiPriority w:val="99"/>
    <w:rPr>
      <w:rFonts w:cstheme="minorBidi"/>
      <w:b/>
      <w:bCs/>
      <w:kern w:val="2"/>
      <w:sz w:val="24"/>
      <w:szCs w:val="22"/>
    </w:rPr>
  </w:style>
  <w:style w:type="character" w:customStyle="1" w:styleId="55">
    <w:name w:val="标题 4 Char"/>
    <w:basedOn w:val="23"/>
    <w:link w:val="5"/>
    <w:uiPriority w:val="9"/>
    <w:rPr>
      <w:rFonts w:eastAsiaTheme="majorEastAsia" w:cstheme="majorBidi"/>
      <w:b/>
      <w:bCs/>
      <w:kern w:val="2"/>
      <w:sz w:val="24"/>
      <w:szCs w:val="28"/>
    </w:rPr>
  </w:style>
  <w:style w:type="paragraph" w:customStyle="1" w:styleId="56">
    <w:name w:val="EndNote Bibliography"/>
    <w:basedOn w:val="1"/>
    <w:link w:val="57"/>
    <w:qFormat/>
    <w:uiPriority w:val="0"/>
    <w:pPr>
      <w:spacing w:line="240" w:lineRule="auto"/>
    </w:pPr>
    <w:rPr>
      <w:rFonts w:ascii="等线" w:hAnsi="等线" w:eastAsia="等线"/>
      <w:sz w:val="20"/>
    </w:rPr>
  </w:style>
  <w:style w:type="character" w:customStyle="1" w:styleId="57">
    <w:name w:val="EndNote Bibliography 字符"/>
    <w:basedOn w:val="23"/>
    <w:link w:val="56"/>
    <w:uiPriority w:val="0"/>
    <w:rPr>
      <w:rFonts w:ascii="等线" w:hAnsi="等线" w:eastAsia="等线" w:cstheme="minorBidi"/>
      <w:kern w:val="2"/>
      <w:szCs w:val="22"/>
    </w:rPr>
  </w:style>
  <w:style w:type="paragraph" w:customStyle="1" w:styleId="58">
    <w:name w:val="TOC Heading"/>
    <w:basedOn w:val="2"/>
    <w:next w:val="1"/>
    <w:unhideWhenUsed/>
    <w:qFormat/>
    <w:uiPriority w:val="39"/>
    <w:pPr>
      <w:spacing w:before="340" w:after="330" w:line="578" w:lineRule="auto"/>
      <w:ind w:firstLine="200" w:firstLineChars="200"/>
      <w:jc w:val="both"/>
      <w:outlineLvl w:val="9"/>
    </w:pPr>
    <w:rPr>
      <w:rFonts w:eastAsia="宋体"/>
      <w:sz w:val="44"/>
    </w:rPr>
  </w:style>
  <w:style w:type="character" w:customStyle="1" w:styleId="59">
    <w:name w:val="正文文本 (3)_"/>
    <w:basedOn w:val="23"/>
    <w:link w:val="60"/>
    <w:locked/>
    <w:uiPriority w:val="99"/>
    <w:rPr>
      <w:rFonts w:ascii="Book Antiqua" w:hAnsi="Book Antiqua" w:cs="Book Antiqua"/>
      <w:b/>
      <w:bCs/>
      <w:i/>
      <w:iCs/>
      <w:spacing w:val="20"/>
      <w:sz w:val="22"/>
      <w:shd w:val="clear" w:color="auto" w:fill="FFFFFF"/>
    </w:rPr>
  </w:style>
  <w:style w:type="paragraph" w:customStyle="1" w:styleId="60">
    <w:name w:val="正文文本 (3)"/>
    <w:basedOn w:val="1"/>
    <w:link w:val="59"/>
    <w:uiPriority w:val="99"/>
    <w:pPr>
      <w:shd w:val="clear" w:color="auto" w:fill="FFFFFF"/>
      <w:spacing w:line="504" w:lineRule="exact"/>
    </w:pPr>
    <w:rPr>
      <w:rFonts w:ascii="Book Antiqua" w:hAnsi="Book Antiqua" w:cs="Book Antiqua"/>
      <w:b/>
      <w:bCs/>
      <w:i/>
      <w:iCs/>
      <w:spacing w:val="20"/>
      <w:kern w:val="0"/>
      <w:sz w:val="22"/>
      <w:szCs w:val="20"/>
    </w:rPr>
  </w:style>
  <w:style w:type="character" w:customStyle="1" w:styleId="61">
    <w:name w:val="表格标题_"/>
    <w:basedOn w:val="23"/>
    <w:link w:val="62"/>
    <w:locked/>
    <w:uiPriority w:val="99"/>
    <w:rPr>
      <w:rFonts w:ascii="Book Antiqua" w:hAnsi="Book Antiqua" w:cs="Book Antiqua"/>
      <w:b/>
      <w:bCs/>
      <w:i/>
      <w:iCs/>
      <w:sz w:val="22"/>
      <w:shd w:val="clear" w:color="auto" w:fill="FFFFFF"/>
    </w:rPr>
  </w:style>
  <w:style w:type="paragraph" w:customStyle="1" w:styleId="62">
    <w:name w:val="表格标题"/>
    <w:basedOn w:val="1"/>
    <w:link w:val="61"/>
    <w:uiPriority w:val="99"/>
    <w:pPr>
      <w:shd w:val="clear" w:color="auto" w:fill="FFFFFF"/>
      <w:spacing w:before="240" w:line="240" w:lineRule="atLeast"/>
      <w:jc w:val="right"/>
    </w:pPr>
    <w:rPr>
      <w:rFonts w:ascii="Book Antiqua" w:hAnsi="Book Antiqua" w:cs="Book Antiqua"/>
      <w:b/>
      <w:bCs/>
      <w:i/>
      <w:iCs/>
      <w:kern w:val="0"/>
      <w:sz w:val="22"/>
      <w:szCs w:val="20"/>
    </w:rPr>
  </w:style>
  <w:style w:type="character" w:customStyle="1" w:styleId="63">
    <w:name w:val="标题 #1"/>
    <w:basedOn w:val="23"/>
    <w:qFormat/>
    <w:uiPriority w:val="99"/>
    <w:rPr>
      <w:rFonts w:ascii="Book Antiqua" w:hAnsi="Book Antiqua" w:cs="Book Antiqua"/>
      <w:b/>
      <w:bCs/>
      <w:i/>
      <w:iCs/>
      <w:spacing w:val="30"/>
      <w:sz w:val="22"/>
      <w:shd w:val="clear" w:color="auto" w:fill="FFFFFF"/>
    </w:rPr>
  </w:style>
  <w:style w:type="character" w:customStyle="1" w:styleId="64">
    <w:name w:val="正文文本 (3) + 间距 2 pt"/>
    <w:basedOn w:val="59"/>
    <w:uiPriority w:val="99"/>
    <w:rPr>
      <w:rFonts w:ascii="Book Antiqua" w:hAnsi="Book Antiqua" w:cs="Book Antiqua"/>
      <w:spacing w:val="50"/>
      <w:sz w:val="22"/>
      <w:shd w:val="clear" w:color="auto" w:fill="FFFFFF"/>
    </w:rPr>
  </w:style>
  <w:style w:type="character" w:customStyle="1" w:styleId="65">
    <w:name w:val="表格标题 + 间距 1 pt"/>
    <w:basedOn w:val="61"/>
    <w:uiPriority w:val="99"/>
    <w:rPr>
      <w:rFonts w:ascii="Book Antiqua" w:hAnsi="Book Antiqua" w:cs="Book Antiqua"/>
      <w:spacing w:val="30"/>
      <w:sz w:val="22"/>
      <w:shd w:val="clear" w:color="auto" w:fill="FFFFFF"/>
    </w:rPr>
  </w:style>
  <w:style w:type="character" w:customStyle="1" w:styleId="66">
    <w:name w:val="其他_"/>
    <w:basedOn w:val="23"/>
    <w:link w:val="67"/>
    <w:locked/>
    <w:uiPriority w:val="99"/>
    <w:rPr>
      <w:rFonts w:ascii="MingLiU" w:hAnsi="MingLiU" w:eastAsia="MingLiU" w:cs="MingLiU"/>
      <w:sz w:val="26"/>
      <w:szCs w:val="26"/>
      <w:shd w:val="clear" w:color="auto" w:fill="FFFFFF"/>
    </w:rPr>
  </w:style>
  <w:style w:type="paragraph" w:customStyle="1" w:styleId="67">
    <w:name w:val="其他"/>
    <w:basedOn w:val="1"/>
    <w:link w:val="66"/>
    <w:uiPriority w:val="99"/>
    <w:pPr>
      <w:shd w:val="clear" w:color="auto" w:fill="FFFFFF"/>
      <w:spacing w:after="380" w:line="480" w:lineRule="auto"/>
      <w:ind w:firstLine="400"/>
      <w:jc w:val="left"/>
    </w:pPr>
    <w:rPr>
      <w:rFonts w:ascii="MingLiU" w:hAnsi="MingLiU" w:eastAsia="MingLiU" w:cs="MingLiU"/>
      <w:kern w:val="0"/>
      <w:sz w:val="26"/>
      <w:szCs w:val="26"/>
    </w:rPr>
  </w:style>
  <w:style w:type="paragraph" w:customStyle="1" w:styleId="68">
    <w:name w:val="Revision"/>
    <w:hidden/>
    <w:semiHidden/>
    <w:qFormat/>
    <w:uiPriority w:val="99"/>
    <w:rPr>
      <w:rFonts w:ascii="Times New Roman" w:hAnsi="Times New Roman" w:eastAsia="宋体" w:cstheme="minorBidi"/>
      <w:kern w:val="2"/>
      <w:sz w:val="24"/>
      <w:szCs w:val="22"/>
      <w:lang w:val="en-US" w:eastAsia="zh-CN" w:bidi="ar-SA"/>
    </w:rPr>
  </w:style>
  <w:style w:type="character" w:customStyle="1" w:styleId="69">
    <w:name w:val="Body text|2 + 9.5 pt"/>
    <w:basedOn w:val="46"/>
    <w:semiHidden/>
    <w:qFormat/>
    <w:uiPriority w:val="0"/>
    <w:rPr>
      <w:rFonts w:ascii="PMingLiU" w:hAnsi="PMingLiU" w:eastAsia="PMingLiU" w:cs="PMingLiU"/>
      <w:color w:val="000000"/>
      <w:spacing w:val="100"/>
      <w:w w:val="100"/>
      <w:position w:val="0"/>
      <w:sz w:val="19"/>
      <w:szCs w:val="19"/>
      <w:shd w:val="clear" w:color="auto" w:fill="FFFFFF"/>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4.png"/><Relationship Id="rId15" Type="http://schemas.openxmlformats.org/officeDocument/2006/relationships/image" Target="media/image3.png"/><Relationship Id="rId14" Type="http://schemas.openxmlformats.org/officeDocument/2006/relationships/image" Target="media/image2.emf"/><Relationship Id="rId13" Type="http://schemas.openxmlformats.org/officeDocument/2006/relationships/oleObject" Target="embeddings/oleObject1.bin"/><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0F2BE5-4887-4A57-8AFC-F12AC89E3EE7}">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49</Pages>
  <Words>5201</Words>
  <Characters>29647</Characters>
  <Lines>247</Lines>
  <Paragraphs>69</Paragraphs>
  <TotalTime>239</TotalTime>
  <ScaleCrop>false</ScaleCrop>
  <LinksUpToDate>false</LinksUpToDate>
  <CharactersWithSpaces>34779</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2020-04-14T00:58:00Z</dcterms:created>
  <dc:creator>黄显东</dc:creator>
  <cp:lastModifiedBy>jzt</cp:lastModifiedBy>
  <cp:lastPrinted>2020-04-02T07:52:00Z</cp:lastPrinted>
  <dcterms:modified xsi:type="dcterms:W3CDTF">2020-04-28T03:40:35Z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y fmtid="{D5CDD505-2E9C-101B-9397-08002B2CF9AE}" pid="3" name="ribbonExt">
    <vt:lpwstr>{"WPSExtOfficeTab":{"OnGetEnabled":false,"OnGetVisible":false}}</vt:lpwstr>
  </property>
</Properties>
</file>