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56"/>
          <w:szCs w:val="56"/>
        </w:rPr>
      </w:pPr>
    </w:p>
    <w:p>
      <w:pPr>
        <w:jc w:val="center"/>
        <w:rPr>
          <w:sz w:val="56"/>
          <w:szCs w:val="56"/>
        </w:rPr>
      </w:pPr>
    </w:p>
    <w:p>
      <w:pPr>
        <w:jc w:val="center"/>
        <w:rPr>
          <w:sz w:val="56"/>
          <w:szCs w:val="56"/>
        </w:rPr>
      </w:pPr>
    </w:p>
    <w:p>
      <w:pPr>
        <w:jc w:val="center"/>
        <w:rPr>
          <w:sz w:val="56"/>
          <w:szCs w:val="56"/>
        </w:rPr>
      </w:pPr>
    </w:p>
    <w:p>
      <w:pPr>
        <w:jc w:val="center"/>
        <w:rPr>
          <w:sz w:val="56"/>
          <w:szCs w:val="56"/>
        </w:rPr>
      </w:pPr>
    </w:p>
    <w:p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t>中山智慧公证微信小程序</w:t>
      </w:r>
    </w:p>
    <w:p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使用说明</w:t>
      </w:r>
    </w:p>
    <w:p>
      <w:pPr>
        <w:widowControl/>
        <w:jc w:val="left"/>
        <w:rPr>
          <w:sz w:val="52"/>
          <w:szCs w:val="52"/>
        </w:rPr>
      </w:pPr>
    </w:p>
    <w:p>
      <w:pPr>
        <w:widowControl/>
        <w:jc w:val="left"/>
        <w:rPr>
          <w:sz w:val="52"/>
          <w:szCs w:val="52"/>
        </w:rPr>
      </w:pPr>
    </w:p>
    <w:p>
      <w:pPr>
        <w:widowControl/>
        <w:jc w:val="left"/>
        <w:rPr>
          <w:sz w:val="52"/>
          <w:szCs w:val="52"/>
        </w:rPr>
      </w:pPr>
    </w:p>
    <w:p>
      <w:pPr>
        <w:widowControl/>
        <w:jc w:val="left"/>
        <w:rPr>
          <w:sz w:val="52"/>
          <w:szCs w:val="52"/>
        </w:rPr>
      </w:pPr>
    </w:p>
    <w:p>
      <w:pPr>
        <w:widowControl/>
        <w:jc w:val="left"/>
        <w:rPr>
          <w:sz w:val="52"/>
          <w:szCs w:val="52"/>
        </w:rPr>
      </w:pPr>
    </w:p>
    <w:p>
      <w:pPr>
        <w:widowControl/>
        <w:jc w:val="left"/>
        <w:rPr>
          <w:sz w:val="52"/>
          <w:szCs w:val="52"/>
        </w:rPr>
      </w:pPr>
    </w:p>
    <w:p>
      <w:pPr>
        <w:widowControl/>
        <w:jc w:val="left"/>
        <w:rPr>
          <w:sz w:val="52"/>
          <w:szCs w:val="52"/>
        </w:rPr>
      </w:pPr>
    </w:p>
    <w:p>
      <w:pPr>
        <w:widowControl/>
        <w:jc w:val="left"/>
        <w:rPr>
          <w:sz w:val="52"/>
          <w:szCs w:val="52"/>
        </w:rPr>
      </w:pPr>
    </w:p>
    <w:p>
      <w:pPr>
        <w:widowControl/>
        <w:jc w:val="left"/>
        <w:rPr>
          <w:sz w:val="52"/>
          <w:szCs w:val="52"/>
        </w:rPr>
      </w:pPr>
    </w:p>
    <w:p>
      <w:pPr>
        <w:widowControl/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目录</w:t>
      </w:r>
    </w:p>
    <w:p>
      <w:pPr>
        <w:pStyle w:val="17"/>
        <w:tabs>
          <w:tab w:val="right" w:leader="dot" w:pos="10466"/>
        </w:tabs>
      </w:pPr>
      <w:r>
        <w:rPr>
          <w:sz w:val="52"/>
          <w:szCs w:val="52"/>
        </w:rPr>
        <w:fldChar w:fldCharType="begin"/>
      </w:r>
      <w:r>
        <w:rPr>
          <w:sz w:val="52"/>
          <w:szCs w:val="52"/>
        </w:rPr>
        <w:instrText xml:space="preserve"> </w:instrText>
      </w:r>
      <w:r>
        <w:rPr>
          <w:rFonts w:hint="eastAsia"/>
          <w:sz w:val="52"/>
          <w:szCs w:val="52"/>
        </w:rPr>
        <w:instrText xml:space="preserve">TOC \o "1-3" \h \z \u</w:instrText>
      </w:r>
      <w:r>
        <w:rPr>
          <w:sz w:val="52"/>
          <w:szCs w:val="52"/>
        </w:rPr>
        <w:instrText xml:space="preserve"> </w:instrText>
      </w:r>
      <w:r>
        <w:rPr>
          <w:sz w:val="52"/>
          <w:szCs w:val="52"/>
        </w:rPr>
        <w:fldChar w:fldCharType="separate"/>
      </w:r>
      <w:r>
        <w:rPr>
          <w:szCs w:val="52"/>
        </w:rPr>
        <w:fldChar w:fldCharType="begin"/>
      </w:r>
      <w:r>
        <w:rPr>
          <w:szCs w:val="52"/>
        </w:rPr>
        <w:instrText xml:space="preserve"> HYPERLINK \l _Toc17683 </w:instrText>
      </w:r>
      <w:r>
        <w:rPr>
          <w:szCs w:val="52"/>
        </w:rPr>
        <w:fldChar w:fldCharType="separate"/>
      </w:r>
      <w:r>
        <w:t xml:space="preserve">I. </w:t>
      </w:r>
      <w:r>
        <w:rPr>
          <w:rFonts w:hint="eastAsia"/>
        </w:rPr>
        <w:t>一手房签约公证</w:t>
      </w:r>
      <w:r>
        <w:tab/>
      </w:r>
      <w:r>
        <w:fldChar w:fldCharType="begin"/>
      </w:r>
      <w:r>
        <w:instrText xml:space="preserve"> PAGEREF _Toc17683 </w:instrText>
      </w:r>
      <w:r>
        <w:fldChar w:fldCharType="separate"/>
      </w:r>
      <w:r>
        <w:t>3</w:t>
      </w:r>
      <w:r>
        <w:fldChar w:fldCharType="end"/>
      </w:r>
      <w:r>
        <w:rPr>
          <w:szCs w:val="52"/>
        </w:rPr>
        <w:fldChar w:fldCharType="end"/>
      </w:r>
    </w:p>
    <w:p>
      <w:pPr>
        <w:pStyle w:val="20"/>
        <w:tabs>
          <w:tab w:val="right" w:leader="dot" w:pos="10466"/>
        </w:tabs>
      </w:pPr>
      <w:r>
        <w:rPr>
          <w:szCs w:val="52"/>
        </w:rPr>
        <w:fldChar w:fldCharType="begin"/>
      </w:r>
      <w:r>
        <w:rPr>
          <w:szCs w:val="52"/>
        </w:rPr>
        <w:instrText xml:space="preserve"> HYPERLINK \l _Toc2384 </w:instrText>
      </w:r>
      <w:r>
        <w:rPr>
          <w:szCs w:val="52"/>
        </w:rPr>
        <w:fldChar w:fldCharType="separate"/>
      </w:r>
      <w:r>
        <w:rPr>
          <w:rFonts w:hint="eastAsia"/>
        </w:rPr>
        <w:t>中国大陆公民使用流程</w:t>
      </w:r>
      <w:r>
        <w:tab/>
      </w:r>
      <w:r>
        <w:fldChar w:fldCharType="begin"/>
      </w:r>
      <w:r>
        <w:instrText xml:space="preserve"> PAGEREF _Toc2384 </w:instrText>
      </w:r>
      <w:r>
        <w:fldChar w:fldCharType="separate"/>
      </w:r>
      <w:r>
        <w:t>5</w:t>
      </w:r>
      <w:r>
        <w:fldChar w:fldCharType="end"/>
      </w:r>
      <w:r>
        <w:rPr>
          <w:szCs w:val="52"/>
        </w:rPr>
        <w:fldChar w:fldCharType="end"/>
      </w:r>
    </w:p>
    <w:p>
      <w:pPr>
        <w:pStyle w:val="13"/>
        <w:tabs>
          <w:tab w:val="right" w:leader="dot" w:pos="10466"/>
        </w:tabs>
      </w:pPr>
      <w:r>
        <w:rPr>
          <w:szCs w:val="52"/>
        </w:rPr>
        <w:fldChar w:fldCharType="begin"/>
      </w:r>
      <w:r>
        <w:rPr>
          <w:szCs w:val="52"/>
        </w:rPr>
        <w:instrText xml:space="preserve"> HYPERLINK \l _Toc28537 </w:instrText>
      </w:r>
      <w:r>
        <w:rPr>
          <w:szCs w:val="52"/>
        </w:rPr>
        <w:fldChar w:fldCharType="separate"/>
      </w:r>
      <w:r>
        <w:rPr>
          <w:rFonts w:hint="eastAsia"/>
        </w:rPr>
        <w:t>验证身份</w:t>
      </w:r>
      <w:r>
        <w:tab/>
      </w:r>
      <w:r>
        <w:fldChar w:fldCharType="begin"/>
      </w:r>
      <w:r>
        <w:instrText xml:space="preserve"> PAGEREF _Toc28537 </w:instrText>
      </w:r>
      <w:r>
        <w:fldChar w:fldCharType="separate"/>
      </w:r>
      <w:r>
        <w:t>7</w:t>
      </w:r>
      <w:r>
        <w:fldChar w:fldCharType="end"/>
      </w:r>
      <w:r>
        <w:rPr>
          <w:szCs w:val="52"/>
        </w:rPr>
        <w:fldChar w:fldCharType="end"/>
      </w:r>
    </w:p>
    <w:p>
      <w:pPr>
        <w:pStyle w:val="13"/>
        <w:tabs>
          <w:tab w:val="right" w:leader="dot" w:pos="10466"/>
        </w:tabs>
      </w:pPr>
      <w:r>
        <w:rPr>
          <w:szCs w:val="52"/>
        </w:rPr>
        <w:fldChar w:fldCharType="begin"/>
      </w:r>
      <w:r>
        <w:rPr>
          <w:szCs w:val="52"/>
        </w:rPr>
        <w:instrText xml:space="preserve"> HYPERLINK \l _Toc13970 </w:instrText>
      </w:r>
      <w:r>
        <w:rPr>
          <w:szCs w:val="52"/>
        </w:rPr>
        <w:fldChar w:fldCharType="separate"/>
      </w:r>
      <w:r>
        <w:rPr>
          <w:rFonts w:hint="eastAsia"/>
        </w:rPr>
        <w:t>阅读签约合同资料告知</w:t>
      </w:r>
      <w:r>
        <w:tab/>
      </w:r>
      <w:r>
        <w:fldChar w:fldCharType="begin"/>
      </w:r>
      <w:r>
        <w:instrText xml:space="preserve"> PAGEREF _Toc13970 </w:instrText>
      </w:r>
      <w:r>
        <w:fldChar w:fldCharType="separate"/>
      </w:r>
      <w:r>
        <w:t>8</w:t>
      </w:r>
      <w:r>
        <w:fldChar w:fldCharType="end"/>
      </w:r>
      <w:r>
        <w:rPr>
          <w:szCs w:val="52"/>
        </w:rPr>
        <w:fldChar w:fldCharType="end"/>
      </w:r>
    </w:p>
    <w:p>
      <w:pPr>
        <w:pStyle w:val="13"/>
        <w:tabs>
          <w:tab w:val="right" w:leader="dot" w:pos="10466"/>
        </w:tabs>
      </w:pPr>
      <w:r>
        <w:rPr>
          <w:szCs w:val="52"/>
        </w:rPr>
        <w:fldChar w:fldCharType="begin"/>
      </w:r>
      <w:r>
        <w:rPr>
          <w:szCs w:val="52"/>
        </w:rPr>
        <w:instrText xml:space="preserve"> HYPERLINK \l _Toc32251 </w:instrText>
      </w:r>
      <w:r>
        <w:rPr>
          <w:szCs w:val="52"/>
        </w:rPr>
        <w:fldChar w:fldCharType="separate"/>
      </w:r>
      <w:r>
        <w:rPr>
          <w:rFonts w:hint="eastAsia"/>
        </w:rPr>
        <w:t>身份证明材料上传</w:t>
      </w:r>
      <w:r>
        <w:tab/>
      </w:r>
      <w:r>
        <w:fldChar w:fldCharType="begin"/>
      </w:r>
      <w:r>
        <w:instrText xml:space="preserve"> PAGEREF _Toc32251 </w:instrText>
      </w:r>
      <w:r>
        <w:fldChar w:fldCharType="separate"/>
      </w:r>
      <w:r>
        <w:t>10</w:t>
      </w:r>
      <w:r>
        <w:fldChar w:fldCharType="end"/>
      </w:r>
      <w:r>
        <w:rPr>
          <w:szCs w:val="52"/>
        </w:rPr>
        <w:fldChar w:fldCharType="end"/>
      </w:r>
    </w:p>
    <w:p>
      <w:pPr>
        <w:pStyle w:val="20"/>
        <w:tabs>
          <w:tab w:val="right" w:leader="dot" w:pos="10466"/>
        </w:tabs>
      </w:pPr>
      <w:r>
        <w:rPr>
          <w:szCs w:val="52"/>
        </w:rPr>
        <w:fldChar w:fldCharType="begin"/>
      </w:r>
      <w:r>
        <w:rPr>
          <w:szCs w:val="52"/>
        </w:rPr>
        <w:instrText xml:space="preserve"> HYPERLINK \l _Toc30033 </w:instrText>
      </w:r>
      <w:r>
        <w:rPr>
          <w:szCs w:val="52"/>
        </w:rPr>
        <w:fldChar w:fldCharType="separate"/>
      </w:r>
      <w:r>
        <w:rPr>
          <w:rFonts w:hint="eastAsia"/>
        </w:rPr>
        <w:t>非中国大陆公民使用流程</w:t>
      </w:r>
      <w:r>
        <w:tab/>
      </w:r>
      <w:r>
        <w:fldChar w:fldCharType="begin"/>
      </w:r>
      <w:r>
        <w:instrText xml:space="preserve"> PAGEREF _Toc30033 </w:instrText>
      </w:r>
      <w:r>
        <w:fldChar w:fldCharType="separate"/>
      </w:r>
      <w:r>
        <w:t>12</w:t>
      </w:r>
      <w:r>
        <w:fldChar w:fldCharType="end"/>
      </w:r>
      <w:r>
        <w:rPr>
          <w:szCs w:val="52"/>
        </w:rPr>
        <w:fldChar w:fldCharType="end"/>
      </w:r>
    </w:p>
    <w:p>
      <w:pPr>
        <w:pStyle w:val="13"/>
        <w:tabs>
          <w:tab w:val="right" w:leader="dot" w:pos="10466"/>
        </w:tabs>
      </w:pPr>
      <w:r>
        <w:rPr>
          <w:szCs w:val="52"/>
        </w:rPr>
        <w:fldChar w:fldCharType="begin"/>
      </w:r>
      <w:r>
        <w:rPr>
          <w:szCs w:val="52"/>
        </w:rPr>
        <w:instrText xml:space="preserve"> HYPERLINK \l _Toc31630 </w:instrText>
      </w:r>
      <w:r>
        <w:rPr>
          <w:szCs w:val="52"/>
        </w:rPr>
        <w:fldChar w:fldCharType="separate"/>
      </w:r>
      <w:r>
        <w:rPr>
          <w:rFonts w:hint="eastAsia"/>
        </w:rPr>
        <w:t>验证身份</w:t>
      </w:r>
      <w:r>
        <w:tab/>
      </w:r>
      <w:r>
        <w:fldChar w:fldCharType="begin"/>
      </w:r>
      <w:r>
        <w:instrText xml:space="preserve"> PAGEREF _Toc31630 </w:instrText>
      </w:r>
      <w:r>
        <w:fldChar w:fldCharType="separate"/>
      </w:r>
      <w:r>
        <w:t>14</w:t>
      </w:r>
      <w:r>
        <w:fldChar w:fldCharType="end"/>
      </w:r>
      <w:r>
        <w:rPr>
          <w:szCs w:val="52"/>
        </w:rPr>
        <w:fldChar w:fldCharType="end"/>
      </w:r>
    </w:p>
    <w:p>
      <w:pPr>
        <w:pStyle w:val="13"/>
        <w:tabs>
          <w:tab w:val="right" w:leader="dot" w:pos="10466"/>
        </w:tabs>
      </w:pPr>
      <w:r>
        <w:rPr>
          <w:szCs w:val="52"/>
        </w:rPr>
        <w:fldChar w:fldCharType="begin"/>
      </w:r>
      <w:r>
        <w:rPr>
          <w:szCs w:val="52"/>
        </w:rPr>
        <w:instrText xml:space="preserve"> HYPERLINK \l _Toc25932 </w:instrText>
      </w:r>
      <w:r>
        <w:rPr>
          <w:szCs w:val="52"/>
        </w:rPr>
        <w:fldChar w:fldCharType="separate"/>
      </w:r>
      <w:r>
        <w:rPr>
          <w:rFonts w:hint="eastAsia"/>
        </w:rPr>
        <w:t>阅读签约合同资料告知</w:t>
      </w:r>
      <w:r>
        <w:tab/>
      </w:r>
      <w:r>
        <w:fldChar w:fldCharType="begin"/>
      </w:r>
      <w:r>
        <w:instrText xml:space="preserve"> PAGEREF _Toc25932 </w:instrText>
      </w:r>
      <w:r>
        <w:fldChar w:fldCharType="separate"/>
      </w:r>
      <w:r>
        <w:t>15</w:t>
      </w:r>
      <w:r>
        <w:fldChar w:fldCharType="end"/>
      </w:r>
      <w:r>
        <w:rPr>
          <w:szCs w:val="52"/>
        </w:rPr>
        <w:fldChar w:fldCharType="end"/>
      </w:r>
    </w:p>
    <w:p>
      <w:pPr>
        <w:pStyle w:val="13"/>
        <w:tabs>
          <w:tab w:val="right" w:leader="dot" w:pos="10466"/>
        </w:tabs>
      </w:pPr>
      <w:r>
        <w:rPr>
          <w:szCs w:val="52"/>
        </w:rPr>
        <w:fldChar w:fldCharType="begin"/>
      </w:r>
      <w:r>
        <w:rPr>
          <w:szCs w:val="52"/>
        </w:rPr>
        <w:instrText xml:space="preserve"> HYPERLINK \l _Toc12067 </w:instrText>
      </w:r>
      <w:r>
        <w:rPr>
          <w:szCs w:val="52"/>
        </w:rPr>
        <w:fldChar w:fldCharType="separate"/>
      </w:r>
      <w:r>
        <w:rPr>
          <w:rFonts w:hint="eastAsia"/>
        </w:rPr>
        <w:t>身份证明材料上传</w:t>
      </w:r>
      <w:r>
        <w:tab/>
      </w:r>
      <w:r>
        <w:fldChar w:fldCharType="begin"/>
      </w:r>
      <w:r>
        <w:instrText xml:space="preserve"> PAGEREF _Toc12067 </w:instrText>
      </w:r>
      <w:r>
        <w:fldChar w:fldCharType="separate"/>
      </w:r>
      <w:r>
        <w:t>17</w:t>
      </w:r>
      <w:r>
        <w:fldChar w:fldCharType="end"/>
      </w:r>
      <w:r>
        <w:rPr>
          <w:szCs w:val="52"/>
        </w:rPr>
        <w:fldChar w:fldCharType="end"/>
      </w:r>
    </w:p>
    <w:p>
      <w:pPr>
        <w:pStyle w:val="13"/>
        <w:tabs>
          <w:tab w:val="right" w:leader="dot" w:pos="10466"/>
        </w:tabs>
      </w:pPr>
      <w:r>
        <w:rPr>
          <w:szCs w:val="52"/>
        </w:rPr>
        <w:fldChar w:fldCharType="begin"/>
      </w:r>
      <w:r>
        <w:rPr>
          <w:szCs w:val="52"/>
        </w:rPr>
        <w:instrText xml:space="preserve"> HYPERLINK \l _Toc1815 </w:instrText>
      </w:r>
      <w:r>
        <w:rPr>
          <w:szCs w:val="52"/>
        </w:rPr>
        <w:fldChar w:fldCharType="separate"/>
      </w:r>
      <w:r>
        <w:rPr>
          <w:rFonts w:hint="eastAsia"/>
        </w:rPr>
        <w:t>佐证视频录制</w:t>
      </w:r>
      <w:r>
        <w:tab/>
      </w:r>
      <w:r>
        <w:fldChar w:fldCharType="begin"/>
      </w:r>
      <w:r>
        <w:instrText xml:space="preserve"> PAGEREF _Toc1815 </w:instrText>
      </w:r>
      <w:r>
        <w:fldChar w:fldCharType="separate"/>
      </w:r>
      <w:r>
        <w:t>18</w:t>
      </w:r>
      <w:r>
        <w:fldChar w:fldCharType="end"/>
      </w:r>
      <w:r>
        <w:rPr>
          <w:szCs w:val="52"/>
        </w:rPr>
        <w:fldChar w:fldCharType="end"/>
      </w:r>
    </w:p>
    <w:p>
      <w:pPr>
        <w:pStyle w:val="13"/>
        <w:tabs>
          <w:tab w:val="right" w:leader="dot" w:pos="10466"/>
        </w:tabs>
      </w:pPr>
      <w:r>
        <w:rPr>
          <w:szCs w:val="52"/>
        </w:rPr>
        <w:fldChar w:fldCharType="begin"/>
      </w:r>
      <w:r>
        <w:rPr>
          <w:szCs w:val="52"/>
        </w:rPr>
        <w:instrText xml:space="preserve"> HYPERLINK \l _Toc16067 </w:instrText>
      </w:r>
      <w:r>
        <w:rPr>
          <w:szCs w:val="52"/>
        </w:rPr>
        <w:fldChar w:fldCharType="separate"/>
      </w:r>
      <w:r>
        <w:rPr>
          <w:rFonts w:hint="eastAsia"/>
        </w:rPr>
        <w:t>公证费用支付</w:t>
      </w:r>
      <w:r>
        <w:tab/>
      </w:r>
      <w:r>
        <w:fldChar w:fldCharType="begin"/>
      </w:r>
      <w:r>
        <w:instrText xml:space="preserve"> PAGEREF _Toc16067 </w:instrText>
      </w:r>
      <w:r>
        <w:fldChar w:fldCharType="separate"/>
      </w:r>
      <w:r>
        <w:t>22</w:t>
      </w:r>
      <w:r>
        <w:fldChar w:fldCharType="end"/>
      </w:r>
      <w:r>
        <w:rPr>
          <w:szCs w:val="52"/>
        </w:rPr>
        <w:fldChar w:fldCharType="end"/>
      </w:r>
    </w:p>
    <w:p>
      <w:pPr>
        <w:pStyle w:val="13"/>
        <w:tabs>
          <w:tab w:val="right" w:leader="dot" w:pos="10466"/>
        </w:tabs>
      </w:pPr>
      <w:r>
        <w:rPr>
          <w:szCs w:val="52"/>
        </w:rPr>
        <w:fldChar w:fldCharType="begin"/>
      </w:r>
      <w:r>
        <w:rPr>
          <w:szCs w:val="52"/>
        </w:rPr>
        <w:instrText xml:space="preserve"> HYPERLINK \l _Toc31057 </w:instrText>
      </w:r>
      <w:r>
        <w:rPr>
          <w:szCs w:val="52"/>
        </w:rPr>
        <w:fldChar w:fldCharType="separate"/>
      </w:r>
      <w:r>
        <w:rPr>
          <w:rFonts w:hint="default"/>
          <w:lang w:val="en-US" w:eastAsia="zh-CN"/>
        </w:rPr>
        <w:t xml:space="preserve">1. </w:t>
      </w:r>
      <w:r>
        <w:rPr>
          <w:rFonts w:hint="eastAsia"/>
          <w:lang w:val="en-US" w:eastAsia="zh-CN"/>
        </w:rPr>
        <w:t>石岐、桂山、火炬、凤翔、菊城公证处支付流程</w:t>
      </w:r>
      <w:r>
        <w:tab/>
      </w:r>
      <w:r>
        <w:fldChar w:fldCharType="begin"/>
      </w:r>
      <w:r>
        <w:instrText xml:space="preserve"> PAGEREF _Toc31057 </w:instrText>
      </w:r>
      <w:r>
        <w:fldChar w:fldCharType="separate"/>
      </w:r>
      <w:r>
        <w:t>22</w:t>
      </w:r>
      <w:r>
        <w:fldChar w:fldCharType="end"/>
      </w:r>
      <w:r>
        <w:rPr>
          <w:szCs w:val="52"/>
        </w:rPr>
        <w:fldChar w:fldCharType="end"/>
      </w:r>
    </w:p>
    <w:p>
      <w:pPr>
        <w:pStyle w:val="13"/>
        <w:tabs>
          <w:tab w:val="right" w:leader="dot" w:pos="10466"/>
        </w:tabs>
      </w:pPr>
      <w:r>
        <w:rPr>
          <w:szCs w:val="52"/>
        </w:rPr>
        <w:fldChar w:fldCharType="begin"/>
      </w:r>
      <w:r>
        <w:rPr>
          <w:szCs w:val="52"/>
        </w:rPr>
        <w:instrText xml:space="preserve"> HYPERLINK \l _Toc1123 </w:instrText>
      </w:r>
      <w:r>
        <w:rPr>
          <w:szCs w:val="52"/>
        </w:rPr>
        <w:fldChar w:fldCharType="separate"/>
      </w:r>
      <w:r>
        <w:rPr>
          <w:rFonts w:hint="default"/>
          <w:lang w:val="en-US" w:eastAsia="zh-CN"/>
        </w:rPr>
        <w:t xml:space="preserve">2. </w:t>
      </w:r>
      <w:r>
        <w:rPr>
          <w:rFonts w:hint="eastAsia"/>
          <w:lang w:val="en-US" w:eastAsia="zh-CN"/>
        </w:rPr>
        <w:t>香山公证处支付流程</w:t>
      </w:r>
      <w:r>
        <w:tab/>
      </w:r>
      <w:r>
        <w:fldChar w:fldCharType="begin"/>
      </w:r>
      <w:r>
        <w:instrText xml:space="preserve"> PAGEREF _Toc1123 </w:instrText>
      </w:r>
      <w:r>
        <w:fldChar w:fldCharType="separate"/>
      </w:r>
      <w:r>
        <w:t>23</w:t>
      </w:r>
      <w:r>
        <w:fldChar w:fldCharType="end"/>
      </w:r>
      <w:r>
        <w:rPr>
          <w:szCs w:val="52"/>
        </w:rPr>
        <w:fldChar w:fldCharType="end"/>
      </w:r>
    </w:p>
    <w:p>
      <w:pPr>
        <w:pStyle w:val="20"/>
        <w:tabs>
          <w:tab w:val="right" w:leader="dot" w:pos="10466"/>
        </w:tabs>
      </w:pPr>
      <w:r>
        <w:rPr>
          <w:szCs w:val="52"/>
        </w:rPr>
        <w:fldChar w:fldCharType="begin"/>
      </w:r>
      <w:r>
        <w:rPr>
          <w:szCs w:val="52"/>
        </w:rPr>
        <w:instrText xml:space="preserve"> HYPERLINK \l _Toc21672 </w:instrText>
      </w:r>
      <w:r>
        <w:rPr>
          <w:szCs w:val="52"/>
        </w:rPr>
        <w:fldChar w:fldCharType="separate"/>
      </w:r>
      <w:r>
        <w:rPr>
          <w:rFonts w:hint="eastAsia"/>
        </w:rPr>
        <w:t>查看我的公证申请记录</w:t>
      </w:r>
      <w:r>
        <w:tab/>
      </w:r>
      <w:r>
        <w:fldChar w:fldCharType="begin"/>
      </w:r>
      <w:r>
        <w:instrText xml:space="preserve"> PAGEREF _Toc21672 </w:instrText>
      </w:r>
      <w:r>
        <w:fldChar w:fldCharType="separate"/>
      </w:r>
      <w:r>
        <w:t>26</w:t>
      </w:r>
      <w:r>
        <w:fldChar w:fldCharType="end"/>
      </w:r>
      <w:r>
        <w:rPr>
          <w:szCs w:val="52"/>
        </w:rPr>
        <w:fldChar w:fldCharType="end"/>
      </w:r>
    </w:p>
    <w:p>
      <w:pPr>
        <w:widowControl/>
        <w:jc w:val="left"/>
        <w:rPr>
          <w:sz w:val="52"/>
          <w:szCs w:val="52"/>
        </w:rPr>
      </w:pPr>
      <w:r>
        <w:rPr>
          <w:szCs w:val="52"/>
        </w:rPr>
        <w:fldChar w:fldCharType="end"/>
      </w:r>
      <w:bookmarkStart w:id="24" w:name="_GoBack"/>
      <w:bookmarkEnd w:id="24"/>
    </w:p>
    <w:p>
      <w:pPr>
        <w:widowControl/>
        <w:jc w:val="left"/>
        <w:rPr>
          <w:sz w:val="52"/>
          <w:szCs w:val="52"/>
        </w:rPr>
      </w:pPr>
    </w:p>
    <w:p>
      <w:pPr>
        <w:widowControl/>
        <w:jc w:val="left"/>
        <w:rPr>
          <w:sz w:val="52"/>
          <w:szCs w:val="52"/>
        </w:rPr>
      </w:pPr>
    </w:p>
    <w:p>
      <w:pPr>
        <w:widowControl/>
        <w:jc w:val="left"/>
        <w:rPr>
          <w:sz w:val="52"/>
          <w:szCs w:val="52"/>
        </w:rPr>
      </w:pPr>
    </w:p>
    <w:p>
      <w:pPr>
        <w:widowControl/>
        <w:jc w:val="left"/>
        <w:rPr>
          <w:sz w:val="52"/>
          <w:szCs w:val="52"/>
        </w:rPr>
      </w:pPr>
    </w:p>
    <w:p>
      <w:pPr>
        <w:widowControl/>
        <w:jc w:val="left"/>
        <w:rPr>
          <w:sz w:val="52"/>
          <w:szCs w:val="52"/>
        </w:rPr>
      </w:pPr>
    </w:p>
    <w:p>
      <w:pPr>
        <w:widowControl/>
        <w:jc w:val="left"/>
        <w:rPr>
          <w:sz w:val="52"/>
          <w:szCs w:val="52"/>
        </w:rPr>
      </w:pPr>
    </w:p>
    <w:p>
      <w:pPr>
        <w:widowControl/>
        <w:jc w:val="left"/>
        <w:rPr>
          <w:sz w:val="52"/>
          <w:szCs w:val="52"/>
        </w:rPr>
      </w:pPr>
    </w:p>
    <w:p>
      <w:pPr>
        <w:widowControl/>
        <w:jc w:val="left"/>
        <w:rPr>
          <w:sz w:val="52"/>
          <w:szCs w:val="52"/>
        </w:rPr>
      </w:pPr>
    </w:p>
    <w:p>
      <w:pPr>
        <w:widowControl/>
        <w:jc w:val="left"/>
        <w:rPr>
          <w:sz w:val="52"/>
          <w:szCs w:val="52"/>
        </w:rPr>
      </w:pPr>
    </w:p>
    <w:p>
      <w:pPr>
        <w:widowControl/>
        <w:jc w:val="left"/>
        <w:rPr>
          <w:sz w:val="52"/>
          <w:szCs w:val="52"/>
        </w:rPr>
      </w:pPr>
    </w:p>
    <w:p>
      <w:pPr>
        <w:pStyle w:val="2"/>
      </w:pPr>
      <w:bookmarkStart w:id="0" w:name="_Toc37368735"/>
      <w:bookmarkStart w:id="1" w:name="_Toc17683"/>
      <w:r>
        <w:rPr>
          <w:rFonts w:hint="eastAsia"/>
        </w:rPr>
        <w:t>一手房签约公证</w:t>
      </w:r>
      <w:bookmarkEnd w:id="0"/>
      <w:bookmarkEnd w:id="1"/>
    </w:p>
    <w:p>
      <w:pPr>
        <w:ind w:left="420"/>
        <w:rPr>
          <w:sz w:val="28"/>
          <w:szCs w:val="28"/>
        </w:rPr>
      </w:pPr>
      <w:r>
        <w:rPr>
          <w:rFonts w:hint="eastAsia"/>
          <w:sz w:val="28"/>
          <w:szCs w:val="28"/>
        </w:rPr>
        <w:t>买受人使用微信</w:t>
      </w:r>
      <w:r>
        <w:rPr>
          <w:rFonts w:hint="eastAsia"/>
          <w:sz w:val="28"/>
          <w:szCs w:val="28"/>
          <w:lang w:val="en-US" w:eastAsia="zh-CN"/>
        </w:rPr>
        <w:t>扫码开发商生成的</w:t>
      </w:r>
      <w:r>
        <w:rPr>
          <w:rFonts w:hint="eastAsia"/>
          <w:sz w:val="28"/>
          <w:szCs w:val="28"/>
        </w:rPr>
        <w:t>小程序码进入小程序：</w:t>
      </w:r>
    </w:p>
    <w:p>
      <w:pPr>
        <w:ind w:left="42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782570" cy="27825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600" cy="27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sz w:val="28"/>
          <w:szCs w:val="28"/>
        </w:rPr>
      </w:pPr>
      <w:r>
        <w:rPr>
          <w:rFonts w:hint="eastAsia"/>
          <w:sz w:val="28"/>
          <w:szCs w:val="28"/>
        </w:rPr>
        <w:t>买受人可通过此小程序完成签约公证申请，首页如下图：</w:t>
      </w:r>
    </w:p>
    <w:p>
      <w:pPr>
        <w:ind w:left="42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896235" cy="5187950"/>
            <wp:effectExtent l="0" t="0" r="0" b="635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02211" cy="519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sz w:val="28"/>
          <w:szCs w:val="28"/>
        </w:rPr>
      </w:pPr>
      <w:r>
        <w:rPr>
          <w:rFonts w:hint="eastAsia"/>
          <w:sz w:val="28"/>
          <w:szCs w:val="28"/>
        </w:rPr>
        <w:t>为了可以及时获取审批结果，建议买受人订阅小程序消息，如下图：</w:t>
      </w:r>
    </w:p>
    <w:p>
      <w:pPr>
        <w:ind w:left="420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3085465" cy="6677660"/>
            <wp:effectExtent l="0" t="0" r="635" b="254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11" cy="669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drawing>
          <wp:inline distT="0" distB="0" distL="0" distR="0">
            <wp:extent cx="3090545" cy="6688455"/>
            <wp:effectExtent l="0" t="0" r="0" b="444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325" cy="670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sz w:val="28"/>
          <w:szCs w:val="28"/>
        </w:rPr>
      </w:pPr>
    </w:p>
    <w:p>
      <w:pPr>
        <w:pStyle w:val="3"/>
        <w:numPr>
          <w:ilvl w:val="0"/>
          <w:numId w:val="0"/>
        </w:numPr>
      </w:pPr>
      <w:bookmarkStart w:id="2" w:name="_Toc37368736"/>
      <w:bookmarkStart w:id="3" w:name="_Toc2384"/>
      <w:r>
        <w:rPr>
          <w:rFonts w:hint="eastAsia"/>
        </w:rPr>
        <w:t>中国大陆公民使用流程</w:t>
      </w:r>
      <w:bookmarkEnd w:id="2"/>
      <w:bookmarkEnd w:id="3"/>
    </w:p>
    <w:p>
      <w:pPr>
        <w:rPr>
          <w:sz w:val="28"/>
          <w:szCs w:val="28"/>
        </w:rPr>
      </w:pPr>
      <w:r>
        <w:tab/>
      </w:r>
      <w:r>
        <w:rPr>
          <w:rFonts w:hint="eastAsia"/>
          <w:sz w:val="28"/>
          <w:szCs w:val="28"/>
        </w:rPr>
        <w:t>买受人打开小程序，进入点击“一手房签约公证”按钮，进入小程序码扫描界面，如下图：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609215" cy="4672965"/>
            <wp:effectExtent l="0" t="0" r="0" b="63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0884" cy="469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2588895" cy="4653280"/>
            <wp:effectExtent l="0" t="0" r="190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1977" cy="471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点击“立即扫码”按钮，或者使用“微信扫一扫”扫描开发商提供的二维码，如下图：</w:t>
      </w:r>
    </w:p>
    <w:p>
      <w:pPr>
        <w:jc w:val="center"/>
        <w:rPr>
          <w:sz w:val="28"/>
          <w:szCs w:val="28"/>
        </w:rPr>
      </w:pPr>
      <w:r>
        <w:rPr>
          <w:sz w:val="32"/>
          <w:szCs w:val="32"/>
        </w:rPr>
        <w:drawing>
          <wp:inline distT="0" distB="0" distL="114300" distR="114300">
            <wp:extent cx="4214495" cy="2763520"/>
            <wp:effectExtent l="0" t="0" r="1905" b="5080"/>
            <wp:docPr id="14" name="图片 14" descr="93f3ce3c8c1b8fb60089b0b3af1f2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3f3ce3c8c1b8fb60089b0b3af1f2f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7294" cy="279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可获取签约合同内容，内容如下图：</w:t>
      </w:r>
    </w:p>
    <w:p>
      <w:pPr>
        <w:ind w:firstLine="480" w:firstLineChars="150"/>
        <w:jc w:val="center"/>
        <w:rPr>
          <w:sz w:val="28"/>
          <w:szCs w:val="28"/>
        </w:rPr>
      </w:pPr>
      <w:r>
        <w:rPr>
          <w:sz w:val="32"/>
          <w:szCs w:val="32"/>
        </w:rPr>
        <w:drawing>
          <wp:inline distT="0" distB="0" distL="0" distR="0">
            <wp:extent cx="2434590" cy="5085080"/>
            <wp:effectExtent l="0" t="0" r="381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244" cy="51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drawing>
          <wp:inline distT="0" distB="0" distL="0" distR="0">
            <wp:extent cx="2493010" cy="5074920"/>
            <wp:effectExtent l="0" t="0" r="0" b="50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255" cy="513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</w:pPr>
      <w:bookmarkStart w:id="4" w:name="_Toc37368737"/>
      <w:bookmarkStart w:id="5" w:name="_Toc28537"/>
      <w:r>
        <w:rPr>
          <w:rFonts w:hint="eastAsia"/>
        </w:rPr>
        <w:t>验证身份</w:t>
      </w:r>
      <w:bookmarkEnd w:id="4"/>
      <w:bookmarkEnd w:id="5"/>
    </w:p>
    <w:p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此小程序使用人脸核身验证买受人身份，点击“购买人”列表项，进行人脸识别，如下图： </w:t>
      </w: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勾选同意协议，点击“下一步”，注意：身份验证会进行两次，第二次在最后的上传资料的提交操作。</w:t>
      </w:r>
    </w:p>
    <w:p>
      <w:pPr>
        <w:jc w:val="center"/>
        <w:rPr>
          <w:sz w:val="32"/>
          <w:szCs w:val="32"/>
        </w:rPr>
      </w:pPr>
      <w:r>
        <w:rPr>
          <w:sz w:val="28"/>
          <w:szCs w:val="28"/>
        </w:rPr>
        <w:drawing>
          <wp:inline distT="0" distB="0" distL="0" distR="0">
            <wp:extent cx="2078990" cy="4500245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086" cy="45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验证完毕，结果如下：</w:t>
      </w: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2105660" cy="3727450"/>
            <wp:effectExtent l="0" t="0" r="2540" b="635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0781" cy="386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</w:pPr>
      <w:bookmarkStart w:id="6" w:name="_Toc37368738"/>
      <w:bookmarkStart w:id="7" w:name="_Toc13970"/>
      <w:r>
        <w:rPr>
          <w:rFonts w:hint="eastAsia"/>
        </w:rPr>
        <w:t>阅读签约合同资料告知</w:t>
      </w:r>
      <w:bookmarkEnd w:id="6"/>
      <w:bookmarkEnd w:id="7"/>
    </w:p>
    <w:p>
      <w:pPr>
        <w:rPr>
          <w:sz w:val="28"/>
          <w:szCs w:val="28"/>
        </w:rPr>
      </w:pPr>
      <w:r>
        <w:tab/>
      </w:r>
      <w:r>
        <w:rPr>
          <w:rFonts w:hint="eastAsia"/>
          <w:sz w:val="28"/>
          <w:szCs w:val="28"/>
        </w:rPr>
        <w:t>在进行签约公证前，买受人需要阅读合同里的所有电子文件，并进行内容核实，文件分别为：“中山市商品房买卖合同”、“商品房买卖公证申请表”、“商品房买卖合同公证告知 ”、“收案记录”</w:t>
      </w:r>
      <w:r>
        <w:rPr>
          <w:rFonts w:hint="eastAsia"/>
          <w:sz w:val="32"/>
          <w:szCs w:val="32"/>
        </w:rPr>
        <w:t>，</w:t>
      </w:r>
      <w:r>
        <w:rPr>
          <w:rFonts w:hint="eastAsia"/>
          <w:sz w:val="28"/>
          <w:szCs w:val="28"/>
        </w:rPr>
        <w:t>如下图：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32"/>
          <w:szCs w:val="32"/>
        </w:rPr>
        <w:drawing>
          <wp:inline distT="0" distB="0" distL="114300" distR="114300">
            <wp:extent cx="2365375" cy="5247640"/>
            <wp:effectExtent l="0" t="0" r="0" b="0"/>
            <wp:docPr id="9" name="图片 9" descr="微信图片_20200324114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003241141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36475" cy="540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确认内容无误后，勾选“同意继续”按钮，进行下一步操作，如下图：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921510" cy="41579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951" cy="419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</w:pPr>
      <w:bookmarkStart w:id="8" w:name="_Toc37368739"/>
      <w:bookmarkStart w:id="9" w:name="_Toc32251"/>
      <w:r>
        <w:rPr>
          <w:rFonts w:hint="eastAsia"/>
        </w:rPr>
        <w:t>身份证明材料上传</w:t>
      </w:r>
      <w:bookmarkEnd w:id="8"/>
      <w:bookmarkEnd w:id="9"/>
    </w:p>
    <w:p>
      <w:pPr>
        <w:rPr>
          <w:sz w:val="28"/>
          <w:szCs w:val="28"/>
        </w:rPr>
      </w:pPr>
      <w:r>
        <w:tab/>
      </w:r>
      <w:r>
        <w:rPr>
          <w:rFonts w:hint="eastAsia"/>
          <w:sz w:val="28"/>
          <w:szCs w:val="28"/>
        </w:rPr>
        <w:t>签约合同公证需要买受人上传身份证明文件，材料分别上传“身份证正反面照片”、“手持身份证正面照片”、“电子签名图片”，全部操作完成后点击“提交资料，完成”键，如下图：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947545" cy="4215765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99" cy="423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注意：照片不能从相册里找！</w:t>
      </w:r>
    </w:p>
    <w:p>
      <w:pPr>
        <w:ind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示例：进入电子签名页面，签名后点击“完成签名”键，如下图：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701030" cy="2633980"/>
            <wp:effectExtent l="0" t="0" r="127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273" cy="264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提交完成后，进入完成提示界面，如下图：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385060" cy="516191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313" cy="518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</w:pPr>
      <w:bookmarkStart w:id="10" w:name="_Toc37368740"/>
      <w:bookmarkStart w:id="11" w:name="_Toc30033"/>
      <w:r>
        <w:rPr>
          <w:rFonts w:hint="eastAsia"/>
        </w:rPr>
        <w:t>非中国大陆公民使用流程</w:t>
      </w:r>
      <w:bookmarkEnd w:id="10"/>
      <w:bookmarkEnd w:id="11"/>
    </w:p>
    <w:p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买受人打开小程序，进入点击“一手房签约公证”按钮，进入小程序码扫描界面，如下图：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609215" cy="4672965"/>
            <wp:effectExtent l="0" t="0" r="0" b="63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0884" cy="469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2588895" cy="4653280"/>
            <wp:effectExtent l="0" t="0" r="190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1977" cy="471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点击“立即扫码”按钮，或者使用“微信扫一扫”扫描开发商提供的二维码，如下图：</w:t>
      </w:r>
    </w:p>
    <w:p>
      <w:pPr>
        <w:jc w:val="center"/>
        <w:rPr>
          <w:sz w:val="28"/>
          <w:szCs w:val="28"/>
        </w:rPr>
      </w:pPr>
      <w:r>
        <w:rPr>
          <w:sz w:val="32"/>
          <w:szCs w:val="32"/>
        </w:rPr>
        <w:drawing>
          <wp:inline distT="0" distB="0" distL="114300" distR="114300">
            <wp:extent cx="4214495" cy="2763520"/>
            <wp:effectExtent l="0" t="0" r="1905" b="5080"/>
            <wp:docPr id="52" name="图片 52" descr="93f3ce3c8c1b8fb60089b0b3af1f2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93f3ce3c8c1b8fb60089b0b3af1f2f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7294" cy="279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可获取签约合同内容，内容如下图：</w:t>
      </w:r>
    </w:p>
    <w:p>
      <w:pPr>
        <w:ind w:firstLine="420" w:firstLineChars="15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836545" cy="5059045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60446" cy="510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2836545" cy="508317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50762" cy="510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</w:pPr>
      <w:bookmarkStart w:id="12" w:name="_Toc31630"/>
      <w:r>
        <w:rPr>
          <w:rFonts w:hint="eastAsia"/>
        </w:rPr>
        <w:t>验证身份</w:t>
      </w:r>
      <w:bookmarkEnd w:id="12"/>
    </w:p>
    <w:p>
      <w:pPr>
        <w:rPr>
          <w:sz w:val="28"/>
          <w:szCs w:val="28"/>
        </w:rPr>
      </w:pPr>
      <w:r>
        <w:tab/>
      </w:r>
      <w:r>
        <w:rPr>
          <w:rFonts w:hint="eastAsia"/>
          <w:sz w:val="28"/>
          <w:szCs w:val="28"/>
        </w:rPr>
        <w:t xml:space="preserve">由于买受人为非中国大陆居民，所以不能使用人脸核身识别，这样的情况下，需要买受人输入买受人的身份证照（如：护照、港澳通行证等），如下图： 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218690" cy="4802505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613" cy="482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注意：身份验证会进行两次，第二次在最后的上传资料的提交操作。</w:t>
      </w:r>
    </w:p>
    <w:p>
      <w:pPr>
        <w:pStyle w:val="4"/>
        <w:numPr>
          <w:ilvl w:val="0"/>
          <w:numId w:val="0"/>
        </w:numPr>
      </w:pPr>
      <w:bookmarkStart w:id="13" w:name="_Toc37368741"/>
      <w:bookmarkStart w:id="14" w:name="_Toc25932"/>
      <w:r>
        <w:rPr>
          <w:rFonts w:hint="eastAsia"/>
        </w:rPr>
        <w:t>阅读签约合同资料告知</w:t>
      </w:r>
      <w:bookmarkEnd w:id="13"/>
      <w:bookmarkEnd w:id="14"/>
    </w:p>
    <w:p>
      <w:pPr>
        <w:rPr>
          <w:sz w:val="28"/>
          <w:szCs w:val="28"/>
        </w:rPr>
      </w:pPr>
      <w:r>
        <w:tab/>
      </w:r>
      <w:r>
        <w:rPr>
          <w:rFonts w:hint="eastAsia"/>
          <w:sz w:val="28"/>
          <w:szCs w:val="28"/>
        </w:rPr>
        <w:t>在进行签约公证前，买受人需要阅读合同里的所有电子文件，并进行内容核实，文件分别为：“中山市商品房买卖合同”、“商品房买卖公证申请表”、“商品房买卖合同公证告知 ”、“收案记录”</w:t>
      </w:r>
      <w:r>
        <w:rPr>
          <w:rFonts w:hint="eastAsia"/>
          <w:sz w:val="32"/>
          <w:szCs w:val="32"/>
        </w:rPr>
        <w:t>，</w:t>
      </w:r>
      <w:r>
        <w:rPr>
          <w:rFonts w:hint="eastAsia"/>
          <w:sz w:val="28"/>
          <w:szCs w:val="28"/>
        </w:rPr>
        <w:t>如下图：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491740" cy="4394835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01399" cy="441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确认内容无误后，勾选“同意继续”按钮，进行下一步操作，如下图：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522855" cy="4488815"/>
            <wp:effectExtent l="0" t="0" r="444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32286" cy="450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</w:pPr>
      <w:bookmarkStart w:id="15" w:name="_Toc37368743"/>
      <w:bookmarkStart w:id="16" w:name="_Toc12067"/>
      <w:r>
        <w:rPr>
          <w:rFonts w:hint="eastAsia"/>
        </w:rPr>
        <w:t>身份证明材料上传</w:t>
      </w:r>
      <w:bookmarkEnd w:id="15"/>
      <w:bookmarkEnd w:id="16"/>
    </w:p>
    <w:p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签约合同公证需要买受人上传身份证明文件，材料分别上传“身份证正反面照片”、“手持身份证正面照片”、“电子签名图片”，全部操作完成后点击“提交资料，完成”键，如下图：</w:t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2385060" cy="516191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522" cy="517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注意：照片不能从相册里找！</w:t>
      </w:r>
    </w:p>
    <w:p>
      <w:pPr>
        <w:ind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示例：进入电子签名页面，签名后点击“完成签名”键，如下图：</w:t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6645910" cy="3070860"/>
            <wp:effectExtent l="0" t="0" r="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32"/>
        </w:rPr>
      </w:pPr>
    </w:p>
    <w:p>
      <w:pPr>
        <w:pStyle w:val="4"/>
        <w:numPr>
          <w:ilvl w:val="0"/>
          <w:numId w:val="0"/>
        </w:numPr>
      </w:pPr>
      <w:bookmarkStart w:id="17" w:name="_Toc37368742"/>
      <w:bookmarkStart w:id="18" w:name="_Toc1815"/>
      <w:r>
        <w:rPr>
          <w:rFonts w:hint="eastAsia"/>
        </w:rPr>
        <w:t>佐证视频录制</w:t>
      </w:r>
      <w:bookmarkEnd w:id="17"/>
      <w:bookmarkEnd w:id="18"/>
    </w:p>
    <w:p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由于买受人非中国大陆公民，不能使用人脸核身验证身份，所以需要买受人录制一个用于证明买受人身份的佐证视频，点击“录制视频”按钮进入“视频录制”页面，录制一个15秒的视频，点击“开始录制”开始录制，同时需要朗读屏幕下方的文字，录制完成后点击计时按钮即可停止录制，点击“返回”按钮返回图片提交界面进行图片提交，操作界面顺序如下：</w:t>
      </w:r>
    </w:p>
    <w:p>
      <w:pPr>
        <w:ind w:firstLine="42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2850515" cy="6169660"/>
            <wp:effectExtent l="0" t="0" r="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667" cy="618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drawing>
          <wp:inline distT="0" distB="0" distL="0" distR="0">
            <wp:extent cx="2850515" cy="6169025"/>
            <wp:effectExtent l="0" t="0" r="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966" cy="623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2560320" cy="5541010"/>
            <wp:effectExtent l="0" t="0" r="508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938" cy="558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drawing>
          <wp:inline distT="0" distB="0" distL="0" distR="0">
            <wp:extent cx="2560320" cy="5541645"/>
            <wp:effectExtent l="0" t="0" r="508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702" cy="557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32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全部完成后，页面显示申请成功，若申请人不需要支付此次费用则可点击“返回我的订单”按钮进行返回，若申请人为支付人，则需要到支付界面提交发票资料，若申请人为单位需要填写公司统一社会识别号与手机号码，若申请人为个人则只需要填写手机号码即可，操作如图：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2457450" cy="5319395"/>
            <wp:effectExtent l="0" t="0" r="635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597" cy="533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hint="eastAsia"/>
        </w:rPr>
      </w:pPr>
      <w:bookmarkStart w:id="19" w:name="_Toc16067"/>
      <w:r>
        <w:rPr>
          <w:rFonts w:hint="eastAsia"/>
        </w:rPr>
        <w:t>公证费用支付</w:t>
      </w:r>
      <w:bookmarkEnd w:id="19"/>
    </w:p>
    <w:p>
      <w:pPr>
        <w:pStyle w:val="4"/>
        <w:bidi w:val="0"/>
        <w:rPr>
          <w:rFonts w:hint="default"/>
          <w:lang w:val="en-US" w:eastAsia="zh-CN"/>
        </w:rPr>
      </w:pPr>
      <w:bookmarkStart w:id="20" w:name="_Toc31057"/>
      <w:r>
        <w:rPr>
          <w:rFonts w:hint="eastAsia"/>
          <w:lang w:val="en-US" w:eastAsia="zh-CN"/>
        </w:rPr>
        <w:t>石岐、桂山、火炬、凤翔、菊城公证处支付流程</w:t>
      </w:r>
      <w:bookmarkEnd w:id="20"/>
    </w:p>
    <w:p>
      <w:pPr>
        <w:tabs>
          <w:tab w:val="left" w:pos="3261"/>
        </w:tabs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508250" cy="5429250"/>
            <wp:effectExtent l="0" t="0" r="635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156" cy="546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2506345" cy="542480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358" cy="55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261"/>
        </w:tabs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上图为非税的核验流程，申请人完成提交后等待公证员审核完毕可在订单详情收到缴费通知，点击“缴费通知”按钮，可到缴费通知页面，申请人进行扫码支付，支付完成后点击“完成支付”即可，操作如下图：</w:t>
      </w:r>
    </w:p>
    <w:p>
      <w:pPr>
        <w:tabs>
          <w:tab w:val="left" w:pos="3261"/>
        </w:tabs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2480310" cy="5368290"/>
            <wp:effectExtent l="0" t="0" r="0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831" cy="539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drawing>
          <wp:inline distT="0" distB="0" distL="0" distR="0">
            <wp:extent cx="2468880" cy="5342890"/>
            <wp:effectExtent l="0" t="0" r="0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375" cy="536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21" w:name="_Toc1123"/>
      <w:r>
        <w:rPr>
          <w:rFonts w:hint="eastAsia"/>
          <w:lang w:val="en-US" w:eastAsia="zh-CN"/>
        </w:rPr>
        <w:t>香山公证处支付流程</w:t>
      </w:r>
      <w:bookmarkEnd w:id="21"/>
    </w:p>
    <w:p>
      <w:pPr>
        <w:tabs>
          <w:tab w:val="left" w:pos="3261"/>
        </w:tabs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若支付方式为需缴税，填写资料与非税方式一样，申请人可使用微信支付或线下支付等方式进行支付，操作如下图：</w:t>
      </w:r>
    </w:p>
    <w:p>
      <w:pPr>
        <w:tabs>
          <w:tab w:val="left" w:pos="3261"/>
        </w:tabs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2739390" cy="5928360"/>
            <wp:effectExtent l="0" t="0" r="3810" b="254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869" cy="596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2736850" cy="5923280"/>
            <wp:effectExtent l="0" t="0" r="635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792" cy="594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261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>以下为支付方式：</w:t>
      </w:r>
    </w:p>
    <w:p>
      <w:pPr>
        <w:pStyle w:val="35"/>
        <w:numPr>
          <w:ilvl w:val="0"/>
          <w:numId w:val="2"/>
        </w:numPr>
        <w:tabs>
          <w:tab w:val="left" w:pos="3261"/>
        </w:tabs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微信支付；</w:t>
      </w:r>
    </w:p>
    <w:p>
      <w:pPr>
        <w:pStyle w:val="35"/>
        <w:numPr>
          <w:ilvl w:val="0"/>
          <w:numId w:val="2"/>
        </w:numPr>
        <w:tabs>
          <w:tab w:val="left" w:pos="3261"/>
        </w:tabs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找人代付：可找亲人好友代付此次公证费用；</w:t>
      </w:r>
    </w:p>
    <w:p>
      <w:pPr>
        <w:pStyle w:val="35"/>
        <w:numPr>
          <w:ilvl w:val="0"/>
          <w:numId w:val="2"/>
        </w:numPr>
        <w:tabs>
          <w:tab w:val="left" w:pos="3261"/>
        </w:tabs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上传支付凭证：此为第三方支付，如网银支付、线下转账等。</w:t>
      </w:r>
    </w:p>
    <w:p>
      <w:pPr>
        <w:tabs>
          <w:tab w:val="left" w:pos="3261"/>
        </w:tabs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2082800" cy="4507230"/>
            <wp:effectExtent l="0" t="0" r="0" b="127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618" cy="454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drawing>
          <wp:inline distT="0" distB="0" distL="0" distR="0">
            <wp:extent cx="2082800" cy="4507865"/>
            <wp:effectExtent l="0" t="0" r="0" b="63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376" cy="457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261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>若选择第三方支付，则需要上传支付凭证，如下图：</w:t>
      </w:r>
    </w:p>
    <w:p>
      <w:pPr>
        <w:tabs>
          <w:tab w:val="left" w:pos="3261"/>
        </w:tabs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2072005" cy="448437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659" cy="449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261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>上传成功后可返回“我的订单”，等待公证员审核结果。</w:t>
      </w:r>
    </w:p>
    <w:p>
      <w:pPr>
        <w:pStyle w:val="3"/>
        <w:numPr>
          <w:ilvl w:val="0"/>
          <w:numId w:val="0"/>
        </w:numPr>
      </w:pPr>
      <w:bookmarkStart w:id="22" w:name="_Toc37368744"/>
      <w:bookmarkStart w:id="23" w:name="_Toc21672"/>
      <w:r>
        <w:rPr>
          <w:rFonts w:hint="eastAsia"/>
        </w:rPr>
        <w:t>查看我的公证申请记录</w:t>
      </w:r>
      <w:bookmarkEnd w:id="22"/>
      <w:bookmarkEnd w:id="23"/>
    </w:p>
    <w:p>
      <w:pPr>
        <w:rPr>
          <w:sz w:val="28"/>
          <w:szCs w:val="28"/>
        </w:rPr>
      </w:pPr>
      <w:r>
        <w:tab/>
      </w:r>
      <w:r>
        <w:rPr>
          <w:rFonts w:hint="eastAsia"/>
          <w:sz w:val="28"/>
          <w:szCs w:val="28"/>
        </w:rPr>
        <w:t>买受人公证申请提交后，可以通过订阅小程序消息获取审批结果，也可以在“小程序-我的”查看我的申请记录以及审批状态，如图：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421380" cy="6099175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30165" cy="611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572FAA"/>
    <w:multiLevelType w:val="multilevel"/>
    <w:tmpl w:val="30572FAA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A097C81"/>
    <w:multiLevelType w:val="multilevel"/>
    <w:tmpl w:val="7A097C81"/>
    <w:lvl w:ilvl="0" w:tentative="0">
      <w:start w:val="1"/>
      <w:numFmt w:val="upperRoman"/>
      <w:pStyle w:val="2"/>
      <w:lvlText w:val="%1."/>
      <w:lvlJc w:val="left"/>
      <w:pPr>
        <w:ind w:left="0" w:firstLine="0"/>
      </w:pPr>
    </w:lvl>
    <w:lvl w:ilvl="1" w:tentative="0">
      <w:start w:val="1"/>
      <w:numFmt w:val="upperLetter"/>
      <w:pStyle w:val="3"/>
      <w:lvlText w:val="%2."/>
      <w:lvlJc w:val="left"/>
      <w:pPr>
        <w:ind w:left="851" w:firstLine="0"/>
      </w:pPr>
    </w:lvl>
    <w:lvl w:ilvl="2" w:tentative="0">
      <w:start w:val="1"/>
      <w:numFmt w:val="decimal"/>
      <w:pStyle w:val="4"/>
      <w:lvlText w:val="%3."/>
      <w:lvlJc w:val="left"/>
      <w:pPr>
        <w:ind w:left="1701" w:firstLine="0"/>
      </w:pPr>
    </w:lvl>
    <w:lvl w:ilvl="3" w:tentative="0">
      <w:start w:val="1"/>
      <w:numFmt w:val="lowerLetter"/>
      <w:pStyle w:val="5"/>
      <w:lvlText w:val="%4)"/>
      <w:lvlJc w:val="left"/>
      <w:pPr>
        <w:ind w:left="2551" w:firstLine="0"/>
      </w:pPr>
    </w:lvl>
    <w:lvl w:ilvl="4" w:tentative="0">
      <w:start w:val="1"/>
      <w:numFmt w:val="decimal"/>
      <w:pStyle w:val="6"/>
      <w:lvlText w:val="(%5)"/>
      <w:lvlJc w:val="left"/>
      <w:pPr>
        <w:ind w:left="3402" w:firstLine="0"/>
      </w:pPr>
    </w:lvl>
    <w:lvl w:ilvl="5" w:tentative="0">
      <w:start w:val="1"/>
      <w:numFmt w:val="lowerLetter"/>
      <w:pStyle w:val="7"/>
      <w:lvlText w:val="(%6)"/>
      <w:lvlJc w:val="left"/>
      <w:pPr>
        <w:ind w:left="4252" w:firstLine="0"/>
      </w:pPr>
    </w:lvl>
    <w:lvl w:ilvl="6" w:tentative="0">
      <w:start w:val="1"/>
      <w:numFmt w:val="lowerRoman"/>
      <w:pStyle w:val="8"/>
      <w:lvlText w:val="(%7)"/>
      <w:lvlJc w:val="left"/>
      <w:pPr>
        <w:ind w:left="5102" w:firstLine="0"/>
      </w:pPr>
    </w:lvl>
    <w:lvl w:ilvl="7" w:tentative="0">
      <w:start w:val="1"/>
      <w:numFmt w:val="lowerLetter"/>
      <w:pStyle w:val="9"/>
      <w:lvlText w:val="(%8)"/>
      <w:lvlJc w:val="left"/>
      <w:pPr>
        <w:ind w:left="5953" w:firstLine="0"/>
      </w:pPr>
    </w:lvl>
    <w:lvl w:ilvl="8" w:tentative="0">
      <w:start w:val="1"/>
      <w:numFmt w:val="lowerRoman"/>
      <w:pStyle w:val="10"/>
      <w:lvlText w:val="(%9)"/>
      <w:lvlJc w:val="left"/>
      <w:pPr>
        <w:ind w:left="6803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761F03"/>
    <w:rsid w:val="00054BAA"/>
    <w:rsid w:val="000A2789"/>
    <w:rsid w:val="000B3BE0"/>
    <w:rsid w:val="001B10F4"/>
    <w:rsid w:val="00231E7D"/>
    <w:rsid w:val="002547AD"/>
    <w:rsid w:val="00325914"/>
    <w:rsid w:val="003B4434"/>
    <w:rsid w:val="00467A32"/>
    <w:rsid w:val="005633D2"/>
    <w:rsid w:val="005D431C"/>
    <w:rsid w:val="0061064D"/>
    <w:rsid w:val="00611995"/>
    <w:rsid w:val="00661F42"/>
    <w:rsid w:val="00712105"/>
    <w:rsid w:val="007328DC"/>
    <w:rsid w:val="007667FB"/>
    <w:rsid w:val="00970882"/>
    <w:rsid w:val="00A303B9"/>
    <w:rsid w:val="00A456F2"/>
    <w:rsid w:val="00A515B0"/>
    <w:rsid w:val="00B47120"/>
    <w:rsid w:val="00BC6A33"/>
    <w:rsid w:val="00BF4088"/>
    <w:rsid w:val="00C1457C"/>
    <w:rsid w:val="00C31C08"/>
    <w:rsid w:val="00C4547D"/>
    <w:rsid w:val="00DA2559"/>
    <w:rsid w:val="00DA4229"/>
    <w:rsid w:val="00DC76DB"/>
    <w:rsid w:val="00E24984"/>
    <w:rsid w:val="00F04B21"/>
    <w:rsid w:val="00F21F7F"/>
    <w:rsid w:val="00F2544E"/>
    <w:rsid w:val="00F3402F"/>
    <w:rsid w:val="00F3446B"/>
    <w:rsid w:val="00FF2C2E"/>
    <w:rsid w:val="01065FAB"/>
    <w:rsid w:val="01461FBA"/>
    <w:rsid w:val="058119D9"/>
    <w:rsid w:val="071F688D"/>
    <w:rsid w:val="082B3423"/>
    <w:rsid w:val="0A927FB2"/>
    <w:rsid w:val="11D74CAA"/>
    <w:rsid w:val="158B072E"/>
    <w:rsid w:val="16FC3890"/>
    <w:rsid w:val="1B2E764E"/>
    <w:rsid w:val="1C761F03"/>
    <w:rsid w:val="217E55EC"/>
    <w:rsid w:val="240745A1"/>
    <w:rsid w:val="285B13FB"/>
    <w:rsid w:val="2D9E4651"/>
    <w:rsid w:val="31316E9E"/>
    <w:rsid w:val="378A6427"/>
    <w:rsid w:val="38201538"/>
    <w:rsid w:val="3EFB6351"/>
    <w:rsid w:val="403D0EF9"/>
    <w:rsid w:val="40435EE0"/>
    <w:rsid w:val="470D7F60"/>
    <w:rsid w:val="478C4787"/>
    <w:rsid w:val="47945DBF"/>
    <w:rsid w:val="4E84255A"/>
    <w:rsid w:val="4F08511E"/>
    <w:rsid w:val="53B01873"/>
    <w:rsid w:val="53C53A34"/>
    <w:rsid w:val="547A71B3"/>
    <w:rsid w:val="5EB511F5"/>
    <w:rsid w:val="5EFA2F63"/>
    <w:rsid w:val="60A40516"/>
    <w:rsid w:val="62DB6D6F"/>
    <w:rsid w:val="635B099C"/>
    <w:rsid w:val="653D1502"/>
    <w:rsid w:val="674D2410"/>
    <w:rsid w:val="67B165C3"/>
    <w:rsid w:val="68FB08A1"/>
    <w:rsid w:val="6A78527A"/>
    <w:rsid w:val="6DDF2CC6"/>
    <w:rsid w:val="71982E45"/>
    <w:rsid w:val="73224D9A"/>
    <w:rsid w:val="7383384F"/>
    <w:rsid w:val="73FF6F2C"/>
    <w:rsid w:val="75F64533"/>
    <w:rsid w:val="78F30297"/>
    <w:rsid w:val="7A6A398A"/>
    <w:rsid w:val="7F860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39" w:semiHidden="0" w:name="toc 3"/>
    <w:lsdException w:qFormat="1" w:unhideWhenUsed="0" w:uiPriority="0" w:semiHidden="0" w:name="toc 4"/>
    <w:lsdException w:unhideWhenUsed="0" w:uiPriority="0" w:semiHidden="0" w:name="toc 5"/>
    <w:lsdException w:qFormat="1"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7"/>
    <w:unhideWhenUsed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8"/>
    <w:unhideWhenUsed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9"/>
    <w:semiHidden/>
    <w:unhideWhenUsed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0"/>
    <w:semiHidden/>
    <w:unhideWhenUsed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</w:rPr>
  </w:style>
  <w:style w:type="paragraph" w:styleId="8">
    <w:name w:val="heading 7"/>
    <w:basedOn w:val="1"/>
    <w:next w:val="1"/>
    <w:link w:val="31"/>
    <w:semiHidden/>
    <w:unhideWhenUsed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32"/>
    <w:semiHidden/>
    <w:unhideWhenUsed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</w:rPr>
  </w:style>
  <w:style w:type="paragraph" w:styleId="10">
    <w:name w:val="heading 9"/>
    <w:basedOn w:val="1"/>
    <w:next w:val="1"/>
    <w:link w:val="33"/>
    <w:semiHidden/>
    <w:unhideWhenUsed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23">
    <w:name w:val="Default Paragraph Font"/>
    <w:semiHidden/>
    <w:unhideWhenUsed/>
    <w:uiPriority w:val="1"/>
  </w:style>
  <w:style w:type="table" w:default="1" w:styleId="2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iPriority w:val="0"/>
    <w:pPr>
      <w:ind w:left="1260"/>
      <w:jc w:val="left"/>
    </w:pPr>
    <w:rPr>
      <w:sz w:val="20"/>
      <w:szCs w:val="20"/>
    </w:rPr>
  </w:style>
  <w:style w:type="paragraph" w:styleId="12">
    <w:name w:val="toc 5"/>
    <w:basedOn w:val="1"/>
    <w:next w:val="1"/>
    <w:uiPriority w:val="0"/>
    <w:pPr>
      <w:ind w:left="840"/>
      <w:jc w:val="left"/>
    </w:pPr>
    <w:rPr>
      <w:sz w:val="20"/>
      <w:szCs w:val="20"/>
    </w:rPr>
  </w:style>
  <w:style w:type="paragraph" w:styleId="13">
    <w:name w:val="toc 3"/>
    <w:basedOn w:val="1"/>
    <w:next w:val="1"/>
    <w:uiPriority w:val="39"/>
    <w:pPr>
      <w:ind w:left="420"/>
      <w:jc w:val="left"/>
    </w:pPr>
    <w:rPr>
      <w:sz w:val="20"/>
      <w:szCs w:val="20"/>
    </w:rPr>
  </w:style>
  <w:style w:type="paragraph" w:styleId="14">
    <w:name w:val="toc 8"/>
    <w:basedOn w:val="1"/>
    <w:next w:val="1"/>
    <w:uiPriority w:val="0"/>
    <w:pPr>
      <w:ind w:left="1470"/>
      <w:jc w:val="left"/>
    </w:pPr>
    <w:rPr>
      <w:sz w:val="20"/>
      <w:szCs w:val="20"/>
    </w:rPr>
  </w:style>
  <w:style w:type="paragraph" w:styleId="1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6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7">
    <w:name w:val="toc 1"/>
    <w:basedOn w:val="1"/>
    <w:next w:val="1"/>
    <w:qFormat/>
    <w:uiPriority w:val="39"/>
    <w:pPr>
      <w:spacing w:before="120"/>
      <w:jc w:val="left"/>
    </w:pPr>
    <w:rPr>
      <w:b/>
      <w:bCs/>
      <w:i/>
      <w:iCs/>
      <w:sz w:val="24"/>
    </w:rPr>
  </w:style>
  <w:style w:type="paragraph" w:styleId="18">
    <w:name w:val="toc 4"/>
    <w:basedOn w:val="1"/>
    <w:next w:val="1"/>
    <w:qFormat/>
    <w:uiPriority w:val="0"/>
    <w:pPr>
      <w:ind w:left="630"/>
      <w:jc w:val="left"/>
    </w:pPr>
    <w:rPr>
      <w:sz w:val="20"/>
      <w:szCs w:val="20"/>
    </w:rPr>
  </w:style>
  <w:style w:type="paragraph" w:styleId="19">
    <w:name w:val="toc 6"/>
    <w:basedOn w:val="1"/>
    <w:next w:val="1"/>
    <w:qFormat/>
    <w:uiPriority w:val="0"/>
    <w:pPr>
      <w:ind w:left="1050"/>
      <w:jc w:val="left"/>
    </w:pPr>
    <w:rPr>
      <w:sz w:val="20"/>
      <w:szCs w:val="20"/>
    </w:rPr>
  </w:style>
  <w:style w:type="paragraph" w:styleId="20">
    <w:name w:val="toc 2"/>
    <w:basedOn w:val="1"/>
    <w:next w:val="1"/>
    <w:qFormat/>
    <w:uiPriority w:val="39"/>
    <w:pPr>
      <w:spacing w:before="120"/>
      <w:ind w:left="210"/>
      <w:jc w:val="left"/>
    </w:pPr>
    <w:rPr>
      <w:b/>
      <w:bCs/>
      <w:sz w:val="22"/>
      <w:szCs w:val="22"/>
    </w:rPr>
  </w:style>
  <w:style w:type="paragraph" w:styleId="21">
    <w:name w:val="toc 9"/>
    <w:basedOn w:val="1"/>
    <w:next w:val="1"/>
    <w:uiPriority w:val="0"/>
    <w:pPr>
      <w:ind w:left="1680"/>
      <w:jc w:val="left"/>
    </w:pPr>
    <w:rPr>
      <w:sz w:val="20"/>
      <w:szCs w:val="20"/>
    </w:rPr>
  </w:style>
  <w:style w:type="character" w:styleId="24">
    <w:name w:val="Hyperlink"/>
    <w:basedOn w:val="2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5">
    <w:name w:val="标题 1 字符"/>
    <w:basedOn w:val="23"/>
    <w:link w:val="2"/>
    <w:qFormat/>
    <w:uiPriority w:val="0"/>
    <w:rPr>
      <w:b/>
      <w:bCs/>
      <w:kern w:val="44"/>
      <w:sz w:val="44"/>
      <w:szCs w:val="44"/>
    </w:rPr>
  </w:style>
  <w:style w:type="character" w:customStyle="1" w:styleId="26">
    <w:name w:val="标题 2 字符"/>
    <w:basedOn w:val="23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7">
    <w:name w:val="标题 3 字符"/>
    <w:basedOn w:val="23"/>
    <w:link w:val="4"/>
    <w:uiPriority w:val="0"/>
    <w:rPr>
      <w:b/>
      <w:bCs/>
      <w:kern w:val="2"/>
      <w:sz w:val="32"/>
      <w:szCs w:val="32"/>
    </w:rPr>
  </w:style>
  <w:style w:type="character" w:customStyle="1" w:styleId="28">
    <w:name w:val="标题 4 字符"/>
    <w:basedOn w:val="23"/>
    <w:link w:val="5"/>
    <w:semiHidden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29">
    <w:name w:val="标题 5 字符"/>
    <w:basedOn w:val="23"/>
    <w:link w:val="6"/>
    <w:semiHidden/>
    <w:uiPriority w:val="0"/>
    <w:rPr>
      <w:b/>
      <w:bCs/>
      <w:kern w:val="2"/>
      <w:sz w:val="28"/>
      <w:szCs w:val="28"/>
    </w:rPr>
  </w:style>
  <w:style w:type="character" w:customStyle="1" w:styleId="30">
    <w:name w:val="标题 6 字符"/>
    <w:basedOn w:val="23"/>
    <w:link w:val="7"/>
    <w:semiHidden/>
    <w:uiPriority w:val="0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character" w:customStyle="1" w:styleId="31">
    <w:name w:val="标题 7 字符"/>
    <w:basedOn w:val="23"/>
    <w:link w:val="8"/>
    <w:semiHidden/>
    <w:uiPriority w:val="0"/>
    <w:rPr>
      <w:b/>
      <w:bCs/>
      <w:kern w:val="2"/>
      <w:sz w:val="24"/>
      <w:szCs w:val="24"/>
    </w:rPr>
  </w:style>
  <w:style w:type="character" w:customStyle="1" w:styleId="32">
    <w:name w:val="标题 8 字符"/>
    <w:basedOn w:val="23"/>
    <w:link w:val="9"/>
    <w:semiHidden/>
    <w:uiPriority w:val="0"/>
    <w:rPr>
      <w:rFonts w:asciiTheme="majorHAnsi" w:hAnsiTheme="majorHAnsi" w:eastAsiaTheme="majorEastAsia" w:cstheme="majorBidi"/>
      <w:kern w:val="2"/>
      <w:sz w:val="24"/>
      <w:szCs w:val="24"/>
    </w:rPr>
  </w:style>
  <w:style w:type="character" w:customStyle="1" w:styleId="33">
    <w:name w:val="标题 9 字符"/>
    <w:basedOn w:val="23"/>
    <w:link w:val="10"/>
    <w:semiHidden/>
    <w:uiPriority w:val="0"/>
    <w:rPr>
      <w:rFonts w:asciiTheme="majorHAnsi" w:hAnsiTheme="majorHAnsi" w:eastAsiaTheme="majorEastAsia" w:cstheme="majorBidi"/>
      <w:kern w:val="2"/>
      <w:sz w:val="21"/>
      <w:szCs w:val="21"/>
    </w:rPr>
  </w:style>
  <w:style w:type="paragraph" w:customStyle="1" w:styleId="34">
    <w:name w:val="TOC Heading"/>
    <w:basedOn w:val="2"/>
    <w:next w:val="1"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  <w:style w:type="paragraph" w:styleId="35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5" Type="http://schemas.openxmlformats.org/officeDocument/2006/relationships/fontTable" Target="fontTable.xml"/><Relationship Id="rId44" Type="http://schemas.openxmlformats.org/officeDocument/2006/relationships/customXml" Target="../customXml/item2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AF383F2-CE58-AA41-9E93-0406E7BABD6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410</Words>
  <Characters>2340</Characters>
  <Lines>19</Lines>
  <Paragraphs>5</Paragraphs>
  <TotalTime>0</TotalTime>
  <ScaleCrop>false</ScaleCrop>
  <LinksUpToDate>false</LinksUpToDate>
  <CharactersWithSpaces>2745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2020-03-24T03:34:00Z</dcterms:created>
  <dc:creator>Administrator</dc:creator>
  <cp:lastModifiedBy>刘刚</cp:lastModifiedBy>
  <dcterms:modified xsi:type="dcterms:W3CDTF">2020-07-28T06:52:35Z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