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both"/>
        <w:textAlignment w:val="auto"/>
        <w:outlineLvl w:val="9"/>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附件</w:t>
      </w:r>
      <w:r>
        <w:rPr>
          <w:rFonts w:hint="eastAsia" w:ascii="方正小标宋简体" w:hAnsi="方正小标宋简体" w:eastAsia="方正小标宋简体" w:cs="方正小标宋简体"/>
          <w:color w:val="auto"/>
          <w:sz w:val="32"/>
          <w:szCs w:val="32"/>
          <w:lang w:val="en-US" w:eastAsia="zh-CN"/>
        </w:rPr>
        <w:t>3、建筑业施工企业不良行为记分标准（新增）</w:t>
      </w:r>
      <w:bookmarkStart w:id="0" w:name="_GoBack"/>
      <w:bookmarkEnd w:id="0"/>
    </w:p>
    <w:p>
      <w:pPr>
        <w:keepNext w:val="0"/>
        <w:keepLines w:val="0"/>
        <w:pageBreakBefore w:val="0"/>
        <w:kinsoku/>
        <w:wordWrap/>
        <w:overflowPunct/>
        <w:topLinePunct w:val="0"/>
        <w:autoSpaceDE/>
        <w:autoSpaceDN/>
        <w:bidi w:val="0"/>
        <w:adjustRightInd/>
        <w:spacing w:line="580" w:lineRule="exact"/>
        <w:jc w:val="both"/>
        <w:textAlignment w:val="auto"/>
        <w:outlineLvl w:val="9"/>
        <w:rPr>
          <w:rFonts w:hint="eastAsia" w:ascii="方正小标宋简体" w:hAnsi="方正小标宋简体" w:eastAsia="方正小标宋简体" w:cs="方正小标宋简体"/>
          <w:color w:val="auto"/>
          <w:sz w:val="32"/>
          <w:szCs w:val="32"/>
          <w:lang w:val="en-US" w:eastAsia="zh-CN"/>
        </w:rPr>
      </w:pPr>
    </w:p>
    <w:tbl>
      <w:tblPr>
        <w:tblStyle w:val="8"/>
        <w:tblW w:w="14760" w:type="dxa"/>
        <w:tblInd w:w="0" w:type="dxa"/>
        <w:shd w:val="clear" w:color="auto" w:fill="auto"/>
        <w:tblLayout w:type="fixed"/>
        <w:tblCellMar>
          <w:top w:w="0" w:type="dxa"/>
          <w:left w:w="0" w:type="dxa"/>
          <w:bottom w:w="0" w:type="dxa"/>
          <w:right w:w="0" w:type="dxa"/>
        </w:tblCellMar>
      </w:tblPr>
      <w:tblGrid>
        <w:gridCol w:w="405"/>
        <w:gridCol w:w="1004"/>
        <w:gridCol w:w="1034"/>
        <w:gridCol w:w="1076"/>
        <w:gridCol w:w="2938"/>
        <w:gridCol w:w="2863"/>
        <w:gridCol w:w="2218"/>
        <w:gridCol w:w="3222"/>
      </w:tblGrid>
      <w:tr>
        <w:tblPrEx>
          <w:shd w:val="clear" w:color="auto" w:fill="auto"/>
          <w:tblLayout w:type="fixed"/>
          <w:tblCellMar>
            <w:top w:w="0" w:type="dxa"/>
            <w:left w:w="0" w:type="dxa"/>
            <w:bottom w:w="0" w:type="dxa"/>
            <w:right w:w="0" w:type="dxa"/>
          </w:tblCellMar>
        </w:tblPrEx>
        <w:trPr>
          <w:trHeight w:val="799" w:hRule="atLeast"/>
        </w:trPr>
        <w:tc>
          <w:tcPr>
            <w:tcW w:w="147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auto"/>
                <w:sz w:val="42"/>
                <w:szCs w:val="42"/>
                <w:u w:val="none"/>
              </w:rPr>
            </w:pPr>
            <w:r>
              <w:rPr>
                <w:rFonts w:hint="eastAsia" w:ascii="黑体" w:hAnsi="宋体" w:eastAsia="黑体" w:cs="黑体"/>
                <w:b/>
                <w:i w:val="0"/>
                <w:color w:val="auto"/>
                <w:kern w:val="0"/>
                <w:sz w:val="42"/>
                <w:szCs w:val="42"/>
                <w:u w:val="none"/>
                <w:lang w:val="en-US" w:eastAsia="zh-CN" w:bidi="ar"/>
              </w:rPr>
              <w:t>建筑业施工企业不良行为记分标准（修订）(SG）</w:t>
            </w:r>
          </w:p>
        </w:tc>
      </w:tr>
      <w:tr>
        <w:tblPrEx>
          <w:tblLayout w:type="fixed"/>
          <w:tblCellMar>
            <w:top w:w="0" w:type="dxa"/>
            <w:left w:w="0" w:type="dxa"/>
            <w:bottom w:w="0" w:type="dxa"/>
            <w:right w:w="0" w:type="dxa"/>
          </w:tblCellMar>
        </w:tblPrEx>
        <w:trPr>
          <w:trHeight w:val="5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行为    类别</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执法    科室</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记分  代码</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不良行为描述</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法律(法规)依据</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处罚依据</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分值</w:t>
            </w:r>
          </w:p>
        </w:tc>
      </w:tr>
      <w:tr>
        <w:tblPrEx>
          <w:tblLayout w:type="fixed"/>
          <w:tblCellMar>
            <w:top w:w="0" w:type="dxa"/>
            <w:left w:w="0" w:type="dxa"/>
            <w:bottom w:w="0" w:type="dxa"/>
            <w:right w:w="0" w:type="dxa"/>
          </w:tblCellMar>
        </w:tblPrEx>
        <w:trPr>
          <w:trHeight w:val="16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lang w:val="en-US"/>
              </w:rPr>
            </w:pPr>
            <w:r>
              <w:rPr>
                <w:rFonts w:hint="eastAsia" w:ascii="Times New Roman" w:hAnsi="Times New Roman" w:eastAsia="宋体" w:cs="Times New Roman"/>
                <w:b/>
                <w:i w:val="0"/>
                <w:color w:val="auto"/>
                <w:kern w:val="0"/>
                <w:sz w:val="18"/>
                <w:szCs w:val="18"/>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u w:val="none"/>
                <w:lang w:val="en-US"/>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180</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应提交</w:t>
            </w:r>
            <w:r>
              <w:rPr>
                <w:rFonts w:hint="eastAsia" w:ascii="宋体" w:hAnsi="宋体" w:eastAsia="宋体" w:cs="宋体"/>
                <w:color w:val="auto"/>
                <w:kern w:val="0"/>
                <w:sz w:val="22"/>
                <w:szCs w:val="22"/>
                <w:u w:val="none"/>
                <w:lang w:val="en-US" w:eastAsia="zh-CN" w:bidi="ar"/>
              </w:rPr>
              <w:t>工人工资支付专用账户开户证明的，</w:t>
            </w:r>
            <w:r>
              <w:rPr>
                <w:rFonts w:hint="eastAsia" w:ascii="宋体" w:hAnsi="宋体" w:eastAsia="宋体" w:cs="宋体"/>
                <w:i w:val="0"/>
                <w:color w:val="auto"/>
                <w:kern w:val="0"/>
                <w:sz w:val="22"/>
                <w:szCs w:val="22"/>
                <w:u w:val="none"/>
                <w:lang w:val="en-US" w:eastAsia="zh-CN" w:bidi="ar"/>
              </w:rPr>
              <w:t>取得施工许可证后31—60个自然日未在审批系统上传工人工资支付专用账户开户证明文件扫描件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65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lang w:val="en-US"/>
              </w:rPr>
            </w:pPr>
            <w:r>
              <w:rPr>
                <w:rFonts w:hint="eastAsia" w:ascii="Times New Roman" w:hAnsi="Times New Roman" w:eastAsia="宋体" w:cs="Times New Roman"/>
                <w:b/>
                <w:i w:val="0"/>
                <w:color w:val="auto"/>
                <w:kern w:val="0"/>
                <w:sz w:val="18"/>
                <w:szCs w:val="18"/>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u w:val="none"/>
                <w:lang w:val="en-US"/>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181</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应提交</w:t>
            </w:r>
            <w:r>
              <w:rPr>
                <w:rFonts w:hint="eastAsia" w:ascii="宋体" w:hAnsi="宋体" w:eastAsia="宋体" w:cs="宋体"/>
                <w:color w:val="auto"/>
                <w:kern w:val="0"/>
                <w:sz w:val="22"/>
                <w:szCs w:val="22"/>
                <w:u w:val="none"/>
                <w:lang w:val="en-US" w:eastAsia="zh-CN" w:bidi="ar"/>
              </w:rPr>
              <w:t>工人工资支付专用账户开户证明的，</w:t>
            </w:r>
            <w:r>
              <w:rPr>
                <w:rFonts w:hint="eastAsia" w:ascii="宋体" w:hAnsi="宋体" w:eastAsia="宋体" w:cs="宋体"/>
                <w:i w:val="0"/>
                <w:color w:val="auto"/>
                <w:kern w:val="0"/>
                <w:sz w:val="22"/>
                <w:szCs w:val="22"/>
                <w:u w:val="none"/>
                <w:lang w:val="en-US" w:eastAsia="zh-CN" w:bidi="ar"/>
              </w:rPr>
              <w:t>取得施工许可证后61-90个自然日未在审批系统上传工人工资支付专用账户开户证明文件扫描件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lang w:val="en-US"/>
              </w:rPr>
            </w:pPr>
            <w:r>
              <w:rPr>
                <w:rFonts w:hint="eastAsia" w:ascii="Times New Roman" w:hAnsi="Times New Roman" w:eastAsia="宋体" w:cs="Times New Roman"/>
                <w:b/>
                <w:i w:val="0"/>
                <w:color w:val="auto"/>
                <w:kern w:val="0"/>
                <w:sz w:val="18"/>
                <w:szCs w:val="18"/>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u w:val="none"/>
                <w:lang w:val="en-US"/>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182</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应提交</w:t>
            </w:r>
            <w:r>
              <w:rPr>
                <w:rFonts w:hint="eastAsia" w:ascii="宋体" w:hAnsi="宋体" w:eastAsia="宋体" w:cs="宋体"/>
                <w:color w:val="auto"/>
                <w:kern w:val="0"/>
                <w:sz w:val="22"/>
                <w:szCs w:val="22"/>
                <w:u w:val="none"/>
                <w:lang w:val="en-US" w:eastAsia="zh-CN" w:bidi="ar"/>
              </w:rPr>
              <w:t>工人工资支付专用账户开户证明的，</w:t>
            </w:r>
            <w:r>
              <w:rPr>
                <w:rFonts w:hint="eastAsia" w:ascii="宋体" w:hAnsi="宋体" w:eastAsia="宋体" w:cs="宋体"/>
                <w:i w:val="0"/>
                <w:color w:val="auto"/>
                <w:kern w:val="0"/>
                <w:sz w:val="22"/>
                <w:szCs w:val="22"/>
                <w:u w:val="none"/>
                <w:lang w:val="en-US" w:eastAsia="zh-CN" w:bidi="ar"/>
              </w:rPr>
              <w:t>取得施工许可证后超90个自然日未在审批系统上传工人工资支付专用账户开户证明文件扫描件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eastAsia" w:ascii="Times New Roman" w:hAnsi="Times New Roman" w:eastAsia="宋体" w:cs="Times New Roman"/>
                <w:b/>
                <w:i w:val="0"/>
                <w:color w:val="auto"/>
                <w:kern w:val="0"/>
                <w:sz w:val="18"/>
                <w:szCs w:val="18"/>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u w:val="none"/>
                <w:lang w:val="en-US" w:eastAsia="zh-CN" w:bidi="ar"/>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183</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应提交工人工资保证金文件的，取得施工许可证后31—60个自然日仍未上传劳务工资保证金文件扫描件的</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eastAsia" w:ascii="Times New Roman" w:hAnsi="Times New Roman" w:eastAsia="宋体" w:cs="Times New Roman"/>
                <w:b/>
                <w:i w:val="0"/>
                <w:color w:val="auto"/>
                <w:kern w:val="0"/>
                <w:sz w:val="18"/>
                <w:szCs w:val="18"/>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u w:val="none"/>
                <w:lang w:val="en-US" w:eastAsia="zh-CN" w:bidi="ar"/>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184</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应提交工人工资保证金文件的，取得施工许可证后61-90个自然日仍未上传劳务工资保证金文件扫描件的</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eastAsia" w:ascii="Times New Roman" w:hAnsi="Times New Roman" w:eastAsia="宋体" w:cs="Times New Roman"/>
                <w:b/>
                <w:i w:val="0"/>
                <w:color w:val="auto"/>
                <w:kern w:val="0"/>
                <w:sz w:val="18"/>
                <w:szCs w:val="18"/>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u w:val="none"/>
                <w:lang w:val="en-US" w:eastAsia="zh-CN" w:bidi="ar"/>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185</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应提交工人工资保证金文件的，取得施工许可证后超90个自然日仍未上传劳务工资保证金文件扫描件的</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21</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eastAsia" w:ascii="Times New Roman" w:hAnsi="Times New Roman" w:eastAsia="宋体" w:cs="Times New Roman"/>
                <w:b/>
                <w:i w:val="0"/>
                <w:color w:val="auto"/>
                <w:kern w:val="0"/>
                <w:sz w:val="18"/>
                <w:szCs w:val="18"/>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u w:val="none"/>
                <w:lang w:val="en-US" w:eastAsia="zh-CN" w:bidi="ar"/>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186</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应提交承包商履约担保文件的，取得施工许可证后61—90个自然日仍未上传承包商履约担保文件扫描件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eastAsia" w:ascii="Times New Roman" w:hAnsi="Times New Roman" w:eastAsia="宋体" w:cs="Times New Roman"/>
                <w:b/>
                <w:i w:val="0"/>
                <w:color w:val="auto"/>
                <w:kern w:val="0"/>
                <w:sz w:val="18"/>
                <w:szCs w:val="18"/>
                <w:u w:val="none"/>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u w:val="none"/>
                <w:lang w:val="en-US" w:eastAsia="zh-CN" w:bidi="ar"/>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187</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应提交承包商履约担保文件的，取得施工许可证后91-120个自然日仍未上传承包商履约担保文件扫描件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eastAsia" w:ascii="Times New Roman" w:hAnsi="Times New Roman" w:eastAsia="宋体" w:cs="Times New Roman"/>
                <w:b/>
                <w:i w:val="0"/>
                <w:color w:val="auto"/>
                <w:kern w:val="0"/>
                <w:sz w:val="18"/>
                <w:szCs w:val="18"/>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市场监管科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u w:val="none"/>
                <w:lang w:val="en-US" w:eastAsia="zh-CN" w:bidi="ar"/>
              </w:rPr>
            </w:pPr>
            <w:r>
              <w:rPr>
                <w:rFonts w:hint="default" w:ascii="Times New Roman" w:hAnsi="Times New Roman" w:eastAsia="宋体" w:cs="Times New Roman"/>
                <w:b/>
                <w:i w:val="0"/>
                <w:color w:val="auto"/>
                <w:kern w:val="0"/>
                <w:sz w:val="24"/>
                <w:szCs w:val="24"/>
                <w:u w:val="none"/>
                <w:lang w:val="en-US" w:eastAsia="zh-CN" w:bidi="ar"/>
              </w:rPr>
              <w:t>SG-</w:t>
            </w:r>
            <w:r>
              <w:rPr>
                <w:rFonts w:hint="eastAsia" w:ascii="Times New Roman" w:hAnsi="Times New Roman" w:eastAsia="宋体" w:cs="Times New Roman"/>
                <w:b/>
                <w:i w:val="0"/>
                <w:color w:val="auto"/>
                <w:kern w:val="0"/>
                <w:sz w:val="24"/>
                <w:szCs w:val="24"/>
                <w:u w:val="none"/>
                <w:lang w:val="en-US" w:eastAsia="zh-CN" w:bidi="ar"/>
              </w:rPr>
              <w:t>188</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应提交承包商履约担保文件的，取得施工许可证后超120个自然日仍未上传承包商履约担保文件扫描件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21</w:t>
            </w:r>
          </w:p>
        </w:tc>
      </w:tr>
    </w:tbl>
    <w:p>
      <w:pPr>
        <w:keepNext w:val="0"/>
        <w:keepLines w:val="0"/>
        <w:pageBreakBefore w:val="0"/>
        <w:kinsoku/>
        <w:wordWrap/>
        <w:overflowPunct/>
        <w:topLinePunct w:val="0"/>
        <w:autoSpaceDE/>
        <w:autoSpaceDN/>
        <w:bidi w:val="0"/>
        <w:adjustRightInd/>
        <w:spacing w:line="580" w:lineRule="exact"/>
        <w:jc w:val="both"/>
        <w:textAlignment w:val="auto"/>
        <w:outlineLvl w:val="9"/>
        <w:rPr>
          <w:rFonts w:hint="default" w:ascii="方正小标宋简体" w:hAnsi="方正小标宋简体" w:eastAsia="方正小标宋简体" w:cs="方正小标宋简体"/>
          <w:color w:val="auto"/>
          <w:sz w:val="32"/>
          <w:szCs w:val="32"/>
        </w:rPr>
      </w:pPr>
    </w:p>
    <w:p>
      <w:pPr>
        <w:keepNext w:val="0"/>
        <w:keepLines w:val="0"/>
        <w:pageBreakBefore w:val="0"/>
        <w:kinsoku/>
        <w:wordWrap/>
        <w:overflowPunct/>
        <w:topLinePunct w:val="0"/>
        <w:autoSpaceDE/>
        <w:autoSpaceDN/>
        <w:bidi w:val="0"/>
        <w:adjustRightInd/>
        <w:spacing w:line="240" w:lineRule="auto"/>
        <w:jc w:val="left"/>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tbl>
      <w:tblPr>
        <w:tblStyle w:val="8"/>
        <w:tblW w:w="14760" w:type="dxa"/>
        <w:tblInd w:w="0" w:type="dxa"/>
        <w:shd w:val="clear" w:color="auto" w:fill="auto"/>
        <w:tblLayout w:type="fixed"/>
        <w:tblCellMar>
          <w:top w:w="0" w:type="dxa"/>
          <w:left w:w="0" w:type="dxa"/>
          <w:bottom w:w="0" w:type="dxa"/>
          <w:right w:w="0" w:type="dxa"/>
        </w:tblCellMar>
      </w:tblPr>
      <w:tblGrid>
        <w:gridCol w:w="405"/>
        <w:gridCol w:w="1004"/>
        <w:gridCol w:w="1034"/>
        <w:gridCol w:w="1076"/>
        <w:gridCol w:w="2938"/>
        <w:gridCol w:w="2863"/>
        <w:gridCol w:w="2218"/>
        <w:gridCol w:w="3222"/>
      </w:tblGrid>
      <w:tr>
        <w:tblPrEx>
          <w:tblLayout w:type="fixed"/>
          <w:tblCellMar>
            <w:top w:w="0" w:type="dxa"/>
            <w:left w:w="0" w:type="dxa"/>
            <w:bottom w:w="0" w:type="dxa"/>
            <w:right w:w="0" w:type="dxa"/>
          </w:tblCellMar>
        </w:tblPrEx>
        <w:trPr>
          <w:trHeight w:val="799" w:hRule="atLeast"/>
        </w:trPr>
        <w:tc>
          <w:tcPr>
            <w:tcW w:w="147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auto"/>
                <w:sz w:val="42"/>
                <w:szCs w:val="42"/>
                <w:u w:val="none"/>
              </w:rPr>
            </w:pPr>
            <w:r>
              <w:rPr>
                <w:rFonts w:hint="eastAsia" w:ascii="黑体" w:hAnsi="宋体" w:eastAsia="黑体" w:cs="黑体"/>
                <w:b/>
                <w:i w:val="0"/>
                <w:color w:val="auto"/>
                <w:kern w:val="0"/>
                <w:sz w:val="42"/>
                <w:szCs w:val="42"/>
                <w:u w:val="none"/>
                <w:lang w:val="en-US" w:eastAsia="zh-CN" w:bidi="ar"/>
              </w:rPr>
              <w:t>房地产企业不良行为扣分标准</w:t>
            </w:r>
          </w:p>
        </w:tc>
      </w:tr>
      <w:tr>
        <w:tblPrEx>
          <w:tblLayout w:type="fixed"/>
          <w:tblCellMar>
            <w:top w:w="0" w:type="dxa"/>
            <w:left w:w="0" w:type="dxa"/>
            <w:bottom w:w="0" w:type="dxa"/>
            <w:right w:w="0" w:type="dxa"/>
          </w:tblCellMar>
        </w:tblPrEx>
        <w:trPr>
          <w:trHeight w:val="5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行为    类别</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执法    科室</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记分  代码</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不良行为描述</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法律(法规)依据</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处罚依据</w:t>
            </w: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u w:val="none"/>
              </w:rPr>
            </w:pPr>
            <w:r>
              <w:rPr>
                <w:rFonts w:hint="eastAsia" w:ascii="黑体" w:hAnsi="宋体" w:eastAsia="黑体" w:cs="黑体"/>
                <w:b/>
                <w:i w:val="0"/>
                <w:color w:val="auto"/>
                <w:kern w:val="0"/>
                <w:sz w:val="22"/>
                <w:szCs w:val="22"/>
                <w:u w:val="none"/>
                <w:lang w:val="en-US" w:eastAsia="zh-CN" w:bidi="ar"/>
              </w:rPr>
              <w:t>分值</w:t>
            </w:r>
          </w:p>
        </w:tc>
      </w:tr>
      <w:tr>
        <w:tblPrEx>
          <w:tblLayout w:type="fixed"/>
          <w:tblCellMar>
            <w:top w:w="0" w:type="dxa"/>
            <w:left w:w="0" w:type="dxa"/>
            <w:bottom w:w="0" w:type="dxa"/>
            <w:right w:w="0" w:type="dxa"/>
          </w:tblCellMar>
        </w:tblPrEx>
        <w:trPr>
          <w:trHeight w:val="162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lang w:val="en-US"/>
              </w:rPr>
            </w:pPr>
            <w:r>
              <w:rPr>
                <w:rFonts w:hint="eastAsia" w:ascii="Times New Roman" w:hAnsi="Times New Roman" w:eastAsia="宋体" w:cs="Times New Roman"/>
                <w:b/>
                <w:i w:val="0"/>
                <w:color w:val="auto"/>
                <w:kern w:val="0"/>
                <w:sz w:val="18"/>
                <w:szCs w:val="18"/>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住建局房产科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u w:val="none"/>
                <w:lang w:val="en-US"/>
              </w:rPr>
            </w:pPr>
            <w:r>
              <w:rPr>
                <w:rFonts w:hint="default" w:ascii="Times New Roman" w:hAnsi="Times New Roman" w:eastAsia="宋体" w:cs="Times New Roman"/>
                <w:b/>
                <w:i w:val="0"/>
                <w:color w:val="auto"/>
                <w:kern w:val="0"/>
                <w:sz w:val="24"/>
                <w:szCs w:val="24"/>
                <w:u w:val="none"/>
                <w:lang w:val="en-US" w:eastAsia="zh-CN" w:bidi="ar"/>
              </w:rPr>
              <w:t>FDC-</w:t>
            </w:r>
            <w:r>
              <w:rPr>
                <w:rFonts w:hint="eastAsia" w:ascii="Times New Roman" w:hAnsi="Times New Roman" w:eastAsia="宋体" w:cs="Times New Roman"/>
                <w:b/>
                <w:i w:val="0"/>
                <w:color w:val="auto"/>
                <w:kern w:val="0"/>
                <w:sz w:val="24"/>
                <w:szCs w:val="24"/>
                <w:u w:val="none"/>
                <w:lang w:val="en-US" w:eastAsia="zh-CN" w:bidi="ar"/>
              </w:rPr>
              <w:t>066</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应提交业主支付担保文件的，取得施工许可证后61—90个自然日仍未上传业主支付担保文件扫描件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65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lang w:val="en-US"/>
              </w:rPr>
            </w:pPr>
            <w:r>
              <w:rPr>
                <w:rFonts w:hint="eastAsia" w:ascii="Times New Roman" w:hAnsi="Times New Roman" w:eastAsia="宋体" w:cs="Times New Roman"/>
                <w:b/>
                <w:i w:val="0"/>
                <w:color w:val="auto"/>
                <w:kern w:val="0"/>
                <w:sz w:val="18"/>
                <w:szCs w:val="18"/>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住建局房产科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u w:val="none"/>
                <w:lang w:val="en-US"/>
              </w:rPr>
            </w:pPr>
            <w:r>
              <w:rPr>
                <w:rFonts w:hint="default" w:ascii="Times New Roman" w:hAnsi="Times New Roman" w:eastAsia="宋体" w:cs="Times New Roman"/>
                <w:b/>
                <w:i w:val="0"/>
                <w:color w:val="auto"/>
                <w:kern w:val="0"/>
                <w:sz w:val="24"/>
                <w:szCs w:val="24"/>
                <w:u w:val="none"/>
                <w:lang w:val="en-US" w:eastAsia="zh-CN" w:bidi="ar"/>
              </w:rPr>
              <w:t>FDC-</w:t>
            </w:r>
            <w:r>
              <w:rPr>
                <w:rFonts w:hint="eastAsia" w:ascii="Times New Roman" w:hAnsi="Times New Roman" w:eastAsia="宋体" w:cs="Times New Roman"/>
                <w:b/>
                <w:i w:val="0"/>
                <w:color w:val="auto"/>
                <w:kern w:val="0"/>
                <w:sz w:val="24"/>
                <w:szCs w:val="24"/>
                <w:u w:val="none"/>
                <w:lang w:val="en-US" w:eastAsia="zh-CN" w:bidi="ar"/>
              </w:rPr>
              <w:t>067</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应提交业主支付担保文件的，取得施工许可证后91-120个自然日仍未上传业主支付担保文件扫描件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w:t>
            </w:r>
          </w:p>
        </w:tc>
      </w:tr>
      <w:tr>
        <w:tblPrEx>
          <w:tblLayout w:type="fixed"/>
          <w:tblCellMar>
            <w:top w:w="0" w:type="dxa"/>
            <w:left w:w="0" w:type="dxa"/>
            <w:bottom w:w="0" w:type="dxa"/>
            <w:right w:w="0" w:type="dxa"/>
          </w:tblCellMar>
        </w:tblPrEx>
        <w:trPr>
          <w:trHeight w:val="18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lang w:val="en-US"/>
              </w:rPr>
            </w:pPr>
            <w:r>
              <w:rPr>
                <w:rFonts w:hint="eastAsia" w:ascii="Times New Roman" w:hAnsi="Times New Roman" w:eastAsia="宋体" w:cs="Times New Roman"/>
                <w:b/>
                <w:i w:val="0"/>
                <w:color w:val="auto"/>
                <w:kern w:val="0"/>
                <w:sz w:val="18"/>
                <w:szCs w:val="18"/>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业务管理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住建局房产科</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4"/>
                <w:szCs w:val="24"/>
                <w:u w:val="none"/>
                <w:lang w:val="en-US"/>
              </w:rPr>
            </w:pPr>
            <w:r>
              <w:rPr>
                <w:rFonts w:hint="default" w:ascii="Times New Roman" w:hAnsi="Times New Roman" w:eastAsia="宋体" w:cs="Times New Roman"/>
                <w:b/>
                <w:i w:val="0"/>
                <w:color w:val="auto"/>
                <w:kern w:val="0"/>
                <w:sz w:val="24"/>
                <w:szCs w:val="24"/>
                <w:u w:val="none"/>
                <w:lang w:val="en-US" w:eastAsia="zh-CN" w:bidi="ar"/>
              </w:rPr>
              <w:t>FDC-</w:t>
            </w:r>
            <w:r>
              <w:rPr>
                <w:rFonts w:hint="eastAsia" w:ascii="Times New Roman" w:hAnsi="Times New Roman" w:eastAsia="宋体" w:cs="Times New Roman"/>
                <w:b/>
                <w:i w:val="0"/>
                <w:color w:val="auto"/>
                <w:kern w:val="0"/>
                <w:sz w:val="24"/>
                <w:szCs w:val="24"/>
                <w:u w:val="none"/>
                <w:lang w:val="en-US" w:eastAsia="zh-CN" w:bidi="ar"/>
              </w:rPr>
              <w:t>068</w:t>
            </w:r>
          </w:p>
        </w:tc>
        <w:tc>
          <w:tcPr>
            <w:tcW w:w="2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应提交业主支付担保文件的，取得施工许可证后超120个自然日仍未上传业主支付担保文件扫描件</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《关于简化施工许可手续后完善后续监管工作的通知》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w:t>
            </w:r>
          </w:p>
        </w:tc>
      </w:tr>
    </w:tbl>
    <w:p>
      <w:pPr>
        <w:keepNext w:val="0"/>
        <w:keepLines w:val="0"/>
        <w:pageBreakBefore w:val="0"/>
        <w:widowControl/>
        <w:kinsoku/>
        <w:wordWrap/>
        <w:overflowPunct/>
        <w:topLinePunct w:val="0"/>
        <w:autoSpaceDE/>
        <w:autoSpaceDN/>
        <w:bidi w:val="0"/>
        <w:adjustRightInd/>
        <w:snapToGrid/>
        <w:spacing w:beforeLines="-2147483648" w:afterLines="-2147483648" w:line="580" w:lineRule="exact"/>
        <w:ind w:left="0" w:leftChars="0" w:right="0" w:rightChars="0" w:firstLine="0" w:firstLineChars="0"/>
        <w:jc w:val="both"/>
        <w:textAlignment w:val="auto"/>
        <w:outlineLvl w:val="9"/>
        <w:rPr>
          <w:rFonts w:hint="default" w:ascii="仿宋" w:hAnsi="仿宋" w:eastAsia="仿宋" w:cs="仿宋"/>
          <w:i w:val="0"/>
          <w:caps w:val="0"/>
          <w:color w:val="auto"/>
          <w:spacing w:val="0"/>
          <w:sz w:val="31"/>
          <w:szCs w:val="31"/>
          <w:shd w:val="clear" w:fill="FFFFFF"/>
          <w:lang w:val="en-US" w:eastAsia="zh-CN"/>
        </w:rPr>
      </w:pPr>
    </w:p>
    <w:sectPr>
      <w:footerReference r:id="rId3" w:type="default"/>
      <w:pgSz w:w="16838" w:h="11906" w:orient="landscape"/>
      <w:pgMar w:top="1803" w:right="1440" w:bottom="1803" w:left="1440"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仿宋简体">
    <w:altName w:val="Arial Unicode MS"/>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方正楷体繁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公文小标宋简">
    <w:altName w:val="宋体"/>
    <w:panose1 w:val="02010609010101010101"/>
    <w:charset w:val="86"/>
    <w:family w:val="modern"/>
    <w:pitch w:val="default"/>
    <w:sig w:usb0="00000000" w:usb1="00000000" w:usb2="00000000" w:usb3="00000000" w:csb0="00040001" w:csb1="00000000"/>
  </w:font>
  <w:font w:name="公文小标宋简">
    <w:altName w:val="宋体"/>
    <w:panose1 w:val="02010609010101010101"/>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BrowalliaUPC">
    <w:panose1 w:val="020B0604020202020204"/>
    <w:charset w:val="00"/>
    <w:family w:val="auto"/>
    <w:pitch w:val="default"/>
    <w:sig w:usb0="81000003" w:usb1="00000000" w:usb2="00000000" w:usb3="00000000" w:csb0="0001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auto"/>
    <w:pitch w:val="default"/>
    <w:sig w:usb0="00000000" w:usb1="00000000" w:usb2="00000000"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7A"/>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4310"/>
    <w:rsid w:val="000417E7"/>
    <w:rsid w:val="001A49E8"/>
    <w:rsid w:val="00422E58"/>
    <w:rsid w:val="00427D2E"/>
    <w:rsid w:val="00580882"/>
    <w:rsid w:val="00D21DEC"/>
    <w:rsid w:val="00D66AAB"/>
    <w:rsid w:val="00DA1F8A"/>
    <w:rsid w:val="01011A88"/>
    <w:rsid w:val="010548B8"/>
    <w:rsid w:val="01122198"/>
    <w:rsid w:val="0154620A"/>
    <w:rsid w:val="01AC33D6"/>
    <w:rsid w:val="01BD7116"/>
    <w:rsid w:val="01D814DB"/>
    <w:rsid w:val="01E1608A"/>
    <w:rsid w:val="0210295E"/>
    <w:rsid w:val="0212492E"/>
    <w:rsid w:val="02252902"/>
    <w:rsid w:val="023D78A7"/>
    <w:rsid w:val="0253753A"/>
    <w:rsid w:val="02703F0E"/>
    <w:rsid w:val="028D50C0"/>
    <w:rsid w:val="02937CE8"/>
    <w:rsid w:val="02D602EB"/>
    <w:rsid w:val="031F5722"/>
    <w:rsid w:val="033E79E5"/>
    <w:rsid w:val="03400DDB"/>
    <w:rsid w:val="037A0915"/>
    <w:rsid w:val="037B2F07"/>
    <w:rsid w:val="03B77040"/>
    <w:rsid w:val="03BE0916"/>
    <w:rsid w:val="03EF465B"/>
    <w:rsid w:val="03F575EB"/>
    <w:rsid w:val="04211568"/>
    <w:rsid w:val="04597123"/>
    <w:rsid w:val="047C2593"/>
    <w:rsid w:val="0485189B"/>
    <w:rsid w:val="049377C1"/>
    <w:rsid w:val="04BC1FDF"/>
    <w:rsid w:val="04C15F0F"/>
    <w:rsid w:val="04FF321A"/>
    <w:rsid w:val="058D5477"/>
    <w:rsid w:val="05C329D4"/>
    <w:rsid w:val="05D23DD3"/>
    <w:rsid w:val="06104E2E"/>
    <w:rsid w:val="062F4374"/>
    <w:rsid w:val="064C38D9"/>
    <w:rsid w:val="065D1634"/>
    <w:rsid w:val="06621DE4"/>
    <w:rsid w:val="066A149D"/>
    <w:rsid w:val="068E5837"/>
    <w:rsid w:val="06A64553"/>
    <w:rsid w:val="06CD10DA"/>
    <w:rsid w:val="06CF535B"/>
    <w:rsid w:val="06EA2068"/>
    <w:rsid w:val="072A5AB8"/>
    <w:rsid w:val="07392A26"/>
    <w:rsid w:val="073F0C08"/>
    <w:rsid w:val="07593117"/>
    <w:rsid w:val="076F3CFB"/>
    <w:rsid w:val="079A7F2B"/>
    <w:rsid w:val="07AE0D17"/>
    <w:rsid w:val="07E37AFA"/>
    <w:rsid w:val="08871769"/>
    <w:rsid w:val="088E615C"/>
    <w:rsid w:val="08B93FF5"/>
    <w:rsid w:val="08C729D6"/>
    <w:rsid w:val="08DF6826"/>
    <w:rsid w:val="094715B3"/>
    <w:rsid w:val="09BC60A8"/>
    <w:rsid w:val="09C445DA"/>
    <w:rsid w:val="09D62F2B"/>
    <w:rsid w:val="09DD49DC"/>
    <w:rsid w:val="09DE463D"/>
    <w:rsid w:val="09E94790"/>
    <w:rsid w:val="09F76935"/>
    <w:rsid w:val="09FB1BC9"/>
    <w:rsid w:val="0A0E6EAB"/>
    <w:rsid w:val="0A324168"/>
    <w:rsid w:val="0A325A1C"/>
    <w:rsid w:val="0A436D26"/>
    <w:rsid w:val="0A8A183A"/>
    <w:rsid w:val="0A943CFD"/>
    <w:rsid w:val="0AB47371"/>
    <w:rsid w:val="0AB715CA"/>
    <w:rsid w:val="0AEB6776"/>
    <w:rsid w:val="0B321CBD"/>
    <w:rsid w:val="0B364D2A"/>
    <w:rsid w:val="0B392895"/>
    <w:rsid w:val="0B786B6C"/>
    <w:rsid w:val="0B8A0FA2"/>
    <w:rsid w:val="0B947F60"/>
    <w:rsid w:val="0BC5171F"/>
    <w:rsid w:val="0BC74DDB"/>
    <w:rsid w:val="0BE91FF7"/>
    <w:rsid w:val="0BEB1DF3"/>
    <w:rsid w:val="0C6303DD"/>
    <w:rsid w:val="0CC126C6"/>
    <w:rsid w:val="0CDF48FA"/>
    <w:rsid w:val="0D222642"/>
    <w:rsid w:val="0D47149E"/>
    <w:rsid w:val="0D593C87"/>
    <w:rsid w:val="0D5F19FA"/>
    <w:rsid w:val="0D6F40B6"/>
    <w:rsid w:val="0D7912CE"/>
    <w:rsid w:val="0D952560"/>
    <w:rsid w:val="0DD14615"/>
    <w:rsid w:val="0DEC7333"/>
    <w:rsid w:val="0ECA4310"/>
    <w:rsid w:val="0F23730D"/>
    <w:rsid w:val="100E3C6C"/>
    <w:rsid w:val="101F117A"/>
    <w:rsid w:val="1050030C"/>
    <w:rsid w:val="10620B5F"/>
    <w:rsid w:val="108A0C50"/>
    <w:rsid w:val="108C7071"/>
    <w:rsid w:val="10C27B41"/>
    <w:rsid w:val="10E35DB5"/>
    <w:rsid w:val="10E419CC"/>
    <w:rsid w:val="11481C6D"/>
    <w:rsid w:val="117D5143"/>
    <w:rsid w:val="11A10220"/>
    <w:rsid w:val="11C02C0A"/>
    <w:rsid w:val="11C354EF"/>
    <w:rsid w:val="11C603A6"/>
    <w:rsid w:val="11C87546"/>
    <w:rsid w:val="11CA3243"/>
    <w:rsid w:val="11E52885"/>
    <w:rsid w:val="11F4280F"/>
    <w:rsid w:val="12317518"/>
    <w:rsid w:val="12795DFD"/>
    <w:rsid w:val="12B750BF"/>
    <w:rsid w:val="12C34C99"/>
    <w:rsid w:val="130C1CE3"/>
    <w:rsid w:val="1348006E"/>
    <w:rsid w:val="134A0561"/>
    <w:rsid w:val="1351012A"/>
    <w:rsid w:val="13537622"/>
    <w:rsid w:val="13633C13"/>
    <w:rsid w:val="136A25A7"/>
    <w:rsid w:val="136F62B9"/>
    <w:rsid w:val="13A0360D"/>
    <w:rsid w:val="13CA68D2"/>
    <w:rsid w:val="13D62393"/>
    <w:rsid w:val="13F30938"/>
    <w:rsid w:val="142D152A"/>
    <w:rsid w:val="144426BA"/>
    <w:rsid w:val="14726699"/>
    <w:rsid w:val="15024A43"/>
    <w:rsid w:val="153003C5"/>
    <w:rsid w:val="15750564"/>
    <w:rsid w:val="159F28F9"/>
    <w:rsid w:val="15AA7CEB"/>
    <w:rsid w:val="15C24EDC"/>
    <w:rsid w:val="15C26BF7"/>
    <w:rsid w:val="15D06257"/>
    <w:rsid w:val="15D1379F"/>
    <w:rsid w:val="15D76563"/>
    <w:rsid w:val="15EC7869"/>
    <w:rsid w:val="15FF7A6A"/>
    <w:rsid w:val="161A4549"/>
    <w:rsid w:val="161C0F0E"/>
    <w:rsid w:val="163E3832"/>
    <w:rsid w:val="1668268F"/>
    <w:rsid w:val="16691CB8"/>
    <w:rsid w:val="16723E21"/>
    <w:rsid w:val="168F3C24"/>
    <w:rsid w:val="16A7020F"/>
    <w:rsid w:val="16D946AA"/>
    <w:rsid w:val="16F63E30"/>
    <w:rsid w:val="172D45D0"/>
    <w:rsid w:val="17403811"/>
    <w:rsid w:val="17424915"/>
    <w:rsid w:val="174E4C7A"/>
    <w:rsid w:val="17553F2F"/>
    <w:rsid w:val="177E44F3"/>
    <w:rsid w:val="181840E7"/>
    <w:rsid w:val="183D613B"/>
    <w:rsid w:val="187D1B75"/>
    <w:rsid w:val="18830025"/>
    <w:rsid w:val="18B02051"/>
    <w:rsid w:val="18B06F3A"/>
    <w:rsid w:val="18C46CA0"/>
    <w:rsid w:val="18D7463F"/>
    <w:rsid w:val="196244B6"/>
    <w:rsid w:val="198468E9"/>
    <w:rsid w:val="19A731FE"/>
    <w:rsid w:val="19CF1A76"/>
    <w:rsid w:val="19D93F1E"/>
    <w:rsid w:val="19DA76FA"/>
    <w:rsid w:val="19E05676"/>
    <w:rsid w:val="19F62600"/>
    <w:rsid w:val="1A175B3E"/>
    <w:rsid w:val="1A40030D"/>
    <w:rsid w:val="1A6010FA"/>
    <w:rsid w:val="1A6217E7"/>
    <w:rsid w:val="1A7356FD"/>
    <w:rsid w:val="1A873898"/>
    <w:rsid w:val="1A934636"/>
    <w:rsid w:val="1AC76489"/>
    <w:rsid w:val="1B5E7B52"/>
    <w:rsid w:val="1B671786"/>
    <w:rsid w:val="1B843CE6"/>
    <w:rsid w:val="1B885166"/>
    <w:rsid w:val="1BA704DA"/>
    <w:rsid w:val="1BD23F59"/>
    <w:rsid w:val="1BD84256"/>
    <w:rsid w:val="1BED50E9"/>
    <w:rsid w:val="1BFE0662"/>
    <w:rsid w:val="1C2204CC"/>
    <w:rsid w:val="1C3C471A"/>
    <w:rsid w:val="1CA3130A"/>
    <w:rsid w:val="1CAA3AFF"/>
    <w:rsid w:val="1CB839FB"/>
    <w:rsid w:val="1CC833D4"/>
    <w:rsid w:val="1CD67A81"/>
    <w:rsid w:val="1CE069C7"/>
    <w:rsid w:val="1D011D25"/>
    <w:rsid w:val="1D1B372F"/>
    <w:rsid w:val="1D3231B5"/>
    <w:rsid w:val="1D4573AA"/>
    <w:rsid w:val="1D6F7BBC"/>
    <w:rsid w:val="1D7D58C1"/>
    <w:rsid w:val="1D966071"/>
    <w:rsid w:val="1DA361FD"/>
    <w:rsid w:val="1DCF1667"/>
    <w:rsid w:val="1DF21BCE"/>
    <w:rsid w:val="1E1D3026"/>
    <w:rsid w:val="1E1D5F9C"/>
    <w:rsid w:val="1E2E6B2A"/>
    <w:rsid w:val="1E65343C"/>
    <w:rsid w:val="1E6C5458"/>
    <w:rsid w:val="1E6E4033"/>
    <w:rsid w:val="1E8768A6"/>
    <w:rsid w:val="1EA76B7F"/>
    <w:rsid w:val="1EAF2F1C"/>
    <w:rsid w:val="1EBD4A98"/>
    <w:rsid w:val="1EE908C0"/>
    <w:rsid w:val="1EEC2B7D"/>
    <w:rsid w:val="1EFD61F9"/>
    <w:rsid w:val="1F4D162C"/>
    <w:rsid w:val="1F54689A"/>
    <w:rsid w:val="1F6279D3"/>
    <w:rsid w:val="1F8B1044"/>
    <w:rsid w:val="1FB577CA"/>
    <w:rsid w:val="201A0267"/>
    <w:rsid w:val="20627E0F"/>
    <w:rsid w:val="208A697C"/>
    <w:rsid w:val="20D02152"/>
    <w:rsid w:val="20D81597"/>
    <w:rsid w:val="20DA4D94"/>
    <w:rsid w:val="210255EE"/>
    <w:rsid w:val="21144549"/>
    <w:rsid w:val="21286BE4"/>
    <w:rsid w:val="21547BA2"/>
    <w:rsid w:val="2159278B"/>
    <w:rsid w:val="21727EA3"/>
    <w:rsid w:val="21861888"/>
    <w:rsid w:val="21CB59C1"/>
    <w:rsid w:val="21F60197"/>
    <w:rsid w:val="22377AFB"/>
    <w:rsid w:val="2256490A"/>
    <w:rsid w:val="22EF4775"/>
    <w:rsid w:val="22F74B5F"/>
    <w:rsid w:val="23423FE3"/>
    <w:rsid w:val="2358712A"/>
    <w:rsid w:val="23723063"/>
    <w:rsid w:val="2388300F"/>
    <w:rsid w:val="23883B1B"/>
    <w:rsid w:val="23996561"/>
    <w:rsid w:val="23A07EC7"/>
    <w:rsid w:val="23C85A38"/>
    <w:rsid w:val="23EE10B0"/>
    <w:rsid w:val="23FC0453"/>
    <w:rsid w:val="247F3A62"/>
    <w:rsid w:val="249A40B0"/>
    <w:rsid w:val="24FA6CB4"/>
    <w:rsid w:val="251171C8"/>
    <w:rsid w:val="25250AE0"/>
    <w:rsid w:val="255842FA"/>
    <w:rsid w:val="257627C1"/>
    <w:rsid w:val="25B74F6C"/>
    <w:rsid w:val="25C07723"/>
    <w:rsid w:val="25C36133"/>
    <w:rsid w:val="25C40272"/>
    <w:rsid w:val="25C978A6"/>
    <w:rsid w:val="25D565F1"/>
    <w:rsid w:val="25E70F24"/>
    <w:rsid w:val="263B6CF3"/>
    <w:rsid w:val="26953360"/>
    <w:rsid w:val="269A2158"/>
    <w:rsid w:val="26AC66AE"/>
    <w:rsid w:val="26C23CD6"/>
    <w:rsid w:val="26D24846"/>
    <w:rsid w:val="26F13093"/>
    <w:rsid w:val="270E0CEE"/>
    <w:rsid w:val="27114B01"/>
    <w:rsid w:val="271C59E2"/>
    <w:rsid w:val="27221B69"/>
    <w:rsid w:val="272E215E"/>
    <w:rsid w:val="27360FA0"/>
    <w:rsid w:val="273B50FB"/>
    <w:rsid w:val="277104FD"/>
    <w:rsid w:val="27916E93"/>
    <w:rsid w:val="27963EBC"/>
    <w:rsid w:val="27B7259A"/>
    <w:rsid w:val="27C01D0D"/>
    <w:rsid w:val="27C366D0"/>
    <w:rsid w:val="27CD64D3"/>
    <w:rsid w:val="27D1628A"/>
    <w:rsid w:val="27D808C0"/>
    <w:rsid w:val="27DC212D"/>
    <w:rsid w:val="27E0227A"/>
    <w:rsid w:val="2803071E"/>
    <w:rsid w:val="280F4C08"/>
    <w:rsid w:val="28135E5C"/>
    <w:rsid w:val="281C2BFF"/>
    <w:rsid w:val="28212A79"/>
    <w:rsid w:val="28332794"/>
    <w:rsid w:val="285A78EA"/>
    <w:rsid w:val="28852787"/>
    <w:rsid w:val="28917294"/>
    <w:rsid w:val="289C4948"/>
    <w:rsid w:val="289D37CD"/>
    <w:rsid w:val="28B54FBF"/>
    <w:rsid w:val="28BA4420"/>
    <w:rsid w:val="28D53A9E"/>
    <w:rsid w:val="28E02E44"/>
    <w:rsid w:val="28EA2E7B"/>
    <w:rsid w:val="28F77592"/>
    <w:rsid w:val="2910182F"/>
    <w:rsid w:val="29172DC0"/>
    <w:rsid w:val="29416747"/>
    <w:rsid w:val="29457C38"/>
    <w:rsid w:val="2948058E"/>
    <w:rsid w:val="297B359E"/>
    <w:rsid w:val="29A26457"/>
    <w:rsid w:val="2A155AA1"/>
    <w:rsid w:val="2A420C74"/>
    <w:rsid w:val="2A566514"/>
    <w:rsid w:val="2A9F0C83"/>
    <w:rsid w:val="2AC3475E"/>
    <w:rsid w:val="2AD65603"/>
    <w:rsid w:val="2AE1200B"/>
    <w:rsid w:val="2B46604F"/>
    <w:rsid w:val="2B6131A8"/>
    <w:rsid w:val="2B954A79"/>
    <w:rsid w:val="2BBD2696"/>
    <w:rsid w:val="2BCD603B"/>
    <w:rsid w:val="2BE46EA5"/>
    <w:rsid w:val="2BFD40B1"/>
    <w:rsid w:val="2C0918AA"/>
    <w:rsid w:val="2C432A01"/>
    <w:rsid w:val="2C4620C0"/>
    <w:rsid w:val="2C5B46AC"/>
    <w:rsid w:val="2C730103"/>
    <w:rsid w:val="2C816469"/>
    <w:rsid w:val="2CBC3176"/>
    <w:rsid w:val="2CCB66B5"/>
    <w:rsid w:val="2CD21C4A"/>
    <w:rsid w:val="2CD87897"/>
    <w:rsid w:val="2CDB3A26"/>
    <w:rsid w:val="2D1C3678"/>
    <w:rsid w:val="2D372257"/>
    <w:rsid w:val="2D384EF1"/>
    <w:rsid w:val="2D79119D"/>
    <w:rsid w:val="2D8D74CE"/>
    <w:rsid w:val="2DAA39EA"/>
    <w:rsid w:val="2DCD7331"/>
    <w:rsid w:val="2DD84BD2"/>
    <w:rsid w:val="2DDA2679"/>
    <w:rsid w:val="2DDC2C70"/>
    <w:rsid w:val="2DE54E8B"/>
    <w:rsid w:val="2E15513B"/>
    <w:rsid w:val="2E160ED0"/>
    <w:rsid w:val="2E40263A"/>
    <w:rsid w:val="2E56651B"/>
    <w:rsid w:val="2E6F2A1E"/>
    <w:rsid w:val="2E7C7C16"/>
    <w:rsid w:val="2E980FE1"/>
    <w:rsid w:val="2E99662E"/>
    <w:rsid w:val="2EB93D46"/>
    <w:rsid w:val="2ED8395E"/>
    <w:rsid w:val="2F4C1796"/>
    <w:rsid w:val="2F6232FF"/>
    <w:rsid w:val="2FAA47E0"/>
    <w:rsid w:val="2FCD196F"/>
    <w:rsid w:val="2FEB384B"/>
    <w:rsid w:val="30075F9F"/>
    <w:rsid w:val="30530EDB"/>
    <w:rsid w:val="30A24D86"/>
    <w:rsid w:val="30B73D9D"/>
    <w:rsid w:val="30BB5BC7"/>
    <w:rsid w:val="30C123EE"/>
    <w:rsid w:val="30C713F0"/>
    <w:rsid w:val="30E92C20"/>
    <w:rsid w:val="31044572"/>
    <w:rsid w:val="311354B7"/>
    <w:rsid w:val="31166A51"/>
    <w:rsid w:val="31192410"/>
    <w:rsid w:val="312112AD"/>
    <w:rsid w:val="31603E37"/>
    <w:rsid w:val="31660C07"/>
    <w:rsid w:val="31E16CA3"/>
    <w:rsid w:val="31FB0086"/>
    <w:rsid w:val="320E4618"/>
    <w:rsid w:val="323F1A8B"/>
    <w:rsid w:val="32494553"/>
    <w:rsid w:val="327A5F7E"/>
    <w:rsid w:val="32816301"/>
    <w:rsid w:val="328E234B"/>
    <w:rsid w:val="3290372C"/>
    <w:rsid w:val="32A7259B"/>
    <w:rsid w:val="32B22091"/>
    <w:rsid w:val="32CB18F6"/>
    <w:rsid w:val="32FF1CE7"/>
    <w:rsid w:val="336538C7"/>
    <w:rsid w:val="336A409D"/>
    <w:rsid w:val="336F3003"/>
    <w:rsid w:val="33735B1C"/>
    <w:rsid w:val="33840F13"/>
    <w:rsid w:val="33A05E97"/>
    <w:rsid w:val="33B77139"/>
    <w:rsid w:val="3421791E"/>
    <w:rsid w:val="34483E16"/>
    <w:rsid w:val="3469664A"/>
    <w:rsid w:val="346B5662"/>
    <w:rsid w:val="348624DF"/>
    <w:rsid w:val="348655AF"/>
    <w:rsid w:val="349258E9"/>
    <w:rsid w:val="34B1715E"/>
    <w:rsid w:val="34D715C6"/>
    <w:rsid w:val="34DE2040"/>
    <w:rsid w:val="34EB5097"/>
    <w:rsid w:val="35312289"/>
    <w:rsid w:val="355E09B7"/>
    <w:rsid w:val="35634E55"/>
    <w:rsid w:val="35752DD8"/>
    <w:rsid w:val="3575357D"/>
    <w:rsid w:val="358652B9"/>
    <w:rsid w:val="35874350"/>
    <w:rsid w:val="35DC5C5F"/>
    <w:rsid w:val="35EE40AD"/>
    <w:rsid w:val="35F75195"/>
    <w:rsid w:val="363F16C6"/>
    <w:rsid w:val="364F38D8"/>
    <w:rsid w:val="3660408D"/>
    <w:rsid w:val="36794547"/>
    <w:rsid w:val="36867D1C"/>
    <w:rsid w:val="36B331CA"/>
    <w:rsid w:val="370548C3"/>
    <w:rsid w:val="371C1B9E"/>
    <w:rsid w:val="3774647A"/>
    <w:rsid w:val="378851ED"/>
    <w:rsid w:val="37B14F4A"/>
    <w:rsid w:val="37BB61FA"/>
    <w:rsid w:val="37CF4101"/>
    <w:rsid w:val="38124015"/>
    <w:rsid w:val="38382AEC"/>
    <w:rsid w:val="384D0C9E"/>
    <w:rsid w:val="384D3864"/>
    <w:rsid w:val="385953FD"/>
    <w:rsid w:val="38637DDD"/>
    <w:rsid w:val="386B4DFD"/>
    <w:rsid w:val="387A3DBD"/>
    <w:rsid w:val="38B41288"/>
    <w:rsid w:val="391B0A17"/>
    <w:rsid w:val="395F094E"/>
    <w:rsid w:val="39623D40"/>
    <w:rsid w:val="396C1857"/>
    <w:rsid w:val="397B12DF"/>
    <w:rsid w:val="397E5B8A"/>
    <w:rsid w:val="39B6591D"/>
    <w:rsid w:val="3A230821"/>
    <w:rsid w:val="3A383758"/>
    <w:rsid w:val="3A4743E0"/>
    <w:rsid w:val="3A4E259E"/>
    <w:rsid w:val="3A61359B"/>
    <w:rsid w:val="3A667619"/>
    <w:rsid w:val="3A742D05"/>
    <w:rsid w:val="3AAA4D97"/>
    <w:rsid w:val="3AD37EEC"/>
    <w:rsid w:val="3AD70EC3"/>
    <w:rsid w:val="3AE45516"/>
    <w:rsid w:val="3AE64DD3"/>
    <w:rsid w:val="3AE80433"/>
    <w:rsid w:val="3B374FFC"/>
    <w:rsid w:val="3B4064E1"/>
    <w:rsid w:val="3BAA2019"/>
    <w:rsid w:val="3BD50D76"/>
    <w:rsid w:val="3C3F7804"/>
    <w:rsid w:val="3C5C64F3"/>
    <w:rsid w:val="3C6C5D2E"/>
    <w:rsid w:val="3C6E24A7"/>
    <w:rsid w:val="3C74496A"/>
    <w:rsid w:val="3C7D5A55"/>
    <w:rsid w:val="3C89115E"/>
    <w:rsid w:val="3C8C5561"/>
    <w:rsid w:val="3C9C441E"/>
    <w:rsid w:val="3C9F436A"/>
    <w:rsid w:val="3CB21A81"/>
    <w:rsid w:val="3CFB3E2C"/>
    <w:rsid w:val="3D17042E"/>
    <w:rsid w:val="3D197324"/>
    <w:rsid w:val="3D437F01"/>
    <w:rsid w:val="3D5B5873"/>
    <w:rsid w:val="3D640AB9"/>
    <w:rsid w:val="3D7D3F1D"/>
    <w:rsid w:val="3D9904D5"/>
    <w:rsid w:val="3DAC7FE1"/>
    <w:rsid w:val="3DC325E0"/>
    <w:rsid w:val="3DDE55DC"/>
    <w:rsid w:val="3DE77F8C"/>
    <w:rsid w:val="3E1607EE"/>
    <w:rsid w:val="3E192634"/>
    <w:rsid w:val="3E386EF9"/>
    <w:rsid w:val="3E667860"/>
    <w:rsid w:val="3E7511D1"/>
    <w:rsid w:val="3E843801"/>
    <w:rsid w:val="3E856088"/>
    <w:rsid w:val="3EB060E1"/>
    <w:rsid w:val="3EC65DAA"/>
    <w:rsid w:val="3EDF443E"/>
    <w:rsid w:val="3EF21532"/>
    <w:rsid w:val="3EFC5FDE"/>
    <w:rsid w:val="3F44737C"/>
    <w:rsid w:val="3F672C13"/>
    <w:rsid w:val="3F7D45E5"/>
    <w:rsid w:val="3F7F4809"/>
    <w:rsid w:val="3FF5560C"/>
    <w:rsid w:val="40094887"/>
    <w:rsid w:val="4029310E"/>
    <w:rsid w:val="402A5FA7"/>
    <w:rsid w:val="402F3DE5"/>
    <w:rsid w:val="405E38C7"/>
    <w:rsid w:val="40652BB0"/>
    <w:rsid w:val="408B20E6"/>
    <w:rsid w:val="40B13EFF"/>
    <w:rsid w:val="40B42B79"/>
    <w:rsid w:val="40BD3022"/>
    <w:rsid w:val="40E63C65"/>
    <w:rsid w:val="41493B5C"/>
    <w:rsid w:val="414A4138"/>
    <w:rsid w:val="415063DD"/>
    <w:rsid w:val="41632C3A"/>
    <w:rsid w:val="418B1AB8"/>
    <w:rsid w:val="418D1755"/>
    <w:rsid w:val="41CE5055"/>
    <w:rsid w:val="42086989"/>
    <w:rsid w:val="423F06E7"/>
    <w:rsid w:val="42455180"/>
    <w:rsid w:val="42574508"/>
    <w:rsid w:val="427B13C6"/>
    <w:rsid w:val="4284122B"/>
    <w:rsid w:val="42C10734"/>
    <w:rsid w:val="430269D7"/>
    <w:rsid w:val="4387553B"/>
    <w:rsid w:val="439F3455"/>
    <w:rsid w:val="43AF78F0"/>
    <w:rsid w:val="43B60C32"/>
    <w:rsid w:val="43FA5952"/>
    <w:rsid w:val="440369B3"/>
    <w:rsid w:val="441E3325"/>
    <w:rsid w:val="44371198"/>
    <w:rsid w:val="443E444A"/>
    <w:rsid w:val="446C2893"/>
    <w:rsid w:val="446E5DE2"/>
    <w:rsid w:val="44795E40"/>
    <w:rsid w:val="44966F5A"/>
    <w:rsid w:val="44E736EA"/>
    <w:rsid w:val="450B3E7F"/>
    <w:rsid w:val="453F7254"/>
    <w:rsid w:val="4563357B"/>
    <w:rsid w:val="45871CB3"/>
    <w:rsid w:val="45B83082"/>
    <w:rsid w:val="45BE633A"/>
    <w:rsid w:val="45DC3A73"/>
    <w:rsid w:val="45DF6A87"/>
    <w:rsid w:val="45F45169"/>
    <w:rsid w:val="467260DD"/>
    <w:rsid w:val="46773732"/>
    <w:rsid w:val="46BA2F99"/>
    <w:rsid w:val="46CD2F1A"/>
    <w:rsid w:val="46D05135"/>
    <w:rsid w:val="46DD42FE"/>
    <w:rsid w:val="46E84BB7"/>
    <w:rsid w:val="46E94D9F"/>
    <w:rsid w:val="46EF0DA9"/>
    <w:rsid w:val="46F3141C"/>
    <w:rsid w:val="46F9700F"/>
    <w:rsid w:val="47072FF2"/>
    <w:rsid w:val="47313193"/>
    <w:rsid w:val="47544057"/>
    <w:rsid w:val="475F32AA"/>
    <w:rsid w:val="47AA3570"/>
    <w:rsid w:val="47CB6E17"/>
    <w:rsid w:val="47CF3B5E"/>
    <w:rsid w:val="47D242B3"/>
    <w:rsid w:val="47EA6DAE"/>
    <w:rsid w:val="47EF4B94"/>
    <w:rsid w:val="48056F5B"/>
    <w:rsid w:val="484A51C4"/>
    <w:rsid w:val="48510650"/>
    <w:rsid w:val="4887349C"/>
    <w:rsid w:val="4895552F"/>
    <w:rsid w:val="48AB42AF"/>
    <w:rsid w:val="48FE2758"/>
    <w:rsid w:val="49073D47"/>
    <w:rsid w:val="492F4C2F"/>
    <w:rsid w:val="4965316C"/>
    <w:rsid w:val="496856D7"/>
    <w:rsid w:val="498A6331"/>
    <w:rsid w:val="4A157986"/>
    <w:rsid w:val="4A19573F"/>
    <w:rsid w:val="4A403EE7"/>
    <w:rsid w:val="4A595C23"/>
    <w:rsid w:val="4A6754C1"/>
    <w:rsid w:val="4AC50E2F"/>
    <w:rsid w:val="4AD3054F"/>
    <w:rsid w:val="4AD66EBD"/>
    <w:rsid w:val="4B323940"/>
    <w:rsid w:val="4B43485C"/>
    <w:rsid w:val="4B51197B"/>
    <w:rsid w:val="4B6A4073"/>
    <w:rsid w:val="4BB86BBA"/>
    <w:rsid w:val="4BC61731"/>
    <w:rsid w:val="4BDC2836"/>
    <w:rsid w:val="4C206B50"/>
    <w:rsid w:val="4C4348CD"/>
    <w:rsid w:val="4C64760B"/>
    <w:rsid w:val="4C89031D"/>
    <w:rsid w:val="4C8C6CBE"/>
    <w:rsid w:val="4CC1284B"/>
    <w:rsid w:val="4CD10064"/>
    <w:rsid w:val="4CE357D1"/>
    <w:rsid w:val="4CF21A3E"/>
    <w:rsid w:val="4D1F4B98"/>
    <w:rsid w:val="4D9720C0"/>
    <w:rsid w:val="4DC365B4"/>
    <w:rsid w:val="4E077013"/>
    <w:rsid w:val="4E3444D3"/>
    <w:rsid w:val="4E7629C7"/>
    <w:rsid w:val="4E930789"/>
    <w:rsid w:val="4E9535CA"/>
    <w:rsid w:val="4E981604"/>
    <w:rsid w:val="4E9C1E6A"/>
    <w:rsid w:val="4EEB7870"/>
    <w:rsid w:val="4EFC3701"/>
    <w:rsid w:val="4F21735E"/>
    <w:rsid w:val="4F881A65"/>
    <w:rsid w:val="4F9D11F3"/>
    <w:rsid w:val="502228DD"/>
    <w:rsid w:val="503831A8"/>
    <w:rsid w:val="506C371A"/>
    <w:rsid w:val="50725C69"/>
    <w:rsid w:val="508F715A"/>
    <w:rsid w:val="50A55CB6"/>
    <w:rsid w:val="50FD4238"/>
    <w:rsid w:val="51234357"/>
    <w:rsid w:val="5167028C"/>
    <w:rsid w:val="51A3086E"/>
    <w:rsid w:val="51B21A33"/>
    <w:rsid w:val="51C11588"/>
    <w:rsid w:val="51E12717"/>
    <w:rsid w:val="523403C0"/>
    <w:rsid w:val="52370736"/>
    <w:rsid w:val="52421BC7"/>
    <w:rsid w:val="524E1DB2"/>
    <w:rsid w:val="52635ABF"/>
    <w:rsid w:val="52836146"/>
    <w:rsid w:val="52A534C0"/>
    <w:rsid w:val="53153950"/>
    <w:rsid w:val="531D6BE9"/>
    <w:rsid w:val="53297D51"/>
    <w:rsid w:val="534C697D"/>
    <w:rsid w:val="535D28B0"/>
    <w:rsid w:val="535F4818"/>
    <w:rsid w:val="53726BB9"/>
    <w:rsid w:val="537E62EB"/>
    <w:rsid w:val="53A40548"/>
    <w:rsid w:val="53AB7382"/>
    <w:rsid w:val="53B828EC"/>
    <w:rsid w:val="53C871D1"/>
    <w:rsid w:val="53D14CDF"/>
    <w:rsid w:val="53DF32DF"/>
    <w:rsid w:val="53EC7856"/>
    <w:rsid w:val="53EF048A"/>
    <w:rsid w:val="54036C3C"/>
    <w:rsid w:val="54272B7A"/>
    <w:rsid w:val="54861B1F"/>
    <w:rsid w:val="54B20843"/>
    <w:rsid w:val="54C22188"/>
    <w:rsid w:val="551C208B"/>
    <w:rsid w:val="55292F20"/>
    <w:rsid w:val="55513173"/>
    <w:rsid w:val="55733EC3"/>
    <w:rsid w:val="55960A83"/>
    <w:rsid w:val="55B61643"/>
    <w:rsid w:val="55B66087"/>
    <w:rsid w:val="55FD535B"/>
    <w:rsid w:val="56220041"/>
    <w:rsid w:val="5630165D"/>
    <w:rsid w:val="563D4EB7"/>
    <w:rsid w:val="567D3778"/>
    <w:rsid w:val="56955D33"/>
    <w:rsid w:val="56DC4527"/>
    <w:rsid w:val="570C3A0E"/>
    <w:rsid w:val="57247211"/>
    <w:rsid w:val="57330EE0"/>
    <w:rsid w:val="577A6BF2"/>
    <w:rsid w:val="577F7359"/>
    <w:rsid w:val="57B0276B"/>
    <w:rsid w:val="57B97A15"/>
    <w:rsid w:val="57BF1624"/>
    <w:rsid w:val="57F103E4"/>
    <w:rsid w:val="582F3203"/>
    <w:rsid w:val="582F530C"/>
    <w:rsid w:val="5830309D"/>
    <w:rsid w:val="585E0905"/>
    <w:rsid w:val="58737A59"/>
    <w:rsid w:val="58777A18"/>
    <w:rsid w:val="58CE35F9"/>
    <w:rsid w:val="58E344E8"/>
    <w:rsid w:val="591A0CEE"/>
    <w:rsid w:val="592935DB"/>
    <w:rsid w:val="595F5D91"/>
    <w:rsid w:val="5977426C"/>
    <w:rsid w:val="59893518"/>
    <w:rsid w:val="598E6C94"/>
    <w:rsid w:val="59B65D6E"/>
    <w:rsid w:val="59EF7244"/>
    <w:rsid w:val="59F12C4D"/>
    <w:rsid w:val="59F269BB"/>
    <w:rsid w:val="5A353453"/>
    <w:rsid w:val="5A390645"/>
    <w:rsid w:val="5A492316"/>
    <w:rsid w:val="5A5737FD"/>
    <w:rsid w:val="5A9C5651"/>
    <w:rsid w:val="5AB83968"/>
    <w:rsid w:val="5AD85E04"/>
    <w:rsid w:val="5B0814A7"/>
    <w:rsid w:val="5B282650"/>
    <w:rsid w:val="5B3856E2"/>
    <w:rsid w:val="5B5D0DC5"/>
    <w:rsid w:val="5B5E7466"/>
    <w:rsid w:val="5B870F01"/>
    <w:rsid w:val="5B8E09F7"/>
    <w:rsid w:val="5B8E5B90"/>
    <w:rsid w:val="5BAB56D9"/>
    <w:rsid w:val="5BB23E24"/>
    <w:rsid w:val="5BD647BA"/>
    <w:rsid w:val="5BDF7ECB"/>
    <w:rsid w:val="5BEB420E"/>
    <w:rsid w:val="5C0B0243"/>
    <w:rsid w:val="5C3E7CD6"/>
    <w:rsid w:val="5C423A9F"/>
    <w:rsid w:val="5C593626"/>
    <w:rsid w:val="5CA32FBD"/>
    <w:rsid w:val="5CBD5524"/>
    <w:rsid w:val="5CCA76FD"/>
    <w:rsid w:val="5D1F69E0"/>
    <w:rsid w:val="5D28644D"/>
    <w:rsid w:val="5D342757"/>
    <w:rsid w:val="5D3D03C1"/>
    <w:rsid w:val="5D834B05"/>
    <w:rsid w:val="5DE377D4"/>
    <w:rsid w:val="5DE839DC"/>
    <w:rsid w:val="5DF82A79"/>
    <w:rsid w:val="5E262AFD"/>
    <w:rsid w:val="5E302F6D"/>
    <w:rsid w:val="5E3F7E94"/>
    <w:rsid w:val="5E4B48CC"/>
    <w:rsid w:val="5E555A65"/>
    <w:rsid w:val="5E967E94"/>
    <w:rsid w:val="5EA20A35"/>
    <w:rsid w:val="5EAE4381"/>
    <w:rsid w:val="5EB86623"/>
    <w:rsid w:val="5EC71259"/>
    <w:rsid w:val="5ECC4F8C"/>
    <w:rsid w:val="5EDD5378"/>
    <w:rsid w:val="5EFE18D6"/>
    <w:rsid w:val="5F055F85"/>
    <w:rsid w:val="5F1A2179"/>
    <w:rsid w:val="5F1B6597"/>
    <w:rsid w:val="5F1E056B"/>
    <w:rsid w:val="5F5637A0"/>
    <w:rsid w:val="5F6867A3"/>
    <w:rsid w:val="5F6E48D3"/>
    <w:rsid w:val="5FAF53E6"/>
    <w:rsid w:val="5FB5666B"/>
    <w:rsid w:val="5FD86230"/>
    <w:rsid w:val="5FE469D5"/>
    <w:rsid w:val="5FF1539E"/>
    <w:rsid w:val="5FFA734C"/>
    <w:rsid w:val="60217FEA"/>
    <w:rsid w:val="60284B17"/>
    <w:rsid w:val="603E420D"/>
    <w:rsid w:val="60593CFE"/>
    <w:rsid w:val="6082262A"/>
    <w:rsid w:val="60925EB4"/>
    <w:rsid w:val="60FE6A9E"/>
    <w:rsid w:val="61110948"/>
    <w:rsid w:val="61333CB7"/>
    <w:rsid w:val="617C5AC6"/>
    <w:rsid w:val="61CC74DA"/>
    <w:rsid w:val="61D1477A"/>
    <w:rsid w:val="61D6015E"/>
    <w:rsid w:val="62043F0E"/>
    <w:rsid w:val="620858FE"/>
    <w:rsid w:val="623B1A80"/>
    <w:rsid w:val="624C16A2"/>
    <w:rsid w:val="625763A9"/>
    <w:rsid w:val="62611C40"/>
    <w:rsid w:val="62824B8B"/>
    <w:rsid w:val="62A109D4"/>
    <w:rsid w:val="62CE50D3"/>
    <w:rsid w:val="62ED5BE3"/>
    <w:rsid w:val="6350355D"/>
    <w:rsid w:val="63551EC1"/>
    <w:rsid w:val="636B265E"/>
    <w:rsid w:val="636E4F24"/>
    <w:rsid w:val="63AB3196"/>
    <w:rsid w:val="63AD0809"/>
    <w:rsid w:val="63B20FC6"/>
    <w:rsid w:val="63B96ECD"/>
    <w:rsid w:val="6450592B"/>
    <w:rsid w:val="645E6157"/>
    <w:rsid w:val="64682542"/>
    <w:rsid w:val="64862C29"/>
    <w:rsid w:val="64872EED"/>
    <w:rsid w:val="64E70EBF"/>
    <w:rsid w:val="65150AED"/>
    <w:rsid w:val="652300D3"/>
    <w:rsid w:val="655A0AFF"/>
    <w:rsid w:val="656903D4"/>
    <w:rsid w:val="65702F52"/>
    <w:rsid w:val="65984CCC"/>
    <w:rsid w:val="65A061AF"/>
    <w:rsid w:val="65B11B36"/>
    <w:rsid w:val="65C21446"/>
    <w:rsid w:val="65CE55A8"/>
    <w:rsid w:val="65D1633E"/>
    <w:rsid w:val="65F52A98"/>
    <w:rsid w:val="66277EF1"/>
    <w:rsid w:val="66353423"/>
    <w:rsid w:val="667215BE"/>
    <w:rsid w:val="668A70F7"/>
    <w:rsid w:val="669B324C"/>
    <w:rsid w:val="66F01437"/>
    <w:rsid w:val="67012D52"/>
    <w:rsid w:val="67726681"/>
    <w:rsid w:val="67776DAC"/>
    <w:rsid w:val="67857580"/>
    <w:rsid w:val="67BA0E1B"/>
    <w:rsid w:val="684A694D"/>
    <w:rsid w:val="68615745"/>
    <w:rsid w:val="68697027"/>
    <w:rsid w:val="68746176"/>
    <w:rsid w:val="68751502"/>
    <w:rsid w:val="687C21FC"/>
    <w:rsid w:val="689934BC"/>
    <w:rsid w:val="689E6902"/>
    <w:rsid w:val="68AE6D72"/>
    <w:rsid w:val="68C11DDE"/>
    <w:rsid w:val="68D75098"/>
    <w:rsid w:val="694635C5"/>
    <w:rsid w:val="6997331F"/>
    <w:rsid w:val="699B6518"/>
    <w:rsid w:val="69C66090"/>
    <w:rsid w:val="69D323B4"/>
    <w:rsid w:val="69E55DC9"/>
    <w:rsid w:val="6A263B2F"/>
    <w:rsid w:val="6A4C0EDC"/>
    <w:rsid w:val="6A75659D"/>
    <w:rsid w:val="6AAB5C78"/>
    <w:rsid w:val="6AFD0701"/>
    <w:rsid w:val="6B2D7582"/>
    <w:rsid w:val="6B3A3D80"/>
    <w:rsid w:val="6B8701C7"/>
    <w:rsid w:val="6BB74774"/>
    <w:rsid w:val="6BC37F39"/>
    <w:rsid w:val="6BDB3ED1"/>
    <w:rsid w:val="6C8D2A39"/>
    <w:rsid w:val="6CA86995"/>
    <w:rsid w:val="6CBE003D"/>
    <w:rsid w:val="6D0A08AC"/>
    <w:rsid w:val="6D276B29"/>
    <w:rsid w:val="6D3C40E3"/>
    <w:rsid w:val="6D6E05B0"/>
    <w:rsid w:val="6D7A4A16"/>
    <w:rsid w:val="6D7F7246"/>
    <w:rsid w:val="6D8E0537"/>
    <w:rsid w:val="6D93242A"/>
    <w:rsid w:val="6D984BCC"/>
    <w:rsid w:val="6DB351F0"/>
    <w:rsid w:val="6DC37C12"/>
    <w:rsid w:val="6E580BCF"/>
    <w:rsid w:val="6E9769D1"/>
    <w:rsid w:val="6EC5636A"/>
    <w:rsid w:val="6EF42459"/>
    <w:rsid w:val="6F131DD7"/>
    <w:rsid w:val="6F2D3046"/>
    <w:rsid w:val="6F3C4CE7"/>
    <w:rsid w:val="6F6609BF"/>
    <w:rsid w:val="6F723B14"/>
    <w:rsid w:val="6F966F6C"/>
    <w:rsid w:val="6FE409E3"/>
    <w:rsid w:val="700126D8"/>
    <w:rsid w:val="70230F84"/>
    <w:rsid w:val="70497533"/>
    <w:rsid w:val="705035DB"/>
    <w:rsid w:val="706631B0"/>
    <w:rsid w:val="70C43459"/>
    <w:rsid w:val="70FD287F"/>
    <w:rsid w:val="711460CE"/>
    <w:rsid w:val="711D777E"/>
    <w:rsid w:val="71270E4A"/>
    <w:rsid w:val="715013C2"/>
    <w:rsid w:val="715B6A79"/>
    <w:rsid w:val="715D745C"/>
    <w:rsid w:val="71995194"/>
    <w:rsid w:val="71B2256F"/>
    <w:rsid w:val="71B643E0"/>
    <w:rsid w:val="71BD04AA"/>
    <w:rsid w:val="720A7475"/>
    <w:rsid w:val="721C11B0"/>
    <w:rsid w:val="72686007"/>
    <w:rsid w:val="72721C03"/>
    <w:rsid w:val="72736D33"/>
    <w:rsid w:val="729805E9"/>
    <w:rsid w:val="729D1BA1"/>
    <w:rsid w:val="72B259E1"/>
    <w:rsid w:val="72D613C6"/>
    <w:rsid w:val="72DA3821"/>
    <w:rsid w:val="72DF2BD3"/>
    <w:rsid w:val="72EF7626"/>
    <w:rsid w:val="73063AAA"/>
    <w:rsid w:val="73142F36"/>
    <w:rsid w:val="73234383"/>
    <w:rsid w:val="73A01775"/>
    <w:rsid w:val="73BA0596"/>
    <w:rsid w:val="73C71828"/>
    <w:rsid w:val="74622F69"/>
    <w:rsid w:val="74A1137E"/>
    <w:rsid w:val="74B92DF7"/>
    <w:rsid w:val="751E2104"/>
    <w:rsid w:val="757D0FB4"/>
    <w:rsid w:val="75AD44E2"/>
    <w:rsid w:val="75BA1180"/>
    <w:rsid w:val="75EC65B7"/>
    <w:rsid w:val="7603757C"/>
    <w:rsid w:val="7611080B"/>
    <w:rsid w:val="76624B07"/>
    <w:rsid w:val="767B4EEC"/>
    <w:rsid w:val="76855310"/>
    <w:rsid w:val="76B7364C"/>
    <w:rsid w:val="76BF32DC"/>
    <w:rsid w:val="76C72EA0"/>
    <w:rsid w:val="76DD3160"/>
    <w:rsid w:val="76E5761B"/>
    <w:rsid w:val="76FE528D"/>
    <w:rsid w:val="77054443"/>
    <w:rsid w:val="778949B9"/>
    <w:rsid w:val="77EC5D1C"/>
    <w:rsid w:val="77FC7839"/>
    <w:rsid w:val="781C6153"/>
    <w:rsid w:val="783A5B0C"/>
    <w:rsid w:val="783E7CAE"/>
    <w:rsid w:val="78482CEC"/>
    <w:rsid w:val="784E1EBA"/>
    <w:rsid w:val="78712738"/>
    <w:rsid w:val="78BB2C3F"/>
    <w:rsid w:val="78C37FB8"/>
    <w:rsid w:val="791243D8"/>
    <w:rsid w:val="791B29B4"/>
    <w:rsid w:val="791C2412"/>
    <w:rsid w:val="792C5B49"/>
    <w:rsid w:val="792F3A67"/>
    <w:rsid w:val="793520EB"/>
    <w:rsid w:val="793A49C4"/>
    <w:rsid w:val="79684408"/>
    <w:rsid w:val="796E577E"/>
    <w:rsid w:val="799907FF"/>
    <w:rsid w:val="79E965AA"/>
    <w:rsid w:val="7A102F84"/>
    <w:rsid w:val="7A117ADB"/>
    <w:rsid w:val="7A27561C"/>
    <w:rsid w:val="7A3C102F"/>
    <w:rsid w:val="7A4F1007"/>
    <w:rsid w:val="7A9B47AE"/>
    <w:rsid w:val="7ABA4C5B"/>
    <w:rsid w:val="7AE3429E"/>
    <w:rsid w:val="7B05776D"/>
    <w:rsid w:val="7B3F4FF3"/>
    <w:rsid w:val="7B462467"/>
    <w:rsid w:val="7B4F4883"/>
    <w:rsid w:val="7B73206D"/>
    <w:rsid w:val="7B875FE1"/>
    <w:rsid w:val="7BB1332B"/>
    <w:rsid w:val="7BDA270B"/>
    <w:rsid w:val="7BF1695C"/>
    <w:rsid w:val="7C190EB0"/>
    <w:rsid w:val="7C27176B"/>
    <w:rsid w:val="7C4717E4"/>
    <w:rsid w:val="7C5341DA"/>
    <w:rsid w:val="7CC6413F"/>
    <w:rsid w:val="7CCB09AC"/>
    <w:rsid w:val="7CCC0F30"/>
    <w:rsid w:val="7CF66FE5"/>
    <w:rsid w:val="7D60682C"/>
    <w:rsid w:val="7D6722A4"/>
    <w:rsid w:val="7D6A0106"/>
    <w:rsid w:val="7D7F2D22"/>
    <w:rsid w:val="7D841C89"/>
    <w:rsid w:val="7D906216"/>
    <w:rsid w:val="7DC7605D"/>
    <w:rsid w:val="7DE15299"/>
    <w:rsid w:val="7E3B0978"/>
    <w:rsid w:val="7E94001E"/>
    <w:rsid w:val="7EA95A7C"/>
    <w:rsid w:val="7F0E2CC7"/>
    <w:rsid w:val="7F1107F8"/>
    <w:rsid w:val="7F206D02"/>
    <w:rsid w:val="7F2E63AC"/>
    <w:rsid w:val="7F305EE4"/>
    <w:rsid w:val="7F447979"/>
    <w:rsid w:val="7F5E12B7"/>
    <w:rsid w:val="7F7E2AB4"/>
    <w:rsid w:val="7FAD5825"/>
    <w:rsid w:val="7FD1798C"/>
    <w:rsid w:val="7FFF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71"/>
    <w:basedOn w:val="7"/>
    <w:qFormat/>
    <w:uiPriority w:val="0"/>
    <w:rPr>
      <w:rFonts w:hint="default" w:ascii="Times New Roman" w:hAnsi="Times New Roman" w:cs="Times New Roman"/>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5356</Words>
  <Characters>5626</Characters>
  <Lines>0</Lines>
  <Paragraphs>0</Paragraphs>
  <TotalTime>7</TotalTime>
  <ScaleCrop>false</ScaleCrop>
  <LinksUpToDate>false</LinksUpToDate>
  <CharactersWithSpaces>5689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2020-10-13T12:46:00Z</dcterms:created>
  <dc:creator>酒无醇</dc:creator>
  <cp:lastModifiedBy>刘立艳</cp:lastModifiedBy>
  <cp:lastPrinted>2020-12-04T09:26:00Z</cp:lastPrinted>
  <dcterms:modified xsi:type="dcterms:W3CDTF">2020-12-07T08:29:37Z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