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lang w:eastAsia="zh-CN"/>
        </w:rPr>
      </w:pPr>
      <w:r>
        <w:rPr>
          <w:rFonts w:hint="eastAsia"/>
          <w:lang w:val="en-US" w:eastAsia="zh-CN"/>
        </w:rPr>
        <w:t>《</w:t>
      </w:r>
      <w:r>
        <w:rPr>
          <w:rFonts w:hint="eastAsia"/>
          <w:lang w:eastAsia="zh-CN"/>
        </w:rPr>
        <w:t>关于做好公共租赁住房租金收缴、减免</w:t>
      </w:r>
    </w:p>
    <w:p>
      <w:pPr>
        <w:pStyle w:val="3"/>
        <w:bidi w:val="0"/>
        <w:rPr>
          <w:rFonts w:hint="eastAsia"/>
          <w:lang w:val="en-US" w:eastAsia="zh-CN"/>
        </w:rPr>
      </w:pPr>
      <w:r>
        <w:rPr>
          <w:rFonts w:hint="eastAsia"/>
          <w:lang w:eastAsia="zh-CN"/>
        </w:rPr>
        <w:t>工作的通知</w:t>
      </w:r>
      <w:r>
        <w:rPr>
          <w:rFonts w:hint="eastAsia"/>
          <w:lang w:val="en-US" w:eastAsia="zh-CN"/>
        </w:rPr>
        <w:t>》政策解读</w:t>
      </w:r>
    </w:p>
    <w:p>
      <w:pPr>
        <w:pageBreakBefore w:val="0"/>
        <w:kinsoku/>
        <w:wordWrap/>
        <w:overflowPunct/>
        <w:topLinePunct w:val="0"/>
        <w:autoSpaceDE/>
        <w:autoSpaceDN/>
        <w:bidi w:val="0"/>
        <w:adjustRightInd/>
        <w:snapToGrid/>
        <w:spacing w:line="55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为进一步规范</w:t>
      </w:r>
      <w:r>
        <w:rPr>
          <w:rFonts w:hint="eastAsia" w:ascii="仿宋_GB2312" w:hAnsi="仿宋_GB2312" w:cs="仿宋_GB2312"/>
          <w:kern w:val="2"/>
          <w:sz w:val="32"/>
          <w:szCs w:val="32"/>
          <w:lang w:val="en-US" w:eastAsia="zh-CN" w:bidi="ar-SA"/>
        </w:rPr>
        <w:t>我市公共租赁住房租金收缴及减免相关工作</w:t>
      </w:r>
      <w:r>
        <w:rPr>
          <w:rFonts w:hint="eastAsia" w:ascii="仿宋_GB2312" w:hAnsi="仿宋_GB2312" w:eastAsia="仿宋_GB2312" w:cs="仿宋_GB2312"/>
          <w:kern w:val="2"/>
          <w:sz w:val="32"/>
          <w:szCs w:val="32"/>
          <w:lang w:val="en-US" w:eastAsia="zh-CN" w:bidi="ar-SA"/>
        </w:rPr>
        <w:t>，</w:t>
      </w:r>
      <w:r>
        <w:rPr>
          <w:rFonts w:hint="eastAsia"/>
          <w:lang w:val="en-US" w:eastAsia="zh-CN"/>
        </w:rPr>
        <w:t>对公共租赁住房租金标准价如何确定、申请人月缴租金如何计算、租金减免范围及标准等内容进一步明确，</w:t>
      </w:r>
      <w:r>
        <w:rPr>
          <w:rFonts w:hint="eastAsia" w:ascii="仿宋_GB2312" w:hAnsi="仿宋_GB2312" w:eastAsia="仿宋_GB2312" w:cs="仿宋_GB2312"/>
          <w:sz w:val="32"/>
          <w:szCs w:val="32"/>
          <w:lang w:eastAsia="zh-CN"/>
        </w:rPr>
        <w:t>中山市住房和城乡建设局和中山市财政局联合</w:t>
      </w:r>
      <w:r>
        <w:rPr>
          <w:rFonts w:hint="eastAsia"/>
          <w:lang w:val="en-US" w:eastAsia="zh-CN"/>
        </w:rPr>
        <w:t>起草</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《关于做好公共租赁住房租金收缴、减免工作的通知（草案）》。根据《中山市行政机关规范性文件管理规定》（中府</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sz w:val="32"/>
          <w:szCs w:val="32"/>
          <w:lang w:val="en-US" w:eastAsia="zh-CN"/>
        </w:rPr>
        <w:t>2021</w:t>
      </w:r>
      <w:r>
        <w:rPr>
          <w:rFonts w:hint="eastAsia" w:ascii="仿宋_GB2312" w:hAnsi="仿宋_GB2312" w:eastAsia="仿宋_GB2312" w:cs="仿宋_GB2312"/>
          <w:kern w:val="2"/>
          <w:sz w:val="32"/>
          <w:szCs w:val="32"/>
          <w:lang w:val="en-US" w:eastAsia="zh-CN" w:bidi="ar-SA"/>
        </w:rPr>
        <w:t>〕</w:t>
      </w:r>
      <w:r>
        <w:rPr>
          <w:rFonts w:hint="eastAsia" w:ascii="仿宋_GB2312" w:hAnsi="仿宋_GB2312" w:cs="仿宋_GB2312"/>
          <w:sz w:val="32"/>
          <w:szCs w:val="32"/>
          <w:lang w:val="en-US" w:eastAsia="zh-CN"/>
        </w:rPr>
        <w:t>113</w:t>
      </w:r>
      <w:r>
        <w:rPr>
          <w:rFonts w:hint="eastAsia" w:ascii="仿宋_GB2312" w:hAnsi="仿宋_GB2312" w:eastAsia="仿宋_GB2312" w:cs="仿宋_GB2312"/>
          <w:sz w:val="32"/>
          <w:szCs w:val="32"/>
        </w:rPr>
        <w:t>号）</w:t>
      </w:r>
      <w:r>
        <w:rPr>
          <w:rFonts w:hint="eastAsia" w:ascii="仿宋_GB2312" w:hAnsi="仿宋_GB2312" w:cs="仿宋_GB2312"/>
          <w:sz w:val="32"/>
          <w:szCs w:val="32"/>
          <w:lang w:eastAsia="zh-CN"/>
        </w:rPr>
        <w:t>的相关</w:t>
      </w:r>
      <w:r>
        <w:rPr>
          <w:rFonts w:hint="eastAsia" w:ascii="仿宋_GB2312" w:hAnsi="仿宋_GB2312" w:eastAsia="仿宋_GB2312" w:cs="仿宋_GB2312"/>
          <w:sz w:val="32"/>
          <w:szCs w:val="32"/>
        </w:rPr>
        <w:t>规定，</w:t>
      </w:r>
      <w:r>
        <w:rPr>
          <w:rFonts w:hint="eastAsia" w:ascii="仿宋_GB2312" w:hAnsi="仿宋_GB2312" w:cs="仿宋_GB2312"/>
          <w:sz w:val="32"/>
          <w:szCs w:val="32"/>
          <w:lang w:eastAsia="zh-CN"/>
        </w:rPr>
        <w:t>现</w:t>
      </w:r>
      <w:r>
        <w:rPr>
          <w:rFonts w:hint="eastAsia" w:ascii="仿宋_GB2312" w:hAnsi="仿宋_GB2312" w:eastAsia="仿宋_GB2312" w:cs="仿宋_GB2312"/>
          <w:sz w:val="32"/>
          <w:szCs w:val="32"/>
        </w:rPr>
        <w:t>就文件</w:t>
      </w:r>
      <w:r>
        <w:rPr>
          <w:rFonts w:hint="eastAsia" w:ascii="仿宋_GB2312" w:hAnsi="仿宋_GB2312" w:cs="仿宋_GB2312"/>
          <w:sz w:val="32"/>
          <w:szCs w:val="32"/>
          <w:lang w:eastAsia="zh-CN"/>
        </w:rPr>
        <w:t>解读</w:t>
      </w:r>
      <w:r>
        <w:rPr>
          <w:rFonts w:hint="eastAsia" w:ascii="仿宋_GB2312" w:hAnsi="仿宋_GB2312" w:eastAsia="仿宋_GB2312" w:cs="仿宋_GB2312"/>
          <w:sz w:val="32"/>
          <w:szCs w:val="32"/>
        </w:rPr>
        <w:t>如下：</w:t>
      </w:r>
    </w:p>
    <w:p>
      <w:pPr>
        <w:pStyle w:val="4"/>
        <w:bidi w:val="0"/>
        <w:outlineLvl w:val="0"/>
        <w:rPr>
          <w:rFonts w:hint="eastAsia"/>
          <w:lang w:eastAsia="zh-CN"/>
        </w:rPr>
      </w:pPr>
      <w:r>
        <w:rPr>
          <w:rFonts w:hint="eastAsia"/>
          <w:lang w:eastAsia="zh-CN"/>
        </w:rPr>
        <w:t>一、制定背景</w:t>
      </w:r>
    </w:p>
    <w:p>
      <w:pPr>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2020年12月20日，新修订的《中山市住房保障管理暂行办法》（中府〔2020〕96号），以市政府名义印发施行</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为规范</w:t>
      </w:r>
      <w:r>
        <w:rPr>
          <w:rFonts w:hint="eastAsia" w:ascii="仿宋_GB2312" w:hAnsi="仿宋_GB2312" w:cs="仿宋_GB2312"/>
          <w:kern w:val="2"/>
          <w:sz w:val="32"/>
          <w:szCs w:val="32"/>
          <w:lang w:val="en-US" w:eastAsia="zh-CN" w:bidi="ar-SA"/>
        </w:rPr>
        <w:t>我市公共租赁住房租金收缴及减免相关工作，进一步完善我市住房保障体系</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sz w:val="32"/>
          <w:szCs w:val="32"/>
          <w:lang w:eastAsia="zh-CN"/>
        </w:rPr>
        <w:t>中山市住房和城乡建设局和中山市财政局联合</w:t>
      </w:r>
      <w:r>
        <w:rPr>
          <w:rFonts w:hint="eastAsia"/>
          <w:lang w:val="en-US" w:eastAsia="zh-CN"/>
        </w:rPr>
        <w:t>对我市现行的公租房租金收缴、减免等有关政策文件整合归纳，在原有文件基础上，结合工作实际进行修改完善，</w:t>
      </w:r>
      <w:r>
        <w:rPr>
          <w:rFonts w:hint="eastAsia" w:ascii="仿宋_GB2312" w:hAnsi="仿宋_GB2312" w:eastAsia="仿宋_GB2312" w:cs="仿宋_GB2312"/>
          <w:sz w:val="32"/>
          <w:szCs w:val="32"/>
          <w:lang w:eastAsia="zh-CN"/>
        </w:rPr>
        <w:t>形成了</w:t>
      </w:r>
      <w:r>
        <w:rPr>
          <w:rFonts w:hint="eastAsia" w:ascii="仿宋_GB2312" w:hAnsi="仿宋_GB2312" w:eastAsia="仿宋_GB2312" w:cs="仿宋_GB2312"/>
          <w:sz w:val="32"/>
          <w:szCs w:val="32"/>
        </w:rPr>
        <w:t>《关于做好公共租赁住房租金收缴、减免工作的通知（草案）》。</w:t>
      </w:r>
    </w:p>
    <w:p>
      <w:pPr>
        <w:pStyle w:val="4"/>
        <w:numPr>
          <w:ilvl w:val="0"/>
          <w:numId w:val="1"/>
        </w:numPr>
        <w:bidi w:val="0"/>
        <w:outlineLvl w:val="0"/>
        <w:rPr>
          <w:rFonts w:hint="eastAsia"/>
          <w:lang w:val="en-US" w:eastAsia="zh-CN"/>
        </w:rPr>
      </w:pPr>
      <w:r>
        <w:rPr>
          <w:rFonts w:hint="eastAsia"/>
          <w:lang w:val="en-US" w:eastAsia="zh-CN"/>
        </w:rPr>
        <w:t>主要内容</w:t>
      </w:r>
    </w:p>
    <w:p>
      <w:pPr>
        <w:bidi w:val="0"/>
        <w:rPr>
          <w:rFonts w:hint="eastAsia"/>
          <w:lang w:val="en-US" w:eastAsia="zh-CN"/>
        </w:rPr>
      </w:pPr>
      <w:r>
        <w:rPr>
          <w:rFonts w:hint="eastAsia"/>
        </w:rPr>
        <w:t>《</w:t>
      </w:r>
      <w:r>
        <w:rPr>
          <w:rFonts w:hint="eastAsia"/>
          <w:lang w:eastAsia="zh-CN"/>
        </w:rPr>
        <w:t>关于做好公共租赁住房租金收缴、减免工作的通知</w:t>
      </w:r>
      <w:r>
        <w:rPr>
          <w:rFonts w:hint="eastAsia"/>
        </w:rPr>
        <w:t>》</w:t>
      </w:r>
      <w:r>
        <w:rPr>
          <w:rFonts w:hint="eastAsia"/>
          <w:lang w:val="en-US" w:eastAsia="zh-CN"/>
        </w:rPr>
        <w:t>共四个部分，对公租房租金收缴、减免工作进行明确，包括：公租房租金政府指导价的确定方式、租金标准及收缴方式、申请人月缴租金的计算、租金减免的范围及标准。具体如下：</w:t>
      </w:r>
    </w:p>
    <w:p>
      <w:pPr>
        <w:pStyle w:val="5"/>
        <w:bidi w:val="0"/>
        <w:outlineLvl w:val="1"/>
        <w:rPr>
          <w:rFonts w:hint="eastAsia"/>
          <w:lang w:val="en-US" w:eastAsia="zh-CN"/>
        </w:rPr>
      </w:pPr>
      <w:r>
        <w:rPr>
          <w:rFonts w:hint="eastAsia"/>
          <w:lang w:val="en-US" w:eastAsia="zh-CN"/>
        </w:rPr>
        <w:t>（一）公租房租金政府指导价的确定方式</w:t>
      </w:r>
    </w:p>
    <w:p>
      <w:pPr>
        <w:keepNext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default" w:ascii="仿宋" w:hAnsi="仿宋" w:eastAsia="仿宋" w:cs="仿宋"/>
          <w:sz w:val="32"/>
          <w:szCs w:val="32"/>
          <w:lang w:val="en-US" w:eastAsia="zh-CN"/>
        </w:rPr>
      </w:pPr>
      <w:r>
        <w:rPr>
          <w:rFonts w:hint="eastAsia" w:ascii="仿宋_GB2312" w:hAnsi="仿宋_GB2312" w:cs="仿宋_GB2312"/>
          <w:lang w:eastAsia="zh-CN"/>
        </w:rPr>
        <w:t>我市公租房租金实行政府指导价，</w:t>
      </w:r>
      <w:r>
        <w:rPr>
          <w:rFonts w:hint="eastAsia" w:ascii="仿宋" w:hAnsi="仿宋" w:eastAsia="仿宋" w:cs="仿宋"/>
          <w:sz w:val="32"/>
          <w:szCs w:val="32"/>
          <w:lang w:val="en-US" w:eastAsia="zh-CN"/>
        </w:rPr>
        <w:t>采用房屋本身状况结合“圆心分值计租法”计算。</w:t>
      </w:r>
    </w:p>
    <w:p>
      <w:pPr>
        <w:keepNext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textAlignment w:val="auto"/>
        <w:rPr>
          <w:rFonts w:hint="eastAsia"/>
          <w:lang w:val="en-US" w:eastAsia="zh-CN"/>
        </w:rPr>
      </w:pPr>
      <w:r>
        <w:rPr>
          <w:rFonts w:hint="eastAsia"/>
          <w:lang w:val="en-US" w:eastAsia="zh-CN"/>
        </w:rPr>
        <w:t>计算公式：租金政府指导价=基本租金价x地域修正系数x路段修正系数。（</w:t>
      </w:r>
      <w:r>
        <w:rPr>
          <w:rFonts w:hint="eastAsia"/>
          <w:b/>
          <w:bCs/>
          <w:lang w:val="en-US" w:eastAsia="zh-CN"/>
        </w:rPr>
        <w:t>基本租金价=分数</w:t>
      </w:r>
      <w:r>
        <w:rPr>
          <w:rFonts w:hint="eastAsia"/>
          <w:lang w:val="en-US" w:eastAsia="zh-CN"/>
        </w:rPr>
        <w:t>x</w:t>
      </w:r>
      <w:r>
        <w:rPr>
          <w:rFonts w:hint="eastAsia"/>
          <w:b/>
          <w:bCs/>
          <w:lang w:val="en-US" w:eastAsia="zh-CN"/>
        </w:rPr>
        <w:t>分值）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640" w:firstLineChars="200"/>
        <w:jc w:val="both"/>
        <w:textAlignment w:val="auto"/>
        <w:outlineLvl w:val="9"/>
        <w:rPr>
          <w:rFonts w:hint="eastAsia"/>
          <w:b w:val="0"/>
          <w:bCs w:val="0"/>
          <w:lang w:val="en-US" w:eastAsia="zh-CN"/>
        </w:rPr>
      </w:pPr>
      <w:r>
        <w:rPr>
          <w:rFonts w:hint="eastAsia"/>
          <w:lang w:val="en-US" w:eastAsia="zh-CN"/>
        </w:rPr>
        <w:t>其中：</w:t>
      </w:r>
      <w:r>
        <w:rPr>
          <w:rFonts w:hint="eastAsia"/>
          <w:b/>
          <w:bCs/>
          <w:lang w:val="en-US" w:eastAsia="zh-CN"/>
        </w:rPr>
        <w:t>分数</w:t>
      </w:r>
      <w:r>
        <w:rPr>
          <w:rFonts w:hint="eastAsia"/>
          <w:b w:val="0"/>
          <w:bCs w:val="0"/>
          <w:lang w:val="en-US" w:eastAsia="zh-CN"/>
        </w:rPr>
        <w:t>是以10分为基准分，按房屋要素（房型、结构、楼龄等情况）加减相应分得到分数；</w:t>
      </w:r>
    </w:p>
    <w:p>
      <w:pPr>
        <w:pStyle w:val="2"/>
        <w:keepNext w:val="0"/>
        <w:keepLines w:val="0"/>
        <w:pageBreakBefore w:val="0"/>
        <w:widowControl w:val="0"/>
        <w:kinsoku/>
        <w:wordWrap/>
        <w:overflowPunct/>
        <w:topLinePunct w:val="0"/>
        <w:autoSpaceDE/>
        <w:autoSpaceDN/>
        <w:bidi w:val="0"/>
        <w:adjustRightInd/>
        <w:snapToGrid/>
        <w:ind w:leftChars="0" w:firstLine="642"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分值为固定值</w:t>
      </w:r>
      <w:r>
        <w:rPr>
          <w:rFonts w:hint="eastAsia" w:ascii="仿宋" w:hAnsi="仿宋" w:eastAsia="仿宋" w:cs="仿宋"/>
          <w:sz w:val="32"/>
          <w:szCs w:val="32"/>
          <w:lang w:val="en-US" w:eastAsia="zh-CN"/>
        </w:rPr>
        <w:t>：市区1.0</w:t>
      </w:r>
      <w:r>
        <w:rPr>
          <w:rFonts w:hint="eastAsia" w:ascii="仿宋" w:hAnsi="仿宋" w:eastAsia="仿宋" w:cs="仿宋"/>
          <w:sz w:val="32"/>
          <w:szCs w:val="32"/>
        </w:rPr>
        <w:t>元</w:t>
      </w:r>
      <w:r>
        <w:rPr>
          <w:rFonts w:hint="eastAsia" w:ascii="仿宋" w:hAnsi="仿宋" w:eastAsia="仿宋" w:cs="仿宋"/>
          <w:sz w:val="32"/>
          <w:szCs w:val="32"/>
          <w:lang w:val="en-US" w:eastAsia="zh-CN"/>
        </w:rPr>
        <w:t>/</w:t>
      </w:r>
      <w:r>
        <w:rPr>
          <w:rFonts w:hint="eastAsia" w:ascii="仿宋" w:hAnsi="仿宋" w:eastAsia="仿宋" w:cs="仿宋"/>
          <w:sz w:val="32"/>
          <w:szCs w:val="32"/>
        </w:rPr>
        <w:t>㎡.月</w:t>
      </w:r>
      <w:r>
        <w:rPr>
          <w:rFonts w:hint="eastAsia" w:ascii="仿宋" w:hAnsi="仿宋" w:eastAsia="仿宋" w:cs="仿宋"/>
          <w:sz w:val="32"/>
          <w:szCs w:val="32"/>
          <w:lang w:val="en-US" w:eastAsia="zh-CN"/>
        </w:rPr>
        <w:t>、火炬开发区1.1元</w:t>
      </w:r>
      <w:r>
        <w:rPr>
          <w:rFonts w:hint="eastAsia" w:ascii="仿宋" w:hAnsi="仿宋" w:eastAsia="仿宋" w:cs="仿宋"/>
          <w:sz w:val="32"/>
          <w:szCs w:val="32"/>
        </w:rPr>
        <w:t>/㎡.月</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翠亨新区（东片区）1.5元/㎡.月、翠亨新区（西片区）0.8元/㎡.月</w:t>
      </w:r>
      <w:r>
        <w:rPr>
          <w:rFonts w:hint="eastAsia" w:ascii="仿宋" w:hAnsi="仿宋" w:eastAsia="仿宋" w:cs="仿宋"/>
          <w:sz w:val="32"/>
          <w:szCs w:val="32"/>
          <w:lang w:eastAsia="zh-CN"/>
        </w:rPr>
        <w:t>、沙溪镇</w:t>
      </w:r>
      <w:r>
        <w:rPr>
          <w:rFonts w:hint="eastAsia" w:ascii="仿宋" w:hAnsi="仿宋" w:eastAsia="仿宋" w:cs="仿宋"/>
          <w:sz w:val="32"/>
          <w:szCs w:val="32"/>
          <w:lang w:val="en-US" w:eastAsia="zh-CN"/>
        </w:rPr>
        <w:t>1.0</w:t>
      </w:r>
      <w:r>
        <w:rPr>
          <w:rFonts w:hint="eastAsia" w:ascii="仿宋" w:hAnsi="仿宋" w:eastAsia="仿宋" w:cs="仿宋"/>
          <w:sz w:val="32"/>
          <w:szCs w:val="32"/>
        </w:rPr>
        <w:t>元</w:t>
      </w:r>
      <w:r>
        <w:rPr>
          <w:rFonts w:hint="eastAsia" w:ascii="仿宋" w:hAnsi="仿宋" w:eastAsia="仿宋" w:cs="仿宋"/>
          <w:sz w:val="32"/>
          <w:szCs w:val="32"/>
          <w:lang w:val="en-US" w:eastAsia="zh-CN"/>
        </w:rPr>
        <w:t>/</w:t>
      </w:r>
      <w:r>
        <w:rPr>
          <w:rFonts w:hint="eastAsia" w:ascii="仿宋" w:hAnsi="仿宋" w:eastAsia="仿宋" w:cs="仿宋"/>
          <w:sz w:val="32"/>
          <w:szCs w:val="32"/>
        </w:rPr>
        <w:t>㎡.月</w:t>
      </w:r>
      <w:r>
        <w:rPr>
          <w:rFonts w:hint="eastAsia" w:ascii="仿宋" w:hAnsi="仿宋" w:eastAsia="仿宋" w:cs="仿宋"/>
          <w:sz w:val="32"/>
          <w:szCs w:val="32"/>
          <w:lang w:eastAsia="zh-CN"/>
        </w:rPr>
        <w:t>，其他</w:t>
      </w:r>
      <w:r>
        <w:rPr>
          <w:rFonts w:hint="eastAsia" w:ascii="仿宋" w:hAnsi="仿宋" w:eastAsia="仿宋" w:cs="仿宋"/>
          <w:sz w:val="32"/>
          <w:szCs w:val="32"/>
          <w:lang w:val="en-US" w:eastAsia="zh-CN"/>
        </w:rPr>
        <w:t>镇街0.8元/㎡.月；</w:t>
      </w:r>
    </w:p>
    <w:p>
      <w:pPr>
        <w:pStyle w:val="2"/>
        <w:rPr>
          <w:rFonts w:hint="eastAsia" w:ascii="仿宋" w:hAnsi="仿宋" w:eastAsia="仿宋" w:cs="仿宋"/>
          <w:sz w:val="32"/>
          <w:szCs w:val="32"/>
          <w:lang w:val="en-US" w:eastAsia="zh-CN"/>
        </w:rPr>
      </w:pPr>
      <w:r>
        <w:rPr>
          <w:rFonts w:hint="eastAsia"/>
          <w:b/>
          <w:bCs/>
          <w:lang w:val="en-US" w:eastAsia="zh-CN"/>
        </w:rPr>
        <w:t>地域修正系数、路段修正系数：</w:t>
      </w:r>
      <w:r>
        <w:rPr>
          <w:rFonts w:hint="eastAsia"/>
          <w:lang w:val="en-US" w:eastAsia="zh-CN"/>
        </w:rPr>
        <w:t>分别</w:t>
      </w:r>
      <w:r>
        <w:rPr>
          <w:rFonts w:hint="eastAsia" w:ascii="仿宋" w:hAnsi="仿宋" w:eastAsia="仿宋" w:cs="仿宋"/>
          <w:sz w:val="32"/>
          <w:szCs w:val="32"/>
          <w:lang w:val="en-US" w:eastAsia="zh-CN"/>
        </w:rPr>
        <w:t>选定政府办公地点、大型商业中心作为圆心,将住房按不同半径划分为不同区域，确定系数。</w:t>
      </w:r>
    </w:p>
    <w:p>
      <w:pPr>
        <w:pStyle w:val="5"/>
        <w:numPr>
          <w:ilvl w:val="0"/>
          <w:numId w:val="2"/>
        </w:numPr>
        <w:bidi w:val="0"/>
        <w:outlineLvl w:val="1"/>
        <w:rPr>
          <w:rFonts w:hint="eastAsia"/>
          <w:lang w:val="en-US" w:eastAsia="zh-CN"/>
        </w:rPr>
      </w:pPr>
      <w:r>
        <w:rPr>
          <w:rFonts w:hint="eastAsia"/>
          <w:lang w:val="en-US" w:eastAsia="zh-CN"/>
        </w:rPr>
        <w:t>租金标准及收缴方式</w:t>
      </w:r>
    </w:p>
    <w:p>
      <w:pPr>
        <w:pageBreakBefore w:val="0"/>
        <w:widowControl w:val="0"/>
        <w:kinsoku/>
        <w:wordWrap/>
        <w:overflowPunct/>
        <w:topLinePunct w:val="0"/>
        <w:autoSpaceDE/>
        <w:autoSpaceDN/>
        <w:bidi w:val="0"/>
        <w:adjustRightInd/>
        <w:snapToGrid/>
        <w:spacing w:line="574" w:lineRule="exact"/>
        <w:ind w:firstLine="640" w:firstLineChars="200"/>
        <w:textAlignment w:val="auto"/>
        <w:rPr>
          <w:rFonts w:hint="eastAsia"/>
          <w:lang w:val="en-US" w:eastAsia="zh-CN"/>
        </w:rPr>
      </w:pPr>
      <w:r>
        <w:rPr>
          <w:rFonts w:hint="eastAsia" w:ascii="仿宋_GB2312" w:hAnsi="仿宋_GB2312" w:cs="仿宋_GB2312"/>
        </w:rPr>
        <w:t>公租房</w:t>
      </w:r>
      <w:r>
        <w:rPr>
          <w:rFonts w:hint="eastAsia"/>
        </w:rPr>
        <w:t>项目按月收缴租金，</w:t>
      </w:r>
      <w:r>
        <w:rPr>
          <w:rFonts w:hint="eastAsia"/>
          <w:lang w:eastAsia="zh-CN"/>
        </w:rPr>
        <w:t>非市直属公租房的租金标准由公租房项目所在镇街政府按《</w:t>
      </w:r>
      <w:r>
        <w:rPr>
          <w:rFonts w:hint="eastAsia"/>
        </w:rPr>
        <w:t>中山市公租房</w:t>
      </w:r>
      <w:r>
        <w:rPr>
          <w:rFonts w:hint="eastAsia"/>
          <w:lang w:eastAsia="zh-CN"/>
        </w:rPr>
        <w:t>租金政府指导价确定方式》计算得出，并同步向社会公布。市直属公租房项目月租金标准由住房保障实施机构明确。</w:t>
      </w:r>
    </w:p>
    <w:p>
      <w:pPr>
        <w:pStyle w:val="5"/>
        <w:bidi w:val="0"/>
        <w:outlineLvl w:val="1"/>
        <w:rPr>
          <w:rFonts w:hint="eastAsia"/>
          <w:lang w:val="en-US" w:eastAsia="zh-CN"/>
        </w:rPr>
      </w:pPr>
      <w:r>
        <w:rPr>
          <w:rFonts w:hint="eastAsia"/>
          <w:lang w:val="en-US" w:eastAsia="zh-CN"/>
        </w:rPr>
        <w:t>（三）申请人月缴租金计算方式</w:t>
      </w:r>
    </w:p>
    <w:p>
      <w:pPr>
        <w:bidi w:val="0"/>
        <w:ind w:left="0" w:leftChars="0" w:firstLine="0" w:firstLineChars="0"/>
        <w:rPr>
          <w:rFonts w:hint="eastAsia"/>
          <w:lang w:val="en-US" w:eastAsia="zh-CN"/>
        </w:rPr>
      </w:pPr>
      <w:r>
        <w:rPr>
          <w:rFonts w:ascii="宋体" w:hAnsi="宋体" w:eastAsia="宋体" w:cs="宋体"/>
          <w:sz w:val="24"/>
          <w:szCs w:val="24"/>
        </w:rPr>
        <w:drawing>
          <wp:inline distT="0" distB="0" distL="114300" distR="114300">
            <wp:extent cx="5941695" cy="2846070"/>
            <wp:effectExtent l="0" t="0" r="1905" b="11430"/>
            <wp:docPr id="8"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6" descr="IMG_256"/>
                    <pic:cNvPicPr>
                      <a:picLocks noChangeAspect="true"/>
                    </pic:cNvPicPr>
                  </pic:nvPicPr>
                  <pic:blipFill>
                    <a:blip r:embed="rId6"/>
                    <a:stretch>
                      <a:fillRect/>
                    </a:stretch>
                  </pic:blipFill>
                  <pic:spPr>
                    <a:xfrm>
                      <a:off x="0" y="0"/>
                      <a:ext cx="5941695" cy="2846070"/>
                    </a:xfrm>
                    <a:prstGeom prst="rect">
                      <a:avLst/>
                    </a:prstGeom>
                    <a:noFill/>
                    <a:ln w="9525">
                      <a:noFill/>
                    </a:ln>
                  </pic:spPr>
                </pic:pic>
              </a:graphicData>
            </a:graphic>
          </wp:inline>
        </w:drawing>
      </w:r>
    </w:p>
    <w:tbl>
      <w:tblPr>
        <w:tblStyle w:val="10"/>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9"/>
        <w:gridCol w:w="3983"/>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2" w:type="dxa"/>
            <w:gridSpan w:val="3"/>
            <w:tcBorders>
              <w:top w:val="nil"/>
              <w:left w:val="nil"/>
              <w:right w:val="nil"/>
            </w:tcBorders>
            <w:vAlign w:val="center"/>
          </w:tcPr>
          <w:p>
            <w:pPr>
              <w:pStyle w:val="16"/>
              <w:bidi w:val="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市直属公租房项目租金系数表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Align w:val="center"/>
          </w:tcPr>
          <w:p>
            <w:pPr>
              <w:pStyle w:val="16"/>
              <w:bidi w:val="0"/>
              <w:jc w:val="center"/>
              <w:rPr>
                <w:rFonts w:hint="eastAsia"/>
                <w:b/>
                <w:bCs/>
                <w:sz w:val="32"/>
                <w:szCs w:val="32"/>
                <w:lang w:val="en-US" w:eastAsia="zh-CN"/>
              </w:rPr>
            </w:pPr>
            <w:r>
              <w:rPr>
                <w:rFonts w:hint="eastAsia"/>
                <w:b/>
                <w:bCs/>
                <w:sz w:val="32"/>
                <w:szCs w:val="32"/>
                <w:lang w:val="en-US" w:eastAsia="zh-CN"/>
              </w:rPr>
              <w:t>租金系数类型</w:t>
            </w:r>
          </w:p>
        </w:tc>
        <w:tc>
          <w:tcPr>
            <w:tcW w:w="3983" w:type="dxa"/>
            <w:vAlign w:val="center"/>
          </w:tcPr>
          <w:p>
            <w:pPr>
              <w:pStyle w:val="16"/>
              <w:bidi w:val="0"/>
              <w:jc w:val="center"/>
              <w:rPr>
                <w:rFonts w:hint="default"/>
                <w:b/>
                <w:bCs/>
                <w:sz w:val="32"/>
                <w:szCs w:val="32"/>
                <w:lang w:val="en-US" w:eastAsia="zh-CN"/>
              </w:rPr>
            </w:pPr>
            <w:r>
              <w:rPr>
                <w:rFonts w:hint="eastAsia"/>
                <w:b/>
                <w:bCs/>
                <w:sz w:val="32"/>
                <w:szCs w:val="32"/>
                <w:lang w:val="en-US" w:eastAsia="zh-CN"/>
              </w:rPr>
              <w:t>判定范围</w:t>
            </w:r>
          </w:p>
        </w:tc>
        <w:tc>
          <w:tcPr>
            <w:tcW w:w="1750" w:type="dxa"/>
            <w:vAlign w:val="center"/>
          </w:tcPr>
          <w:p>
            <w:pPr>
              <w:pStyle w:val="16"/>
              <w:bidi w:val="0"/>
              <w:jc w:val="center"/>
              <w:rPr>
                <w:rFonts w:hint="default"/>
                <w:b/>
                <w:bCs/>
                <w:sz w:val="32"/>
                <w:szCs w:val="32"/>
                <w:lang w:val="en-US" w:eastAsia="zh-CN"/>
              </w:rPr>
            </w:pPr>
            <w:r>
              <w:rPr>
                <w:rFonts w:hint="eastAsia"/>
                <w:b/>
                <w:bCs/>
                <w:sz w:val="32"/>
                <w:szCs w:val="32"/>
                <w:lang w:val="en-US" w:eastAsia="zh-CN"/>
              </w:rPr>
              <w:t>系数标准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restart"/>
            <w:vAlign w:val="center"/>
          </w:tcPr>
          <w:p>
            <w:pPr>
              <w:pStyle w:val="16"/>
              <w:keepNext w:val="0"/>
              <w:keepLines w:val="0"/>
              <w:pageBreakBefore w:val="0"/>
              <w:widowControl/>
              <w:kinsoku/>
              <w:wordWrap/>
              <w:overflowPunct/>
              <w:topLinePunct w:val="0"/>
              <w:autoSpaceDE/>
              <w:autoSpaceDN/>
              <w:bidi w:val="0"/>
              <w:adjustRightInd/>
              <w:snapToGrid w:val="0"/>
              <w:jc w:val="center"/>
              <w:textAlignment w:val="center"/>
              <w:rPr>
                <w:rFonts w:hint="eastAsia"/>
                <w:b/>
                <w:bCs/>
                <w:sz w:val="30"/>
                <w:szCs w:val="30"/>
                <w:lang w:val="en-US" w:eastAsia="zh-CN"/>
              </w:rPr>
            </w:pPr>
            <w:r>
              <w:rPr>
                <w:rFonts w:hint="eastAsia"/>
                <w:b/>
                <w:bCs/>
                <w:sz w:val="30"/>
                <w:szCs w:val="30"/>
                <w:lang w:val="en-US" w:eastAsia="zh-CN"/>
              </w:rPr>
              <w:t>收入系数</w:t>
            </w:r>
          </w:p>
          <w:p>
            <w:pPr>
              <w:pStyle w:val="16"/>
              <w:keepNext w:val="0"/>
              <w:keepLines w:val="0"/>
              <w:pageBreakBefore w:val="0"/>
              <w:widowControl/>
              <w:kinsoku/>
              <w:wordWrap/>
              <w:overflowPunct/>
              <w:topLinePunct w:val="0"/>
              <w:autoSpaceDE/>
              <w:autoSpaceDN/>
              <w:bidi w:val="0"/>
              <w:adjustRightInd/>
              <w:snapToGrid w:val="0"/>
              <w:jc w:val="center"/>
              <w:textAlignment w:val="center"/>
              <w:rPr>
                <w:rFonts w:hint="default"/>
                <w:lang w:val="en-US" w:eastAsia="zh-CN"/>
              </w:rPr>
            </w:pPr>
            <w:r>
              <w:rPr>
                <w:rFonts w:hint="eastAsia"/>
                <w:lang w:val="en-US" w:eastAsia="zh-CN"/>
              </w:rPr>
              <w:t>根据家庭人均月可支配收入A（元）确定</w:t>
            </w:r>
          </w:p>
        </w:tc>
        <w:tc>
          <w:tcPr>
            <w:tcW w:w="3983" w:type="dxa"/>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lang w:val="en-US" w:eastAsia="zh-CN"/>
              </w:rPr>
            </w:pPr>
            <w:r>
              <w:rPr>
                <w:rFonts w:hint="eastAsia"/>
                <w:lang w:val="en-US" w:eastAsia="zh-CN"/>
              </w:rPr>
              <w:t>A≤</w:t>
            </w:r>
            <w:r>
              <w:rPr>
                <w:rFonts w:hint="eastAsia"/>
              </w:rPr>
              <w:t>本市民政部门确定的低收入家庭认定标准</w:t>
            </w:r>
          </w:p>
        </w:tc>
        <w:tc>
          <w:tcPr>
            <w:tcW w:w="1750" w:type="dxa"/>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default"/>
                <w:lang w:val="en-US" w:eastAsia="zh-CN"/>
              </w:rPr>
            </w:pPr>
            <w:r>
              <w:rPr>
                <w:rFonts w:hint="eastAsia"/>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continue"/>
            <w:vAlign w:val="center"/>
          </w:tcPr>
          <w:p>
            <w:pPr>
              <w:pStyle w:val="16"/>
              <w:bidi w:val="0"/>
              <w:jc w:val="center"/>
              <w:rPr>
                <w:rFonts w:hint="eastAsia"/>
                <w:lang w:val="en-US" w:eastAsia="zh-CN"/>
              </w:rPr>
            </w:pPr>
          </w:p>
        </w:tc>
        <w:tc>
          <w:tcPr>
            <w:tcW w:w="3983" w:type="dxa"/>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lang w:val="en-US" w:eastAsia="zh-CN"/>
              </w:rPr>
            </w:pPr>
            <w:r>
              <w:rPr>
                <w:rFonts w:hint="eastAsia"/>
                <w:lang w:val="en-US" w:eastAsia="zh-CN"/>
              </w:rPr>
              <w:t>本市民政部门确定的低收入家庭认定标准＜A≤本市上年度城镇人均月可支配收入70%</w:t>
            </w:r>
          </w:p>
        </w:tc>
        <w:tc>
          <w:tcPr>
            <w:tcW w:w="1750" w:type="dxa"/>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default"/>
                <w:lang w:val="en-US" w:eastAsia="zh-CN"/>
              </w:rPr>
            </w:pPr>
            <w:r>
              <w:rPr>
                <w:rFonts w:hint="eastAsia"/>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restart"/>
            <w:vAlign w:val="center"/>
          </w:tcPr>
          <w:p>
            <w:pPr>
              <w:pStyle w:val="16"/>
              <w:keepNext w:val="0"/>
              <w:keepLines w:val="0"/>
              <w:pageBreakBefore w:val="0"/>
              <w:widowControl/>
              <w:kinsoku/>
              <w:wordWrap/>
              <w:overflowPunct/>
              <w:topLinePunct w:val="0"/>
              <w:autoSpaceDE/>
              <w:autoSpaceDN/>
              <w:bidi w:val="0"/>
              <w:adjustRightInd/>
              <w:snapToGrid w:val="0"/>
              <w:jc w:val="center"/>
              <w:textAlignment w:val="center"/>
              <w:rPr>
                <w:rFonts w:hint="eastAsia" w:ascii="方正仿宋简体" w:hAnsi="方正仿宋简体"/>
                <w:b/>
                <w:bCs/>
                <w:sz w:val="30"/>
                <w:szCs w:val="30"/>
                <w:lang w:val="en-US" w:eastAsia="zh-CN"/>
              </w:rPr>
            </w:pPr>
            <w:r>
              <w:rPr>
                <w:rFonts w:hint="eastAsia" w:ascii="方正仿宋简体" w:hAnsi="方正仿宋简体"/>
                <w:b/>
                <w:bCs/>
                <w:sz w:val="30"/>
                <w:szCs w:val="30"/>
                <w:lang w:val="en-US" w:eastAsia="zh-CN"/>
              </w:rPr>
              <w:t>人均承租公租房面积系数</w:t>
            </w:r>
          </w:p>
          <w:p>
            <w:pPr>
              <w:pStyle w:val="16"/>
              <w:keepNext w:val="0"/>
              <w:keepLines w:val="0"/>
              <w:pageBreakBefore w:val="0"/>
              <w:widowControl/>
              <w:kinsoku/>
              <w:wordWrap/>
              <w:overflowPunct/>
              <w:topLinePunct w:val="0"/>
              <w:autoSpaceDE/>
              <w:autoSpaceDN/>
              <w:bidi w:val="0"/>
              <w:adjustRightInd/>
              <w:snapToGrid w:val="0"/>
              <w:jc w:val="center"/>
              <w:textAlignment w:val="center"/>
              <w:rPr>
                <w:rFonts w:hint="default" w:ascii="方正仿宋简体" w:hAnsi="方正仿宋简体"/>
                <w:b/>
                <w:bCs/>
                <w:sz w:val="30"/>
                <w:szCs w:val="30"/>
                <w:lang w:val="en-US" w:eastAsia="zh-CN"/>
              </w:rPr>
            </w:pPr>
            <w:r>
              <w:rPr>
                <w:rFonts w:hint="eastAsia"/>
              </w:rPr>
              <w:t>根据家庭的人均承租公租房面积S（</w:t>
            </w:r>
            <w:r>
              <w:rPr>
                <w:rFonts w:hint="eastAsia" w:ascii="宋体" w:hAnsi="宋体" w:eastAsia="宋体" w:cs="宋体"/>
              </w:rPr>
              <w:t>㎡</w:t>
            </w:r>
            <w:r>
              <w:rPr>
                <w:rFonts w:hint="eastAsia"/>
              </w:rPr>
              <w:t>）确定</w:t>
            </w:r>
          </w:p>
        </w:tc>
        <w:tc>
          <w:tcPr>
            <w:tcW w:w="3983" w:type="dxa"/>
            <w:vAlign w:val="top"/>
          </w:tcPr>
          <w:p>
            <w:pPr>
              <w:pStyle w:val="16"/>
              <w:bidi w:val="0"/>
              <w:rPr>
                <w:rFonts w:hint="eastAsia"/>
                <w:lang w:val="en-US" w:eastAsia="zh-CN"/>
              </w:rPr>
            </w:pPr>
            <w:r>
              <w:rPr>
                <w:rFonts w:hint="eastAsia"/>
              </w:rPr>
              <w:t>S≤12㎡</w:t>
            </w:r>
          </w:p>
        </w:tc>
        <w:tc>
          <w:tcPr>
            <w:tcW w:w="1750" w:type="dxa"/>
            <w:vAlign w:val="top"/>
          </w:tcPr>
          <w:p>
            <w:pPr>
              <w:pStyle w:val="16"/>
              <w:bidi w:val="0"/>
              <w:rPr>
                <w:rFonts w:hint="eastAsia"/>
                <w:lang w:val="en-US" w:eastAsia="zh-CN"/>
              </w:rP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continue"/>
            <w:vAlign w:val="center"/>
          </w:tcPr>
          <w:p>
            <w:pPr>
              <w:pStyle w:val="16"/>
              <w:keepNext w:val="0"/>
              <w:keepLines w:val="0"/>
              <w:pageBreakBefore w:val="0"/>
              <w:widowControl/>
              <w:kinsoku/>
              <w:wordWrap/>
              <w:overflowPunct/>
              <w:topLinePunct w:val="0"/>
              <w:autoSpaceDE/>
              <w:autoSpaceDN/>
              <w:bidi w:val="0"/>
              <w:adjustRightInd/>
              <w:snapToGrid w:val="0"/>
              <w:jc w:val="center"/>
              <w:textAlignment w:val="center"/>
              <w:rPr>
                <w:rFonts w:hint="eastAsia"/>
              </w:rPr>
            </w:pPr>
          </w:p>
        </w:tc>
        <w:tc>
          <w:tcPr>
            <w:tcW w:w="3983" w:type="dxa"/>
            <w:vAlign w:val="top"/>
          </w:tcPr>
          <w:p>
            <w:pPr>
              <w:pStyle w:val="16"/>
              <w:bidi w:val="0"/>
              <w:rPr>
                <w:rFonts w:hint="eastAsia"/>
                <w:lang w:val="en-US" w:eastAsia="zh-CN"/>
              </w:rPr>
            </w:pPr>
            <w:r>
              <w:rPr>
                <w:rFonts w:hint="eastAsia"/>
              </w:rPr>
              <w:t>12㎡＜S≤18㎡</w:t>
            </w:r>
          </w:p>
        </w:tc>
        <w:tc>
          <w:tcPr>
            <w:tcW w:w="1750" w:type="dxa"/>
            <w:vAlign w:val="top"/>
          </w:tcPr>
          <w:p>
            <w:pPr>
              <w:pStyle w:val="16"/>
              <w:bidi w:val="0"/>
              <w:rPr>
                <w:rFonts w:hint="eastAsia"/>
                <w:lang w:val="en-US" w:eastAsia="zh-CN"/>
              </w:rPr>
            </w:pPr>
            <w:r>
              <w:rPr>
                <w:rFonts w:hint="eastAsia"/>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continue"/>
            <w:vAlign w:val="center"/>
          </w:tcPr>
          <w:p>
            <w:pPr>
              <w:pStyle w:val="16"/>
              <w:keepNext w:val="0"/>
              <w:keepLines w:val="0"/>
              <w:pageBreakBefore w:val="0"/>
              <w:widowControl/>
              <w:kinsoku/>
              <w:wordWrap/>
              <w:overflowPunct/>
              <w:topLinePunct w:val="0"/>
              <w:autoSpaceDE/>
              <w:autoSpaceDN/>
              <w:bidi w:val="0"/>
              <w:adjustRightInd/>
              <w:snapToGrid w:val="0"/>
              <w:jc w:val="center"/>
              <w:textAlignment w:val="center"/>
              <w:rPr>
                <w:rFonts w:hint="eastAsia"/>
              </w:rPr>
            </w:pPr>
          </w:p>
        </w:tc>
        <w:tc>
          <w:tcPr>
            <w:tcW w:w="3983" w:type="dxa"/>
            <w:vAlign w:val="top"/>
          </w:tcPr>
          <w:p>
            <w:pPr>
              <w:pStyle w:val="16"/>
              <w:bidi w:val="0"/>
              <w:rPr>
                <w:rFonts w:hint="eastAsia"/>
                <w:lang w:val="en-US" w:eastAsia="zh-CN"/>
              </w:rPr>
            </w:pPr>
            <w:r>
              <w:rPr>
                <w:rFonts w:hint="eastAsia"/>
              </w:rPr>
              <w:t>18㎡＜S≤24㎡</w:t>
            </w:r>
          </w:p>
        </w:tc>
        <w:tc>
          <w:tcPr>
            <w:tcW w:w="1750" w:type="dxa"/>
            <w:vAlign w:val="top"/>
          </w:tcPr>
          <w:p>
            <w:pPr>
              <w:pStyle w:val="16"/>
              <w:bidi w:val="0"/>
              <w:rPr>
                <w:rFonts w:hint="eastAsia"/>
                <w:lang w:val="en-US" w:eastAsia="zh-CN"/>
              </w:rPr>
            </w:pPr>
            <w:r>
              <w:rPr>
                <w:rFonts w:hint="eastAsi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continue"/>
            <w:vAlign w:val="center"/>
          </w:tcPr>
          <w:p>
            <w:pPr>
              <w:pStyle w:val="16"/>
              <w:keepNext w:val="0"/>
              <w:keepLines w:val="0"/>
              <w:pageBreakBefore w:val="0"/>
              <w:widowControl/>
              <w:kinsoku/>
              <w:wordWrap/>
              <w:overflowPunct/>
              <w:topLinePunct w:val="0"/>
              <w:autoSpaceDE/>
              <w:autoSpaceDN/>
              <w:bidi w:val="0"/>
              <w:adjustRightInd/>
              <w:snapToGrid w:val="0"/>
              <w:jc w:val="center"/>
              <w:textAlignment w:val="center"/>
              <w:rPr>
                <w:rFonts w:hint="eastAsia"/>
              </w:rPr>
            </w:pPr>
          </w:p>
        </w:tc>
        <w:tc>
          <w:tcPr>
            <w:tcW w:w="3983" w:type="dxa"/>
            <w:vAlign w:val="top"/>
          </w:tcPr>
          <w:p>
            <w:pPr>
              <w:pStyle w:val="16"/>
              <w:bidi w:val="0"/>
              <w:rPr>
                <w:rFonts w:hint="eastAsia"/>
                <w:lang w:val="en-US" w:eastAsia="zh-CN"/>
              </w:rPr>
            </w:pPr>
            <w:r>
              <w:rPr>
                <w:rFonts w:hint="eastAsia"/>
              </w:rPr>
              <w:t>24㎡＜S≤30㎡</w:t>
            </w:r>
          </w:p>
        </w:tc>
        <w:tc>
          <w:tcPr>
            <w:tcW w:w="1750" w:type="dxa"/>
            <w:vAlign w:val="top"/>
          </w:tcPr>
          <w:p>
            <w:pPr>
              <w:pStyle w:val="16"/>
              <w:bidi w:val="0"/>
              <w:rPr>
                <w:rFonts w:hint="eastAsia"/>
                <w:lang w:val="en-US" w:eastAsia="zh-CN"/>
              </w:rPr>
            </w:pPr>
            <w:r>
              <w:rPr>
                <w:rFonts w:hint="eastAsia"/>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continue"/>
            <w:vAlign w:val="center"/>
          </w:tcPr>
          <w:p>
            <w:pPr>
              <w:pStyle w:val="16"/>
              <w:bidi w:val="0"/>
              <w:jc w:val="center"/>
              <w:rPr>
                <w:rFonts w:hint="eastAsia"/>
                <w:lang w:val="en-US" w:eastAsia="zh-CN"/>
              </w:rPr>
            </w:pPr>
          </w:p>
        </w:tc>
        <w:tc>
          <w:tcPr>
            <w:tcW w:w="3983" w:type="dxa"/>
            <w:vAlign w:val="top"/>
          </w:tcPr>
          <w:p>
            <w:pPr>
              <w:pStyle w:val="16"/>
              <w:bidi w:val="0"/>
              <w:rPr>
                <w:rFonts w:hint="eastAsia"/>
                <w:lang w:val="en-US" w:eastAsia="zh-CN"/>
              </w:rPr>
            </w:pPr>
            <w:r>
              <w:rPr>
                <w:rFonts w:hint="eastAsia"/>
              </w:rPr>
              <w:t>30㎡＜S</w:t>
            </w:r>
          </w:p>
        </w:tc>
        <w:tc>
          <w:tcPr>
            <w:tcW w:w="1750" w:type="dxa"/>
            <w:vAlign w:val="top"/>
          </w:tcPr>
          <w:p>
            <w:pPr>
              <w:pStyle w:val="16"/>
              <w:bidi w:val="0"/>
              <w:rPr>
                <w:rFonts w:hint="eastAsia"/>
                <w:lang w:val="en-US" w:eastAsia="zh-CN"/>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restart"/>
            <w:vAlign w:val="center"/>
          </w:tcPr>
          <w:p>
            <w:pPr>
              <w:pStyle w:val="16"/>
              <w:keepNext w:val="0"/>
              <w:keepLines w:val="0"/>
              <w:pageBreakBefore w:val="0"/>
              <w:widowControl/>
              <w:kinsoku/>
              <w:wordWrap/>
              <w:overflowPunct/>
              <w:topLinePunct w:val="0"/>
              <w:autoSpaceDE/>
              <w:autoSpaceDN/>
              <w:bidi w:val="0"/>
              <w:adjustRightInd/>
              <w:snapToGrid w:val="0"/>
              <w:ind w:firstLine="0"/>
              <w:jc w:val="center"/>
              <w:textAlignment w:val="center"/>
              <w:rPr>
                <w:rFonts w:hint="eastAsia" w:ascii="方正仿宋简体" w:hAnsi="方正仿宋简体"/>
                <w:b/>
                <w:bCs/>
                <w:sz w:val="30"/>
                <w:szCs w:val="30"/>
                <w:lang w:val="en-US" w:eastAsia="zh-CN"/>
              </w:rPr>
            </w:pPr>
            <w:r>
              <w:rPr>
                <w:rFonts w:hint="eastAsia" w:ascii="方正仿宋简体" w:hAnsi="方正仿宋简体"/>
                <w:b/>
                <w:bCs/>
                <w:sz w:val="30"/>
                <w:szCs w:val="30"/>
                <w:lang w:val="en-US" w:eastAsia="zh-CN"/>
              </w:rPr>
              <w:t>家庭结构系数</w:t>
            </w:r>
          </w:p>
          <w:p>
            <w:pPr>
              <w:pStyle w:val="16"/>
              <w:bidi w:val="0"/>
              <w:jc w:val="center"/>
              <w:rPr>
                <w:rFonts w:hint="default"/>
                <w:lang w:val="en-US" w:eastAsia="zh-CN"/>
              </w:rPr>
            </w:pPr>
            <w:r>
              <w:rPr>
                <w:rFonts w:hint="eastAsia"/>
                <w:lang w:val="en-US" w:eastAsia="zh-CN"/>
              </w:rPr>
              <w:t>根</w:t>
            </w:r>
            <w:bookmarkStart w:id="0" w:name="_GoBack"/>
            <w:bookmarkEnd w:id="0"/>
            <w:r>
              <w:rPr>
                <w:rFonts w:hint="eastAsia" w:ascii="方正仿宋简体" w:hAnsi="方正仿宋简体"/>
              </w:rPr>
              <w:t>据家庭成员的组成状况确定</w:t>
            </w:r>
          </w:p>
        </w:tc>
        <w:tc>
          <w:tcPr>
            <w:tcW w:w="3983" w:type="dxa"/>
            <w:vAlign w:val="center"/>
          </w:tcPr>
          <w:p>
            <w:pPr>
              <w:pStyle w:val="16"/>
              <w:bidi w:val="0"/>
              <w:rPr>
                <w:rFonts w:hint="eastAsia"/>
                <w:lang w:val="en-US" w:eastAsia="zh-CN"/>
              </w:rPr>
            </w:pPr>
            <w:r>
              <w:rPr>
                <w:rFonts w:hint="eastAsia"/>
              </w:rPr>
              <w:t>三代及以上共同申请的</w:t>
            </w:r>
          </w:p>
        </w:tc>
        <w:tc>
          <w:tcPr>
            <w:tcW w:w="1750" w:type="dxa"/>
            <w:vAlign w:val="center"/>
          </w:tcPr>
          <w:p>
            <w:pPr>
              <w:pStyle w:val="16"/>
              <w:bidi w:val="0"/>
              <w:rPr>
                <w:rFonts w:hint="default"/>
                <w:lang w:val="en-US" w:eastAsia="zh-CN"/>
              </w:rPr>
            </w:pPr>
            <w:r>
              <w:rPr>
                <w:rFonts w:hint="eastAsia"/>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49" w:type="dxa"/>
            <w:vMerge w:val="continue"/>
            <w:vAlign w:val="center"/>
          </w:tcPr>
          <w:p>
            <w:pPr>
              <w:pStyle w:val="16"/>
              <w:bidi w:val="0"/>
              <w:jc w:val="center"/>
              <w:rPr>
                <w:rFonts w:hint="eastAsia"/>
                <w:lang w:val="en-US" w:eastAsia="zh-CN"/>
              </w:rPr>
            </w:pPr>
          </w:p>
        </w:tc>
        <w:tc>
          <w:tcPr>
            <w:tcW w:w="3983" w:type="dxa"/>
            <w:vAlign w:val="center"/>
          </w:tcPr>
          <w:p>
            <w:pPr>
              <w:pStyle w:val="16"/>
              <w:bidi w:val="0"/>
              <w:rPr>
                <w:rFonts w:hint="eastAsia"/>
                <w:lang w:val="en-US" w:eastAsia="zh-CN"/>
              </w:rPr>
            </w:pPr>
            <w:r>
              <w:rPr>
                <w:rFonts w:hint="eastAsia"/>
              </w:rPr>
              <w:t>两代及以下共同申请的</w:t>
            </w:r>
          </w:p>
        </w:tc>
        <w:tc>
          <w:tcPr>
            <w:tcW w:w="1750" w:type="dxa"/>
            <w:vAlign w:val="center"/>
          </w:tcPr>
          <w:p>
            <w:pPr>
              <w:pStyle w:val="16"/>
              <w:bidi w:val="0"/>
              <w:rPr>
                <w:rFonts w:hint="default"/>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2" w:type="dxa"/>
            <w:gridSpan w:val="3"/>
            <w:vAlign w:val="center"/>
          </w:tcPr>
          <w:p>
            <w:pPr>
              <w:pStyle w:val="16"/>
              <w:keepNext w:val="0"/>
              <w:keepLines w:val="0"/>
              <w:pageBreakBefore w:val="0"/>
              <w:widowControl/>
              <w:kinsoku/>
              <w:wordWrap/>
              <w:overflowPunct/>
              <w:topLinePunct w:val="0"/>
              <w:autoSpaceDE/>
              <w:autoSpaceDN/>
              <w:bidi w:val="0"/>
              <w:adjustRightInd/>
              <w:snapToGrid w:val="0"/>
              <w:jc w:val="left"/>
              <w:textAlignment w:val="center"/>
              <w:rPr>
                <w:rFonts w:hint="eastAsia"/>
                <w:lang w:val="en-US" w:eastAsia="zh-CN"/>
              </w:rPr>
            </w:pPr>
            <w:r>
              <w:rPr>
                <w:rFonts w:hint="eastAsia"/>
                <w:lang w:val="en-US" w:eastAsia="zh-CN"/>
              </w:rPr>
              <w:t>备注：家庭人均月可支配收入在本市上年度城镇人均月可支配收入70%以上的原旧公房家庭，收入系数、人均承租公租房面积系数、家庭结构系数均为1。</w:t>
            </w:r>
          </w:p>
        </w:tc>
      </w:tr>
    </w:tbl>
    <w:p>
      <w:pPr>
        <w:pStyle w:val="5"/>
        <w:bidi w:val="0"/>
        <w:outlineLvl w:val="1"/>
        <w:rPr>
          <w:rFonts w:hint="eastAsia"/>
          <w:lang w:val="en-US" w:eastAsia="zh-CN"/>
        </w:rPr>
      </w:pPr>
      <w:r>
        <w:rPr>
          <w:rFonts w:hint="eastAsia"/>
          <w:lang w:val="en-US" w:eastAsia="zh-CN"/>
        </w:rPr>
        <w:t>（四）租金减免范围、减免标准</w:t>
      </w:r>
    </w:p>
    <w:p>
      <w:pPr>
        <w:bidi w:val="0"/>
        <w:rPr>
          <w:rFonts w:hint="eastAsia"/>
          <w:lang w:val="en-US" w:eastAsia="zh-CN"/>
        </w:rPr>
      </w:pPr>
      <w:r>
        <w:rPr>
          <w:rFonts w:hint="eastAsia"/>
          <w:lang w:val="en-US" w:eastAsia="zh-CN"/>
        </w:rPr>
        <w:t>各镇街自行确定辖区内非市直属公租房项目的租金减免范围及标准。市直属公租房项目的租金减免范围、标准如下表：</w:t>
      </w:r>
    </w:p>
    <w:tbl>
      <w:tblPr>
        <w:tblStyle w:val="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7"/>
        <w:gridCol w:w="6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jc w:val="center"/>
        </w:trPr>
        <w:tc>
          <w:tcPr>
            <w:tcW w:w="5000" w:type="pct"/>
            <w:gridSpan w:val="2"/>
            <w:tcBorders>
              <w:top w:val="nil"/>
              <w:left w:val="nil"/>
              <w:bottom w:val="single" w:color="000000" w:sz="4" w:space="0"/>
              <w:right w:val="nil"/>
            </w:tcBorders>
            <w:shd w:val="clear" w:color="auto" w:fill="auto"/>
            <w:noWrap/>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市直属公租房项目租金减免范围及标准表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b/>
                <w:bCs/>
                <w:sz w:val="32"/>
                <w:szCs w:val="32"/>
                <w:lang w:val="en-US" w:eastAsia="zh-CN"/>
              </w:rPr>
            </w:pPr>
            <w:r>
              <w:rPr>
                <w:rFonts w:hint="eastAsia"/>
                <w:b/>
                <w:bCs/>
                <w:sz w:val="32"/>
                <w:szCs w:val="32"/>
                <w:lang w:val="en-US" w:eastAsia="zh-CN"/>
              </w:rPr>
              <w:t>标准</w:t>
            </w:r>
          </w:p>
        </w:tc>
        <w:tc>
          <w:tcPr>
            <w:tcW w:w="40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b/>
                <w:bCs/>
                <w:sz w:val="32"/>
                <w:szCs w:val="32"/>
              </w:rPr>
            </w:pPr>
            <w:r>
              <w:rPr>
                <w:rFonts w:hint="eastAsia"/>
                <w:b/>
                <w:bCs/>
                <w:sz w:val="32"/>
                <w:szCs w:val="32"/>
                <w:lang w:val="en-US" w:eastAsia="zh-CN"/>
              </w:rPr>
              <w:t>减免范围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904" w:type="pct"/>
            <w:vMerge w:val="restart"/>
            <w:tcBorders>
              <w:top w:val="single" w:color="000000" w:sz="4" w:space="0"/>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default"/>
                <w:lang w:val="en-US" w:eastAsia="zh-CN"/>
              </w:rPr>
            </w:pPr>
            <w:r>
              <w:rPr>
                <w:rFonts w:hint="eastAsia"/>
                <w:lang w:val="en-US" w:eastAsia="zh-CN"/>
              </w:rPr>
              <w:t>租金全免</w:t>
            </w: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持有《广东省城镇居（村）民最低生活保障金领取证》、《中山市低收入家庭救助证》或《特困人员救助供养证》的低保、低收入家庭或特困人员，孤儿（含实行社会化安置起5年内的成年孤儿）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904" w:type="pct"/>
            <w:vMerge w:val="continue"/>
            <w:tcBorders>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持有《中山市优抚对象优待证》的三属（烈士遗属、因公牺牲军人遗属、病故军人遗属）、残疾军人、在乡复员军人、带病回乡退伍军人、参战涉核人员、铀矿开采军队退役人员、在乡五老人员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904" w:type="pct"/>
            <w:vMerge w:val="continue"/>
            <w:tcBorders>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家庭人均月可支配收入在本市民政部门确定的低收入家庭认定标准以下（含此线）且人均承租公租房面积为18平方米以下（含本数）的家庭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04" w:type="pct"/>
            <w:vMerge w:val="continue"/>
            <w:tcBorders>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申请人或共同申请人为残疾人的承租户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904" w:type="pct"/>
            <w:vMerge w:val="continue"/>
            <w:tcBorders>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领取有关证书的省级以上劳动模范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04" w:type="pct"/>
            <w:vMerge w:val="continue"/>
            <w:tcBorders>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属离休干部的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04" w:type="pct"/>
            <w:vMerge w:val="continue"/>
            <w:tcBorders>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属年满60周岁以上独身和无儿女老人的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jc w:val="center"/>
        </w:trPr>
        <w:tc>
          <w:tcPr>
            <w:tcW w:w="904" w:type="pct"/>
            <w:vMerge w:val="restart"/>
            <w:tcBorders>
              <w:top w:val="single" w:color="000000" w:sz="4" w:space="0"/>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default"/>
                <w:lang w:val="en-US"/>
              </w:rPr>
            </w:pPr>
            <w:r>
              <w:rPr>
                <w:rFonts w:hint="eastAsia"/>
                <w:lang w:val="en-US" w:eastAsia="zh-CN"/>
              </w:rPr>
              <w:t>租金减收50%</w:t>
            </w: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承租人或其直系亲属因患重大疾病或特殊病种（以市医疗保险规定为准）造成生活困难的，凭医院出具的疾病证明书，租金减收50%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904" w:type="pct"/>
            <w:vMerge w:val="continue"/>
            <w:tcBorders>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承租人或其直系亲属因家庭出现突发事故等特殊情况造成生活困难的，凭相关证明文件，租金减收50%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jc w:val="center"/>
        </w:trPr>
        <w:tc>
          <w:tcPr>
            <w:tcW w:w="904" w:type="pct"/>
            <w:vMerge w:val="continue"/>
            <w:tcBorders>
              <w:left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承租人及其配偶均达到法定退休年龄（男60周岁，女50周岁），经审核承租人及其家庭成员未享受实物或货币分房，且承租公租房是唯一生活用方法的，租金减收50%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04" w:type="pct"/>
            <w:vMerge w:val="continue"/>
            <w:tcBorders>
              <w:left w:val="single" w:color="000000" w:sz="4" w:space="0"/>
              <w:bottom w:val="single" w:color="000000" w:sz="4" w:space="0"/>
              <w:right w:val="single" w:color="000000" w:sz="4" w:space="0"/>
            </w:tcBorders>
            <w:shd w:val="clear" w:color="auto" w:fill="auto"/>
            <w:noWrap/>
            <w:vAlign w:val="center"/>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p>
        </w:tc>
        <w:tc>
          <w:tcPr>
            <w:tcW w:w="4095" w:type="pct"/>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textAlignment w:val="center"/>
              <w:rPr>
                <w:rFonts w:hint="eastAsia"/>
              </w:rPr>
            </w:pPr>
            <w:r>
              <w:rPr>
                <w:rFonts w:hint="eastAsia"/>
                <w:lang w:val="en-US" w:eastAsia="zh-CN"/>
              </w:rPr>
              <w:t>属单亲家庭的，经本人提出申请，租金减收50%。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pStyle w:val="16"/>
              <w:keepNext w:val="0"/>
              <w:keepLines w:val="0"/>
              <w:pageBreakBefore w:val="0"/>
              <w:widowControl/>
              <w:kinsoku/>
              <w:wordWrap/>
              <w:overflowPunct/>
              <w:topLinePunct w:val="0"/>
              <w:autoSpaceDE/>
              <w:autoSpaceDN/>
              <w:bidi w:val="0"/>
              <w:adjustRightInd/>
              <w:snapToGrid w:val="0"/>
              <w:jc w:val="left"/>
              <w:textAlignment w:val="center"/>
              <w:rPr>
                <w:rFonts w:hint="eastAsia"/>
                <w:lang w:val="en-US" w:eastAsia="zh-CN"/>
              </w:rPr>
            </w:pPr>
            <w:r>
              <w:rPr>
                <w:rFonts w:hint="eastAsia"/>
                <w:lang w:val="en-US" w:eastAsia="zh-CN"/>
              </w:rPr>
              <w:t>备注：符合住房保障条件的家庭按上述范围享受租金减免；</w:t>
            </w:r>
          </w:p>
          <w:p>
            <w:pPr>
              <w:pStyle w:val="16"/>
              <w:keepNext w:val="0"/>
              <w:keepLines w:val="0"/>
              <w:pageBreakBefore w:val="0"/>
              <w:widowControl/>
              <w:kinsoku/>
              <w:wordWrap/>
              <w:overflowPunct/>
              <w:topLinePunct w:val="0"/>
              <w:autoSpaceDE/>
              <w:autoSpaceDN/>
              <w:bidi w:val="0"/>
              <w:adjustRightInd/>
              <w:snapToGrid w:val="0"/>
              <w:ind w:firstLine="720" w:firstLineChars="300"/>
              <w:jc w:val="left"/>
              <w:textAlignment w:val="center"/>
              <w:rPr>
                <w:rFonts w:hint="default"/>
                <w:lang w:val="en-US"/>
              </w:rPr>
            </w:pPr>
            <w:r>
              <w:rPr>
                <w:rFonts w:hint="eastAsia"/>
                <w:lang w:val="en-US" w:eastAsia="zh-CN"/>
              </w:rPr>
              <w:t>有相应规定其他应当减免的情况按相应规定执行。</w:t>
            </w:r>
          </w:p>
        </w:tc>
      </w:tr>
    </w:tbl>
    <w:p>
      <w:pPr>
        <w:pStyle w:val="16"/>
        <w:keepNext w:val="0"/>
        <w:keepLines w:val="0"/>
        <w:pageBreakBefore w:val="0"/>
        <w:widowControl/>
        <w:kinsoku/>
        <w:wordWrap/>
        <w:overflowPunct/>
        <w:topLinePunct w:val="0"/>
        <w:autoSpaceDE/>
        <w:autoSpaceDN/>
        <w:bidi w:val="0"/>
        <w:adjustRightInd/>
        <w:snapToGrid w:val="0"/>
        <w:textAlignment w:val="center"/>
        <w:rPr>
          <w:rFonts w:hint="eastAsia"/>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37D84"/>
    <w:multiLevelType w:val="singleLevel"/>
    <w:tmpl w:val="82837D84"/>
    <w:lvl w:ilvl="0" w:tentative="0">
      <w:start w:val="2"/>
      <w:numFmt w:val="chineseCounting"/>
      <w:suff w:val="nothing"/>
      <w:lvlText w:val="（%1）"/>
      <w:lvlJc w:val="left"/>
      <w:rPr>
        <w:rFonts w:hint="eastAsia"/>
      </w:rPr>
    </w:lvl>
  </w:abstractNum>
  <w:abstractNum w:abstractNumId="1">
    <w:nsid w:val="54B3C492"/>
    <w:multiLevelType w:val="singleLevel"/>
    <w:tmpl w:val="54B3C492"/>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E65C9"/>
    <w:rsid w:val="007C3C3D"/>
    <w:rsid w:val="0178610E"/>
    <w:rsid w:val="04B64DE2"/>
    <w:rsid w:val="05167DD3"/>
    <w:rsid w:val="060A65BE"/>
    <w:rsid w:val="09884C08"/>
    <w:rsid w:val="0DD83CAD"/>
    <w:rsid w:val="12CB61B8"/>
    <w:rsid w:val="1B2361ED"/>
    <w:rsid w:val="1B9325B6"/>
    <w:rsid w:val="231860AD"/>
    <w:rsid w:val="237575EC"/>
    <w:rsid w:val="23782B97"/>
    <w:rsid w:val="24D363A0"/>
    <w:rsid w:val="263B7C61"/>
    <w:rsid w:val="2684650F"/>
    <w:rsid w:val="288726A0"/>
    <w:rsid w:val="2BF02885"/>
    <w:rsid w:val="387F7914"/>
    <w:rsid w:val="3AC36C73"/>
    <w:rsid w:val="3B51367F"/>
    <w:rsid w:val="3F1C01C5"/>
    <w:rsid w:val="4B5C14DE"/>
    <w:rsid w:val="4F443465"/>
    <w:rsid w:val="528B5099"/>
    <w:rsid w:val="53621988"/>
    <w:rsid w:val="53FBC78C"/>
    <w:rsid w:val="57A15998"/>
    <w:rsid w:val="59F21985"/>
    <w:rsid w:val="5BED093F"/>
    <w:rsid w:val="5C201245"/>
    <w:rsid w:val="61094A99"/>
    <w:rsid w:val="6425506D"/>
    <w:rsid w:val="66543ADC"/>
    <w:rsid w:val="667A7C39"/>
    <w:rsid w:val="70AA58C9"/>
    <w:rsid w:val="77D505A7"/>
    <w:rsid w:val="792E65C9"/>
    <w:rsid w:val="79961612"/>
    <w:rsid w:val="7B7F7ED5"/>
    <w:rsid w:val="7D486051"/>
    <w:rsid w:val="7F3D23BF"/>
    <w:rsid w:val="7F555123"/>
    <w:rsid w:val="7F5B2177"/>
    <w:rsid w:val="7F8B4F03"/>
    <w:rsid w:val="7FD11BA0"/>
    <w:rsid w:val="FFFD3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3"/>
    <w:qFormat/>
    <w:uiPriority w:val="0"/>
    <w:pPr>
      <w:keepNext/>
      <w:keepLines/>
      <w:spacing w:before="100" w:beforeLines="100" w:beforeAutospacing="0" w:after="100" w:afterLines="100" w:afterAutospacing="0" w:line="578" w:lineRule="exact"/>
      <w:ind w:firstLine="0" w:firstLineChars="0"/>
      <w:jc w:val="center"/>
      <w:outlineLvl w:val="0"/>
    </w:pPr>
    <w:rPr>
      <w:rFonts w:ascii="Times New Roman" w:hAnsi="Times New Roman" w:eastAsia="方正小标宋简体"/>
      <w:kern w:val="44"/>
      <w:sz w:val="44"/>
    </w:rPr>
  </w:style>
  <w:style w:type="paragraph" w:styleId="4">
    <w:name w:val="heading 2"/>
    <w:basedOn w:val="1"/>
    <w:next w:val="1"/>
    <w:link w:val="12"/>
    <w:unhideWhenUsed/>
    <w:qFormat/>
    <w:uiPriority w:val="0"/>
    <w:pPr>
      <w:keepNext/>
      <w:keepLines/>
      <w:spacing w:before="50" w:beforeLines="50" w:beforeAutospacing="0" w:after="50" w:afterLines="50" w:afterAutospacing="0" w:line="240" w:lineRule="auto"/>
      <w:ind w:firstLine="880"/>
      <w:jc w:val="left"/>
      <w:outlineLvl w:val="1"/>
    </w:pPr>
    <w:rPr>
      <w:rFonts w:ascii="Arial" w:hAnsi="Arial" w:eastAsia="黑体"/>
    </w:rPr>
  </w:style>
  <w:style w:type="paragraph" w:styleId="5">
    <w:name w:val="heading 3"/>
    <w:basedOn w:val="1"/>
    <w:next w:val="1"/>
    <w:link w:val="15"/>
    <w:unhideWhenUsed/>
    <w:qFormat/>
    <w:uiPriority w:val="0"/>
    <w:pPr>
      <w:keepNext/>
      <w:keepLines/>
      <w:spacing w:before="50" w:beforeLines="50" w:beforeAutospacing="0" w:after="50" w:afterLines="50" w:afterAutospacing="0" w:line="240" w:lineRule="auto"/>
      <w:ind w:firstLine="880" w:firstLineChars="200"/>
      <w:jc w:val="left"/>
      <w:outlineLvl w:val="2"/>
    </w:pPr>
    <w:rPr>
      <w:rFonts w:ascii="Times New Roman" w:hAnsi="Times New Roman" w:eastAsia="楷体"/>
      <w:bCs/>
      <w:kern w:val="0"/>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sz w:val="32"/>
    </w:rPr>
  </w:style>
  <w:style w:type="character" w:default="1" w:styleId="11">
    <w:name w:val="Default Paragraph Font"/>
    <w:unhideWhenUsed/>
    <w:qFormat/>
    <w:uiPriority w:val="1"/>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Body Text Indent"/>
    <w:basedOn w:val="1"/>
    <w:qFormat/>
    <w:uiPriority w:val="0"/>
    <w:pPr>
      <w:spacing w:after="120" w:afterLines="0" w:afterAutospacing="0"/>
      <w:ind w:left="420" w:leftChars="200"/>
    </w:pPr>
  </w:style>
  <w:style w:type="paragraph" w:styleId="8">
    <w:name w:val="Body Text First Indent 2"/>
    <w:basedOn w:val="7"/>
    <w:qFormat/>
    <w:uiPriority w:val="0"/>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Char"/>
    <w:link w:val="4"/>
    <w:qFormat/>
    <w:uiPriority w:val="0"/>
    <w:rPr>
      <w:rFonts w:ascii="Arial" w:hAnsi="Arial" w:eastAsia="黑体"/>
      <w:sz w:val="32"/>
    </w:rPr>
  </w:style>
  <w:style w:type="character" w:customStyle="1" w:styleId="13">
    <w:name w:val="标题 1 字符"/>
    <w:basedOn w:val="11"/>
    <w:link w:val="3"/>
    <w:qFormat/>
    <w:uiPriority w:val="0"/>
    <w:rPr>
      <w:rFonts w:ascii="Times New Roman" w:hAnsi="Times New Roman" w:eastAsia="方正小标宋简体"/>
      <w:bCs/>
      <w:snapToGrid w:val="0"/>
      <w:spacing w:val="6"/>
      <w:kern w:val="44"/>
      <w:sz w:val="44"/>
      <w:szCs w:val="44"/>
    </w:rPr>
  </w:style>
  <w:style w:type="paragraph" w:customStyle="1" w:styleId="14">
    <w:name w:val="大标题"/>
    <w:basedOn w:val="1"/>
    <w:next w:val="1"/>
    <w:qFormat/>
    <w:uiPriority w:val="0"/>
    <w:pPr>
      <w:spacing w:line="579" w:lineRule="exact"/>
      <w:ind w:firstLine="0" w:firstLineChars="0"/>
      <w:jc w:val="center"/>
      <w:outlineLvl w:val="0"/>
    </w:pPr>
    <w:rPr>
      <w:rFonts w:hint="eastAsia" w:ascii="方正小标宋简体" w:hAnsi="方正小标宋简体" w:eastAsia="方正小标宋简体" w:cs="方正小标宋简体"/>
      <w:bCs/>
      <w:snapToGrid w:val="0"/>
      <w:kern w:val="0"/>
      <w:sz w:val="44"/>
      <w:szCs w:val="44"/>
    </w:rPr>
  </w:style>
  <w:style w:type="character" w:customStyle="1" w:styleId="15">
    <w:name w:val="标题 3 Char"/>
    <w:link w:val="5"/>
    <w:qFormat/>
    <w:uiPriority w:val="0"/>
    <w:rPr>
      <w:rFonts w:ascii="Times New Roman" w:hAnsi="Times New Roman" w:eastAsia="楷体"/>
      <w:bCs/>
      <w:kern w:val="0"/>
      <w:szCs w:val="32"/>
    </w:rPr>
  </w:style>
  <w:style w:type="paragraph" w:customStyle="1" w:styleId="16">
    <w:name w:val="表格"/>
    <w:basedOn w:val="1"/>
    <w:qFormat/>
    <w:uiPriority w:val="0"/>
    <w:pPr>
      <w:widowControl/>
      <w:spacing w:line="240" w:lineRule="atLeast"/>
      <w:ind w:firstLine="0" w:firstLineChars="0"/>
      <w:jc w:val="center"/>
      <w:textAlignment w:val="center"/>
    </w:pPr>
    <w:rPr>
      <w:rFonts w:hint="eastAsia" w:ascii="方正仿宋简体" w:hAnsi="方正仿宋简体" w:eastAsia="宋体" w:cs="方正仿宋简体"/>
      <w:color w:val="000000"/>
      <w:kern w:val="0"/>
      <w:sz w:val="24"/>
      <w:szCs w:val="24"/>
      <w:u w:val="none"/>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中山市住房和城乡建设局</Company>
  <Pages>1</Pages>
  <Words>0</Words>
  <Characters>0</Characters>
  <Lines>0</Lines>
  <Paragraphs>0</Paragraphs>
  <TotalTime>30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2021-10-23T02:07:00Z</dcterms:created>
  <dc:creator>杨阳</dc:creator>
  <cp:lastModifiedBy>赵科林</cp:lastModifiedBy>
  <dcterms:modified xsi:type="dcterms:W3CDTF">2022-05-26T17:28:38Z</dcterms:modified>
  <dc:title>《关于做好公共租赁住房租金收缴、减免工作的通知》政策解读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A0A4B238A307483A881B659249C012F5</vt:lpwstr>
  </property>
</Properties>
</file>