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国家发展改革委等部门关于严格执行招标投标</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法规制度进一步规范招标投标</w:t>
      </w:r>
    </w:p>
    <w:p>
      <w:pPr>
        <w:jc w:val="center"/>
        <w:rPr>
          <w:rFonts w:hint="eastAsia" w:ascii="华文仿宋" w:hAnsi="华文仿宋" w:eastAsia="华文仿宋" w:cs="华文仿宋"/>
          <w:sz w:val="32"/>
          <w:szCs w:val="32"/>
        </w:rPr>
      </w:pPr>
      <w:r>
        <w:rPr>
          <w:rFonts w:hint="eastAsia" w:ascii="方正小标宋简体" w:hAnsi="方正小标宋简体" w:eastAsia="方正小标宋简体" w:cs="方正小标宋简体"/>
          <w:sz w:val="36"/>
          <w:szCs w:val="36"/>
        </w:rPr>
        <w:t>主体行为的若干意见</w:t>
      </w: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发改法规规〔2022〕1117号</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围标串标、有关部门及领导干部插手干预等违法行为仍然易发高发，招标代理服务水平参差不齐，一些评标专家不公正、不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  一、强化招标人主体责任</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依法落实招标自主权。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严格执行强制招标制度。依法经项目审批、核准部门确定的招标范围、招标方式、招标组织形式，未经批准不得随意变更。依法必须招标项目拟不进行招标的、依法应当公开招标的项目拟邀请招标的，必须符合法律法规规定情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询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不得随意改变法定招标程序；不得采用抽签、摇号、抓阄等违规方式直接选择投标人、中标候选人或中标人。除交易平台暂不具备条件等特殊情形外，依法必须招标项目应当实行全流程电子化交易。</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规范招标文件编制和发布。招标人应当高质量编制招标文件，鼓励通过市场调研、专家咨询论证等方式，明确招标需求，优化招标方案；对于委托招标代理机构编制的招标文件，应当认真组织审查，确保合法合规、科学合理、符合需求；对于涉及公共利益、社会关注度较高的项目，以及技术复杂、专业性强的项目，鼓励就招标文件征求社会公众或行业意见。依法必须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规范招标人代表条件和行为。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五）加强评标报告审查。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加大评标情况公开力度，积极推进评分情况向社会公开、投标文件被否决原因向投标人公开。</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六）畅通异议渠道。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作出答复前继续进行招标投标活动。</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七）落实合同履约管理责任。招标人应当高度重视合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八）加强招标档案管理。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九）强化内部控制管理。招标人应当建立健全招标投标事项集体研究、合法合规性审查等议事决策机制，积极发挥内部监督作用；对招标投标事项管理集中的部门和岗位实行分事行权、分岗设权、分级授权，强化内部控制。依法必须招标项目应当在组织招标前，按照权责匹配原则落实主要负责人和相关负责人。鼓励招标人建立招标项目绩效评价机制和招标采购专业化队伍，加大对招标项目管理人员的问责问效力度，将招标投标活动合法合规性、交易结果和履约绩效与履职评定、奖励惩处挂钩。 </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  二、坚决打击遏制违法投标和不诚信履约行为</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严格规范投标和履约行为。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一）加大违法投标行为打击力度。密切关注中标率异常低、不以中标为目的投标的“陪标专业户”。重点关注投标人之间存在关联关系、不同投标人高级管理人员之间存在交叉任职、人员混用或者亲属关系、经常性“抱团”投标等围标串标高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  三、加强评标专家管理</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二）严肃评标纪律。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招标人、招标代理机构、投标人发现评标专家有违法行为的，应当及时向行政监督部门报告。行政监督部门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三）提高评标质量。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四）强化评标专家动态管理。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五）严格规范和优化评标组织方式。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  四、规范招标代理服务行为</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六）切实规范招标代理行为。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七）加强招标代理机构及从业人员管理。行政监督部门应当加强对在本地区执业的招标代理机构及从业人员的动态监管，将招标代理行为作为“双随机、一公开”监管的重点内容，纳入跨部门联合抽查范围，对参与围标串标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  五、进一步落实监督管理职责</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八）健全监管机制。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间行政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  （十九）加大监管力度。各地行政监督部门要进一步深</w:t>
      </w:r>
      <w:bookmarkStart w:id="0" w:name="_GoBack"/>
      <w:bookmarkEnd w:id="0"/>
      <w:r>
        <w:rPr>
          <w:rFonts w:hint="eastAsia" w:ascii="华文仿宋" w:hAnsi="华文仿宋" w:eastAsia="华文仿宋" w:cs="华文仿宋"/>
          <w:sz w:val="32"/>
          <w:szCs w:val="32"/>
        </w:rPr>
        <w:t>化“放管服”改革，切实将监管重心从事前审批核准向事中事后全程监管转移。全面推行“双随机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十）健全信用体系。加快推进招标投标领域信用体系建设，构建以信用为基础、衔接标前标中标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提出问责建议。</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  本意见自2022年9月1日起施行，有效期至2027年8月31日。</w:t>
      </w:r>
    </w:p>
    <w:p>
      <w:pPr>
        <w:rPr>
          <w:rFonts w:hint="eastAsia" w:ascii="华文仿宋" w:hAnsi="华文仿宋" w:eastAsia="华文仿宋" w:cs="华文仿宋"/>
          <w:sz w:val="32"/>
          <w:szCs w:val="32"/>
        </w:rPr>
      </w:pP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国家发展改革委</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工业和信息化部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公  安  部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住房和城乡建设部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交 通 运 输 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水  利  部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农 业 农 村 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商  务  部</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审  计  署</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广 电 总 局</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国 家 能 源 局</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国 家 铁 路 局</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民  航  局</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2022年7月18日</w:t>
      </w:r>
    </w:p>
    <w:p>
      <w:pPr>
        <w:jc w:val="right"/>
        <w:rPr>
          <w:rFonts w:hint="eastAsia" w:ascii="华文仿宋" w:hAnsi="华文仿宋" w:eastAsia="华文仿宋" w:cs="华文仿宋"/>
          <w:sz w:val="32"/>
          <w:szCs w:val="32"/>
        </w:rPr>
      </w:pPr>
    </w:p>
    <w:p>
      <w:pPr>
        <w:jc w:val="left"/>
        <w:rPr>
          <w:rFonts w:hint="default" w:ascii="华文仿宋" w:hAnsi="华文仿宋" w:eastAsia="华文仿宋" w:cs="华文仿宋"/>
          <w:sz w:val="32"/>
          <w:szCs w:val="32"/>
          <w:lang w:val="en-US" w:eastAsia="zh-CN"/>
        </w:rPr>
      </w:pPr>
      <w:r>
        <w:rPr>
          <w:rFonts w:hint="eastAsia" w:ascii="CESI黑体-GB2312" w:hAnsi="CESI黑体-GB2312" w:eastAsia="CESI黑体-GB2312" w:cs="CESI黑体-GB2312"/>
          <w:sz w:val="32"/>
          <w:szCs w:val="32"/>
          <w:lang w:val="en-US" w:eastAsia="zh-CN"/>
        </w:rPr>
        <w:t>原文出处</w:t>
      </w:r>
      <w:r>
        <w:rPr>
          <w:rFonts w:hint="eastAsia" w:ascii="华文仿宋" w:hAnsi="华文仿宋" w:eastAsia="华文仿宋" w:cs="华文仿宋"/>
          <w:sz w:val="32"/>
          <w:szCs w:val="32"/>
          <w:lang w:val="en-US" w:eastAsia="zh-CN"/>
        </w:rPr>
        <w:t>https://www.ndrc.gov.cn/xxgk/zcfb/ghxwj/202208/t20220801_1332495_ext.html</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jdjNGMyZWI2NzdkZTQwYWQwMDVmNTJlMTdkYzYifQ=="/>
  </w:docVars>
  <w:rsids>
    <w:rsidRoot w:val="55E372EA"/>
    <w:rsid w:val="3AB64FEC"/>
    <w:rsid w:val="43166347"/>
    <w:rsid w:val="55E372EA"/>
    <w:rsid w:val="5DB144F5"/>
    <w:rsid w:val="8B9B4316"/>
    <w:rsid w:val="DB8C5B18"/>
    <w:rsid w:val="DD3D8420"/>
    <w:rsid w:val="DFF7B95B"/>
    <w:rsid w:val="F54917E9"/>
    <w:rsid w:val="FFDFA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7234</Words>
  <Characters>7362</Characters>
  <Lines>0</Lines>
  <Paragraphs>0</Paragraphs>
  <TotalTime>143</TotalTime>
  <ScaleCrop>false</ScaleCrop>
  <LinksUpToDate>false</LinksUpToDate>
  <CharactersWithSpaces>7379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2022-08-03T00:40:00Z</dcterms:created>
  <dc:creator>user</dc:creator>
  <cp:lastModifiedBy>超</cp:lastModifiedBy>
  <cp:lastPrinted>2022-08-03T00:43:00Z</cp:lastPrinted>
  <dcterms:modified xsi:type="dcterms:W3CDTF">2024-01-16T07:30:33Z</dcterms:modified>
  <dc:title>国家发展改革委等部门关于严格执行招标投标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DA660C17E53149A293FB45EC5FD717DF</vt:lpwstr>
  </property>
</Properties>
</file>