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中山市建设工程造价指数（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2023年下半年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表一：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）的建筑工程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2019年3-12月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117.50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</w:t>
      </w:r>
      <w:r>
        <w:rPr>
          <w:rFonts w:hint="eastAsia" w:ascii="仿宋_GB2312" w:eastAsia="仿宋_GB2312"/>
          <w:sz w:val="32"/>
          <w:szCs w:val="32"/>
          <w:lang w:eastAsia="zh-CN"/>
        </w:rPr>
        <w:t>建筑工程造价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4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表二：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2010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的建筑工程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2011年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2012年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2013年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2014年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2015年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2016年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110.23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建筑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4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表三：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）的市政道路工程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eastAsia="zh-CN"/>
              </w:rPr>
              <w:t>市政道路</w:t>
            </w:r>
            <w:r>
              <w:rPr>
                <w:rFonts w:hint="eastAsia" w:ascii="仿宋_GB2312" w:eastAsia="仿宋_GB2312" w:cs="宋体"/>
                <w:sz w:val="32"/>
                <w:szCs w:val="32"/>
              </w:rPr>
              <w:t>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99.44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FF0000"/>
                <w:sz w:val="32"/>
                <w:szCs w:val="32"/>
                <w:lang w:val="en-US" w:eastAsia="zh-CN"/>
              </w:rPr>
              <w:t>97.73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2.采用</w:t>
      </w:r>
      <w:r>
        <w:rPr>
          <w:rFonts w:hint="eastAsia" w:ascii="仿宋_GB2312" w:eastAsia="仿宋_GB2312"/>
          <w:sz w:val="32"/>
          <w:szCs w:val="32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</w:rPr>
        <w:t>工程的施工图预算进行测算，</w:t>
      </w:r>
      <w:r>
        <w:rPr>
          <w:rFonts w:hint="eastAsia" w:ascii="仿宋_GB2312" w:eastAsia="仿宋_GB2312"/>
          <w:sz w:val="32"/>
          <w:szCs w:val="32"/>
          <w:lang w:eastAsia="zh-CN"/>
        </w:rPr>
        <w:t>测算综合考虑已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市政道路、排水、交通设施、路灯和绿化工程等主要施工内容，</w:t>
      </w:r>
      <w:r>
        <w:rPr>
          <w:rFonts w:hint="eastAsia" w:ascii="仿宋_GB2312" w:eastAsia="仿宋_GB2312"/>
          <w:sz w:val="32"/>
          <w:szCs w:val="32"/>
          <w:lang w:eastAsia="zh-CN"/>
        </w:rPr>
        <w:t>不包括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市政道路特殊路段的软基处理工程、桥梁工程（含跨江桥、人行天桥和立交高架桥）及隧道工程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3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zPrS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Ij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unM+tL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2E21"/>
    <w:rsid w:val="05F10EC9"/>
    <w:rsid w:val="0AF6A3D5"/>
    <w:rsid w:val="0CA368A8"/>
    <w:rsid w:val="0F3B3D89"/>
    <w:rsid w:val="16BA5173"/>
    <w:rsid w:val="177B1550"/>
    <w:rsid w:val="17EB2F8D"/>
    <w:rsid w:val="1E3C7685"/>
    <w:rsid w:val="25C94BFD"/>
    <w:rsid w:val="378E4A1C"/>
    <w:rsid w:val="42E238DE"/>
    <w:rsid w:val="50D80789"/>
    <w:rsid w:val="52D732EE"/>
    <w:rsid w:val="54A86FC3"/>
    <w:rsid w:val="5EFD797E"/>
    <w:rsid w:val="6F9F6DE1"/>
    <w:rsid w:val="76BF6310"/>
    <w:rsid w:val="7D2665F9"/>
    <w:rsid w:val="7D7D2C5C"/>
    <w:rsid w:val="C3900013"/>
    <w:rsid w:val="FC75B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qFormat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777</Words>
  <Characters>1060</Characters>
  <Paragraphs>142</Paragraphs>
  <TotalTime>4</TotalTime>
  <ScaleCrop>false</ScaleCrop>
  <LinksUpToDate>false</LinksUpToDate>
  <CharactersWithSpaces>1119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2019-04-06T23:02:00Z</dcterms:created>
  <dc:creator>USER</dc:creator>
  <cp:lastModifiedBy>超</cp:lastModifiedBy>
  <cp:lastPrinted>2022-10-15T22:53:00Z</cp:lastPrinted>
  <dcterms:modified xsi:type="dcterms:W3CDTF">2024-04-02T07:02:16Z</dcterms:modified>
  <dc:title>中山市住房和城乡建设局文件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C510E417A4614F2FA57D3106CE5919A6</vt:lpwstr>
  </property>
</Properties>
</file>