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12" w:lineRule="auto"/>
        <w:ind w:right="440"/>
        <w:jc w:val="right"/>
        <w:rPr>
          <w:rFonts w:ascii="Times New Roman" w:hAnsi="Times New Roman" w:eastAsia="仿宋" w:cs="Times New Roman"/>
          <w:sz w:val="44"/>
          <w:szCs w:val="44"/>
        </w:rPr>
      </w:pPr>
      <w:bookmarkStart w:id="115" w:name="_GoBack"/>
      <w:bookmarkEnd w:id="115"/>
    </w:p>
    <w:p>
      <w:pPr>
        <w:adjustRightInd w:val="0"/>
        <w:snapToGrid w:val="0"/>
        <w:spacing w:line="312" w:lineRule="auto"/>
        <w:jc w:val="right"/>
        <w:rPr>
          <w:rFonts w:ascii="Times New Roman" w:hAnsi="Times New Roman" w:eastAsia="仿宋" w:cs="Times New Roman"/>
          <w:sz w:val="44"/>
          <w:szCs w:val="44"/>
        </w:rPr>
      </w:pPr>
    </w:p>
    <w:p>
      <w:pPr>
        <w:adjustRightInd w:val="0"/>
        <w:snapToGrid w:val="0"/>
        <w:spacing w:line="312" w:lineRule="auto"/>
        <w:jc w:val="right"/>
        <w:rPr>
          <w:rFonts w:ascii="Times New Roman" w:hAnsi="Times New Roman" w:eastAsia="仿宋" w:cs="Times New Roman"/>
          <w:sz w:val="44"/>
          <w:szCs w:val="44"/>
        </w:rPr>
      </w:pPr>
    </w:p>
    <w:p>
      <w:pPr>
        <w:adjustRightInd w:val="0"/>
        <w:snapToGrid w:val="0"/>
        <w:spacing w:line="312" w:lineRule="auto"/>
        <w:jc w:val="center"/>
        <w:rPr>
          <w:rFonts w:ascii="Times New Roman" w:hAnsi="Times New Roman" w:eastAsia="仿宋" w:cs="Times New Roman"/>
          <w:b/>
          <w:sz w:val="84"/>
          <w:szCs w:val="84"/>
        </w:rPr>
      </w:pPr>
      <w:r>
        <w:rPr>
          <w:rFonts w:hint="eastAsia" w:ascii="方正小标宋_GBK" w:hAnsi="方正小标宋_GBK" w:eastAsia="方正小标宋_GBK" w:cs="方正小标宋_GBK"/>
          <w:b w:val="0"/>
          <w:bCs/>
          <w:sz w:val="84"/>
          <w:szCs w:val="84"/>
        </w:rPr>
        <w:t>中山市绿色建筑发展专项规划</w:t>
      </w:r>
      <w:r>
        <w:rPr>
          <w:rFonts w:ascii="Times New Roman" w:hAnsi="Times New Roman" w:eastAsia="仿宋" w:cs="Times New Roman"/>
          <w:b/>
          <w:sz w:val="84"/>
          <w:szCs w:val="84"/>
        </w:rPr>
        <w:t>（20</w:t>
      </w:r>
      <w:r>
        <w:rPr>
          <w:rFonts w:hint="eastAsia" w:ascii="Times New Roman" w:hAnsi="Times New Roman" w:eastAsia="仿宋" w:cs="Times New Roman"/>
          <w:b/>
          <w:sz w:val="84"/>
          <w:szCs w:val="84"/>
        </w:rPr>
        <w:t>22</w:t>
      </w:r>
      <w:r>
        <w:rPr>
          <w:rFonts w:ascii="Times New Roman" w:hAnsi="Times New Roman" w:eastAsia="仿宋" w:cs="Times New Roman"/>
          <w:b/>
          <w:sz w:val="84"/>
          <w:szCs w:val="84"/>
        </w:rPr>
        <w:t>-2035）</w:t>
      </w:r>
    </w:p>
    <w:p>
      <w:pPr>
        <w:adjustRightInd w:val="0"/>
        <w:snapToGrid w:val="0"/>
        <w:spacing w:line="312" w:lineRule="auto"/>
        <w:jc w:val="center"/>
        <w:rPr>
          <w:rFonts w:hint="eastAsia" w:ascii="方正小标宋_GBK" w:hAnsi="方正小标宋_GBK" w:eastAsia="方正小标宋_GBK" w:cs="方正小标宋_GBK"/>
          <w:b w:val="0"/>
          <w:bCs/>
          <w:sz w:val="84"/>
          <w:szCs w:val="84"/>
          <w:lang w:eastAsia="zh-CN"/>
        </w:rPr>
      </w:pPr>
      <w:r>
        <w:rPr>
          <w:rFonts w:hint="eastAsia" w:ascii="方正小标宋_GBK" w:hAnsi="方正小标宋_GBK" w:eastAsia="方正小标宋_GBK" w:cs="方正小标宋_GBK"/>
          <w:b w:val="0"/>
          <w:bCs/>
          <w:sz w:val="84"/>
          <w:szCs w:val="84"/>
          <w:lang w:eastAsia="zh-CN"/>
        </w:rPr>
        <w:t>文本</w:t>
      </w:r>
    </w:p>
    <w:p>
      <w:pPr>
        <w:pStyle w:val="2"/>
      </w:pPr>
    </w:p>
    <w:p>
      <w:pPr>
        <w:adjustRightInd w:val="0"/>
        <w:snapToGrid w:val="0"/>
        <w:spacing w:line="312" w:lineRule="auto"/>
        <w:jc w:val="left"/>
        <w:rPr>
          <w:rFonts w:ascii="Times New Roman" w:hAnsi="Times New Roman" w:eastAsia="仿宋" w:cs="Times New Roman"/>
          <w:sz w:val="44"/>
          <w:szCs w:val="44"/>
        </w:rPr>
      </w:pPr>
      <w:r>
        <w:rPr>
          <w:rFonts w:ascii="Times New Roman" w:hAnsi="Times New Roman" w:eastAsia="仿宋" w:cs="Times New Roman"/>
          <w:sz w:val="44"/>
          <w:szCs w:val="44"/>
        </w:rPr>
        <w:tab/>
      </w:r>
    </w:p>
    <w:p>
      <w:pPr>
        <w:adjustRightInd w:val="0"/>
        <w:snapToGrid w:val="0"/>
        <w:spacing w:line="312" w:lineRule="auto"/>
        <w:jc w:val="left"/>
        <w:rPr>
          <w:rFonts w:ascii="Times New Roman" w:hAnsi="Times New Roman" w:eastAsia="仿宋" w:cs="Times New Roman"/>
          <w:sz w:val="44"/>
          <w:szCs w:val="44"/>
        </w:rPr>
      </w:pPr>
    </w:p>
    <w:p>
      <w:pPr>
        <w:adjustRightInd w:val="0"/>
        <w:snapToGrid w:val="0"/>
        <w:spacing w:line="312" w:lineRule="auto"/>
        <w:jc w:val="left"/>
        <w:rPr>
          <w:rFonts w:ascii="Times New Roman" w:hAnsi="Times New Roman" w:eastAsia="仿宋" w:cs="Times New Roman"/>
          <w:sz w:val="44"/>
          <w:szCs w:val="44"/>
        </w:rPr>
      </w:pPr>
    </w:p>
    <w:p>
      <w:pPr>
        <w:adjustRightInd w:val="0"/>
        <w:snapToGrid w:val="0"/>
        <w:spacing w:line="312" w:lineRule="auto"/>
        <w:jc w:val="left"/>
        <w:rPr>
          <w:rFonts w:ascii="Times New Roman" w:hAnsi="Times New Roman" w:eastAsia="仿宋" w:cs="Times New Roman"/>
        </w:rPr>
      </w:pPr>
    </w:p>
    <w:p>
      <w:pPr>
        <w:adjustRightInd w:val="0"/>
        <w:snapToGrid w:val="0"/>
        <w:spacing w:line="312" w:lineRule="auto"/>
        <w:jc w:val="left"/>
        <w:rPr>
          <w:rFonts w:ascii="Times New Roman" w:hAnsi="Times New Roman" w:eastAsia="仿宋" w:cs="Times New Roman"/>
        </w:rPr>
      </w:pPr>
    </w:p>
    <w:p>
      <w:pPr>
        <w:adjustRightInd w:val="0"/>
        <w:snapToGrid w:val="0"/>
        <w:spacing w:line="312" w:lineRule="auto"/>
        <w:jc w:val="center"/>
        <w:rPr>
          <w:rFonts w:ascii="Times New Roman" w:hAnsi="Times New Roman" w:eastAsia="仿宋" w:cs="Times New Roman"/>
          <w:sz w:val="44"/>
          <w:szCs w:val="44"/>
        </w:rPr>
      </w:pPr>
      <w:r>
        <w:rPr>
          <w:rFonts w:hint="eastAsia" w:ascii="Times New Roman" w:hAnsi="Times New Roman" w:eastAsia="仿宋" w:cs="Times New Roman"/>
          <w:sz w:val="44"/>
          <w:szCs w:val="44"/>
        </w:rPr>
        <w:t>二〇二三年</w:t>
      </w:r>
      <w:r>
        <w:rPr>
          <w:rFonts w:hint="eastAsia" w:ascii="Times New Roman" w:hAnsi="Times New Roman" w:eastAsia="仿宋" w:cs="Times New Roman"/>
          <w:sz w:val="44"/>
          <w:szCs w:val="44"/>
          <w:lang w:val="en-US" w:eastAsia="zh-CN"/>
        </w:rPr>
        <w:t>四</w:t>
      </w:r>
      <w:r>
        <w:rPr>
          <w:rFonts w:hint="eastAsia" w:ascii="Times New Roman" w:hAnsi="Times New Roman" w:eastAsia="仿宋" w:cs="Times New Roman"/>
          <w:sz w:val="44"/>
          <w:szCs w:val="44"/>
        </w:rPr>
        <w:t>月</w:t>
      </w:r>
    </w:p>
    <w:p>
      <w:pPr>
        <w:adjustRightInd w:val="0"/>
        <w:snapToGrid w:val="0"/>
        <w:spacing w:line="312" w:lineRule="auto"/>
        <w:jc w:val="right"/>
        <w:rPr>
          <w:rFonts w:ascii="Times New Roman" w:hAnsi="Times New Roman" w:eastAsia="微软雅黑" w:cs="Times New Roman"/>
          <w:sz w:val="44"/>
          <w:szCs w:val="44"/>
        </w:rPr>
        <w:sectPr>
          <w:headerReference r:id="rId4" w:type="first"/>
          <w:footerReference r:id="rId6" w:type="first"/>
          <w:headerReference r:id="rId3" w:type="default"/>
          <w:footerReference r:id="rId5" w:type="default"/>
          <w:pgSz w:w="11906" w:h="16838"/>
          <w:pgMar w:top="1440" w:right="1797" w:bottom="1440" w:left="1797" w:header="567" w:footer="992" w:gutter="0"/>
          <w:cols w:space="425" w:num="1"/>
          <w:titlePg/>
          <w:docGrid w:type="linesAndChars" w:linePitch="312" w:charSpace="0"/>
        </w:sectPr>
      </w:pPr>
    </w:p>
    <w:p>
      <w:pPr>
        <w:adjustRightInd w:val="0"/>
        <w:snapToGrid w:val="0"/>
        <w:spacing w:line="312" w:lineRule="auto"/>
        <w:ind w:left="0" w:leftChars="0"/>
        <w:jc w:val="center"/>
        <w:rPr>
          <w:rFonts w:ascii="黑体" w:hAnsi="黑体" w:eastAsia="黑体" w:cs="Times New Roman"/>
          <w:b/>
          <w:bCs/>
          <w:sz w:val="44"/>
          <w:szCs w:val="44"/>
        </w:rPr>
      </w:pPr>
      <w:r>
        <w:rPr>
          <w:rFonts w:hint="eastAsia" w:ascii="黑体" w:hAnsi="黑体" w:eastAsia="黑体" w:cs="Times New Roman"/>
          <w:b/>
          <w:bCs/>
          <w:sz w:val="44"/>
          <w:szCs w:val="44"/>
        </w:rPr>
        <w:t>目</w:t>
      </w:r>
      <w:r>
        <w:rPr>
          <w:rFonts w:ascii="黑体" w:hAnsi="黑体" w:eastAsia="黑体" w:cs="Times New Roman"/>
          <w:b/>
          <w:bCs/>
          <w:sz w:val="44"/>
          <w:szCs w:val="44"/>
        </w:rPr>
        <w:t xml:space="preserve">    </w:t>
      </w:r>
      <w:r>
        <w:rPr>
          <w:rFonts w:hint="eastAsia" w:ascii="黑体" w:hAnsi="黑体" w:eastAsia="黑体" w:cs="Times New Roman"/>
          <w:b/>
          <w:bCs/>
          <w:sz w:val="44"/>
          <w:szCs w:val="44"/>
        </w:rPr>
        <w:t>录</w:t>
      </w:r>
    </w:p>
    <w:p>
      <w:pPr>
        <w:pStyle w:val="28"/>
        <w:ind w:left="0" w:leftChars="0"/>
        <w:rPr>
          <w:rFonts w:eastAsia="宋体" w:cs="宋体"/>
          <w:b w:val="0"/>
          <w:bCs w:val="0"/>
          <w:caps w:val="0"/>
          <w:sz w:val="21"/>
          <w:u w:val="none"/>
        </w:rPr>
      </w:pPr>
      <w:r>
        <w:rPr>
          <w:rFonts w:ascii="Times New Roman" w:hAnsi="Times New Roman" w:eastAsia="仿宋" w:cs="Times New Roman"/>
          <w:b w:val="0"/>
          <w:sz w:val="44"/>
          <w:szCs w:val="44"/>
        </w:rPr>
        <w:fldChar w:fldCharType="begin"/>
      </w:r>
      <w:r>
        <w:rPr>
          <w:rFonts w:ascii="Times New Roman" w:hAnsi="Times New Roman" w:eastAsia="仿宋" w:cs="Times New Roman"/>
          <w:b w:val="0"/>
          <w:sz w:val="44"/>
          <w:szCs w:val="44"/>
        </w:rPr>
        <w:instrText xml:space="preserve"> TOC \o "1-2" \h \z \u </w:instrText>
      </w:r>
      <w:r>
        <w:rPr>
          <w:rFonts w:ascii="Times New Roman" w:hAnsi="Times New Roman" w:eastAsia="仿宋" w:cs="Times New Roman"/>
          <w:b w:val="0"/>
          <w:sz w:val="44"/>
          <w:szCs w:val="44"/>
        </w:rPr>
        <w:fldChar w:fldCharType="separate"/>
      </w:r>
      <w:r>
        <w:fldChar w:fldCharType="begin"/>
      </w:r>
      <w:r>
        <w:instrText xml:space="preserve"> HYPERLINK \l "_Toc124321363" </w:instrText>
      </w:r>
      <w:r>
        <w:fldChar w:fldCharType="separate"/>
      </w:r>
      <w:r>
        <w:rPr>
          <w:rStyle w:val="51"/>
          <w:rFonts w:ascii="Times New Roman" w:hAnsi="Times New Roman" w:cs="Times New Roman"/>
          <w:color w:val="auto"/>
        </w:rPr>
        <w:t>第一章　总 则</w:t>
      </w:r>
      <w:r>
        <w:tab/>
      </w:r>
      <w:r>
        <w:fldChar w:fldCharType="begin"/>
      </w:r>
      <w:r>
        <w:instrText xml:space="preserve"> PAGEREF _Toc124321363 \h </w:instrText>
      </w:r>
      <w:r>
        <w:fldChar w:fldCharType="separate"/>
      </w:r>
      <w:r>
        <w:t>1</w:t>
      </w:r>
      <w:r>
        <w:fldChar w:fldCharType="end"/>
      </w:r>
      <w:r>
        <w:fldChar w:fldCharType="end"/>
      </w:r>
    </w:p>
    <w:p>
      <w:pPr>
        <w:pStyle w:val="36"/>
        <w:tabs>
          <w:tab w:val="right" w:leader="dot" w:pos="10244"/>
        </w:tabs>
        <w:ind w:left="0" w:leftChars="0"/>
        <w:rPr>
          <w:rFonts w:eastAsia="宋体" w:cs="宋体"/>
          <w:b w:val="0"/>
          <w:bCs w:val="0"/>
          <w:smallCaps w:val="0"/>
          <w:sz w:val="21"/>
        </w:rPr>
      </w:pPr>
      <w:r>
        <w:fldChar w:fldCharType="begin"/>
      </w:r>
      <w:r>
        <w:instrText xml:space="preserve"> HYPERLINK \l "_Toc124321364" </w:instrText>
      </w:r>
      <w:r>
        <w:fldChar w:fldCharType="separate"/>
      </w:r>
      <w:r>
        <w:rPr>
          <w:rStyle w:val="51"/>
          <w:rFonts w:ascii="Times New Roman" w:hAnsi="Times New Roman" w:cs="Times New Roman"/>
          <w:b w:val="0"/>
          <w:bCs w:val="0"/>
          <w:color w:val="auto"/>
        </w:rPr>
        <w:t>第1条 规划背景</w:t>
      </w:r>
      <w:r>
        <w:rPr>
          <w:b w:val="0"/>
          <w:bCs w:val="0"/>
        </w:rPr>
        <w:tab/>
      </w:r>
      <w:r>
        <w:rPr>
          <w:b w:val="0"/>
          <w:bCs w:val="0"/>
        </w:rPr>
        <w:fldChar w:fldCharType="begin"/>
      </w:r>
      <w:r>
        <w:rPr>
          <w:b w:val="0"/>
          <w:bCs w:val="0"/>
        </w:rPr>
        <w:instrText xml:space="preserve"> PAGEREF _Toc124321364 \h </w:instrText>
      </w:r>
      <w:r>
        <w:rPr>
          <w:b w:val="0"/>
          <w:bCs w:val="0"/>
        </w:rPr>
        <w:fldChar w:fldCharType="separate"/>
      </w:r>
      <w:r>
        <w:rPr>
          <w:b w:val="0"/>
          <w:bCs w:val="0"/>
        </w:rPr>
        <w:t>1</w:t>
      </w:r>
      <w:r>
        <w:rPr>
          <w:b w:val="0"/>
          <w:bCs w:val="0"/>
        </w:rPr>
        <w:fldChar w:fldCharType="end"/>
      </w:r>
      <w:r>
        <w:rPr>
          <w:b w:val="0"/>
          <w:bCs w:val="0"/>
        </w:rPr>
        <w:fldChar w:fldCharType="end"/>
      </w:r>
    </w:p>
    <w:p>
      <w:pPr>
        <w:pStyle w:val="36"/>
        <w:tabs>
          <w:tab w:val="right" w:leader="dot" w:pos="10244"/>
        </w:tabs>
        <w:ind w:left="0" w:leftChars="0"/>
        <w:rPr>
          <w:rFonts w:eastAsia="宋体" w:cs="宋体"/>
          <w:b w:val="0"/>
          <w:bCs w:val="0"/>
          <w:smallCaps w:val="0"/>
          <w:sz w:val="21"/>
        </w:rPr>
      </w:pPr>
      <w:r>
        <w:fldChar w:fldCharType="begin"/>
      </w:r>
      <w:r>
        <w:instrText xml:space="preserve"> HYPERLINK \l "_Toc124321365" </w:instrText>
      </w:r>
      <w:r>
        <w:fldChar w:fldCharType="separate"/>
      </w:r>
      <w:r>
        <w:rPr>
          <w:rStyle w:val="51"/>
          <w:rFonts w:ascii="Times New Roman" w:hAnsi="Times New Roman" w:cs="Times New Roman"/>
          <w:b w:val="0"/>
          <w:bCs w:val="0"/>
          <w:color w:val="auto"/>
        </w:rPr>
        <w:t>第2条 目的原则</w:t>
      </w:r>
      <w:r>
        <w:rPr>
          <w:b w:val="0"/>
          <w:bCs w:val="0"/>
        </w:rPr>
        <w:tab/>
      </w:r>
      <w:r>
        <w:rPr>
          <w:b w:val="0"/>
          <w:bCs w:val="0"/>
        </w:rPr>
        <w:fldChar w:fldCharType="begin"/>
      </w:r>
      <w:r>
        <w:rPr>
          <w:b w:val="0"/>
          <w:bCs w:val="0"/>
        </w:rPr>
        <w:instrText xml:space="preserve"> PAGEREF _Toc124321365 \h </w:instrText>
      </w:r>
      <w:r>
        <w:rPr>
          <w:b w:val="0"/>
          <w:bCs w:val="0"/>
        </w:rPr>
        <w:fldChar w:fldCharType="separate"/>
      </w:r>
      <w:r>
        <w:rPr>
          <w:b w:val="0"/>
          <w:bCs w:val="0"/>
        </w:rPr>
        <w:t>1</w:t>
      </w:r>
      <w:r>
        <w:rPr>
          <w:b w:val="0"/>
          <w:bCs w:val="0"/>
        </w:rPr>
        <w:fldChar w:fldCharType="end"/>
      </w:r>
      <w:r>
        <w:rPr>
          <w:b w:val="0"/>
          <w:bCs w:val="0"/>
        </w:rPr>
        <w:fldChar w:fldCharType="end"/>
      </w:r>
    </w:p>
    <w:p>
      <w:pPr>
        <w:pStyle w:val="36"/>
        <w:tabs>
          <w:tab w:val="right" w:leader="dot" w:pos="10244"/>
        </w:tabs>
        <w:ind w:left="0" w:leftChars="0"/>
        <w:rPr>
          <w:rFonts w:eastAsia="宋体" w:cs="宋体"/>
          <w:b w:val="0"/>
          <w:bCs w:val="0"/>
          <w:smallCaps w:val="0"/>
          <w:sz w:val="21"/>
        </w:rPr>
      </w:pPr>
      <w:r>
        <w:fldChar w:fldCharType="begin"/>
      </w:r>
      <w:r>
        <w:instrText xml:space="preserve"> HYPERLINK \l "_Toc124321366" </w:instrText>
      </w:r>
      <w:r>
        <w:fldChar w:fldCharType="separate"/>
      </w:r>
      <w:r>
        <w:rPr>
          <w:rStyle w:val="51"/>
          <w:rFonts w:ascii="Times New Roman" w:hAnsi="Times New Roman" w:cs="Times New Roman"/>
          <w:b w:val="0"/>
          <w:bCs w:val="0"/>
          <w:color w:val="auto"/>
        </w:rPr>
        <w:t>第3条 规划依据</w:t>
      </w:r>
      <w:r>
        <w:rPr>
          <w:b w:val="0"/>
          <w:bCs w:val="0"/>
        </w:rPr>
        <w:tab/>
      </w:r>
      <w:r>
        <w:rPr>
          <w:b w:val="0"/>
          <w:bCs w:val="0"/>
        </w:rPr>
        <w:fldChar w:fldCharType="begin"/>
      </w:r>
      <w:r>
        <w:rPr>
          <w:b w:val="0"/>
          <w:bCs w:val="0"/>
        </w:rPr>
        <w:instrText xml:space="preserve"> PAGEREF _Toc124321366 \h </w:instrText>
      </w:r>
      <w:r>
        <w:rPr>
          <w:b w:val="0"/>
          <w:bCs w:val="0"/>
        </w:rPr>
        <w:fldChar w:fldCharType="separate"/>
      </w:r>
      <w:r>
        <w:rPr>
          <w:b w:val="0"/>
          <w:bCs w:val="0"/>
        </w:rPr>
        <w:t>1</w:t>
      </w:r>
      <w:r>
        <w:rPr>
          <w:b w:val="0"/>
          <w:bCs w:val="0"/>
        </w:rPr>
        <w:fldChar w:fldCharType="end"/>
      </w:r>
      <w:r>
        <w:rPr>
          <w:b w:val="0"/>
          <w:bCs w:val="0"/>
        </w:rPr>
        <w:fldChar w:fldCharType="end"/>
      </w:r>
    </w:p>
    <w:p>
      <w:pPr>
        <w:pStyle w:val="36"/>
        <w:tabs>
          <w:tab w:val="right" w:leader="dot" w:pos="10244"/>
        </w:tabs>
        <w:ind w:left="0" w:leftChars="0"/>
        <w:rPr>
          <w:rFonts w:eastAsia="宋体" w:cs="宋体"/>
          <w:b w:val="0"/>
          <w:bCs w:val="0"/>
          <w:smallCaps w:val="0"/>
          <w:sz w:val="21"/>
        </w:rPr>
      </w:pPr>
      <w:r>
        <w:fldChar w:fldCharType="begin"/>
      </w:r>
      <w:r>
        <w:instrText xml:space="preserve"> HYPERLINK \l "_Toc124321367" </w:instrText>
      </w:r>
      <w:r>
        <w:fldChar w:fldCharType="separate"/>
      </w:r>
      <w:r>
        <w:rPr>
          <w:rStyle w:val="51"/>
          <w:rFonts w:ascii="Times New Roman" w:hAnsi="Times New Roman" w:cs="Times New Roman"/>
          <w:b w:val="0"/>
          <w:bCs w:val="0"/>
          <w:color w:val="auto"/>
        </w:rPr>
        <w:t>第4条 规划期限</w:t>
      </w:r>
      <w:r>
        <w:rPr>
          <w:b w:val="0"/>
          <w:bCs w:val="0"/>
        </w:rPr>
        <w:tab/>
      </w:r>
      <w:r>
        <w:rPr>
          <w:b w:val="0"/>
          <w:bCs w:val="0"/>
        </w:rPr>
        <w:fldChar w:fldCharType="begin"/>
      </w:r>
      <w:r>
        <w:rPr>
          <w:b w:val="0"/>
          <w:bCs w:val="0"/>
        </w:rPr>
        <w:instrText xml:space="preserve"> PAGEREF _Toc124321367 \h </w:instrText>
      </w:r>
      <w:r>
        <w:rPr>
          <w:b w:val="0"/>
          <w:bCs w:val="0"/>
        </w:rPr>
        <w:fldChar w:fldCharType="separate"/>
      </w:r>
      <w:r>
        <w:rPr>
          <w:b w:val="0"/>
          <w:bCs w:val="0"/>
        </w:rPr>
        <w:t>3</w:t>
      </w:r>
      <w:r>
        <w:rPr>
          <w:b w:val="0"/>
          <w:bCs w:val="0"/>
        </w:rPr>
        <w:fldChar w:fldCharType="end"/>
      </w:r>
      <w:r>
        <w:rPr>
          <w:b w:val="0"/>
          <w:bCs w:val="0"/>
        </w:rPr>
        <w:fldChar w:fldCharType="end"/>
      </w:r>
    </w:p>
    <w:p>
      <w:pPr>
        <w:pStyle w:val="36"/>
        <w:tabs>
          <w:tab w:val="right" w:leader="dot" w:pos="10244"/>
        </w:tabs>
        <w:ind w:left="0" w:leftChars="0"/>
        <w:rPr>
          <w:rFonts w:eastAsia="宋体" w:cs="宋体"/>
          <w:b w:val="0"/>
          <w:bCs w:val="0"/>
          <w:smallCaps w:val="0"/>
          <w:sz w:val="21"/>
        </w:rPr>
      </w:pPr>
      <w:r>
        <w:fldChar w:fldCharType="begin"/>
      </w:r>
      <w:r>
        <w:instrText xml:space="preserve"> HYPERLINK \l "_Toc124321368" </w:instrText>
      </w:r>
      <w:r>
        <w:fldChar w:fldCharType="separate"/>
      </w:r>
      <w:r>
        <w:rPr>
          <w:rStyle w:val="51"/>
          <w:rFonts w:ascii="Times New Roman" w:hAnsi="Times New Roman" w:cs="Times New Roman"/>
          <w:b w:val="0"/>
          <w:bCs w:val="0"/>
          <w:color w:val="auto"/>
        </w:rPr>
        <w:t>第5条 规划范围</w:t>
      </w:r>
      <w:r>
        <w:rPr>
          <w:b w:val="0"/>
          <w:bCs w:val="0"/>
        </w:rPr>
        <w:tab/>
      </w:r>
      <w:r>
        <w:rPr>
          <w:b w:val="0"/>
          <w:bCs w:val="0"/>
        </w:rPr>
        <w:fldChar w:fldCharType="begin"/>
      </w:r>
      <w:r>
        <w:rPr>
          <w:b w:val="0"/>
          <w:bCs w:val="0"/>
        </w:rPr>
        <w:instrText xml:space="preserve"> PAGEREF _Toc124321368 \h </w:instrText>
      </w:r>
      <w:r>
        <w:rPr>
          <w:b w:val="0"/>
          <w:bCs w:val="0"/>
        </w:rPr>
        <w:fldChar w:fldCharType="separate"/>
      </w:r>
      <w:r>
        <w:rPr>
          <w:b w:val="0"/>
          <w:bCs w:val="0"/>
        </w:rPr>
        <w:t>3</w:t>
      </w:r>
      <w:r>
        <w:rPr>
          <w:b w:val="0"/>
          <w:bCs w:val="0"/>
        </w:rPr>
        <w:fldChar w:fldCharType="end"/>
      </w:r>
      <w:r>
        <w:rPr>
          <w:b w:val="0"/>
          <w:bCs w:val="0"/>
        </w:rPr>
        <w:fldChar w:fldCharType="end"/>
      </w:r>
    </w:p>
    <w:p>
      <w:pPr>
        <w:pStyle w:val="28"/>
        <w:ind w:left="0" w:leftChars="0"/>
        <w:rPr>
          <w:rFonts w:eastAsia="宋体" w:cs="宋体"/>
          <w:b w:val="0"/>
          <w:bCs w:val="0"/>
          <w:caps w:val="0"/>
          <w:sz w:val="21"/>
          <w:u w:val="none"/>
        </w:rPr>
      </w:pPr>
      <w:r>
        <w:fldChar w:fldCharType="begin"/>
      </w:r>
      <w:r>
        <w:instrText xml:space="preserve"> HYPERLINK \l "_Toc124321369" </w:instrText>
      </w:r>
      <w:r>
        <w:fldChar w:fldCharType="separate"/>
      </w:r>
      <w:r>
        <w:rPr>
          <w:rStyle w:val="51"/>
          <w:rFonts w:ascii="Times New Roman" w:hAnsi="Times New Roman" w:cs="Times New Roman"/>
          <w:color w:val="auto"/>
        </w:rPr>
        <w:t>第二章 发展定位与目标</w:t>
      </w:r>
      <w:r>
        <w:tab/>
      </w:r>
      <w:r>
        <w:fldChar w:fldCharType="begin"/>
      </w:r>
      <w:r>
        <w:instrText xml:space="preserve"> PAGEREF _Toc124321369 \h </w:instrText>
      </w:r>
      <w:r>
        <w:fldChar w:fldCharType="separate"/>
      </w:r>
      <w:r>
        <w:t>4</w:t>
      </w:r>
      <w:r>
        <w:fldChar w:fldCharType="end"/>
      </w:r>
      <w:r>
        <w:fldChar w:fldCharType="end"/>
      </w:r>
    </w:p>
    <w:p>
      <w:pPr>
        <w:pStyle w:val="36"/>
        <w:tabs>
          <w:tab w:val="right" w:leader="dot" w:pos="10244"/>
        </w:tabs>
        <w:ind w:left="0" w:leftChars="0"/>
        <w:rPr>
          <w:rFonts w:eastAsia="宋体" w:cs="宋体"/>
          <w:b w:val="0"/>
          <w:bCs w:val="0"/>
          <w:smallCaps w:val="0"/>
          <w:sz w:val="21"/>
        </w:rPr>
      </w:pPr>
      <w:r>
        <w:fldChar w:fldCharType="begin"/>
      </w:r>
      <w:r>
        <w:instrText xml:space="preserve"> HYPERLINK \l "_Toc124321370" </w:instrText>
      </w:r>
      <w:r>
        <w:fldChar w:fldCharType="separate"/>
      </w:r>
      <w:r>
        <w:rPr>
          <w:rStyle w:val="51"/>
          <w:rFonts w:ascii="Times New Roman" w:hAnsi="Times New Roman" w:cs="Times New Roman"/>
          <w:b w:val="0"/>
          <w:bCs w:val="0"/>
          <w:color w:val="auto"/>
        </w:rPr>
        <w:t>第6条 发展定位</w:t>
      </w:r>
      <w:r>
        <w:rPr>
          <w:b w:val="0"/>
          <w:bCs w:val="0"/>
        </w:rPr>
        <w:tab/>
      </w:r>
      <w:r>
        <w:rPr>
          <w:b w:val="0"/>
          <w:bCs w:val="0"/>
        </w:rPr>
        <w:fldChar w:fldCharType="begin"/>
      </w:r>
      <w:r>
        <w:rPr>
          <w:b w:val="0"/>
          <w:bCs w:val="0"/>
        </w:rPr>
        <w:instrText xml:space="preserve"> PAGEREF _Toc124321370 \h </w:instrText>
      </w:r>
      <w:r>
        <w:rPr>
          <w:b w:val="0"/>
          <w:bCs w:val="0"/>
        </w:rPr>
        <w:fldChar w:fldCharType="separate"/>
      </w:r>
      <w:r>
        <w:rPr>
          <w:b w:val="0"/>
          <w:bCs w:val="0"/>
        </w:rPr>
        <w:t>4</w:t>
      </w:r>
      <w:r>
        <w:rPr>
          <w:b w:val="0"/>
          <w:bCs w:val="0"/>
        </w:rPr>
        <w:fldChar w:fldCharType="end"/>
      </w:r>
      <w:r>
        <w:rPr>
          <w:b w:val="0"/>
          <w:bCs w:val="0"/>
        </w:rPr>
        <w:fldChar w:fldCharType="end"/>
      </w:r>
    </w:p>
    <w:p>
      <w:pPr>
        <w:pStyle w:val="36"/>
        <w:tabs>
          <w:tab w:val="right" w:leader="dot" w:pos="10244"/>
        </w:tabs>
        <w:ind w:left="0" w:leftChars="0"/>
        <w:rPr>
          <w:rFonts w:eastAsia="宋体" w:cs="宋体"/>
          <w:b w:val="0"/>
          <w:bCs w:val="0"/>
          <w:smallCaps w:val="0"/>
          <w:sz w:val="21"/>
        </w:rPr>
      </w:pPr>
      <w:r>
        <w:fldChar w:fldCharType="begin"/>
      </w:r>
      <w:r>
        <w:instrText xml:space="preserve"> HYPERLINK \l "_Toc124321371" </w:instrText>
      </w:r>
      <w:r>
        <w:fldChar w:fldCharType="separate"/>
      </w:r>
      <w:r>
        <w:rPr>
          <w:rStyle w:val="51"/>
          <w:rFonts w:ascii="Times New Roman" w:hAnsi="Times New Roman" w:cs="Times New Roman"/>
          <w:b w:val="0"/>
          <w:bCs w:val="0"/>
          <w:color w:val="auto"/>
        </w:rPr>
        <w:t>第7条 总体目标</w:t>
      </w:r>
      <w:r>
        <w:rPr>
          <w:b w:val="0"/>
          <w:bCs w:val="0"/>
        </w:rPr>
        <w:tab/>
      </w:r>
      <w:r>
        <w:rPr>
          <w:b w:val="0"/>
          <w:bCs w:val="0"/>
        </w:rPr>
        <w:fldChar w:fldCharType="begin"/>
      </w:r>
      <w:r>
        <w:rPr>
          <w:b w:val="0"/>
          <w:bCs w:val="0"/>
        </w:rPr>
        <w:instrText xml:space="preserve"> PAGEREF _Toc124321371 \h </w:instrText>
      </w:r>
      <w:r>
        <w:rPr>
          <w:b w:val="0"/>
          <w:bCs w:val="0"/>
        </w:rPr>
        <w:fldChar w:fldCharType="separate"/>
      </w:r>
      <w:r>
        <w:rPr>
          <w:b w:val="0"/>
          <w:bCs w:val="0"/>
        </w:rPr>
        <w:t>4</w:t>
      </w:r>
      <w:r>
        <w:rPr>
          <w:b w:val="0"/>
          <w:bCs w:val="0"/>
        </w:rPr>
        <w:fldChar w:fldCharType="end"/>
      </w:r>
      <w:r>
        <w:rPr>
          <w:b w:val="0"/>
          <w:bCs w:val="0"/>
        </w:rPr>
        <w:fldChar w:fldCharType="end"/>
      </w:r>
    </w:p>
    <w:p>
      <w:pPr>
        <w:pStyle w:val="36"/>
        <w:tabs>
          <w:tab w:val="right" w:leader="dot" w:pos="10244"/>
        </w:tabs>
        <w:ind w:left="0" w:leftChars="0"/>
        <w:rPr>
          <w:rFonts w:eastAsia="宋体" w:cs="宋体"/>
          <w:b w:val="0"/>
          <w:bCs w:val="0"/>
          <w:smallCaps w:val="0"/>
          <w:sz w:val="21"/>
        </w:rPr>
      </w:pPr>
      <w:r>
        <w:fldChar w:fldCharType="begin"/>
      </w:r>
      <w:r>
        <w:instrText xml:space="preserve"> HYPERLINK \l "_Toc124321372" </w:instrText>
      </w:r>
      <w:r>
        <w:fldChar w:fldCharType="separate"/>
      </w:r>
      <w:r>
        <w:rPr>
          <w:rStyle w:val="51"/>
          <w:rFonts w:ascii="Times New Roman" w:hAnsi="Times New Roman" w:cs="Times New Roman"/>
          <w:b w:val="0"/>
          <w:bCs w:val="0"/>
          <w:color w:val="auto"/>
        </w:rPr>
        <w:t>第8条 近期目标</w:t>
      </w:r>
      <w:r>
        <w:rPr>
          <w:b w:val="0"/>
          <w:bCs w:val="0"/>
        </w:rPr>
        <w:tab/>
      </w:r>
      <w:r>
        <w:rPr>
          <w:b w:val="0"/>
          <w:bCs w:val="0"/>
        </w:rPr>
        <w:fldChar w:fldCharType="begin"/>
      </w:r>
      <w:r>
        <w:rPr>
          <w:b w:val="0"/>
          <w:bCs w:val="0"/>
        </w:rPr>
        <w:instrText xml:space="preserve"> PAGEREF _Toc124321372 \h </w:instrText>
      </w:r>
      <w:r>
        <w:rPr>
          <w:b w:val="0"/>
          <w:bCs w:val="0"/>
        </w:rPr>
        <w:fldChar w:fldCharType="separate"/>
      </w:r>
      <w:r>
        <w:rPr>
          <w:b w:val="0"/>
          <w:bCs w:val="0"/>
        </w:rPr>
        <w:t>4</w:t>
      </w:r>
      <w:r>
        <w:rPr>
          <w:b w:val="0"/>
          <w:bCs w:val="0"/>
        </w:rPr>
        <w:fldChar w:fldCharType="end"/>
      </w:r>
      <w:r>
        <w:rPr>
          <w:b w:val="0"/>
          <w:bCs w:val="0"/>
        </w:rPr>
        <w:fldChar w:fldCharType="end"/>
      </w:r>
    </w:p>
    <w:p>
      <w:pPr>
        <w:pStyle w:val="36"/>
        <w:tabs>
          <w:tab w:val="right" w:leader="dot" w:pos="10244"/>
        </w:tabs>
        <w:ind w:left="0" w:leftChars="0"/>
        <w:rPr>
          <w:rFonts w:eastAsia="宋体" w:cs="宋体"/>
          <w:b w:val="0"/>
          <w:bCs w:val="0"/>
          <w:smallCaps w:val="0"/>
          <w:sz w:val="21"/>
        </w:rPr>
      </w:pPr>
      <w:r>
        <w:fldChar w:fldCharType="begin"/>
      </w:r>
      <w:r>
        <w:instrText xml:space="preserve"> HYPERLINK \l "_Toc124321373" </w:instrText>
      </w:r>
      <w:r>
        <w:fldChar w:fldCharType="separate"/>
      </w:r>
      <w:r>
        <w:rPr>
          <w:rStyle w:val="51"/>
          <w:rFonts w:ascii="Times New Roman" w:hAnsi="Times New Roman" w:cs="Times New Roman"/>
          <w:b w:val="0"/>
          <w:bCs w:val="0"/>
          <w:color w:val="auto"/>
        </w:rPr>
        <w:t>第9条 远期目标</w:t>
      </w:r>
      <w:r>
        <w:rPr>
          <w:b w:val="0"/>
          <w:bCs w:val="0"/>
        </w:rPr>
        <w:tab/>
      </w:r>
      <w:r>
        <w:rPr>
          <w:b w:val="0"/>
          <w:bCs w:val="0"/>
        </w:rPr>
        <w:fldChar w:fldCharType="begin"/>
      </w:r>
      <w:r>
        <w:rPr>
          <w:b w:val="0"/>
          <w:bCs w:val="0"/>
        </w:rPr>
        <w:instrText xml:space="preserve"> PAGEREF _Toc124321373 \h </w:instrText>
      </w:r>
      <w:r>
        <w:rPr>
          <w:b w:val="0"/>
          <w:bCs w:val="0"/>
        </w:rPr>
        <w:fldChar w:fldCharType="separate"/>
      </w:r>
      <w:r>
        <w:rPr>
          <w:b w:val="0"/>
          <w:bCs w:val="0"/>
        </w:rPr>
        <w:t>5</w:t>
      </w:r>
      <w:r>
        <w:rPr>
          <w:b w:val="0"/>
          <w:bCs w:val="0"/>
        </w:rPr>
        <w:fldChar w:fldCharType="end"/>
      </w:r>
      <w:r>
        <w:rPr>
          <w:b w:val="0"/>
          <w:bCs w:val="0"/>
        </w:rPr>
        <w:fldChar w:fldCharType="end"/>
      </w:r>
    </w:p>
    <w:p>
      <w:pPr>
        <w:pStyle w:val="28"/>
        <w:ind w:left="0" w:leftChars="0"/>
        <w:rPr>
          <w:rFonts w:eastAsia="宋体" w:cs="宋体"/>
          <w:b w:val="0"/>
          <w:bCs w:val="0"/>
          <w:caps w:val="0"/>
          <w:sz w:val="21"/>
          <w:u w:val="none"/>
        </w:rPr>
      </w:pPr>
      <w:r>
        <w:fldChar w:fldCharType="begin"/>
      </w:r>
      <w:r>
        <w:instrText xml:space="preserve"> HYPERLINK \l "_Toc124321374" </w:instrText>
      </w:r>
      <w:r>
        <w:fldChar w:fldCharType="separate"/>
      </w:r>
      <w:r>
        <w:rPr>
          <w:rStyle w:val="51"/>
          <w:rFonts w:ascii="Times New Roman" w:hAnsi="Times New Roman" w:cs="Times New Roman"/>
          <w:color w:val="auto"/>
        </w:rPr>
        <w:t>第三章 重点任务</w:t>
      </w:r>
      <w:r>
        <w:tab/>
      </w:r>
      <w:r>
        <w:fldChar w:fldCharType="begin"/>
      </w:r>
      <w:r>
        <w:instrText xml:space="preserve"> PAGEREF _Toc124321374 \h </w:instrText>
      </w:r>
      <w:r>
        <w:fldChar w:fldCharType="separate"/>
      </w:r>
      <w:r>
        <w:t>7</w:t>
      </w:r>
      <w:r>
        <w:fldChar w:fldCharType="end"/>
      </w:r>
      <w:r>
        <w:fldChar w:fldCharType="end"/>
      </w:r>
    </w:p>
    <w:p>
      <w:pPr>
        <w:pStyle w:val="36"/>
        <w:tabs>
          <w:tab w:val="right" w:leader="dot" w:pos="10244"/>
        </w:tabs>
        <w:ind w:left="0" w:leftChars="0"/>
        <w:rPr>
          <w:rFonts w:eastAsia="宋体" w:cs="宋体"/>
          <w:b w:val="0"/>
          <w:bCs w:val="0"/>
          <w:smallCaps w:val="0"/>
          <w:sz w:val="21"/>
        </w:rPr>
      </w:pPr>
      <w:r>
        <w:fldChar w:fldCharType="begin"/>
      </w:r>
      <w:r>
        <w:instrText xml:space="preserve"> HYPERLINK \l "_Toc124321375" </w:instrText>
      </w:r>
      <w:r>
        <w:fldChar w:fldCharType="separate"/>
      </w:r>
      <w:r>
        <w:rPr>
          <w:rStyle w:val="51"/>
          <w:rFonts w:ascii="Times New Roman" w:hAnsi="Times New Roman" w:cs="Times New Roman"/>
          <w:b w:val="0"/>
          <w:bCs w:val="0"/>
          <w:color w:val="auto"/>
        </w:rPr>
        <w:t>第10条 引领绿色建筑高品质发展</w:t>
      </w:r>
      <w:r>
        <w:rPr>
          <w:b w:val="0"/>
          <w:bCs w:val="0"/>
        </w:rPr>
        <w:tab/>
      </w:r>
      <w:r>
        <w:rPr>
          <w:b w:val="0"/>
          <w:bCs w:val="0"/>
        </w:rPr>
        <w:fldChar w:fldCharType="begin"/>
      </w:r>
      <w:r>
        <w:rPr>
          <w:b w:val="0"/>
          <w:bCs w:val="0"/>
        </w:rPr>
        <w:instrText xml:space="preserve"> PAGEREF _Toc124321375 \h </w:instrText>
      </w:r>
      <w:r>
        <w:rPr>
          <w:b w:val="0"/>
          <w:bCs w:val="0"/>
        </w:rPr>
        <w:fldChar w:fldCharType="separate"/>
      </w:r>
      <w:r>
        <w:rPr>
          <w:b w:val="0"/>
          <w:bCs w:val="0"/>
        </w:rPr>
        <w:t>7</w:t>
      </w:r>
      <w:r>
        <w:rPr>
          <w:b w:val="0"/>
          <w:bCs w:val="0"/>
        </w:rPr>
        <w:fldChar w:fldCharType="end"/>
      </w:r>
      <w:r>
        <w:rPr>
          <w:b w:val="0"/>
          <w:bCs w:val="0"/>
        </w:rPr>
        <w:fldChar w:fldCharType="end"/>
      </w:r>
    </w:p>
    <w:p>
      <w:pPr>
        <w:pStyle w:val="36"/>
        <w:tabs>
          <w:tab w:val="right" w:leader="dot" w:pos="10244"/>
        </w:tabs>
        <w:ind w:left="0" w:leftChars="0"/>
        <w:rPr>
          <w:rFonts w:eastAsia="宋体" w:cs="宋体"/>
          <w:b w:val="0"/>
          <w:bCs w:val="0"/>
          <w:smallCaps w:val="0"/>
          <w:sz w:val="21"/>
        </w:rPr>
      </w:pPr>
      <w:r>
        <w:fldChar w:fldCharType="begin"/>
      </w:r>
      <w:r>
        <w:instrText xml:space="preserve"> HYPERLINK \l "_Toc124321376" </w:instrText>
      </w:r>
      <w:r>
        <w:fldChar w:fldCharType="separate"/>
      </w:r>
      <w:r>
        <w:rPr>
          <w:rStyle w:val="51"/>
          <w:rFonts w:ascii="Times New Roman" w:hAnsi="Times New Roman" w:cs="Times New Roman"/>
          <w:b w:val="0"/>
          <w:bCs w:val="0"/>
          <w:color w:val="auto"/>
        </w:rPr>
        <w:t>第11条 加快既有建筑节能绿色化改造</w:t>
      </w:r>
      <w:r>
        <w:rPr>
          <w:b w:val="0"/>
          <w:bCs w:val="0"/>
        </w:rPr>
        <w:tab/>
      </w:r>
      <w:r>
        <w:rPr>
          <w:b w:val="0"/>
          <w:bCs w:val="0"/>
        </w:rPr>
        <w:fldChar w:fldCharType="begin"/>
      </w:r>
      <w:r>
        <w:rPr>
          <w:b w:val="0"/>
          <w:bCs w:val="0"/>
        </w:rPr>
        <w:instrText xml:space="preserve"> PAGEREF _Toc124321376 \h </w:instrText>
      </w:r>
      <w:r>
        <w:rPr>
          <w:b w:val="0"/>
          <w:bCs w:val="0"/>
        </w:rPr>
        <w:fldChar w:fldCharType="separate"/>
      </w:r>
      <w:r>
        <w:rPr>
          <w:b w:val="0"/>
          <w:bCs w:val="0"/>
        </w:rPr>
        <w:t>9</w:t>
      </w:r>
      <w:r>
        <w:rPr>
          <w:b w:val="0"/>
          <w:bCs w:val="0"/>
        </w:rPr>
        <w:fldChar w:fldCharType="end"/>
      </w:r>
      <w:r>
        <w:rPr>
          <w:b w:val="0"/>
          <w:bCs w:val="0"/>
        </w:rPr>
        <w:fldChar w:fldCharType="end"/>
      </w:r>
    </w:p>
    <w:p>
      <w:pPr>
        <w:pStyle w:val="36"/>
        <w:tabs>
          <w:tab w:val="right" w:leader="dot" w:pos="10244"/>
        </w:tabs>
        <w:ind w:left="0" w:leftChars="0"/>
        <w:rPr>
          <w:rFonts w:eastAsia="宋体" w:cs="宋体"/>
          <w:b w:val="0"/>
          <w:bCs w:val="0"/>
          <w:smallCaps w:val="0"/>
          <w:sz w:val="21"/>
        </w:rPr>
      </w:pPr>
      <w:r>
        <w:fldChar w:fldCharType="begin"/>
      </w:r>
      <w:r>
        <w:instrText xml:space="preserve"> HYPERLINK \l "_Toc124321377" </w:instrText>
      </w:r>
      <w:r>
        <w:fldChar w:fldCharType="separate"/>
      </w:r>
      <w:r>
        <w:rPr>
          <w:rStyle w:val="51"/>
          <w:rFonts w:ascii="Times New Roman" w:hAnsi="Times New Roman" w:cs="Times New Roman"/>
          <w:b w:val="0"/>
          <w:bCs w:val="0"/>
          <w:color w:val="auto"/>
        </w:rPr>
        <w:t>第12条 提升工业建筑绿色低碳水平</w:t>
      </w:r>
      <w:r>
        <w:rPr>
          <w:b w:val="0"/>
          <w:bCs w:val="0"/>
        </w:rPr>
        <w:tab/>
      </w:r>
      <w:r>
        <w:rPr>
          <w:b w:val="0"/>
          <w:bCs w:val="0"/>
        </w:rPr>
        <w:fldChar w:fldCharType="begin"/>
      </w:r>
      <w:r>
        <w:rPr>
          <w:b w:val="0"/>
          <w:bCs w:val="0"/>
        </w:rPr>
        <w:instrText xml:space="preserve"> PAGEREF _Toc124321377 \h </w:instrText>
      </w:r>
      <w:r>
        <w:rPr>
          <w:b w:val="0"/>
          <w:bCs w:val="0"/>
        </w:rPr>
        <w:fldChar w:fldCharType="separate"/>
      </w:r>
      <w:r>
        <w:rPr>
          <w:b w:val="0"/>
          <w:bCs w:val="0"/>
        </w:rPr>
        <w:t>10</w:t>
      </w:r>
      <w:r>
        <w:rPr>
          <w:b w:val="0"/>
          <w:bCs w:val="0"/>
        </w:rPr>
        <w:fldChar w:fldCharType="end"/>
      </w:r>
      <w:r>
        <w:rPr>
          <w:b w:val="0"/>
          <w:bCs w:val="0"/>
        </w:rPr>
        <w:fldChar w:fldCharType="end"/>
      </w:r>
    </w:p>
    <w:p>
      <w:pPr>
        <w:pStyle w:val="36"/>
        <w:tabs>
          <w:tab w:val="right" w:leader="dot" w:pos="10244"/>
        </w:tabs>
        <w:ind w:left="0" w:leftChars="0"/>
        <w:rPr>
          <w:rFonts w:eastAsia="宋体" w:cs="宋体"/>
          <w:b w:val="0"/>
          <w:bCs w:val="0"/>
          <w:smallCaps w:val="0"/>
          <w:sz w:val="21"/>
        </w:rPr>
      </w:pPr>
      <w:r>
        <w:fldChar w:fldCharType="begin"/>
      </w:r>
      <w:r>
        <w:instrText xml:space="preserve"> HYPERLINK \l "_Toc124321378" </w:instrText>
      </w:r>
      <w:r>
        <w:fldChar w:fldCharType="separate"/>
      </w:r>
      <w:r>
        <w:rPr>
          <w:rStyle w:val="51"/>
          <w:rFonts w:ascii="Times New Roman" w:hAnsi="Times New Roman" w:cs="Times New Roman"/>
          <w:b w:val="0"/>
          <w:bCs w:val="0"/>
          <w:color w:val="auto"/>
        </w:rPr>
        <w:t>第13条 建设绿色城市人居环境</w:t>
      </w:r>
      <w:r>
        <w:rPr>
          <w:b w:val="0"/>
          <w:bCs w:val="0"/>
        </w:rPr>
        <w:tab/>
      </w:r>
      <w:r>
        <w:rPr>
          <w:b w:val="0"/>
          <w:bCs w:val="0"/>
        </w:rPr>
        <w:fldChar w:fldCharType="begin"/>
      </w:r>
      <w:r>
        <w:rPr>
          <w:b w:val="0"/>
          <w:bCs w:val="0"/>
        </w:rPr>
        <w:instrText xml:space="preserve"> PAGEREF _Toc124321378 \h </w:instrText>
      </w:r>
      <w:r>
        <w:rPr>
          <w:b w:val="0"/>
          <w:bCs w:val="0"/>
        </w:rPr>
        <w:fldChar w:fldCharType="separate"/>
      </w:r>
      <w:r>
        <w:rPr>
          <w:b w:val="0"/>
          <w:bCs w:val="0"/>
        </w:rPr>
        <w:t>11</w:t>
      </w:r>
      <w:r>
        <w:rPr>
          <w:b w:val="0"/>
          <w:bCs w:val="0"/>
        </w:rPr>
        <w:fldChar w:fldCharType="end"/>
      </w:r>
      <w:r>
        <w:rPr>
          <w:b w:val="0"/>
          <w:bCs w:val="0"/>
        </w:rPr>
        <w:fldChar w:fldCharType="end"/>
      </w:r>
    </w:p>
    <w:p>
      <w:pPr>
        <w:pStyle w:val="36"/>
        <w:tabs>
          <w:tab w:val="right" w:leader="dot" w:pos="10244"/>
        </w:tabs>
        <w:ind w:left="0" w:leftChars="0"/>
        <w:rPr>
          <w:rFonts w:eastAsia="宋体" w:cs="宋体"/>
          <w:b w:val="0"/>
          <w:bCs w:val="0"/>
          <w:smallCaps w:val="0"/>
          <w:sz w:val="21"/>
        </w:rPr>
      </w:pPr>
      <w:r>
        <w:fldChar w:fldCharType="begin"/>
      </w:r>
      <w:r>
        <w:instrText xml:space="preserve"> HYPERLINK \l "_Toc124321379" </w:instrText>
      </w:r>
      <w:r>
        <w:fldChar w:fldCharType="separate"/>
      </w:r>
      <w:r>
        <w:rPr>
          <w:rStyle w:val="51"/>
          <w:rFonts w:ascii="Times New Roman" w:hAnsi="Times New Roman" w:cs="Times New Roman"/>
          <w:b w:val="0"/>
          <w:bCs w:val="0"/>
          <w:color w:val="auto"/>
        </w:rPr>
        <w:t>第14条 建立绿色建筑技术体系</w:t>
      </w:r>
      <w:r>
        <w:rPr>
          <w:b w:val="0"/>
          <w:bCs w:val="0"/>
        </w:rPr>
        <w:tab/>
      </w:r>
      <w:r>
        <w:rPr>
          <w:b w:val="0"/>
          <w:bCs w:val="0"/>
        </w:rPr>
        <w:fldChar w:fldCharType="begin"/>
      </w:r>
      <w:r>
        <w:rPr>
          <w:b w:val="0"/>
          <w:bCs w:val="0"/>
        </w:rPr>
        <w:instrText xml:space="preserve"> PAGEREF _Toc124321379 \h </w:instrText>
      </w:r>
      <w:r>
        <w:rPr>
          <w:b w:val="0"/>
          <w:bCs w:val="0"/>
        </w:rPr>
        <w:fldChar w:fldCharType="separate"/>
      </w:r>
      <w:r>
        <w:rPr>
          <w:b w:val="0"/>
          <w:bCs w:val="0"/>
        </w:rPr>
        <w:t>14</w:t>
      </w:r>
      <w:r>
        <w:rPr>
          <w:b w:val="0"/>
          <w:bCs w:val="0"/>
        </w:rPr>
        <w:fldChar w:fldCharType="end"/>
      </w:r>
      <w:r>
        <w:rPr>
          <w:b w:val="0"/>
          <w:bCs w:val="0"/>
        </w:rPr>
        <w:fldChar w:fldCharType="end"/>
      </w:r>
    </w:p>
    <w:p>
      <w:pPr>
        <w:pStyle w:val="36"/>
        <w:tabs>
          <w:tab w:val="right" w:leader="dot" w:pos="10244"/>
        </w:tabs>
        <w:ind w:left="0" w:leftChars="0"/>
        <w:rPr>
          <w:rFonts w:eastAsia="宋体" w:cs="宋体"/>
          <w:b w:val="0"/>
          <w:bCs w:val="0"/>
          <w:smallCaps w:val="0"/>
          <w:sz w:val="21"/>
        </w:rPr>
      </w:pPr>
      <w:r>
        <w:fldChar w:fldCharType="begin"/>
      </w:r>
      <w:r>
        <w:instrText xml:space="preserve"> HYPERLINK \l "_Toc124321380" </w:instrText>
      </w:r>
      <w:r>
        <w:fldChar w:fldCharType="separate"/>
      </w:r>
      <w:r>
        <w:rPr>
          <w:rStyle w:val="51"/>
          <w:rFonts w:ascii="Times New Roman" w:hAnsi="Times New Roman" w:cs="Times New Roman"/>
          <w:b w:val="0"/>
          <w:bCs w:val="0"/>
          <w:color w:val="auto"/>
        </w:rPr>
        <w:t>第15条 推动绿色产业发展</w:t>
      </w:r>
      <w:r>
        <w:rPr>
          <w:b w:val="0"/>
          <w:bCs w:val="0"/>
        </w:rPr>
        <w:tab/>
      </w:r>
      <w:r>
        <w:rPr>
          <w:b w:val="0"/>
          <w:bCs w:val="0"/>
        </w:rPr>
        <w:fldChar w:fldCharType="begin"/>
      </w:r>
      <w:r>
        <w:rPr>
          <w:b w:val="0"/>
          <w:bCs w:val="0"/>
        </w:rPr>
        <w:instrText xml:space="preserve"> PAGEREF _Toc124321380 \h </w:instrText>
      </w:r>
      <w:r>
        <w:rPr>
          <w:b w:val="0"/>
          <w:bCs w:val="0"/>
        </w:rPr>
        <w:fldChar w:fldCharType="separate"/>
      </w:r>
      <w:r>
        <w:rPr>
          <w:b w:val="0"/>
          <w:bCs w:val="0"/>
        </w:rPr>
        <w:t>17</w:t>
      </w:r>
      <w:r>
        <w:rPr>
          <w:b w:val="0"/>
          <w:bCs w:val="0"/>
        </w:rPr>
        <w:fldChar w:fldCharType="end"/>
      </w:r>
      <w:r>
        <w:rPr>
          <w:b w:val="0"/>
          <w:bCs w:val="0"/>
        </w:rPr>
        <w:fldChar w:fldCharType="end"/>
      </w:r>
    </w:p>
    <w:p>
      <w:pPr>
        <w:pStyle w:val="28"/>
        <w:ind w:left="0" w:leftChars="0"/>
        <w:rPr>
          <w:rFonts w:eastAsia="宋体" w:cs="宋体"/>
          <w:b w:val="0"/>
          <w:bCs w:val="0"/>
          <w:caps w:val="0"/>
          <w:sz w:val="21"/>
          <w:u w:val="none"/>
        </w:rPr>
      </w:pPr>
      <w:r>
        <w:fldChar w:fldCharType="begin"/>
      </w:r>
      <w:r>
        <w:instrText xml:space="preserve"> HYPERLINK \l "_Toc124321381" </w:instrText>
      </w:r>
      <w:r>
        <w:fldChar w:fldCharType="separate"/>
      </w:r>
      <w:r>
        <w:rPr>
          <w:rStyle w:val="51"/>
          <w:rFonts w:ascii="Times New Roman" w:hAnsi="Times New Roman" w:cs="Times New Roman"/>
          <w:color w:val="auto"/>
        </w:rPr>
        <w:t>第四章 规划分区与要求</w:t>
      </w:r>
      <w:r>
        <w:tab/>
      </w:r>
      <w:r>
        <w:fldChar w:fldCharType="begin"/>
      </w:r>
      <w:r>
        <w:instrText xml:space="preserve"> PAGEREF _Toc124321381 \h </w:instrText>
      </w:r>
      <w:r>
        <w:fldChar w:fldCharType="separate"/>
      </w:r>
      <w:r>
        <w:t>20</w:t>
      </w:r>
      <w:r>
        <w:fldChar w:fldCharType="end"/>
      </w:r>
      <w:r>
        <w:fldChar w:fldCharType="end"/>
      </w:r>
    </w:p>
    <w:p>
      <w:pPr>
        <w:pStyle w:val="36"/>
        <w:tabs>
          <w:tab w:val="right" w:leader="dot" w:pos="10244"/>
        </w:tabs>
        <w:ind w:left="0" w:leftChars="0"/>
        <w:rPr>
          <w:b w:val="0"/>
          <w:bCs w:val="0"/>
        </w:rPr>
      </w:pPr>
      <w:r>
        <w:fldChar w:fldCharType="begin"/>
      </w:r>
      <w:r>
        <w:instrText xml:space="preserve"> HYPERLINK \l "_Toc124321382" </w:instrText>
      </w:r>
      <w:r>
        <w:fldChar w:fldCharType="separate"/>
      </w:r>
      <w:r>
        <w:rPr>
          <w:rStyle w:val="51"/>
          <w:rFonts w:ascii="Times New Roman" w:hAnsi="Times New Roman" w:cs="Times New Roman"/>
          <w:b w:val="0"/>
          <w:bCs w:val="0"/>
          <w:color w:val="auto"/>
        </w:rPr>
        <w:t>第16条 发展组团</w:t>
      </w:r>
      <w:r>
        <w:rPr>
          <w:b w:val="0"/>
          <w:bCs w:val="0"/>
        </w:rPr>
        <w:tab/>
      </w:r>
      <w:r>
        <w:rPr>
          <w:b w:val="0"/>
          <w:bCs w:val="0"/>
        </w:rPr>
        <w:fldChar w:fldCharType="begin"/>
      </w:r>
      <w:r>
        <w:rPr>
          <w:b w:val="0"/>
          <w:bCs w:val="0"/>
        </w:rPr>
        <w:instrText xml:space="preserve"> PAGEREF _Toc124321382 \h </w:instrText>
      </w:r>
      <w:r>
        <w:rPr>
          <w:b w:val="0"/>
          <w:bCs w:val="0"/>
        </w:rPr>
        <w:fldChar w:fldCharType="separate"/>
      </w:r>
      <w:r>
        <w:rPr>
          <w:b w:val="0"/>
          <w:bCs w:val="0"/>
        </w:rPr>
        <w:t>20</w:t>
      </w:r>
      <w:r>
        <w:rPr>
          <w:b w:val="0"/>
          <w:bCs w:val="0"/>
        </w:rPr>
        <w:fldChar w:fldCharType="end"/>
      </w:r>
      <w:r>
        <w:rPr>
          <w:b w:val="0"/>
          <w:bCs w:val="0"/>
        </w:rPr>
        <w:fldChar w:fldCharType="end"/>
      </w:r>
    </w:p>
    <w:p>
      <w:pPr>
        <w:spacing w:before="240" w:after="240"/>
        <w:ind w:left="0" w:leftChars="0"/>
      </w:pPr>
    </w:p>
    <w:p>
      <w:pPr>
        <w:pStyle w:val="36"/>
        <w:tabs>
          <w:tab w:val="right" w:leader="dot" w:pos="10244"/>
        </w:tabs>
        <w:ind w:left="0" w:leftChars="0"/>
        <w:rPr>
          <w:rFonts w:eastAsia="宋体" w:cs="宋体"/>
          <w:b w:val="0"/>
          <w:bCs w:val="0"/>
          <w:smallCaps w:val="0"/>
          <w:sz w:val="21"/>
        </w:rPr>
      </w:pPr>
      <w:r>
        <w:fldChar w:fldCharType="begin"/>
      </w:r>
      <w:r>
        <w:instrText xml:space="preserve"> HYPERLINK \l "_Toc124321383" </w:instrText>
      </w:r>
      <w:r>
        <w:fldChar w:fldCharType="separate"/>
      </w:r>
      <w:r>
        <w:rPr>
          <w:rStyle w:val="51"/>
          <w:rFonts w:ascii="Times New Roman" w:hAnsi="Times New Roman" w:cs="Times New Roman"/>
          <w:b w:val="0"/>
          <w:bCs w:val="0"/>
          <w:color w:val="auto"/>
        </w:rPr>
        <w:t>第17条 目标单元</w:t>
      </w:r>
      <w:r>
        <w:rPr>
          <w:b w:val="0"/>
          <w:bCs w:val="0"/>
        </w:rPr>
        <w:tab/>
      </w:r>
      <w:r>
        <w:rPr>
          <w:b w:val="0"/>
          <w:bCs w:val="0"/>
        </w:rPr>
        <w:fldChar w:fldCharType="begin"/>
      </w:r>
      <w:r>
        <w:rPr>
          <w:b w:val="0"/>
          <w:bCs w:val="0"/>
        </w:rPr>
        <w:instrText xml:space="preserve"> PAGEREF _Toc124321383 \h </w:instrText>
      </w:r>
      <w:r>
        <w:rPr>
          <w:b w:val="0"/>
          <w:bCs w:val="0"/>
        </w:rPr>
        <w:fldChar w:fldCharType="separate"/>
      </w:r>
      <w:r>
        <w:rPr>
          <w:b w:val="0"/>
          <w:bCs w:val="0"/>
        </w:rPr>
        <w:t>21</w:t>
      </w:r>
      <w:r>
        <w:rPr>
          <w:b w:val="0"/>
          <w:bCs w:val="0"/>
        </w:rPr>
        <w:fldChar w:fldCharType="end"/>
      </w:r>
      <w:r>
        <w:rPr>
          <w:b w:val="0"/>
          <w:bCs w:val="0"/>
        </w:rPr>
        <w:fldChar w:fldCharType="end"/>
      </w:r>
    </w:p>
    <w:p>
      <w:pPr>
        <w:pStyle w:val="36"/>
        <w:tabs>
          <w:tab w:val="right" w:leader="dot" w:pos="10244"/>
        </w:tabs>
        <w:ind w:left="0" w:leftChars="0"/>
        <w:rPr>
          <w:rFonts w:eastAsia="宋体" w:cs="宋体"/>
          <w:b w:val="0"/>
          <w:bCs w:val="0"/>
          <w:smallCaps w:val="0"/>
          <w:sz w:val="21"/>
        </w:rPr>
      </w:pPr>
      <w:r>
        <w:fldChar w:fldCharType="begin"/>
      </w:r>
      <w:r>
        <w:instrText xml:space="preserve"> HYPERLINK \l "_Toc124321384" </w:instrText>
      </w:r>
      <w:r>
        <w:fldChar w:fldCharType="separate"/>
      </w:r>
      <w:r>
        <w:rPr>
          <w:rStyle w:val="51"/>
          <w:rFonts w:ascii="Times New Roman" w:hAnsi="Times New Roman" w:cs="Times New Roman"/>
          <w:b w:val="0"/>
          <w:bCs w:val="0"/>
          <w:color w:val="auto"/>
        </w:rPr>
        <w:t>第18条 重点发展区域</w:t>
      </w:r>
      <w:r>
        <w:rPr>
          <w:b w:val="0"/>
          <w:bCs w:val="0"/>
        </w:rPr>
        <w:tab/>
      </w:r>
      <w:r>
        <w:rPr>
          <w:b w:val="0"/>
          <w:bCs w:val="0"/>
        </w:rPr>
        <w:fldChar w:fldCharType="begin"/>
      </w:r>
      <w:r>
        <w:rPr>
          <w:b w:val="0"/>
          <w:bCs w:val="0"/>
        </w:rPr>
        <w:instrText xml:space="preserve"> PAGEREF _Toc124321384 \h </w:instrText>
      </w:r>
      <w:r>
        <w:rPr>
          <w:b w:val="0"/>
          <w:bCs w:val="0"/>
        </w:rPr>
        <w:fldChar w:fldCharType="separate"/>
      </w:r>
      <w:r>
        <w:rPr>
          <w:b w:val="0"/>
          <w:bCs w:val="0"/>
        </w:rPr>
        <w:t>27</w:t>
      </w:r>
      <w:r>
        <w:rPr>
          <w:b w:val="0"/>
          <w:bCs w:val="0"/>
        </w:rPr>
        <w:fldChar w:fldCharType="end"/>
      </w:r>
      <w:r>
        <w:rPr>
          <w:b w:val="0"/>
          <w:bCs w:val="0"/>
        </w:rPr>
        <w:fldChar w:fldCharType="end"/>
      </w:r>
    </w:p>
    <w:p>
      <w:pPr>
        <w:pStyle w:val="28"/>
        <w:ind w:left="0" w:leftChars="0"/>
        <w:rPr>
          <w:rFonts w:eastAsia="宋体" w:cs="宋体"/>
          <w:b w:val="0"/>
          <w:bCs w:val="0"/>
          <w:caps w:val="0"/>
          <w:sz w:val="21"/>
          <w:u w:val="none"/>
        </w:rPr>
      </w:pPr>
      <w:r>
        <w:fldChar w:fldCharType="begin"/>
      </w:r>
      <w:r>
        <w:instrText xml:space="preserve"> HYPERLINK \l "_Toc124321385" </w:instrText>
      </w:r>
      <w:r>
        <w:fldChar w:fldCharType="separate"/>
      </w:r>
      <w:r>
        <w:rPr>
          <w:rStyle w:val="51"/>
          <w:rFonts w:ascii="Times New Roman" w:hAnsi="Times New Roman" w:cs="Times New Roman"/>
          <w:color w:val="auto"/>
        </w:rPr>
        <w:t>第五章 实施保障</w:t>
      </w:r>
      <w:r>
        <w:tab/>
      </w:r>
      <w:r>
        <w:fldChar w:fldCharType="begin"/>
      </w:r>
      <w:r>
        <w:instrText xml:space="preserve"> PAGEREF _Toc124321385 \h </w:instrText>
      </w:r>
      <w:r>
        <w:fldChar w:fldCharType="separate"/>
      </w:r>
      <w:r>
        <w:t>28</w:t>
      </w:r>
      <w:r>
        <w:fldChar w:fldCharType="end"/>
      </w:r>
      <w:r>
        <w:fldChar w:fldCharType="end"/>
      </w:r>
    </w:p>
    <w:p>
      <w:pPr>
        <w:pStyle w:val="36"/>
        <w:tabs>
          <w:tab w:val="right" w:leader="dot" w:pos="10244"/>
        </w:tabs>
        <w:ind w:left="0" w:leftChars="0"/>
        <w:rPr>
          <w:rFonts w:eastAsia="宋体" w:cs="宋体"/>
          <w:b w:val="0"/>
          <w:bCs w:val="0"/>
          <w:smallCaps w:val="0"/>
          <w:sz w:val="21"/>
        </w:rPr>
      </w:pPr>
      <w:r>
        <w:fldChar w:fldCharType="begin"/>
      </w:r>
      <w:r>
        <w:instrText xml:space="preserve"> HYPERLINK \l "_Toc124321386" </w:instrText>
      </w:r>
      <w:r>
        <w:fldChar w:fldCharType="separate"/>
      </w:r>
      <w:r>
        <w:rPr>
          <w:rStyle w:val="51"/>
          <w:rFonts w:ascii="Times New Roman" w:hAnsi="Times New Roman" w:cs="Times New Roman"/>
          <w:b w:val="0"/>
          <w:bCs w:val="0"/>
          <w:color w:val="auto"/>
        </w:rPr>
        <w:t>第19条 组织实施</w:t>
      </w:r>
      <w:r>
        <w:rPr>
          <w:b w:val="0"/>
          <w:bCs w:val="0"/>
        </w:rPr>
        <w:tab/>
      </w:r>
      <w:r>
        <w:rPr>
          <w:b w:val="0"/>
          <w:bCs w:val="0"/>
        </w:rPr>
        <w:fldChar w:fldCharType="begin"/>
      </w:r>
      <w:r>
        <w:rPr>
          <w:b w:val="0"/>
          <w:bCs w:val="0"/>
        </w:rPr>
        <w:instrText xml:space="preserve"> PAGEREF _Toc124321386 \h </w:instrText>
      </w:r>
      <w:r>
        <w:rPr>
          <w:b w:val="0"/>
          <w:bCs w:val="0"/>
        </w:rPr>
        <w:fldChar w:fldCharType="separate"/>
      </w:r>
      <w:r>
        <w:rPr>
          <w:b w:val="0"/>
          <w:bCs w:val="0"/>
        </w:rPr>
        <w:t>28</w:t>
      </w:r>
      <w:r>
        <w:rPr>
          <w:b w:val="0"/>
          <w:bCs w:val="0"/>
        </w:rPr>
        <w:fldChar w:fldCharType="end"/>
      </w:r>
      <w:r>
        <w:rPr>
          <w:b w:val="0"/>
          <w:bCs w:val="0"/>
        </w:rPr>
        <w:fldChar w:fldCharType="end"/>
      </w:r>
    </w:p>
    <w:p>
      <w:pPr>
        <w:pStyle w:val="36"/>
        <w:tabs>
          <w:tab w:val="right" w:leader="dot" w:pos="10244"/>
        </w:tabs>
        <w:ind w:left="0" w:leftChars="0"/>
        <w:rPr>
          <w:rFonts w:eastAsia="宋体" w:cs="宋体"/>
          <w:b w:val="0"/>
          <w:bCs w:val="0"/>
          <w:smallCaps w:val="0"/>
          <w:sz w:val="21"/>
        </w:rPr>
      </w:pPr>
      <w:r>
        <w:fldChar w:fldCharType="begin"/>
      </w:r>
      <w:r>
        <w:instrText xml:space="preserve"> HYPERLINK \l "_Toc124321387" </w:instrText>
      </w:r>
      <w:r>
        <w:fldChar w:fldCharType="separate"/>
      </w:r>
      <w:r>
        <w:rPr>
          <w:rStyle w:val="51"/>
          <w:rFonts w:ascii="Times New Roman" w:hAnsi="Times New Roman" w:cs="Times New Roman"/>
          <w:b w:val="0"/>
          <w:bCs w:val="0"/>
          <w:color w:val="auto"/>
        </w:rPr>
        <w:t>第20条 保障措施</w:t>
      </w:r>
      <w:r>
        <w:rPr>
          <w:b w:val="0"/>
          <w:bCs w:val="0"/>
        </w:rPr>
        <w:tab/>
      </w:r>
      <w:r>
        <w:rPr>
          <w:b w:val="0"/>
          <w:bCs w:val="0"/>
        </w:rPr>
        <w:fldChar w:fldCharType="begin"/>
      </w:r>
      <w:r>
        <w:rPr>
          <w:b w:val="0"/>
          <w:bCs w:val="0"/>
        </w:rPr>
        <w:instrText xml:space="preserve"> PAGEREF _Toc124321387 \h </w:instrText>
      </w:r>
      <w:r>
        <w:rPr>
          <w:b w:val="0"/>
          <w:bCs w:val="0"/>
        </w:rPr>
        <w:fldChar w:fldCharType="separate"/>
      </w:r>
      <w:r>
        <w:rPr>
          <w:b w:val="0"/>
          <w:bCs w:val="0"/>
        </w:rPr>
        <w:t>30</w:t>
      </w:r>
      <w:r>
        <w:rPr>
          <w:b w:val="0"/>
          <w:bCs w:val="0"/>
        </w:rPr>
        <w:fldChar w:fldCharType="end"/>
      </w:r>
      <w:r>
        <w:rPr>
          <w:b w:val="0"/>
          <w:bCs w:val="0"/>
        </w:rPr>
        <w:fldChar w:fldCharType="end"/>
      </w:r>
    </w:p>
    <w:p>
      <w:pPr>
        <w:pStyle w:val="28"/>
        <w:ind w:left="0" w:leftChars="0"/>
        <w:rPr>
          <w:rFonts w:eastAsia="宋体" w:cs="宋体"/>
          <w:b w:val="0"/>
          <w:bCs w:val="0"/>
          <w:caps w:val="0"/>
          <w:sz w:val="21"/>
          <w:u w:val="none"/>
        </w:rPr>
      </w:pPr>
      <w:r>
        <w:fldChar w:fldCharType="begin"/>
      </w:r>
      <w:r>
        <w:instrText xml:space="preserve"> HYPERLINK \l "_Toc124321388" </w:instrText>
      </w:r>
      <w:r>
        <w:fldChar w:fldCharType="separate"/>
      </w:r>
      <w:r>
        <w:rPr>
          <w:rStyle w:val="51"/>
          <w:rFonts w:ascii="Times New Roman" w:hAnsi="Times New Roman" w:cs="Times New Roman"/>
          <w:color w:val="auto"/>
        </w:rPr>
        <w:t>第六章 近期主要工作</w:t>
      </w:r>
      <w:r>
        <w:tab/>
      </w:r>
      <w:r>
        <w:fldChar w:fldCharType="begin"/>
      </w:r>
      <w:r>
        <w:instrText xml:space="preserve"> PAGEREF _Toc124321388 \h </w:instrText>
      </w:r>
      <w:r>
        <w:fldChar w:fldCharType="separate"/>
      </w:r>
      <w:r>
        <w:t>32</w:t>
      </w:r>
      <w:r>
        <w:fldChar w:fldCharType="end"/>
      </w:r>
      <w:r>
        <w:fldChar w:fldCharType="end"/>
      </w:r>
    </w:p>
    <w:p>
      <w:pPr>
        <w:pStyle w:val="36"/>
        <w:tabs>
          <w:tab w:val="right" w:leader="dot" w:pos="10244"/>
        </w:tabs>
        <w:ind w:left="0" w:leftChars="0"/>
        <w:rPr>
          <w:rFonts w:eastAsia="宋体" w:cs="宋体"/>
          <w:b w:val="0"/>
          <w:bCs w:val="0"/>
          <w:smallCaps w:val="0"/>
          <w:sz w:val="21"/>
        </w:rPr>
      </w:pPr>
      <w:r>
        <w:fldChar w:fldCharType="begin"/>
      </w:r>
      <w:r>
        <w:instrText xml:space="preserve"> HYPERLINK \l "_Toc124321389" </w:instrText>
      </w:r>
      <w:r>
        <w:fldChar w:fldCharType="separate"/>
      </w:r>
      <w:r>
        <w:rPr>
          <w:rStyle w:val="51"/>
          <w:rFonts w:ascii="Times New Roman" w:hAnsi="Times New Roman" w:cs="Times New Roman"/>
          <w:b w:val="0"/>
          <w:bCs w:val="0"/>
          <w:color w:val="auto"/>
        </w:rPr>
        <w:t>第21条 近期重点工作</w:t>
      </w:r>
      <w:r>
        <w:rPr>
          <w:b w:val="0"/>
          <w:bCs w:val="0"/>
        </w:rPr>
        <w:tab/>
      </w:r>
      <w:r>
        <w:rPr>
          <w:b w:val="0"/>
          <w:bCs w:val="0"/>
        </w:rPr>
        <w:fldChar w:fldCharType="begin"/>
      </w:r>
      <w:r>
        <w:rPr>
          <w:b w:val="0"/>
          <w:bCs w:val="0"/>
        </w:rPr>
        <w:instrText xml:space="preserve"> PAGEREF _Toc124321389 \h </w:instrText>
      </w:r>
      <w:r>
        <w:rPr>
          <w:b w:val="0"/>
          <w:bCs w:val="0"/>
        </w:rPr>
        <w:fldChar w:fldCharType="separate"/>
      </w:r>
      <w:r>
        <w:rPr>
          <w:b w:val="0"/>
          <w:bCs w:val="0"/>
        </w:rPr>
        <w:t>32</w:t>
      </w:r>
      <w:r>
        <w:rPr>
          <w:b w:val="0"/>
          <w:bCs w:val="0"/>
        </w:rPr>
        <w:fldChar w:fldCharType="end"/>
      </w:r>
      <w:r>
        <w:rPr>
          <w:b w:val="0"/>
          <w:bCs w:val="0"/>
        </w:rPr>
        <w:fldChar w:fldCharType="end"/>
      </w:r>
    </w:p>
    <w:p>
      <w:pPr>
        <w:pStyle w:val="36"/>
        <w:tabs>
          <w:tab w:val="right" w:leader="dot" w:pos="10244"/>
        </w:tabs>
        <w:ind w:left="0" w:leftChars="0"/>
        <w:rPr>
          <w:rFonts w:eastAsia="宋体" w:cs="宋体"/>
          <w:b w:val="0"/>
          <w:bCs w:val="0"/>
          <w:smallCaps w:val="0"/>
          <w:sz w:val="21"/>
        </w:rPr>
      </w:pPr>
      <w:r>
        <w:fldChar w:fldCharType="begin"/>
      </w:r>
      <w:r>
        <w:instrText xml:space="preserve"> HYPERLINK \l "_Toc124321390" </w:instrText>
      </w:r>
      <w:r>
        <w:fldChar w:fldCharType="separate"/>
      </w:r>
      <w:r>
        <w:rPr>
          <w:rStyle w:val="51"/>
          <w:rFonts w:ascii="Times New Roman" w:hAnsi="Times New Roman" w:cs="Times New Roman"/>
          <w:b w:val="0"/>
          <w:bCs w:val="0"/>
          <w:color w:val="auto"/>
        </w:rPr>
        <w:t>第22条 工业建筑绿色技术推荐示范项目列表</w:t>
      </w:r>
      <w:r>
        <w:rPr>
          <w:b w:val="0"/>
          <w:bCs w:val="0"/>
        </w:rPr>
        <w:tab/>
      </w:r>
      <w:r>
        <w:rPr>
          <w:b w:val="0"/>
          <w:bCs w:val="0"/>
        </w:rPr>
        <w:fldChar w:fldCharType="begin"/>
      </w:r>
      <w:r>
        <w:rPr>
          <w:b w:val="0"/>
          <w:bCs w:val="0"/>
        </w:rPr>
        <w:instrText xml:space="preserve"> PAGEREF _Toc124321390 \h </w:instrText>
      </w:r>
      <w:r>
        <w:rPr>
          <w:b w:val="0"/>
          <w:bCs w:val="0"/>
        </w:rPr>
        <w:fldChar w:fldCharType="separate"/>
      </w:r>
      <w:r>
        <w:rPr>
          <w:b w:val="0"/>
          <w:bCs w:val="0"/>
        </w:rPr>
        <w:t>33</w:t>
      </w:r>
      <w:r>
        <w:rPr>
          <w:b w:val="0"/>
          <w:bCs w:val="0"/>
        </w:rPr>
        <w:fldChar w:fldCharType="end"/>
      </w:r>
      <w:r>
        <w:rPr>
          <w:b w:val="0"/>
          <w:bCs w:val="0"/>
        </w:rPr>
        <w:fldChar w:fldCharType="end"/>
      </w:r>
    </w:p>
    <w:p>
      <w:pPr>
        <w:adjustRightInd w:val="0"/>
        <w:snapToGrid w:val="0"/>
        <w:spacing w:line="312" w:lineRule="auto"/>
        <w:ind w:left="0" w:leftChars="0"/>
        <w:jc w:val="left"/>
        <w:rPr>
          <w:rFonts w:ascii="Times New Roman" w:hAnsi="Times New Roman" w:eastAsia="仿宋" w:cs="Times New Roman"/>
          <w:sz w:val="44"/>
          <w:szCs w:val="44"/>
        </w:rPr>
      </w:pPr>
      <w:r>
        <w:rPr>
          <w:rFonts w:ascii="Times New Roman" w:hAnsi="Times New Roman" w:eastAsia="仿宋" w:cs="Times New Roman"/>
          <w:szCs w:val="44"/>
        </w:rPr>
        <w:fldChar w:fldCharType="end"/>
      </w:r>
    </w:p>
    <w:p>
      <w:pPr>
        <w:adjustRightInd w:val="0"/>
        <w:snapToGrid w:val="0"/>
        <w:spacing w:line="312" w:lineRule="auto"/>
        <w:rPr>
          <w:rFonts w:ascii="Times New Roman" w:hAnsi="Times New Roman" w:eastAsia="仿宋" w:cs="Times New Roman"/>
          <w:sz w:val="24"/>
          <w:szCs w:val="24"/>
        </w:rPr>
        <w:sectPr>
          <w:pgSz w:w="11906" w:h="16838"/>
          <w:pgMar w:top="1440" w:right="720" w:bottom="1440" w:left="873" w:header="851" w:footer="992" w:gutter="0"/>
          <w:cols w:space="0" w:num="1"/>
          <w:rtlGutter w:val="0"/>
          <w:docGrid w:type="linesAndChars" w:linePitch="312" w:charSpace="735"/>
        </w:sectPr>
      </w:pPr>
    </w:p>
    <w:p>
      <w:pPr>
        <w:adjustRightInd w:val="0"/>
        <w:snapToGrid w:val="0"/>
        <w:spacing w:line="312" w:lineRule="auto"/>
        <w:rPr>
          <w:rFonts w:ascii="Times New Roman" w:hAnsi="Times New Roman" w:eastAsia="仿宋" w:cs="Times New Roman"/>
          <w:sz w:val="24"/>
          <w:szCs w:val="24"/>
        </w:rPr>
      </w:pPr>
    </w:p>
    <w:p>
      <w:pPr>
        <w:pStyle w:val="4"/>
        <w:spacing w:before="0" w:after="0"/>
        <w:jc w:val="center"/>
        <w:rPr>
          <w:rFonts w:ascii="Times New Roman" w:hAnsi="Times New Roman" w:eastAsia="黑体" w:cs="Times New Roman"/>
          <w:sz w:val="36"/>
          <w:szCs w:val="36"/>
        </w:rPr>
      </w:pPr>
      <w:bookmarkStart w:id="0" w:name="_Toc493355615"/>
      <w:r>
        <w:rPr>
          <w:rFonts w:ascii="Times New Roman" w:hAnsi="Times New Roman" w:eastAsia="黑体" w:cs="Times New Roman"/>
          <w:sz w:val="36"/>
          <w:szCs w:val="36"/>
        </w:rPr>
        <w:t xml:space="preserve"> </w:t>
      </w:r>
      <w:bookmarkEnd w:id="0"/>
      <w:bookmarkStart w:id="1" w:name="_Toc124321363"/>
      <w:bookmarkStart w:id="2" w:name="_Toc525718495"/>
      <w:bookmarkStart w:id="3" w:name="_Toc501619201"/>
      <w:r>
        <w:rPr>
          <w:rFonts w:hint="eastAsia" w:ascii="Times New Roman" w:hAnsi="Times New Roman" w:eastAsia="黑体" w:cs="Times New Roman"/>
          <w:sz w:val="36"/>
          <w:szCs w:val="36"/>
        </w:rPr>
        <w:t>第一章　总</w:t>
      </w:r>
      <w:r>
        <w:rPr>
          <w:rFonts w:ascii="Times New Roman" w:hAnsi="Times New Roman" w:eastAsia="黑体" w:cs="Times New Roman"/>
          <w:sz w:val="36"/>
          <w:szCs w:val="36"/>
        </w:rPr>
        <w:t xml:space="preserve"> </w:t>
      </w:r>
      <w:r>
        <w:rPr>
          <w:rFonts w:hint="eastAsia" w:ascii="Times New Roman" w:hAnsi="Times New Roman" w:eastAsia="黑体" w:cs="Times New Roman"/>
          <w:sz w:val="36"/>
          <w:szCs w:val="36"/>
        </w:rPr>
        <w:t>则</w:t>
      </w:r>
      <w:bookmarkEnd w:id="1"/>
      <w:bookmarkEnd w:id="2"/>
      <w:bookmarkEnd w:id="3"/>
    </w:p>
    <w:p>
      <w:pPr>
        <w:pStyle w:val="5"/>
        <w:rPr>
          <w:rFonts w:ascii="Times New Roman" w:hAnsi="Times New Roman" w:eastAsia="仿宋" w:cs="Times New Roman"/>
          <w:sz w:val="30"/>
          <w:szCs w:val="30"/>
        </w:rPr>
      </w:pPr>
      <w:bookmarkStart w:id="4" w:name="_Toc124321364"/>
      <w:bookmarkStart w:id="5" w:name="_Toc525718496"/>
      <w:bookmarkStart w:id="6" w:name="_Toc493355616"/>
      <w:bookmarkStart w:id="7" w:name="_Toc501619202"/>
      <w:r>
        <w:rPr>
          <w:rFonts w:hint="eastAsia" w:ascii="Times New Roman" w:hAnsi="Times New Roman" w:eastAsia="仿宋" w:cs="Times New Roman"/>
          <w:sz w:val="30"/>
          <w:szCs w:val="30"/>
        </w:rPr>
        <w:t>第</w:t>
      </w:r>
      <w:r>
        <w:rPr>
          <w:rFonts w:ascii="Times New Roman" w:hAnsi="Times New Roman" w:eastAsia="仿宋" w:cs="Times New Roman"/>
          <w:sz w:val="30"/>
          <w:szCs w:val="30"/>
        </w:rPr>
        <w:t>1</w:t>
      </w:r>
      <w:r>
        <w:rPr>
          <w:rFonts w:hint="eastAsia" w:ascii="Times New Roman" w:hAnsi="Times New Roman" w:eastAsia="仿宋" w:cs="Times New Roman"/>
          <w:sz w:val="30"/>
          <w:szCs w:val="30"/>
        </w:rPr>
        <w:t>条</w:t>
      </w:r>
      <w:r>
        <w:rPr>
          <w:rFonts w:ascii="Times New Roman" w:hAnsi="Times New Roman" w:eastAsia="仿宋" w:cs="Times New Roman"/>
          <w:sz w:val="30"/>
          <w:szCs w:val="30"/>
        </w:rPr>
        <w:t xml:space="preserve"> </w:t>
      </w:r>
      <w:r>
        <w:rPr>
          <w:rFonts w:hint="eastAsia" w:ascii="Times New Roman" w:hAnsi="Times New Roman" w:eastAsia="仿宋" w:cs="Times New Roman"/>
          <w:sz w:val="30"/>
          <w:szCs w:val="30"/>
        </w:rPr>
        <w:t>规划背景</w:t>
      </w:r>
      <w:bookmarkEnd w:id="4"/>
    </w:p>
    <w:p>
      <w:pPr>
        <w:tabs>
          <w:tab w:val="left" w:pos="1680"/>
        </w:tabs>
        <w:adjustRightInd w:val="0"/>
        <w:snapToGrid w:val="0"/>
        <w:spacing w:before="93" w:beforeLines="30" w:after="93" w:afterLines="30" w:line="360" w:lineRule="auto"/>
        <w:ind w:firstLine="480" w:firstLineChars="200"/>
        <w:rPr>
          <w:rFonts w:ascii="Times New Roman" w:hAnsi="Times New Roman" w:eastAsia="仿宋" w:cs="Times New Roman"/>
          <w:sz w:val="24"/>
        </w:rPr>
      </w:pPr>
      <w:bookmarkStart w:id="8" w:name="_Hlk97739460"/>
      <w:r>
        <w:rPr>
          <w:rFonts w:ascii="Times New Roman" w:hAnsi="Times New Roman" w:eastAsia="仿宋" w:cs="Times New Roman"/>
          <w:sz w:val="24"/>
        </w:rPr>
        <w:t>《广东省绿色建筑条例》</w:t>
      </w:r>
      <w:bookmarkEnd w:id="8"/>
      <w:r>
        <w:rPr>
          <w:rFonts w:ascii="Times New Roman" w:hAnsi="Times New Roman" w:eastAsia="仿宋" w:cs="Times New Roman"/>
          <w:sz w:val="24"/>
        </w:rPr>
        <w:t>提出</w:t>
      </w:r>
      <w:r>
        <w:rPr>
          <w:rFonts w:hint="eastAsia" w:ascii="Times New Roman" w:hAnsi="Times New Roman" w:eastAsia="仿宋" w:cs="Times New Roman"/>
          <w:sz w:val="24"/>
        </w:rPr>
        <w:t>“</w:t>
      </w:r>
      <w:r>
        <w:rPr>
          <w:rFonts w:ascii="Times New Roman" w:hAnsi="Times New Roman" w:eastAsia="仿宋" w:cs="Times New Roman"/>
          <w:sz w:val="24"/>
        </w:rPr>
        <w:t>地级以上市、县级人民政府住房城乡建设主管部门应当会同发展改革、自然资源等主管部门组织编制本行政区域的绿色建筑发展专项规划，报本级人民政府批准并向社会公开。</w:t>
      </w:r>
      <w:r>
        <w:rPr>
          <w:rFonts w:hint="eastAsia" w:ascii="Times New Roman" w:hAnsi="Times New Roman" w:eastAsia="仿宋" w:cs="Times New Roman"/>
          <w:sz w:val="24"/>
        </w:rPr>
        <w:t>”为认真贯彻落实国家、省市对绿色建筑的相关发展要求，促进中山市绿色建筑高质量有序发展，组织编制本绿色建筑发展专项规划。</w:t>
      </w:r>
    </w:p>
    <w:p>
      <w:pPr>
        <w:pStyle w:val="5"/>
        <w:rPr>
          <w:rFonts w:ascii="Times New Roman" w:hAnsi="Times New Roman" w:eastAsia="仿宋" w:cs="Times New Roman"/>
          <w:sz w:val="30"/>
          <w:szCs w:val="30"/>
        </w:rPr>
      </w:pPr>
      <w:bookmarkStart w:id="9" w:name="_Toc124321365"/>
      <w:r>
        <w:rPr>
          <w:rFonts w:hint="eastAsia" w:ascii="Times New Roman" w:hAnsi="Times New Roman" w:eastAsia="仿宋" w:cs="Times New Roman"/>
          <w:sz w:val="30"/>
          <w:szCs w:val="30"/>
        </w:rPr>
        <w:t>第</w:t>
      </w:r>
      <w:r>
        <w:rPr>
          <w:rFonts w:ascii="Times New Roman" w:hAnsi="Times New Roman" w:eastAsia="仿宋" w:cs="Times New Roman"/>
          <w:sz w:val="30"/>
          <w:szCs w:val="30"/>
        </w:rPr>
        <w:t>2</w:t>
      </w:r>
      <w:r>
        <w:rPr>
          <w:rFonts w:hint="eastAsia" w:ascii="Times New Roman" w:hAnsi="Times New Roman" w:eastAsia="仿宋" w:cs="Times New Roman"/>
          <w:sz w:val="30"/>
          <w:szCs w:val="30"/>
        </w:rPr>
        <w:t>条</w:t>
      </w:r>
      <w:r>
        <w:rPr>
          <w:rFonts w:ascii="Times New Roman" w:hAnsi="Times New Roman" w:eastAsia="仿宋" w:cs="Times New Roman"/>
          <w:sz w:val="30"/>
          <w:szCs w:val="30"/>
        </w:rPr>
        <w:t xml:space="preserve"> </w:t>
      </w:r>
      <w:bookmarkEnd w:id="5"/>
      <w:bookmarkEnd w:id="6"/>
      <w:bookmarkEnd w:id="7"/>
      <w:r>
        <w:rPr>
          <w:rFonts w:hint="eastAsia" w:ascii="Times New Roman" w:hAnsi="Times New Roman" w:eastAsia="仿宋" w:cs="Times New Roman"/>
          <w:sz w:val="30"/>
          <w:szCs w:val="30"/>
        </w:rPr>
        <w:t>目的原则</w:t>
      </w:r>
      <w:bookmarkEnd w:id="9"/>
    </w:p>
    <w:p>
      <w:pPr>
        <w:tabs>
          <w:tab w:val="left" w:pos="1680"/>
        </w:tabs>
        <w:adjustRightInd w:val="0"/>
        <w:snapToGrid w:val="0"/>
        <w:spacing w:before="93" w:beforeLines="30" w:after="93" w:afterLines="30" w:line="360" w:lineRule="auto"/>
        <w:ind w:firstLine="480" w:firstLineChars="200"/>
        <w:rPr>
          <w:rFonts w:ascii="Times New Roman" w:hAnsi="Times New Roman" w:eastAsia="仿宋" w:cs="Times New Roman"/>
          <w:sz w:val="24"/>
        </w:rPr>
      </w:pPr>
      <w:r>
        <w:rPr>
          <w:rFonts w:hint="eastAsia" w:ascii="Times New Roman" w:hAnsi="Times New Roman" w:eastAsia="仿宋" w:cs="Times New Roman"/>
          <w:sz w:val="24"/>
        </w:rPr>
        <w:t>本规划以习近平新时代中国特色社会主义思想为指导，深入贯彻绿色发展理念，贯彻落实广东省建筑节能与绿色建筑发展“十四五”规划要求，坚持“因地制宜、适度超前、统筹兼顾、突出重点”的原则，明确中山市绿色建筑发展目标、分区与任务，促进中山市建筑低碳绿色发展。</w:t>
      </w:r>
    </w:p>
    <w:p>
      <w:pPr>
        <w:pStyle w:val="5"/>
        <w:rPr>
          <w:rFonts w:ascii="Times New Roman" w:hAnsi="Times New Roman" w:eastAsia="仿宋" w:cs="Times New Roman"/>
          <w:sz w:val="30"/>
          <w:szCs w:val="30"/>
        </w:rPr>
      </w:pPr>
      <w:bookmarkStart w:id="10" w:name="_Toc124321366"/>
      <w:bookmarkStart w:id="11" w:name="_Toc525718500"/>
      <w:r>
        <w:rPr>
          <w:rFonts w:hint="eastAsia" w:ascii="Times New Roman" w:hAnsi="Times New Roman" w:eastAsia="仿宋" w:cs="Times New Roman"/>
          <w:sz w:val="30"/>
          <w:szCs w:val="30"/>
        </w:rPr>
        <w:t>第3条</w:t>
      </w:r>
      <w:r>
        <w:rPr>
          <w:rFonts w:ascii="Times New Roman" w:hAnsi="Times New Roman" w:eastAsia="仿宋" w:cs="Times New Roman"/>
          <w:sz w:val="30"/>
          <w:szCs w:val="30"/>
        </w:rPr>
        <w:t xml:space="preserve"> </w:t>
      </w:r>
      <w:r>
        <w:rPr>
          <w:rFonts w:hint="eastAsia" w:ascii="Times New Roman" w:hAnsi="Times New Roman" w:eastAsia="仿宋" w:cs="Times New Roman"/>
          <w:sz w:val="30"/>
          <w:szCs w:val="30"/>
        </w:rPr>
        <w:t>规划依据</w:t>
      </w:r>
      <w:bookmarkEnd w:id="10"/>
      <w:bookmarkEnd w:id="11"/>
    </w:p>
    <w:p>
      <w:pPr>
        <w:tabs>
          <w:tab w:val="left" w:pos="1680"/>
        </w:tabs>
        <w:adjustRightInd w:val="0"/>
        <w:snapToGrid w:val="0"/>
        <w:spacing w:before="93" w:beforeLines="30" w:after="93" w:afterLines="30" w:line="360" w:lineRule="auto"/>
        <w:ind w:firstLine="480" w:firstLineChars="200"/>
        <w:rPr>
          <w:rFonts w:hint="eastAsia" w:ascii="Times New Roman" w:hAnsi="Times New Roman" w:eastAsia="仿宋" w:cs="Times New Roman"/>
          <w:sz w:val="24"/>
          <w:lang w:eastAsia="zh-CN"/>
        </w:rPr>
      </w:pPr>
      <w:r>
        <w:rPr>
          <w:rFonts w:hint="eastAsia" w:ascii="Times New Roman" w:hAnsi="Times New Roman" w:eastAsia="仿宋" w:cs="Times New Roman"/>
          <w:sz w:val="24"/>
        </w:rPr>
        <w:t>1</w:t>
      </w:r>
      <w:r>
        <w:rPr>
          <w:rFonts w:hint="default" w:ascii="Times New Roman" w:hAnsi="Times New Roman" w:eastAsia="仿宋" w:cs="Times New Roman"/>
          <w:sz w:val="24"/>
        </w:rPr>
        <w:t>.</w:t>
      </w:r>
      <w:r>
        <w:rPr>
          <w:rFonts w:hint="eastAsia" w:ascii="Times New Roman" w:hAnsi="Times New Roman" w:eastAsia="仿宋" w:cs="Times New Roman"/>
          <w:sz w:val="24"/>
        </w:rPr>
        <w:t>《中华人民共和国城乡规划法》</w:t>
      </w:r>
    </w:p>
    <w:p>
      <w:pPr>
        <w:tabs>
          <w:tab w:val="left" w:pos="1680"/>
        </w:tabs>
        <w:adjustRightInd w:val="0"/>
        <w:snapToGrid w:val="0"/>
        <w:spacing w:before="93" w:beforeLines="30" w:after="93" w:afterLines="30" w:line="360" w:lineRule="auto"/>
        <w:ind w:firstLine="480" w:firstLineChars="200"/>
        <w:rPr>
          <w:rFonts w:hint="default" w:ascii="Times New Roman" w:hAnsi="Times New Roman" w:eastAsia="仿宋" w:cs="Times New Roman"/>
          <w:sz w:val="24"/>
          <w:lang w:val="en-US" w:eastAsia="zh-CN"/>
        </w:rPr>
      </w:pPr>
      <w:r>
        <w:rPr>
          <w:rFonts w:hint="eastAsia" w:ascii="Times New Roman" w:hAnsi="Times New Roman" w:eastAsia="仿宋" w:cs="Times New Roman"/>
          <w:sz w:val="24"/>
        </w:rPr>
        <w:t>2</w:t>
      </w:r>
      <w:r>
        <w:rPr>
          <w:rFonts w:hint="default" w:ascii="Times New Roman" w:hAnsi="Times New Roman" w:eastAsia="仿宋" w:cs="Times New Roman"/>
          <w:sz w:val="24"/>
        </w:rPr>
        <w:t>.</w:t>
      </w:r>
      <w:r>
        <w:rPr>
          <w:rFonts w:hint="eastAsia" w:ascii="Times New Roman" w:hAnsi="Times New Roman" w:eastAsia="仿宋" w:cs="Times New Roman"/>
          <w:sz w:val="24"/>
        </w:rPr>
        <w:t>《民用建筑节能条例》</w:t>
      </w:r>
    </w:p>
    <w:p>
      <w:pPr>
        <w:tabs>
          <w:tab w:val="left" w:pos="1680"/>
        </w:tabs>
        <w:adjustRightInd w:val="0"/>
        <w:snapToGrid w:val="0"/>
        <w:spacing w:before="93" w:beforeLines="30" w:after="93" w:afterLines="30" w:line="360" w:lineRule="auto"/>
        <w:ind w:firstLine="480" w:firstLineChars="200"/>
        <w:rPr>
          <w:rFonts w:hint="default" w:ascii="Times New Roman" w:hAnsi="Times New Roman" w:eastAsia="仿宋" w:cs="Times New Roman"/>
          <w:sz w:val="24"/>
          <w:lang w:val="en-US" w:eastAsia="zh-CN"/>
        </w:rPr>
      </w:pPr>
      <w:r>
        <w:rPr>
          <w:rFonts w:hint="eastAsia" w:ascii="Times New Roman" w:hAnsi="Times New Roman" w:eastAsia="仿宋" w:cs="Times New Roman"/>
          <w:sz w:val="24"/>
        </w:rPr>
        <w:t>3</w:t>
      </w:r>
      <w:r>
        <w:rPr>
          <w:rFonts w:hint="default" w:ascii="Times New Roman" w:hAnsi="Times New Roman" w:eastAsia="仿宋" w:cs="Times New Roman"/>
          <w:sz w:val="24"/>
        </w:rPr>
        <w:t>.</w:t>
      </w:r>
      <w:r>
        <w:rPr>
          <w:rFonts w:hint="eastAsia" w:ascii="Times New Roman" w:hAnsi="Times New Roman" w:eastAsia="仿宋" w:cs="Times New Roman"/>
          <w:sz w:val="24"/>
        </w:rPr>
        <w:t>《广东省城乡规划条例》</w:t>
      </w:r>
    </w:p>
    <w:p>
      <w:pPr>
        <w:tabs>
          <w:tab w:val="left" w:pos="1680"/>
        </w:tabs>
        <w:adjustRightInd w:val="0"/>
        <w:snapToGrid w:val="0"/>
        <w:spacing w:before="93" w:beforeLines="30" w:after="93" w:afterLines="30" w:line="360" w:lineRule="auto"/>
        <w:ind w:firstLine="480" w:firstLineChars="200"/>
        <w:rPr>
          <w:rFonts w:hint="default" w:ascii="Times New Roman" w:hAnsi="Times New Roman" w:eastAsia="仿宋" w:cs="Times New Roman"/>
          <w:sz w:val="24"/>
          <w:lang w:val="en-US" w:eastAsia="zh-CN"/>
        </w:rPr>
      </w:pPr>
      <w:bookmarkStart w:id="12" w:name="_Toc525718501"/>
      <w:r>
        <w:rPr>
          <w:rFonts w:hint="eastAsia" w:ascii="Times New Roman" w:hAnsi="Times New Roman" w:eastAsia="仿宋" w:cs="Times New Roman"/>
          <w:sz w:val="24"/>
        </w:rPr>
        <w:t>4</w:t>
      </w:r>
      <w:r>
        <w:rPr>
          <w:rFonts w:hint="default" w:ascii="Times New Roman" w:hAnsi="Times New Roman" w:eastAsia="仿宋" w:cs="Times New Roman"/>
          <w:sz w:val="24"/>
        </w:rPr>
        <w:t>.</w:t>
      </w:r>
      <w:r>
        <w:rPr>
          <w:rFonts w:hint="eastAsia" w:ascii="Times New Roman" w:hAnsi="Times New Roman" w:eastAsia="仿宋" w:cs="Times New Roman"/>
          <w:sz w:val="24"/>
        </w:rPr>
        <w:t>《广东省绿色建筑条例》</w:t>
      </w:r>
    </w:p>
    <w:bookmarkEnd w:id="12"/>
    <w:p>
      <w:pPr>
        <w:tabs>
          <w:tab w:val="left" w:pos="1680"/>
        </w:tabs>
        <w:adjustRightInd w:val="0"/>
        <w:snapToGrid w:val="0"/>
        <w:spacing w:before="93" w:beforeLines="30" w:after="93" w:afterLines="30" w:line="360" w:lineRule="auto"/>
        <w:ind w:firstLine="480" w:firstLineChars="200"/>
        <w:rPr>
          <w:rFonts w:hint="default" w:ascii="Times New Roman" w:hAnsi="Times New Roman" w:eastAsia="仿宋" w:cs="Times New Roman"/>
          <w:sz w:val="24"/>
          <w:lang w:val="en-US"/>
        </w:rPr>
      </w:pPr>
      <w:r>
        <w:rPr>
          <w:rFonts w:hint="eastAsia" w:ascii="Times New Roman" w:hAnsi="Times New Roman" w:eastAsia="仿宋" w:cs="Times New Roman"/>
          <w:sz w:val="24"/>
        </w:rPr>
        <w:t>5</w:t>
      </w:r>
      <w:r>
        <w:rPr>
          <w:rFonts w:hint="default" w:ascii="Times New Roman" w:hAnsi="Times New Roman" w:eastAsia="仿宋" w:cs="Times New Roman"/>
          <w:sz w:val="24"/>
        </w:rPr>
        <w:t>.</w:t>
      </w:r>
      <w:r>
        <w:rPr>
          <w:rFonts w:hint="eastAsia" w:ascii="Times New Roman" w:hAnsi="Times New Roman" w:eastAsia="仿宋" w:cs="Times New Roman"/>
          <w:sz w:val="24"/>
        </w:rPr>
        <w:t>《住房和城乡建设部 国家发展改革委 教育部 工业和信息化部 人民银行 国管局 银保监会关于印发绿色建筑创建行动方案的通知》</w:t>
      </w:r>
      <w:r>
        <w:rPr>
          <w:rFonts w:hint="eastAsia" w:ascii="Times New Roman" w:hAnsi="Times New Roman" w:eastAsia="仿宋" w:cs="Times New Roman"/>
          <w:sz w:val="24"/>
          <w:lang w:eastAsia="zh-CN"/>
        </w:rPr>
        <w:t>（</w:t>
      </w:r>
      <w:r>
        <w:rPr>
          <w:rFonts w:hint="eastAsia" w:ascii="Times New Roman" w:hAnsi="Times New Roman" w:eastAsia="仿宋" w:cs="Times New Roman"/>
          <w:sz w:val="24"/>
        </w:rPr>
        <w:t>建标〔2020〕65号</w:t>
      </w:r>
      <w:r>
        <w:rPr>
          <w:rFonts w:hint="eastAsia" w:ascii="Times New Roman" w:hAnsi="Times New Roman" w:eastAsia="仿宋" w:cs="Times New Roman"/>
          <w:sz w:val="24"/>
          <w:lang w:eastAsia="zh-CN"/>
        </w:rPr>
        <w:t>）</w:t>
      </w:r>
    </w:p>
    <w:p>
      <w:pPr>
        <w:tabs>
          <w:tab w:val="left" w:pos="1680"/>
        </w:tabs>
        <w:adjustRightInd w:val="0"/>
        <w:snapToGrid w:val="0"/>
        <w:spacing w:before="93" w:beforeLines="30" w:after="93" w:afterLines="30" w:line="360" w:lineRule="auto"/>
        <w:ind w:firstLine="480" w:firstLineChars="200"/>
        <w:rPr>
          <w:rFonts w:hint="eastAsia" w:ascii="Times New Roman" w:hAnsi="Times New Roman" w:eastAsia="仿宋" w:cs="Times New Roman"/>
          <w:sz w:val="24"/>
        </w:rPr>
      </w:pPr>
      <w:r>
        <w:rPr>
          <w:rFonts w:hint="eastAsia" w:ascii="Times New Roman" w:hAnsi="Times New Roman" w:eastAsia="仿宋" w:cs="Times New Roman"/>
          <w:sz w:val="24"/>
        </w:rPr>
        <w:t>6</w:t>
      </w:r>
      <w:r>
        <w:rPr>
          <w:rFonts w:hint="default" w:ascii="Times New Roman" w:hAnsi="Times New Roman" w:eastAsia="仿宋" w:cs="Times New Roman"/>
          <w:sz w:val="24"/>
        </w:rPr>
        <w:t>.</w:t>
      </w:r>
      <w:r>
        <w:rPr>
          <w:rFonts w:hint="eastAsia" w:ascii="Times New Roman" w:hAnsi="Times New Roman" w:eastAsia="仿宋" w:cs="Times New Roman"/>
          <w:sz w:val="24"/>
        </w:rPr>
        <w:t>《中共中央办公厅 国务院办公厅印发〈关于推动城乡建设绿色发展的意见〉》</w:t>
      </w:r>
    </w:p>
    <w:p>
      <w:pPr>
        <w:tabs>
          <w:tab w:val="left" w:pos="1680"/>
        </w:tabs>
        <w:adjustRightInd w:val="0"/>
        <w:snapToGrid w:val="0"/>
        <w:spacing w:before="93" w:beforeLines="30" w:after="93" w:afterLines="30" w:line="360" w:lineRule="auto"/>
        <w:ind w:firstLine="480" w:firstLineChars="200"/>
        <w:rPr>
          <w:rFonts w:hint="eastAsia" w:ascii="Times New Roman" w:hAnsi="Times New Roman" w:eastAsia="仿宋" w:cs="Times New Roman"/>
          <w:sz w:val="24"/>
        </w:rPr>
      </w:pPr>
      <w:r>
        <w:rPr>
          <w:rFonts w:hint="eastAsia" w:ascii="Times New Roman" w:hAnsi="Times New Roman" w:eastAsia="仿宋" w:cs="Times New Roman"/>
          <w:sz w:val="24"/>
        </w:rPr>
        <w:t>7</w:t>
      </w:r>
      <w:r>
        <w:rPr>
          <w:rFonts w:hint="default" w:ascii="Times New Roman" w:hAnsi="Times New Roman" w:eastAsia="仿宋" w:cs="Times New Roman"/>
          <w:sz w:val="24"/>
        </w:rPr>
        <w:t>.</w:t>
      </w:r>
      <w:r>
        <w:rPr>
          <w:rFonts w:hint="eastAsia" w:ascii="Times New Roman" w:hAnsi="Times New Roman" w:eastAsia="仿宋" w:cs="Times New Roman"/>
          <w:sz w:val="24"/>
        </w:rPr>
        <w:t>《中共中央 国务院关于完整准确全面贯彻新发展理念做好碳达峰碳中和工作的意见》</w:t>
      </w:r>
    </w:p>
    <w:p>
      <w:pPr>
        <w:tabs>
          <w:tab w:val="left" w:pos="1680"/>
        </w:tabs>
        <w:adjustRightInd w:val="0"/>
        <w:snapToGrid w:val="0"/>
        <w:spacing w:before="93" w:beforeLines="30" w:after="93" w:afterLines="30" w:line="360" w:lineRule="auto"/>
        <w:ind w:firstLine="480" w:firstLineChars="200"/>
        <w:rPr>
          <w:rFonts w:hint="default" w:ascii="Times New Roman" w:hAnsi="Times New Roman" w:eastAsia="仿宋" w:cs="Times New Roman"/>
          <w:sz w:val="24"/>
          <w:lang w:val="en-US"/>
        </w:rPr>
      </w:pPr>
      <w:r>
        <w:rPr>
          <w:rFonts w:hint="eastAsia" w:ascii="Times New Roman" w:hAnsi="Times New Roman" w:eastAsia="仿宋" w:cs="Times New Roman"/>
          <w:sz w:val="24"/>
        </w:rPr>
        <w:t>8</w:t>
      </w:r>
      <w:r>
        <w:rPr>
          <w:rFonts w:hint="default" w:ascii="Times New Roman" w:hAnsi="Times New Roman" w:eastAsia="仿宋" w:cs="Times New Roman"/>
          <w:sz w:val="24"/>
        </w:rPr>
        <w:t>.</w:t>
      </w:r>
      <w:r>
        <w:rPr>
          <w:rFonts w:hint="eastAsia" w:ascii="Times New Roman" w:hAnsi="Times New Roman" w:eastAsia="仿宋" w:cs="Times New Roman"/>
          <w:sz w:val="24"/>
        </w:rPr>
        <w:t>《国务院关于印发2030年前碳达峰行动方案的通知》</w:t>
      </w:r>
      <w:r>
        <w:rPr>
          <w:rFonts w:hint="eastAsia" w:ascii="Times New Roman" w:hAnsi="Times New Roman" w:eastAsia="仿宋" w:cs="Times New Roman"/>
          <w:sz w:val="24"/>
          <w:lang w:eastAsia="zh-CN"/>
        </w:rPr>
        <w:t>（国发〔2021〕23号）</w:t>
      </w:r>
    </w:p>
    <w:p>
      <w:pPr>
        <w:tabs>
          <w:tab w:val="left" w:pos="1680"/>
        </w:tabs>
        <w:adjustRightInd w:val="0"/>
        <w:snapToGrid w:val="0"/>
        <w:spacing w:before="93" w:beforeLines="30" w:after="93" w:afterLines="30" w:line="360" w:lineRule="auto"/>
        <w:ind w:firstLine="480" w:firstLineChars="200"/>
        <w:rPr>
          <w:rFonts w:hint="eastAsia" w:ascii="Times New Roman" w:hAnsi="Times New Roman" w:eastAsia="仿宋" w:cs="Times New Roman"/>
          <w:sz w:val="24"/>
          <w:lang w:val="en-US"/>
        </w:rPr>
      </w:pPr>
      <w:r>
        <w:rPr>
          <w:rFonts w:hint="eastAsia" w:ascii="Times New Roman" w:hAnsi="Times New Roman" w:eastAsia="仿宋" w:cs="Times New Roman"/>
          <w:sz w:val="24"/>
        </w:rPr>
        <w:t>9</w:t>
      </w:r>
      <w:r>
        <w:rPr>
          <w:rFonts w:hint="default" w:ascii="Times New Roman" w:hAnsi="Times New Roman" w:eastAsia="仿宋" w:cs="Times New Roman"/>
          <w:sz w:val="24"/>
        </w:rPr>
        <w:t>.</w:t>
      </w:r>
      <w:r>
        <w:rPr>
          <w:rFonts w:hint="eastAsia" w:ascii="Times New Roman" w:hAnsi="Times New Roman" w:eastAsia="仿宋" w:cs="Times New Roman"/>
          <w:sz w:val="24"/>
        </w:rPr>
        <w:t>《住房和城乡建设部关于印发绿色建筑标识管理办法的通知》</w:t>
      </w:r>
      <w:r>
        <w:rPr>
          <w:rFonts w:hint="eastAsia" w:ascii="Times New Roman" w:hAnsi="Times New Roman" w:eastAsia="仿宋" w:cs="Times New Roman"/>
          <w:sz w:val="24"/>
          <w:lang w:eastAsia="zh-CN"/>
        </w:rPr>
        <w:t>（建标规〔2021〕1号）</w:t>
      </w:r>
    </w:p>
    <w:p>
      <w:pPr>
        <w:tabs>
          <w:tab w:val="left" w:pos="1680"/>
        </w:tabs>
        <w:adjustRightInd w:val="0"/>
        <w:snapToGrid w:val="0"/>
        <w:spacing w:before="93" w:beforeLines="30" w:after="93" w:afterLines="30" w:line="360" w:lineRule="auto"/>
        <w:ind w:firstLine="480" w:firstLineChars="200"/>
        <w:rPr>
          <w:rFonts w:hint="eastAsia" w:ascii="Times New Roman" w:hAnsi="Times New Roman" w:eastAsia="仿宋" w:cs="Times New Roman"/>
          <w:sz w:val="24"/>
          <w:lang w:val="en-US" w:eastAsia="zh-CN"/>
        </w:rPr>
      </w:pPr>
      <w:r>
        <w:rPr>
          <w:rFonts w:hint="eastAsia" w:ascii="Times New Roman" w:hAnsi="Times New Roman" w:eastAsia="仿宋" w:cs="Times New Roman"/>
          <w:sz w:val="24"/>
          <w:lang w:val="en-US" w:eastAsia="zh-CN"/>
        </w:rPr>
        <w:t>10</w:t>
      </w:r>
      <w:r>
        <w:rPr>
          <w:rFonts w:hint="default" w:ascii="Times New Roman" w:hAnsi="Times New Roman" w:eastAsia="仿宋" w:cs="Times New Roman"/>
          <w:sz w:val="24"/>
          <w:lang w:eastAsia="zh-CN"/>
        </w:rPr>
        <w:t>.</w:t>
      </w:r>
      <w:r>
        <w:rPr>
          <w:rFonts w:hint="eastAsia" w:ascii="Times New Roman" w:hAnsi="Times New Roman" w:eastAsia="仿宋" w:cs="Times New Roman"/>
          <w:sz w:val="24"/>
        </w:rPr>
        <w:t>《住房和城乡建设部关于印发“十四五”建筑节能与绿色建筑发展规划的通知》</w:t>
      </w:r>
      <w:r>
        <w:rPr>
          <w:rFonts w:hint="eastAsia" w:ascii="Times New Roman" w:hAnsi="Times New Roman" w:eastAsia="仿宋" w:cs="Times New Roman"/>
          <w:sz w:val="24"/>
          <w:lang w:eastAsia="zh-CN"/>
        </w:rPr>
        <w:t>（建标〔2022〕24号）</w:t>
      </w:r>
    </w:p>
    <w:p>
      <w:pPr>
        <w:tabs>
          <w:tab w:val="left" w:pos="1680"/>
        </w:tabs>
        <w:adjustRightInd w:val="0"/>
        <w:snapToGrid w:val="0"/>
        <w:spacing w:before="93" w:beforeLines="30" w:after="93" w:afterLines="30" w:line="360" w:lineRule="auto"/>
        <w:ind w:firstLine="480" w:firstLineChars="200"/>
        <w:rPr>
          <w:rFonts w:hint="default" w:ascii="Times New Roman" w:hAnsi="Times New Roman" w:eastAsia="仿宋" w:cs="Times New Roman"/>
          <w:sz w:val="24"/>
          <w:lang w:val="en-US" w:eastAsia="zh-CN"/>
        </w:rPr>
      </w:pPr>
      <w:r>
        <w:rPr>
          <w:rFonts w:hint="eastAsia" w:ascii="Times New Roman" w:hAnsi="Times New Roman" w:eastAsia="仿宋" w:cs="Times New Roman"/>
          <w:sz w:val="24"/>
        </w:rPr>
        <w:t>1</w:t>
      </w:r>
      <w:r>
        <w:rPr>
          <w:rFonts w:hint="eastAsia" w:ascii="Times New Roman" w:hAnsi="Times New Roman" w:eastAsia="仿宋" w:cs="Times New Roman"/>
          <w:sz w:val="24"/>
          <w:lang w:val="en-US" w:eastAsia="zh-CN"/>
        </w:rPr>
        <w:t>1</w:t>
      </w:r>
      <w:r>
        <w:rPr>
          <w:rFonts w:hint="default" w:ascii="Times New Roman" w:hAnsi="Times New Roman" w:eastAsia="仿宋" w:cs="Times New Roman"/>
          <w:sz w:val="24"/>
          <w:lang w:eastAsia="zh-CN"/>
        </w:rPr>
        <w:t>.</w:t>
      </w:r>
      <w:r>
        <w:rPr>
          <w:rFonts w:hint="eastAsia" w:ascii="Times New Roman" w:hAnsi="Times New Roman" w:eastAsia="仿宋" w:cs="Times New Roman"/>
          <w:sz w:val="24"/>
        </w:rPr>
        <w:t>《中共广东省委 广东省人民政府关于完整准确全面贯彻新发展理念推进碳达峰碳中和工作的实施意见》</w:t>
      </w:r>
    </w:p>
    <w:p>
      <w:pPr>
        <w:tabs>
          <w:tab w:val="left" w:pos="1680"/>
        </w:tabs>
        <w:adjustRightInd w:val="0"/>
        <w:snapToGrid w:val="0"/>
        <w:spacing w:before="93" w:beforeLines="30" w:after="93" w:afterLines="30" w:line="360" w:lineRule="auto"/>
        <w:ind w:firstLine="480" w:firstLineChars="200"/>
        <w:rPr>
          <w:rFonts w:hint="eastAsia" w:ascii="Times New Roman" w:hAnsi="Times New Roman" w:eastAsia="仿宋" w:cs="Times New Roman"/>
          <w:sz w:val="24"/>
        </w:rPr>
      </w:pPr>
      <w:r>
        <w:rPr>
          <w:rFonts w:hint="eastAsia" w:ascii="Times New Roman" w:hAnsi="Times New Roman" w:eastAsia="仿宋" w:cs="Times New Roman"/>
          <w:sz w:val="24"/>
        </w:rPr>
        <w:t>1</w:t>
      </w:r>
      <w:r>
        <w:rPr>
          <w:rFonts w:hint="eastAsia" w:ascii="Times New Roman" w:hAnsi="Times New Roman" w:eastAsia="仿宋" w:cs="Times New Roman"/>
          <w:sz w:val="24"/>
          <w:lang w:val="en-US" w:eastAsia="zh-CN"/>
        </w:rPr>
        <w:t>2</w:t>
      </w:r>
      <w:r>
        <w:rPr>
          <w:rFonts w:hint="default" w:ascii="Times New Roman" w:hAnsi="Times New Roman" w:eastAsia="仿宋" w:cs="Times New Roman"/>
          <w:sz w:val="24"/>
          <w:lang w:eastAsia="zh-CN"/>
        </w:rPr>
        <w:t>.</w:t>
      </w:r>
      <w:r>
        <w:rPr>
          <w:rFonts w:hint="eastAsia" w:ascii="Times New Roman" w:hAnsi="Times New Roman" w:eastAsia="仿宋" w:cs="Times New Roman"/>
          <w:sz w:val="24"/>
        </w:rPr>
        <w:t>《广东省人民政府关于印发〈广东省国民经济和社会发展第十四个五年规划和2035年远景目标纲要〉的通知》</w:t>
      </w:r>
      <w:r>
        <w:rPr>
          <w:rFonts w:hint="eastAsia" w:ascii="Times New Roman" w:hAnsi="Times New Roman" w:eastAsia="仿宋" w:cs="Times New Roman"/>
          <w:sz w:val="24"/>
          <w:lang w:eastAsia="zh-CN"/>
        </w:rPr>
        <w:t>（粤府〔2021〕28号）</w:t>
      </w:r>
    </w:p>
    <w:p>
      <w:pPr>
        <w:tabs>
          <w:tab w:val="left" w:pos="1680"/>
        </w:tabs>
        <w:adjustRightInd w:val="0"/>
        <w:snapToGrid w:val="0"/>
        <w:spacing w:before="93" w:beforeLines="30" w:after="93" w:afterLines="30" w:line="360" w:lineRule="auto"/>
        <w:ind w:firstLine="480" w:firstLineChars="200"/>
        <w:rPr>
          <w:rFonts w:hint="default" w:ascii="Times New Roman" w:hAnsi="Times New Roman" w:eastAsia="仿宋" w:cs="Times New Roman"/>
          <w:sz w:val="24"/>
          <w:lang w:val="en-US" w:eastAsia="zh-CN"/>
        </w:rPr>
      </w:pPr>
      <w:r>
        <w:rPr>
          <w:rFonts w:hint="eastAsia" w:ascii="Times New Roman" w:hAnsi="Times New Roman" w:eastAsia="仿宋" w:cs="Times New Roman"/>
          <w:sz w:val="24"/>
          <w:lang w:val="en-US" w:eastAsia="zh-CN"/>
        </w:rPr>
        <w:t>13</w:t>
      </w:r>
      <w:r>
        <w:rPr>
          <w:rFonts w:hint="default" w:ascii="Times New Roman" w:hAnsi="Times New Roman" w:eastAsia="仿宋" w:cs="Times New Roman"/>
          <w:sz w:val="24"/>
          <w:lang w:eastAsia="zh-CN"/>
        </w:rPr>
        <w:t>.</w:t>
      </w:r>
      <w:r>
        <w:rPr>
          <w:rFonts w:hint="eastAsia" w:ascii="Times New Roman" w:hAnsi="Times New Roman" w:eastAsia="仿宋" w:cs="Times New Roman"/>
          <w:sz w:val="24"/>
        </w:rPr>
        <w:t>《关于印发〈广东省绿色建筑创建行动实施方案（2021-2023）〉的通知》（粤建科〔2021〕166号）</w:t>
      </w:r>
    </w:p>
    <w:p>
      <w:pPr>
        <w:tabs>
          <w:tab w:val="left" w:pos="1680"/>
        </w:tabs>
        <w:adjustRightInd w:val="0"/>
        <w:snapToGrid w:val="0"/>
        <w:spacing w:before="93" w:beforeLines="30" w:after="93" w:afterLines="30" w:line="360" w:lineRule="auto"/>
        <w:ind w:firstLine="480" w:firstLineChars="200"/>
        <w:rPr>
          <w:rFonts w:hint="default" w:ascii="Times New Roman" w:hAnsi="Times New Roman" w:eastAsia="仿宋" w:cs="Times New Roman"/>
          <w:sz w:val="24"/>
          <w:lang w:val="en-US"/>
        </w:rPr>
      </w:pPr>
      <w:r>
        <w:rPr>
          <w:rFonts w:hint="eastAsia" w:ascii="Times New Roman" w:hAnsi="Times New Roman" w:eastAsia="仿宋" w:cs="Times New Roman"/>
          <w:sz w:val="24"/>
        </w:rPr>
        <w:t>1</w:t>
      </w:r>
      <w:r>
        <w:rPr>
          <w:rFonts w:hint="eastAsia" w:ascii="Times New Roman" w:hAnsi="Times New Roman" w:eastAsia="仿宋" w:cs="Times New Roman"/>
          <w:sz w:val="24"/>
          <w:lang w:val="en-US" w:eastAsia="zh-CN"/>
        </w:rPr>
        <w:t>4</w:t>
      </w:r>
      <w:r>
        <w:rPr>
          <w:rFonts w:hint="default" w:ascii="Times New Roman" w:hAnsi="Times New Roman" w:eastAsia="仿宋" w:cs="Times New Roman"/>
          <w:sz w:val="24"/>
          <w:lang w:eastAsia="zh-CN"/>
        </w:rPr>
        <w:t>.</w:t>
      </w:r>
      <w:r>
        <w:rPr>
          <w:rFonts w:hint="eastAsia" w:ascii="Times New Roman" w:hAnsi="Times New Roman" w:eastAsia="仿宋" w:cs="Times New Roman"/>
          <w:sz w:val="24"/>
        </w:rPr>
        <w:t>《广东省住房和城乡建设厅关于印发广东省建筑节能与绿色建筑发展“十四五”规划的通知》</w:t>
      </w:r>
      <w:r>
        <w:rPr>
          <w:rFonts w:hint="eastAsia" w:ascii="Times New Roman" w:hAnsi="Times New Roman" w:eastAsia="仿宋" w:cs="Times New Roman"/>
          <w:sz w:val="24"/>
          <w:lang w:eastAsia="zh-CN"/>
        </w:rPr>
        <w:t>（粤建科〔2022〕56号）</w:t>
      </w:r>
    </w:p>
    <w:p>
      <w:pPr>
        <w:tabs>
          <w:tab w:val="left" w:pos="1680"/>
        </w:tabs>
        <w:adjustRightInd w:val="0"/>
        <w:snapToGrid w:val="0"/>
        <w:spacing w:before="93" w:beforeLines="30" w:after="93" w:afterLines="30" w:line="360" w:lineRule="auto"/>
        <w:ind w:firstLine="480" w:firstLineChars="200"/>
        <w:rPr>
          <w:rFonts w:hint="default" w:ascii="Times New Roman" w:hAnsi="Times New Roman" w:eastAsia="仿宋" w:cs="Times New Roman"/>
          <w:sz w:val="24"/>
          <w:lang w:val="en-US" w:eastAsia="zh-CN"/>
        </w:rPr>
      </w:pPr>
      <w:r>
        <w:rPr>
          <w:rFonts w:hint="eastAsia" w:ascii="Times New Roman" w:hAnsi="Times New Roman" w:eastAsia="仿宋" w:cs="Times New Roman"/>
          <w:sz w:val="24"/>
        </w:rPr>
        <w:t>1</w:t>
      </w:r>
      <w:r>
        <w:rPr>
          <w:rFonts w:hint="eastAsia" w:ascii="Times New Roman" w:hAnsi="Times New Roman" w:eastAsia="仿宋" w:cs="Times New Roman"/>
          <w:sz w:val="24"/>
          <w:lang w:val="en-US" w:eastAsia="zh-CN"/>
        </w:rPr>
        <w:t>5</w:t>
      </w:r>
      <w:r>
        <w:rPr>
          <w:rFonts w:hint="default" w:ascii="Times New Roman" w:hAnsi="Times New Roman" w:eastAsia="仿宋" w:cs="Times New Roman"/>
          <w:sz w:val="24"/>
          <w:lang w:eastAsia="zh-CN"/>
        </w:rPr>
        <w:t>.</w:t>
      </w:r>
      <w:r>
        <w:rPr>
          <w:rFonts w:hint="eastAsia" w:ascii="Times New Roman" w:hAnsi="Times New Roman" w:eastAsia="仿宋" w:cs="Times New Roman"/>
          <w:sz w:val="24"/>
        </w:rPr>
        <w:t>《中山市人民政府关于印发〈中山市国民经济和社会发展第十四个五年规划和2035年远景目标纲要〉的通知》</w:t>
      </w:r>
      <w:r>
        <w:rPr>
          <w:rFonts w:hint="eastAsia" w:ascii="Times New Roman" w:hAnsi="Times New Roman" w:eastAsia="仿宋" w:cs="Times New Roman"/>
          <w:sz w:val="24"/>
          <w:lang w:eastAsia="zh-CN"/>
        </w:rPr>
        <w:t>（中府〔2021〕53号）</w:t>
      </w:r>
    </w:p>
    <w:p>
      <w:pPr>
        <w:tabs>
          <w:tab w:val="left" w:pos="1680"/>
        </w:tabs>
        <w:adjustRightInd w:val="0"/>
        <w:snapToGrid w:val="0"/>
        <w:spacing w:before="93" w:beforeLines="30" w:after="93" w:afterLines="30" w:line="360" w:lineRule="auto"/>
        <w:ind w:firstLine="480" w:firstLineChars="200"/>
        <w:rPr>
          <w:rFonts w:hint="eastAsia" w:ascii="Times New Roman" w:hAnsi="Times New Roman" w:eastAsia="仿宋" w:cs="Times New Roman"/>
          <w:sz w:val="24"/>
          <w:lang w:val="en-US" w:eastAsia="zh-CN"/>
        </w:rPr>
      </w:pPr>
      <w:r>
        <w:rPr>
          <w:rFonts w:hint="eastAsia" w:ascii="Times New Roman" w:hAnsi="Times New Roman" w:eastAsia="仿宋" w:cs="Times New Roman"/>
          <w:sz w:val="24"/>
          <w:lang w:val="en-US" w:eastAsia="zh-CN"/>
        </w:rPr>
        <w:t>16</w:t>
      </w:r>
      <w:r>
        <w:rPr>
          <w:rFonts w:hint="default" w:ascii="Times New Roman" w:hAnsi="Times New Roman" w:eastAsia="仿宋" w:cs="Times New Roman"/>
          <w:sz w:val="24"/>
          <w:lang w:eastAsia="zh-CN"/>
        </w:rPr>
        <w:t>.</w:t>
      </w:r>
      <w:r>
        <w:rPr>
          <w:rFonts w:hint="eastAsia" w:ascii="Times New Roman" w:hAnsi="Times New Roman" w:eastAsia="仿宋" w:cs="Times New Roman"/>
          <w:sz w:val="24"/>
        </w:rPr>
        <w:t>关于印发《中山市绿色建筑创建行动实施方案（2021</w:t>
      </w:r>
      <w:r>
        <w:rPr>
          <w:rFonts w:hint="eastAsia" w:ascii="Times New Roman" w:hAnsi="Times New Roman" w:eastAsia="仿宋" w:cs="Times New Roman"/>
          <w:sz w:val="24"/>
          <w:lang w:eastAsia="zh-CN"/>
        </w:rPr>
        <w:t>—</w:t>
      </w:r>
      <w:r>
        <w:rPr>
          <w:rFonts w:hint="eastAsia" w:ascii="Times New Roman" w:hAnsi="Times New Roman" w:eastAsia="仿宋" w:cs="Times New Roman"/>
          <w:sz w:val="24"/>
        </w:rPr>
        <w:t>2023）》的通知（中建通〔2022〕73号）</w:t>
      </w:r>
    </w:p>
    <w:p>
      <w:pPr>
        <w:tabs>
          <w:tab w:val="left" w:pos="1680"/>
        </w:tabs>
        <w:adjustRightInd w:val="0"/>
        <w:snapToGrid w:val="0"/>
        <w:spacing w:before="93" w:beforeLines="30" w:after="93" w:afterLines="30" w:line="360" w:lineRule="auto"/>
        <w:ind w:firstLine="480" w:firstLineChars="200"/>
        <w:rPr>
          <w:rFonts w:hint="default" w:ascii="Times New Roman" w:hAnsi="Times New Roman" w:eastAsia="仿宋" w:cs="Times New Roman"/>
          <w:sz w:val="24"/>
          <w:lang w:val="en-US" w:eastAsia="zh-CN"/>
        </w:rPr>
      </w:pPr>
      <w:r>
        <w:rPr>
          <w:rFonts w:hint="eastAsia" w:ascii="Times New Roman" w:hAnsi="Times New Roman" w:eastAsia="仿宋" w:cs="Times New Roman"/>
          <w:sz w:val="24"/>
          <w:lang w:val="en-US" w:eastAsia="zh-CN"/>
        </w:rPr>
        <w:t>17</w:t>
      </w:r>
      <w:r>
        <w:rPr>
          <w:rFonts w:hint="default" w:ascii="Times New Roman" w:hAnsi="Times New Roman" w:eastAsia="仿宋" w:cs="Times New Roman"/>
          <w:sz w:val="24"/>
          <w:lang w:eastAsia="zh-CN"/>
        </w:rPr>
        <w:t>.</w:t>
      </w:r>
      <w:r>
        <w:rPr>
          <w:rFonts w:hint="eastAsia" w:ascii="Times New Roman" w:hAnsi="Times New Roman" w:eastAsia="仿宋" w:cs="Times New Roman"/>
          <w:sz w:val="24"/>
          <w:lang w:val="en-US" w:eastAsia="zh-CN"/>
        </w:rPr>
        <w:t>《关于加强绿色建筑工程质量管理的通知》</w:t>
      </w:r>
    </w:p>
    <w:p>
      <w:pPr>
        <w:tabs>
          <w:tab w:val="left" w:pos="1680"/>
        </w:tabs>
        <w:adjustRightInd w:val="0"/>
        <w:snapToGrid w:val="0"/>
        <w:spacing w:before="93" w:beforeLines="30" w:after="93" w:afterLines="30" w:line="360" w:lineRule="auto"/>
        <w:ind w:firstLine="480" w:firstLineChars="200"/>
        <w:rPr>
          <w:rFonts w:hint="eastAsia" w:ascii="Times New Roman" w:hAnsi="Times New Roman" w:eastAsia="仿宋" w:cs="Times New Roman"/>
          <w:sz w:val="24"/>
        </w:rPr>
      </w:pPr>
      <w:r>
        <w:rPr>
          <w:rFonts w:hint="eastAsia" w:ascii="Times New Roman" w:hAnsi="Times New Roman" w:eastAsia="仿宋" w:cs="Times New Roman"/>
          <w:sz w:val="24"/>
        </w:rPr>
        <w:t>1</w:t>
      </w:r>
      <w:r>
        <w:rPr>
          <w:rFonts w:hint="eastAsia" w:ascii="Times New Roman" w:hAnsi="Times New Roman" w:eastAsia="仿宋" w:cs="Times New Roman"/>
          <w:sz w:val="24"/>
          <w:lang w:val="en-US" w:eastAsia="zh-CN"/>
        </w:rPr>
        <w:t>8</w:t>
      </w:r>
      <w:r>
        <w:rPr>
          <w:rFonts w:hint="default" w:ascii="Times New Roman" w:hAnsi="Times New Roman" w:eastAsia="仿宋" w:cs="Times New Roman"/>
          <w:sz w:val="24"/>
          <w:lang w:eastAsia="zh-CN"/>
        </w:rPr>
        <w:t>.</w:t>
      </w:r>
      <w:r>
        <w:rPr>
          <w:rFonts w:hint="eastAsia" w:ascii="Times New Roman" w:hAnsi="Times New Roman" w:eastAsia="仿宋" w:cs="Times New Roman"/>
          <w:sz w:val="24"/>
        </w:rPr>
        <w:t>《粤港澳大湾区发展规划纲要》</w:t>
      </w:r>
    </w:p>
    <w:p>
      <w:pPr>
        <w:tabs>
          <w:tab w:val="left" w:pos="1680"/>
        </w:tabs>
        <w:adjustRightInd w:val="0"/>
        <w:snapToGrid w:val="0"/>
        <w:spacing w:before="93" w:beforeLines="30" w:after="93" w:afterLines="30" w:line="360" w:lineRule="auto"/>
        <w:ind w:firstLine="480" w:firstLineChars="200"/>
        <w:rPr>
          <w:rFonts w:hint="eastAsia" w:ascii="Times New Roman" w:hAnsi="Times New Roman" w:eastAsia="仿宋" w:cs="Times New Roman"/>
          <w:sz w:val="24"/>
        </w:rPr>
      </w:pPr>
      <w:r>
        <w:rPr>
          <w:rFonts w:hint="eastAsia" w:ascii="Times New Roman" w:hAnsi="Times New Roman" w:eastAsia="仿宋" w:cs="Times New Roman"/>
          <w:sz w:val="24"/>
        </w:rPr>
        <w:t>1</w:t>
      </w:r>
      <w:r>
        <w:rPr>
          <w:rFonts w:hint="eastAsia" w:ascii="Times New Roman" w:hAnsi="Times New Roman" w:eastAsia="仿宋" w:cs="Times New Roman"/>
          <w:sz w:val="24"/>
          <w:lang w:val="en-US" w:eastAsia="zh-CN"/>
        </w:rPr>
        <w:t>9</w:t>
      </w:r>
      <w:r>
        <w:rPr>
          <w:rFonts w:hint="default" w:ascii="Times New Roman" w:hAnsi="Times New Roman" w:eastAsia="仿宋" w:cs="Times New Roman"/>
          <w:sz w:val="24"/>
          <w:lang w:eastAsia="zh-CN"/>
        </w:rPr>
        <w:t>.</w:t>
      </w:r>
      <w:r>
        <w:rPr>
          <w:rFonts w:hint="eastAsia" w:ascii="Times New Roman" w:hAnsi="Times New Roman" w:eastAsia="仿宋" w:cs="Times New Roman"/>
          <w:sz w:val="24"/>
        </w:rPr>
        <w:t>《中山市国土空间总体规划（202</w:t>
      </w:r>
      <w:r>
        <w:rPr>
          <w:rFonts w:hint="eastAsia" w:ascii="Times New Roman" w:hAnsi="Times New Roman" w:eastAsia="仿宋" w:cs="Times New Roman"/>
          <w:sz w:val="24"/>
          <w:lang w:val="en-US" w:eastAsia="zh-CN"/>
        </w:rPr>
        <w:t>1</w:t>
      </w:r>
      <w:r>
        <w:rPr>
          <w:rFonts w:hint="eastAsia" w:ascii="Times New Roman" w:hAnsi="Times New Roman" w:eastAsia="仿宋" w:cs="Times New Roman"/>
          <w:sz w:val="24"/>
          <w:lang w:eastAsia="zh-CN"/>
        </w:rPr>
        <w:t>—</w:t>
      </w:r>
      <w:r>
        <w:rPr>
          <w:rFonts w:hint="eastAsia" w:ascii="Times New Roman" w:hAnsi="Times New Roman" w:eastAsia="仿宋" w:cs="Times New Roman"/>
          <w:sz w:val="24"/>
        </w:rPr>
        <w:t>2035年）》</w:t>
      </w:r>
      <w:r>
        <w:rPr>
          <w:rFonts w:hint="eastAsia" w:ascii="Times New Roman" w:hAnsi="Times New Roman" w:eastAsia="仿宋" w:cs="Times New Roman"/>
          <w:sz w:val="24"/>
          <w:lang w:eastAsia="zh-CN"/>
        </w:rPr>
        <w:t>（</w:t>
      </w:r>
      <w:r>
        <w:rPr>
          <w:rFonts w:hint="eastAsia" w:ascii="Times New Roman" w:hAnsi="Times New Roman" w:eastAsia="仿宋" w:cs="Times New Roman"/>
          <w:sz w:val="24"/>
          <w:lang w:val="en-US" w:eastAsia="zh-CN"/>
        </w:rPr>
        <w:t>公众版</w:t>
      </w:r>
      <w:r>
        <w:rPr>
          <w:rFonts w:hint="eastAsia" w:ascii="Times New Roman" w:hAnsi="Times New Roman" w:eastAsia="仿宋" w:cs="Times New Roman"/>
          <w:sz w:val="24"/>
          <w:lang w:eastAsia="zh-CN"/>
        </w:rPr>
        <w:t>）</w:t>
      </w:r>
    </w:p>
    <w:p>
      <w:pPr>
        <w:tabs>
          <w:tab w:val="left" w:pos="1680"/>
        </w:tabs>
        <w:adjustRightInd w:val="0"/>
        <w:snapToGrid w:val="0"/>
        <w:spacing w:before="93" w:beforeLines="30" w:after="93" w:afterLines="30" w:line="360" w:lineRule="auto"/>
        <w:ind w:firstLine="480" w:firstLineChars="200"/>
        <w:rPr>
          <w:rFonts w:hint="eastAsia" w:ascii="Times New Roman" w:hAnsi="Times New Roman" w:eastAsia="仿宋" w:cs="Times New Roman"/>
          <w:sz w:val="24"/>
        </w:rPr>
      </w:pPr>
      <w:r>
        <w:rPr>
          <w:rFonts w:hint="eastAsia" w:ascii="Times New Roman" w:hAnsi="Times New Roman" w:eastAsia="仿宋" w:cs="Times New Roman"/>
          <w:sz w:val="24"/>
          <w:lang w:val="en-US" w:eastAsia="zh-CN"/>
        </w:rPr>
        <w:t>20.</w:t>
      </w:r>
      <w:r>
        <w:rPr>
          <w:rFonts w:hint="eastAsia" w:ascii="Times New Roman" w:hAnsi="Times New Roman" w:eastAsia="仿宋" w:cs="Times New Roman"/>
          <w:sz w:val="24"/>
        </w:rPr>
        <w:t>《中山市装配式建筑（2021</w:t>
      </w:r>
      <w:r>
        <w:rPr>
          <w:rFonts w:hint="eastAsia" w:ascii="Times New Roman" w:hAnsi="Times New Roman" w:eastAsia="仿宋" w:cs="Times New Roman"/>
          <w:sz w:val="24"/>
          <w:lang w:eastAsia="zh-CN"/>
        </w:rPr>
        <w:t>—</w:t>
      </w:r>
      <w:r>
        <w:rPr>
          <w:rFonts w:hint="eastAsia" w:ascii="Times New Roman" w:hAnsi="Times New Roman" w:eastAsia="仿宋" w:cs="Times New Roman"/>
          <w:sz w:val="24"/>
        </w:rPr>
        <w:t>2025年）发展规划》</w:t>
      </w:r>
    </w:p>
    <w:p>
      <w:pPr>
        <w:tabs>
          <w:tab w:val="left" w:pos="1680"/>
        </w:tabs>
        <w:adjustRightInd w:val="0"/>
        <w:snapToGrid w:val="0"/>
        <w:spacing w:before="93" w:beforeLines="30" w:after="93" w:afterLines="30" w:line="360" w:lineRule="auto"/>
        <w:ind w:firstLine="480" w:firstLineChars="200"/>
        <w:rPr>
          <w:rFonts w:hint="default" w:ascii="Times New Roman" w:hAnsi="Times New Roman" w:eastAsia="仿宋" w:cs="Times New Roman"/>
          <w:sz w:val="24"/>
          <w:lang w:val="en-US" w:eastAsia="zh-CN"/>
        </w:rPr>
      </w:pPr>
      <w:r>
        <w:rPr>
          <w:rFonts w:hint="eastAsia" w:ascii="Times New Roman" w:hAnsi="Times New Roman" w:eastAsia="仿宋" w:cs="Times New Roman"/>
          <w:sz w:val="24"/>
        </w:rPr>
        <w:t>2</w:t>
      </w:r>
      <w:r>
        <w:rPr>
          <w:rFonts w:hint="eastAsia" w:ascii="Times New Roman" w:hAnsi="Times New Roman" w:eastAsia="仿宋" w:cs="Times New Roman"/>
          <w:sz w:val="24"/>
          <w:lang w:val="en-US" w:eastAsia="zh-CN"/>
        </w:rPr>
        <w:t>1.</w:t>
      </w:r>
      <w:r>
        <w:rPr>
          <w:rFonts w:hint="eastAsia" w:ascii="Times New Roman" w:hAnsi="Times New Roman" w:eastAsia="仿宋" w:cs="Times New Roman"/>
          <w:sz w:val="24"/>
        </w:rPr>
        <w:t>《中山市绿色基础设施规划》</w:t>
      </w:r>
    </w:p>
    <w:p>
      <w:pPr>
        <w:tabs>
          <w:tab w:val="left" w:pos="1680"/>
        </w:tabs>
        <w:adjustRightInd/>
        <w:snapToGrid/>
        <w:spacing w:before="93" w:beforeLines="30" w:after="93" w:line="360" w:lineRule="auto"/>
        <w:ind w:firstLine="480" w:firstLineChars="200"/>
        <w:rPr>
          <w:rFonts w:hint="eastAsia" w:ascii="Times New Roman" w:hAnsi="Times New Roman" w:eastAsia="仿宋" w:cs="Times New Roman"/>
          <w:sz w:val="24"/>
          <w:lang w:val="en-US" w:eastAsia="zh-CN"/>
        </w:rPr>
      </w:pPr>
      <w:r>
        <w:rPr>
          <w:rFonts w:hint="eastAsia" w:ascii="Times New Roman" w:hAnsi="Times New Roman" w:eastAsia="仿宋" w:cs="Times New Roman"/>
          <w:sz w:val="24"/>
        </w:rPr>
        <w:t>2</w:t>
      </w:r>
      <w:r>
        <w:rPr>
          <w:rFonts w:hint="eastAsia" w:ascii="Times New Roman" w:hAnsi="Times New Roman" w:eastAsia="仿宋" w:cs="Times New Roman"/>
          <w:sz w:val="24"/>
          <w:lang w:val="en-US" w:eastAsia="zh-CN"/>
        </w:rPr>
        <w:t>2.</w:t>
      </w:r>
      <w:r>
        <w:rPr>
          <w:rFonts w:hint="eastAsia" w:ascii="Times New Roman" w:hAnsi="Times New Roman" w:eastAsia="仿宋" w:cs="Times New Roman"/>
          <w:sz w:val="24"/>
        </w:rPr>
        <w:t>《中山市海绵城市专项规划》</w:t>
      </w:r>
    </w:p>
    <w:p>
      <w:pPr>
        <w:tabs>
          <w:tab w:val="left" w:pos="1680"/>
        </w:tabs>
        <w:adjustRightInd/>
        <w:snapToGrid/>
        <w:spacing w:before="93" w:beforeLines="30" w:after="93" w:line="360" w:lineRule="auto"/>
        <w:ind w:firstLine="480" w:firstLineChars="200"/>
        <w:rPr>
          <w:rFonts w:hint="eastAsia" w:ascii="Times New Roman" w:hAnsi="Times New Roman" w:eastAsia="仿宋" w:cs="Times New Roman"/>
          <w:sz w:val="24"/>
          <w:lang w:val="en-US" w:eastAsia="zh-CN"/>
        </w:rPr>
      </w:pPr>
      <w:r>
        <w:rPr>
          <w:rFonts w:hint="eastAsia" w:ascii="Times New Roman" w:hAnsi="Times New Roman" w:eastAsia="仿宋" w:cs="Times New Roman"/>
          <w:sz w:val="24"/>
        </w:rPr>
        <w:t>2</w:t>
      </w:r>
      <w:r>
        <w:rPr>
          <w:rFonts w:hint="eastAsia" w:ascii="Times New Roman" w:hAnsi="Times New Roman" w:eastAsia="仿宋" w:cs="Times New Roman"/>
          <w:sz w:val="24"/>
          <w:lang w:val="en-US" w:eastAsia="zh-CN"/>
        </w:rPr>
        <w:t>3.</w:t>
      </w:r>
      <w:r>
        <w:rPr>
          <w:rFonts w:hint="eastAsia" w:ascii="Times New Roman" w:hAnsi="Times New Roman" w:eastAsia="仿宋" w:cs="Times New Roman"/>
          <w:sz w:val="24"/>
        </w:rPr>
        <w:t>《中山市声环境功能区划方案（2021年修编）》</w:t>
      </w:r>
    </w:p>
    <w:p>
      <w:pPr>
        <w:tabs>
          <w:tab w:val="left" w:pos="1680"/>
        </w:tabs>
        <w:spacing w:before="93" w:beforeLines="30" w:after="93" w:line="360" w:lineRule="auto"/>
        <w:ind w:firstLine="480" w:firstLineChars="200"/>
        <w:rPr>
          <w:rFonts w:hint="eastAsia" w:ascii="Times New Roman" w:hAnsi="Times New Roman" w:eastAsia="仿宋" w:cs="Times New Roman"/>
          <w:sz w:val="24"/>
          <w:lang w:val="en-US" w:eastAsia="zh-CN"/>
        </w:rPr>
      </w:pPr>
      <w:r>
        <w:rPr>
          <w:rFonts w:hint="eastAsia" w:ascii="Times New Roman" w:hAnsi="Times New Roman" w:eastAsia="仿宋" w:cs="Times New Roman"/>
          <w:sz w:val="24"/>
          <w:lang w:val="en-US" w:eastAsia="zh-CN"/>
        </w:rPr>
        <w:t>24.</w:t>
      </w:r>
      <w:r>
        <w:rPr>
          <w:rFonts w:hint="eastAsia" w:ascii="Times New Roman" w:hAnsi="Times New Roman" w:eastAsia="仿宋" w:cs="Times New Roman"/>
          <w:sz w:val="24"/>
        </w:rPr>
        <w:t>《中山市城市更新（“三旧”改造）专项规划（2020-2035）》</w:t>
      </w:r>
    </w:p>
    <w:p>
      <w:pPr>
        <w:tabs>
          <w:tab w:val="left" w:pos="1680"/>
        </w:tabs>
        <w:spacing w:before="93" w:beforeLines="30" w:after="93" w:line="360" w:lineRule="auto"/>
        <w:ind w:firstLine="480" w:firstLineChars="200"/>
        <w:rPr>
          <w:rFonts w:hint="default" w:ascii="Times New Roman" w:hAnsi="Times New Roman" w:eastAsia="仿宋" w:cs="Times New Roman"/>
          <w:sz w:val="24"/>
          <w:lang w:val="en-US" w:eastAsia="zh-CN"/>
        </w:rPr>
      </w:pPr>
      <w:r>
        <w:rPr>
          <w:rFonts w:hint="eastAsia" w:ascii="Times New Roman" w:hAnsi="Times New Roman" w:eastAsia="仿宋" w:cs="Times New Roman"/>
          <w:sz w:val="24"/>
          <w:lang w:val="en-US" w:eastAsia="zh-CN"/>
        </w:rPr>
        <w:t>25.《中山市公共交通系统规划》</w:t>
      </w:r>
    </w:p>
    <w:p>
      <w:pPr>
        <w:tabs>
          <w:tab w:val="left" w:pos="1680"/>
        </w:tabs>
        <w:adjustRightInd/>
        <w:snapToGrid/>
        <w:spacing w:before="93" w:beforeLines="30" w:after="93" w:line="360" w:lineRule="auto"/>
        <w:ind w:firstLine="480" w:firstLineChars="200"/>
        <w:rPr>
          <w:rFonts w:hint="default" w:ascii="Times New Roman" w:hAnsi="Times New Roman" w:eastAsia="仿宋" w:cs="Times New Roman"/>
          <w:sz w:val="24"/>
          <w:lang w:val="en-US" w:eastAsia="zh-CN"/>
        </w:rPr>
      </w:pPr>
      <w:r>
        <w:rPr>
          <w:rFonts w:hint="eastAsia" w:ascii="Times New Roman" w:hAnsi="Times New Roman" w:eastAsia="仿宋" w:cs="Times New Roman"/>
          <w:sz w:val="24"/>
        </w:rPr>
        <w:t>2</w:t>
      </w:r>
      <w:r>
        <w:rPr>
          <w:rFonts w:hint="eastAsia" w:ascii="Times New Roman" w:hAnsi="Times New Roman" w:eastAsia="仿宋" w:cs="Times New Roman"/>
          <w:sz w:val="24"/>
          <w:lang w:val="en-US" w:eastAsia="zh-CN"/>
        </w:rPr>
        <w:t>6.</w:t>
      </w:r>
      <w:r>
        <w:rPr>
          <w:rFonts w:hint="eastAsia" w:ascii="Times New Roman" w:hAnsi="Times New Roman" w:eastAsia="仿宋" w:cs="Times New Roman"/>
          <w:sz w:val="24"/>
        </w:rPr>
        <w:t>《中山市体育公共服务设施专项规划（2020-2035）》</w:t>
      </w:r>
      <w:r>
        <w:rPr>
          <w:rFonts w:hint="eastAsia" w:ascii="Times New Roman" w:hAnsi="Times New Roman" w:eastAsia="仿宋" w:cs="Times New Roman"/>
          <w:sz w:val="24"/>
          <w:lang w:eastAsia="zh-CN"/>
        </w:rPr>
        <w:t>（</w:t>
      </w:r>
      <w:r>
        <w:rPr>
          <w:rFonts w:hint="eastAsia" w:ascii="Times New Roman" w:hAnsi="Times New Roman" w:eastAsia="仿宋" w:cs="Times New Roman"/>
          <w:sz w:val="24"/>
          <w:lang w:val="en-US" w:eastAsia="zh-CN"/>
        </w:rPr>
        <w:t>草案</w:t>
      </w:r>
      <w:r>
        <w:rPr>
          <w:rFonts w:hint="eastAsia" w:ascii="Times New Roman" w:hAnsi="Times New Roman" w:eastAsia="仿宋" w:cs="Times New Roman"/>
          <w:sz w:val="24"/>
          <w:lang w:eastAsia="zh-CN"/>
        </w:rPr>
        <w:t>）</w:t>
      </w:r>
    </w:p>
    <w:p>
      <w:pPr>
        <w:tabs>
          <w:tab w:val="left" w:pos="1680"/>
        </w:tabs>
        <w:adjustRightInd w:val="0"/>
        <w:snapToGrid w:val="0"/>
        <w:spacing w:before="93" w:beforeLines="30" w:after="93" w:afterLines="30" w:line="360" w:lineRule="auto"/>
        <w:ind w:firstLine="480" w:firstLineChars="200"/>
        <w:rPr>
          <w:rFonts w:hint="eastAsia" w:ascii="Times New Roman" w:hAnsi="Times New Roman" w:eastAsia="仿宋" w:cs="Times New Roman"/>
          <w:sz w:val="24"/>
          <w:lang w:val="en-US"/>
        </w:rPr>
      </w:pPr>
      <w:r>
        <w:rPr>
          <w:rFonts w:hint="eastAsia" w:ascii="Times New Roman" w:hAnsi="Times New Roman" w:eastAsia="仿宋" w:cs="Times New Roman"/>
          <w:sz w:val="24"/>
        </w:rPr>
        <w:t>2</w:t>
      </w:r>
      <w:r>
        <w:rPr>
          <w:rFonts w:hint="eastAsia" w:ascii="Times New Roman" w:hAnsi="Times New Roman" w:eastAsia="仿宋" w:cs="Times New Roman"/>
          <w:sz w:val="24"/>
          <w:lang w:val="en-US" w:eastAsia="zh-CN"/>
        </w:rPr>
        <w:t>7.</w:t>
      </w:r>
      <w:r>
        <w:rPr>
          <w:rFonts w:hint="eastAsia" w:ascii="Times New Roman" w:hAnsi="Times New Roman" w:eastAsia="仿宋" w:cs="Times New Roman"/>
          <w:sz w:val="24"/>
        </w:rPr>
        <w:t>《中山市教育设施专项规划（2020-2035）》</w:t>
      </w:r>
      <w:r>
        <w:rPr>
          <w:rFonts w:hint="eastAsia" w:ascii="Times New Roman" w:hAnsi="Times New Roman" w:eastAsia="仿宋" w:cs="Times New Roman"/>
          <w:sz w:val="24"/>
          <w:lang w:eastAsia="zh-CN"/>
        </w:rPr>
        <w:t>（</w:t>
      </w:r>
      <w:r>
        <w:rPr>
          <w:rFonts w:hint="eastAsia" w:ascii="Times New Roman" w:hAnsi="Times New Roman" w:eastAsia="仿宋" w:cs="Times New Roman"/>
          <w:sz w:val="24"/>
          <w:lang w:val="en-US" w:eastAsia="zh-CN"/>
        </w:rPr>
        <w:t>草案</w:t>
      </w:r>
      <w:r>
        <w:rPr>
          <w:rFonts w:hint="eastAsia" w:ascii="Times New Roman" w:hAnsi="Times New Roman" w:eastAsia="仿宋" w:cs="Times New Roman"/>
          <w:sz w:val="24"/>
          <w:lang w:eastAsia="zh-CN"/>
        </w:rPr>
        <w:t>）</w:t>
      </w:r>
    </w:p>
    <w:p>
      <w:pPr>
        <w:tabs>
          <w:tab w:val="left" w:pos="1680"/>
        </w:tabs>
        <w:adjustRightInd w:val="0"/>
        <w:snapToGrid w:val="0"/>
        <w:spacing w:before="93" w:beforeLines="30" w:after="93" w:afterLines="30" w:line="360" w:lineRule="auto"/>
        <w:ind w:firstLine="480" w:firstLineChars="200"/>
        <w:rPr>
          <w:rFonts w:hint="default" w:ascii="Times New Roman" w:hAnsi="Times New Roman" w:eastAsia="仿宋" w:cs="Times New Roman"/>
          <w:sz w:val="24"/>
          <w:lang w:val="en-US" w:eastAsia="zh-CN"/>
        </w:rPr>
      </w:pPr>
      <w:r>
        <w:rPr>
          <w:rFonts w:hint="eastAsia" w:ascii="Times New Roman" w:hAnsi="Times New Roman" w:eastAsia="仿宋" w:cs="Times New Roman"/>
          <w:sz w:val="24"/>
        </w:rPr>
        <w:t>2</w:t>
      </w:r>
      <w:r>
        <w:rPr>
          <w:rFonts w:hint="eastAsia" w:ascii="Times New Roman" w:hAnsi="Times New Roman" w:eastAsia="仿宋" w:cs="Times New Roman"/>
          <w:sz w:val="24"/>
          <w:lang w:val="en-US" w:eastAsia="zh-CN"/>
        </w:rPr>
        <w:t>8.</w:t>
      </w:r>
      <w:r>
        <w:rPr>
          <w:rFonts w:hint="eastAsia" w:ascii="Times New Roman" w:hAnsi="Times New Roman" w:eastAsia="仿宋" w:cs="Times New Roman"/>
          <w:sz w:val="24"/>
        </w:rPr>
        <w:t>《中山市水利发展“十四五”规划》</w:t>
      </w:r>
    </w:p>
    <w:p>
      <w:pPr>
        <w:tabs>
          <w:tab w:val="left" w:pos="1680"/>
        </w:tabs>
        <w:adjustRightInd w:val="0"/>
        <w:snapToGrid w:val="0"/>
        <w:spacing w:before="93" w:beforeLines="30" w:after="93" w:afterLines="30" w:line="360" w:lineRule="auto"/>
        <w:ind w:firstLine="480" w:firstLineChars="200"/>
        <w:rPr>
          <w:rFonts w:hint="eastAsia" w:ascii="Times New Roman" w:hAnsi="Times New Roman" w:eastAsia="仿宋" w:cs="Times New Roman"/>
          <w:sz w:val="24"/>
        </w:rPr>
      </w:pPr>
      <w:r>
        <w:rPr>
          <w:rFonts w:hint="eastAsia" w:ascii="Times New Roman" w:hAnsi="Times New Roman" w:eastAsia="仿宋" w:cs="Times New Roman"/>
          <w:sz w:val="24"/>
          <w:lang w:val="en-US" w:eastAsia="zh-CN"/>
        </w:rPr>
        <w:t>29.</w:t>
      </w:r>
      <w:r>
        <w:rPr>
          <w:rFonts w:hint="eastAsia" w:ascii="Times New Roman" w:hAnsi="Times New Roman" w:eastAsia="仿宋" w:cs="Times New Roman"/>
          <w:sz w:val="24"/>
        </w:rPr>
        <w:t>《绿色建筑评价标准》（GB/T 50378）</w:t>
      </w:r>
    </w:p>
    <w:p>
      <w:pPr>
        <w:tabs>
          <w:tab w:val="left" w:pos="1680"/>
        </w:tabs>
        <w:adjustRightInd w:val="0"/>
        <w:snapToGrid w:val="0"/>
        <w:spacing w:before="93" w:beforeLines="30" w:after="93" w:afterLines="30" w:line="360" w:lineRule="auto"/>
        <w:ind w:firstLine="480" w:firstLineChars="200"/>
        <w:rPr>
          <w:rFonts w:hint="eastAsia" w:ascii="Times New Roman" w:hAnsi="Times New Roman" w:eastAsia="仿宋" w:cs="Times New Roman"/>
          <w:sz w:val="24"/>
        </w:rPr>
      </w:pPr>
      <w:r>
        <w:rPr>
          <w:rFonts w:hint="eastAsia" w:ascii="Times New Roman" w:hAnsi="Times New Roman" w:eastAsia="仿宋" w:cs="Times New Roman"/>
          <w:sz w:val="24"/>
          <w:lang w:val="en-US" w:eastAsia="zh-CN"/>
        </w:rPr>
        <w:t>30.</w:t>
      </w:r>
      <w:r>
        <w:rPr>
          <w:rFonts w:hint="eastAsia" w:ascii="Times New Roman" w:hAnsi="Times New Roman" w:eastAsia="仿宋" w:cs="Times New Roman"/>
          <w:sz w:val="24"/>
        </w:rPr>
        <w:t>《建筑节能与可再生能源利用通用规范》（GB 55015）</w:t>
      </w:r>
    </w:p>
    <w:p>
      <w:pPr>
        <w:tabs>
          <w:tab w:val="left" w:pos="1680"/>
        </w:tabs>
        <w:adjustRightInd w:val="0"/>
        <w:snapToGrid w:val="0"/>
        <w:spacing w:before="93" w:beforeLines="30" w:after="93" w:afterLines="30" w:line="360" w:lineRule="auto"/>
        <w:ind w:firstLine="480" w:firstLineChars="200"/>
        <w:rPr>
          <w:rFonts w:ascii="Times New Roman" w:hAnsi="Times New Roman" w:eastAsia="仿宋" w:cs="Times New Roman"/>
          <w:sz w:val="24"/>
        </w:rPr>
      </w:pPr>
      <w:r>
        <w:rPr>
          <w:rFonts w:hint="eastAsia" w:ascii="Times New Roman" w:hAnsi="Times New Roman" w:eastAsia="仿宋" w:cs="Times New Roman"/>
          <w:sz w:val="24"/>
          <w:lang w:val="en-US" w:eastAsia="zh-CN"/>
        </w:rPr>
        <w:t>31.</w:t>
      </w:r>
      <w:r>
        <w:rPr>
          <w:rFonts w:hint="eastAsia" w:ascii="Times New Roman" w:hAnsi="Times New Roman" w:eastAsia="仿宋" w:cs="Times New Roman"/>
          <w:sz w:val="24"/>
        </w:rPr>
        <w:t>《建筑环境通用规范》（GB 55016）</w:t>
      </w:r>
    </w:p>
    <w:p>
      <w:pPr>
        <w:tabs>
          <w:tab w:val="left" w:pos="1680"/>
        </w:tabs>
        <w:adjustRightInd w:val="0"/>
        <w:snapToGrid w:val="0"/>
        <w:spacing w:before="93" w:beforeLines="30" w:after="93" w:afterLines="30" w:line="360" w:lineRule="auto"/>
        <w:ind w:firstLine="480" w:firstLineChars="200"/>
        <w:rPr>
          <w:rFonts w:ascii="Times New Roman" w:hAnsi="Times New Roman" w:eastAsia="仿宋" w:cs="Times New Roman"/>
          <w:sz w:val="24"/>
        </w:rPr>
      </w:pPr>
      <w:r>
        <w:rPr>
          <w:rFonts w:hint="eastAsia" w:ascii="Times New Roman" w:hAnsi="Times New Roman" w:eastAsia="仿宋" w:cs="Times New Roman"/>
          <w:sz w:val="24"/>
          <w:lang w:val="en-US" w:eastAsia="zh-CN"/>
        </w:rPr>
        <w:t>32.</w:t>
      </w:r>
      <w:r>
        <w:rPr>
          <w:rFonts w:hint="eastAsia" w:ascii="Times New Roman" w:hAnsi="Times New Roman" w:eastAsia="仿宋" w:cs="Times New Roman"/>
          <w:sz w:val="24"/>
        </w:rPr>
        <w:t>《既有建筑绿色改造评价标准》（GB/T 51141）</w:t>
      </w:r>
    </w:p>
    <w:p>
      <w:pPr>
        <w:tabs>
          <w:tab w:val="left" w:pos="1680"/>
        </w:tabs>
        <w:adjustRightInd w:val="0"/>
        <w:snapToGrid w:val="0"/>
        <w:spacing w:before="93" w:beforeLines="30" w:after="93" w:afterLines="30" w:line="360" w:lineRule="auto"/>
        <w:ind w:firstLine="480" w:firstLineChars="200"/>
        <w:rPr>
          <w:rFonts w:ascii="Times New Roman" w:hAnsi="Times New Roman" w:eastAsia="仿宋" w:cs="Times New Roman"/>
          <w:sz w:val="24"/>
        </w:rPr>
      </w:pPr>
      <w:r>
        <w:rPr>
          <w:rFonts w:hint="eastAsia" w:ascii="Times New Roman" w:hAnsi="Times New Roman" w:eastAsia="仿宋" w:cs="Times New Roman"/>
          <w:sz w:val="24"/>
        </w:rPr>
        <w:t>3</w:t>
      </w:r>
      <w:r>
        <w:rPr>
          <w:rFonts w:hint="eastAsia" w:ascii="Times New Roman" w:hAnsi="Times New Roman" w:eastAsia="仿宋" w:cs="Times New Roman"/>
          <w:sz w:val="24"/>
          <w:lang w:val="en-US" w:eastAsia="zh-CN"/>
        </w:rPr>
        <w:t>3.</w:t>
      </w:r>
      <w:r>
        <w:rPr>
          <w:rFonts w:hint="eastAsia" w:ascii="Times New Roman" w:hAnsi="Times New Roman" w:eastAsia="仿宋" w:cs="Times New Roman"/>
          <w:sz w:val="24"/>
        </w:rPr>
        <w:t>《绿色生态城区评价标准》（GB/T 51255）</w:t>
      </w:r>
    </w:p>
    <w:p>
      <w:pPr>
        <w:tabs>
          <w:tab w:val="left" w:pos="1680"/>
        </w:tabs>
        <w:adjustRightInd w:val="0"/>
        <w:snapToGrid w:val="0"/>
        <w:spacing w:before="93" w:beforeLines="30" w:after="93" w:afterLines="30" w:line="360" w:lineRule="auto"/>
        <w:ind w:firstLine="480" w:firstLineChars="200"/>
        <w:rPr>
          <w:rFonts w:ascii="Times New Roman" w:hAnsi="Times New Roman" w:eastAsia="仿宋" w:cs="Times New Roman"/>
          <w:sz w:val="24"/>
        </w:rPr>
      </w:pPr>
      <w:r>
        <w:rPr>
          <w:rFonts w:hint="eastAsia" w:ascii="Times New Roman" w:hAnsi="Times New Roman" w:eastAsia="仿宋" w:cs="Times New Roman"/>
          <w:sz w:val="24"/>
        </w:rPr>
        <w:t>3</w:t>
      </w:r>
      <w:r>
        <w:rPr>
          <w:rFonts w:hint="eastAsia" w:ascii="Times New Roman" w:hAnsi="Times New Roman" w:eastAsia="仿宋" w:cs="Times New Roman"/>
          <w:sz w:val="24"/>
          <w:lang w:val="en-US" w:eastAsia="zh-CN"/>
        </w:rPr>
        <w:t>4.</w:t>
      </w:r>
      <w:r>
        <w:rPr>
          <w:rFonts w:hint="eastAsia" w:ascii="Times New Roman" w:hAnsi="Times New Roman" w:eastAsia="仿宋" w:cs="Times New Roman"/>
          <w:sz w:val="24"/>
        </w:rPr>
        <w:t>《广东省绿色建筑设计规范》（DBJ/T 15-201）</w:t>
      </w:r>
    </w:p>
    <w:p>
      <w:pPr>
        <w:tabs>
          <w:tab w:val="left" w:pos="1680"/>
        </w:tabs>
        <w:adjustRightInd w:val="0"/>
        <w:snapToGrid w:val="0"/>
        <w:spacing w:before="93" w:beforeLines="30" w:after="93" w:afterLines="30" w:line="360" w:lineRule="auto"/>
        <w:ind w:firstLine="480" w:firstLineChars="200"/>
        <w:rPr>
          <w:rFonts w:ascii="Times New Roman" w:hAnsi="Times New Roman" w:eastAsia="仿宋" w:cs="Times New Roman"/>
          <w:sz w:val="24"/>
        </w:rPr>
      </w:pPr>
      <w:r>
        <w:rPr>
          <w:rFonts w:hint="eastAsia" w:ascii="Times New Roman" w:hAnsi="Times New Roman" w:eastAsia="仿宋" w:cs="Times New Roman"/>
          <w:sz w:val="24"/>
        </w:rPr>
        <w:t>3</w:t>
      </w:r>
      <w:r>
        <w:rPr>
          <w:rFonts w:hint="eastAsia" w:ascii="Times New Roman" w:hAnsi="Times New Roman" w:eastAsia="仿宋" w:cs="Times New Roman"/>
          <w:sz w:val="24"/>
          <w:lang w:val="en-US" w:eastAsia="zh-CN"/>
        </w:rPr>
        <w:t>5.</w:t>
      </w:r>
      <w:r>
        <w:rPr>
          <w:rFonts w:hint="eastAsia" w:ascii="Times New Roman" w:hAnsi="Times New Roman" w:eastAsia="仿宋" w:cs="Times New Roman"/>
          <w:sz w:val="24"/>
        </w:rPr>
        <w:t>《广东省建筑节能与绿色建筑工程施工质量验收规范》（DBJ 15-65）</w:t>
      </w:r>
    </w:p>
    <w:p>
      <w:pPr>
        <w:tabs>
          <w:tab w:val="left" w:pos="1680"/>
        </w:tabs>
        <w:adjustRightInd w:val="0"/>
        <w:snapToGrid w:val="0"/>
        <w:spacing w:before="93" w:beforeLines="30" w:after="93" w:afterLines="30" w:line="360" w:lineRule="auto"/>
        <w:ind w:firstLine="480" w:firstLineChars="200"/>
        <w:rPr>
          <w:rFonts w:hint="eastAsia" w:ascii="Times New Roman" w:hAnsi="Times New Roman" w:eastAsia="仿宋" w:cs="Times New Roman"/>
          <w:sz w:val="24"/>
        </w:rPr>
      </w:pPr>
      <w:r>
        <w:rPr>
          <w:rFonts w:hint="eastAsia" w:ascii="Times New Roman" w:hAnsi="Times New Roman" w:eastAsia="仿宋" w:cs="Times New Roman"/>
          <w:sz w:val="24"/>
        </w:rPr>
        <w:t>3</w:t>
      </w:r>
      <w:r>
        <w:rPr>
          <w:rFonts w:hint="eastAsia" w:ascii="Times New Roman" w:hAnsi="Times New Roman" w:eastAsia="仿宋" w:cs="Times New Roman"/>
          <w:sz w:val="24"/>
          <w:lang w:val="en-US" w:eastAsia="zh-CN"/>
        </w:rPr>
        <w:t>6.</w:t>
      </w:r>
      <w:r>
        <w:rPr>
          <w:rFonts w:hint="eastAsia" w:ascii="Times New Roman" w:hAnsi="Times New Roman" w:eastAsia="仿宋" w:cs="Times New Roman"/>
          <w:sz w:val="24"/>
        </w:rPr>
        <w:t>《广东省绿色建筑发展专项规划编制技术导则</w:t>
      </w:r>
      <w:r>
        <w:rPr>
          <w:rFonts w:hint="default" w:ascii="Times New Roman" w:hAnsi="Times New Roman" w:eastAsia="仿宋" w:cs="Times New Roman"/>
          <w:sz w:val="24"/>
          <w:lang w:val="en-US" w:eastAsia="zh-CN"/>
        </w:rPr>
        <w:t>(试行)</w:t>
      </w:r>
      <w:r>
        <w:rPr>
          <w:rFonts w:hint="eastAsia" w:ascii="Times New Roman" w:hAnsi="Times New Roman" w:eastAsia="仿宋" w:cs="Times New Roman"/>
          <w:sz w:val="24"/>
        </w:rPr>
        <w:t>》</w:t>
      </w:r>
    </w:p>
    <w:p>
      <w:pPr>
        <w:tabs>
          <w:tab w:val="left" w:pos="1680"/>
        </w:tabs>
        <w:adjustRightInd w:val="0"/>
        <w:snapToGrid w:val="0"/>
        <w:spacing w:before="93" w:beforeLines="30" w:after="93" w:afterLines="30" w:line="360" w:lineRule="auto"/>
        <w:ind w:firstLine="480" w:firstLineChars="200"/>
        <w:rPr>
          <w:rFonts w:ascii="Times New Roman" w:hAnsi="Times New Roman" w:eastAsia="仿宋" w:cs="Times New Roman"/>
          <w:sz w:val="24"/>
        </w:rPr>
      </w:pPr>
      <w:r>
        <w:rPr>
          <w:rFonts w:hint="eastAsia" w:ascii="Times New Roman" w:hAnsi="Times New Roman" w:eastAsia="仿宋" w:cs="Times New Roman"/>
          <w:sz w:val="24"/>
        </w:rPr>
        <w:t>3</w:t>
      </w:r>
      <w:r>
        <w:rPr>
          <w:rFonts w:hint="eastAsia" w:ascii="Times New Roman" w:hAnsi="Times New Roman" w:eastAsia="仿宋" w:cs="Times New Roman"/>
          <w:sz w:val="24"/>
          <w:lang w:val="en-US" w:eastAsia="zh-CN"/>
        </w:rPr>
        <w:t>7.</w:t>
      </w:r>
      <w:r>
        <w:rPr>
          <w:rFonts w:hint="eastAsia" w:ascii="Times New Roman" w:hAnsi="Times New Roman" w:eastAsia="仿宋" w:cs="Times New Roman"/>
          <w:sz w:val="24"/>
        </w:rPr>
        <w:t>《广东省既有建筑绿色改造技术规程》（征求意见稿）</w:t>
      </w:r>
    </w:p>
    <w:p>
      <w:pPr>
        <w:tabs>
          <w:tab w:val="left" w:pos="1680"/>
        </w:tabs>
        <w:adjustRightInd w:val="0"/>
        <w:snapToGrid w:val="0"/>
        <w:spacing w:before="93" w:beforeLines="30" w:after="93" w:afterLines="30" w:line="360" w:lineRule="auto"/>
        <w:ind w:firstLine="480" w:firstLineChars="200"/>
        <w:rPr>
          <w:rFonts w:ascii="Times New Roman" w:hAnsi="Times New Roman" w:eastAsia="仿宋" w:cs="Times New Roman"/>
          <w:sz w:val="24"/>
        </w:rPr>
      </w:pPr>
      <w:r>
        <w:rPr>
          <w:rFonts w:hint="eastAsia" w:ascii="Times New Roman" w:hAnsi="Times New Roman" w:eastAsia="仿宋" w:cs="Times New Roman"/>
          <w:sz w:val="24"/>
        </w:rPr>
        <w:t>3</w:t>
      </w:r>
      <w:r>
        <w:rPr>
          <w:rFonts w:hint="eastAsia" w:ascii="Times New Roman" w:hAnsi="Times New Roman" w:eastAsia="仿宋" w:cs="Times New Roman"/>
          <w:sz w:val="24"/>
          <w:lang w:val="en-US" w:eastAsia="zh-CN"/>
        </w:rPr>
        <w:t>8.</w:t>
      </w:r>
      <w:r>
        <w:rPr>
          <w:rFonts w:hint="eastAsia" w:ascii="Times New Roman" w:hAnsi="Times New Roman" w:eastAsia="仿宋" w:cs="Times New Roman"/>
          <w:sz w:val="24"/>
        </w:rPr>
        <w:t>《广东省低碳生态城市规划建设指引》</w:t>
      </w:r>
    </w:p>
    <w:p>
      <w:pPr>
        <w:tabs>
          <w:tab w:val="left" w:pos="1680"/>
        </w:tabs>
        <w:adjustRightInd w:val="0"/>
        <w:snapToGrid w:val="0"/>
        <w:spacing w:before="93" w:beforeLines="30" w:after="93" w:afterLines="30" w:line="360" w:lineRule="auto"/>
        <w:ind w:firstLine="480" w:firstLineChars="200"/>
        <w:rPr>
          <w:rFonts w:ascii="Times New Roman" w:hAnsi="Times New Roman" w:eastAsia="仿宋" w:cs="Times New Roman"/>
          <w:sz w:val="24"/>
        </w:rPr>
      </w:pPr>
      <w:r>
        <w:rPr>
          <w:rFonts w:hint="eastAsia" w:ascii="Times New Roman" w:hAnsi="Times New Roman" w:eastAsia="仿宋" w:cs="Times New Roman"/>
          <w:sz w:val="24"/>
        </w:rPr>
        <w:t>3</w:t>
      </w:r>
      <w:r>
        <w:rPr>
          <w:rFonts w:hint="eastAsia" w:ascii="Times New Roman" w:hAnsi="Times New Roman" w:eastAsia="仿宋" w:cs="Times New Roman"/>
          <w:sz w:val="24"/>
          <w:lang w:val="en-US" w:eastAsia="zh-CN"/>
        </w:rPr>
        <w:t>9.</w:t>
      </w:r>
      <w:r>
        <w:rPr>
          <w:rFonts w:hint="eastAsia" w:ascii="Times New Roman" w:hAnsi="Times New Roman" w:eastAsia="仿宋" w:cs="Times New Roman"/>
          <w:sz w:val="24"/>
        </w:rPr>
        <w:t>其他相关技术标准</w:t>
      </w:r>
    </w:p>
    <w:p>
      <w:pPr>
        <w:pStyle w:val="5"/>
        <w:rPr>
          <w:rFonts w:ascii="Times New Roman" w:hAnsi="Times New Roman" w:eastAsia="仿宋" w:cs="Times New Roman"/>
          <w:sz w:val="30"/>
          <w:szCs w:val="30"/>
        </w:rPr>
      </w:pPr>
      <w:bookmarkStart w:id="13" w:name="_Toc525718498"/>
      <w:bookmarkStart w:id="14" w:name="_Toc501619204"/>
      <w:bookmarkStart w:id="15" w:name="_Toc124321367"/>
      <w:r>
        <w:rPr>
          <w:rFonts w:hint="eastAsia" w:ascii="Times New Roman" w:hAnsi="Times New Roman" w:eastAsia="仿宋" w:cs="Times New Roman"/>
          <w:sz w:val="30"/>
          <w:szCs w:val="30"/>
        </w:rPr>
        <w:t>第</w:t>
      </w:r>
      <w:r>
        <w:rPr>
          <w:rFonts w:ascii="Times New Roman" w:hAnsi="Times New Roman" w:eastAsia="仿宋" w:cs="Times New Roman"/>
          <w:sz w:val="30"/>
          <w:szCs w:val="30"/>
        </w:rPr>
        <w:t>4</w:t>
      </w:r>
      <w:r>
        <w:rPr>
          <w:rFonts w:hint="eastAsia" w:ascii="Times New Roman" w:hAnsi="Times New Roman" w:eastAsia="仿宋" w:cs="Times New Roman"/>
          <w:sz w:val="30"/>
          <w:szCs w:val="30"/>
        </w:rPr>
        <w:t>条</w:t>
      </w:r>
      <w:r>
        <w:rPr>
          <w:rFonts w:ascii="Times New Roman" w:hAnsi="Times New Roman" w:eastAsia="仿宋" w:cs="Times New Roman"/>
          <w:sz w:val="30"/>
          <w:szCs w:val="30"/>
        </w:rPr>
        <w:t xml:space="preserve"> </w:t>
      </w:r>
      <w:r>
        <w:rPr>
          <w:rFonts w:hint="eastAsia" w:ascii="Times New Roman" w:hAnsi="Times New Roman" w:eastAsia="仿宋" w:cs="Times New Roman"/>
          <w:sz w:val="30"/>
          <w:szCs w:val="30"/>
        </w:rPr>
        <w:t>规划期限</w:t>
      </w:r>
      <w:bookmarkEnd w:id="13"/>
      <w:bookmarkEnd w:id="14"/>
      <w:bookmarkEnd w:id="15"/>
    </w:p>
    <w:p>
      <w:pPr>
        <w:tabs>
          <w:tab w:val="left" w:pos="1680"/>
        </w:tabs>
        <w:adjustRightInd w:val="0"/>
        <w:snapToGrid w:val="0"/>
        <w:spacing w:before="93" w:beforeLines="30" w:after="93" w:afterLines="30" w:line="360" w:lineRule="auto"/>
        <w:ind w:firstLine="480" w:firstLineChars="200"/>
        <w:rPr>
          <w:rFonts w:ascii="Times New Roman" w:hAnsi="Times New Roman" w:eastAsia="仿宋" w:cs="Times New Roman"/>
          <w:sz w:val="24"/>
        </w:rPr>
      </w:pPr>
      <w:r>
        <w:rPr>
          <w:rFonts w:hint="eastAsia" w:ascii="Times New Roman" w:hAnsi="Times New Roman" w:eastAsia="仿宋" w:cs="Times New Roman"/>
          <w:sz w:val="24"/>
        </w:rPr>
        <w:t>本规划期限为</w:t>
      </w:r>
      <w:r>
        <w:rPr>
          <w:rFonts w:ascii="Times New Roman" w:hAnsi="Times New Roman" w:eastAsia="仿宋" w:cs="Times New Roman"/>
          <w:sz w:val="24"/>
        </w:rPr>
        <w:t>20</w:t>
      </w:r>
      <w:r>
        <w:rPr>
          <w:rFonts w:hint="eastAsia" w:ascii="Times New Roman" w:hAnsi="Times New Roman" w:eastAsia="仿宋" w:cs="Times New Roman"/>
          <w:sz w:val="24"/>
        </w:rPr>
        <w:t>2</w:t>
      </w:r>
      <w:r>
        <w:rPr>
          <w:rFonts w:ascii="Times New Roman" w:hAnsi="Times New Roman" w:eastAsia="仿宋" w:cs="Times New Roman"/>
          <w:sz w:val="24"/>
        </w:rPr>
        <w:t>2</w:t>
      </w:r>
      <w:r>
        <w:rPr>
          <w:rFonts w:hint="eastAsia" w:ascii="Times New Roman" w:hAnsi="Times New Roman" w:eastAsia="仿宋" w:cs="Times New Roman"/>
          <w:sz w:val="24"/>
        </w:rPr>
        <w:t>年</w:t>
      </w:r>
      <w:r>
        <w:rPr>
          <w:rFonts w:hint="eastAsia" w:ascii="Times New Roman" w:hAnsi="Times New Roman" w:eastAsia="仿宋" w:cs="Times New Roman"/>
          <w:sz w:val="24"/>
          <w:lang w:val="en-US" w:eastAsia="zh-CN"/>
        </w:rPr>
        <w:t>至</w:t>
      </w:r>
      <w:r>
        <w:rPr>
          <w:rFonts w:ascii="Times New Roman" w:hAnsi="Times New Roman" w:eastAsia="仿宋" w:cs="Times New Roman"/>
          <w:sz w:val="24"/>
        </w:rPr>
        <w:t>2035</w:t>
      </w:r>
      <w:r>
        <w:rPr>
          <w:rFonts w:hint="eastAsia" w:ascii="Times New Roman" w:hAnsi="Times New Roman" w:eastAsia="仿宋" w:cs="Times New Roman"/>
          <w:sz w:val="24"/>
        </w:rPr>
        <w:t>年。其中，近期至</w:t>
      </w:r>
      <w:r>
        <w:rPr>
          <w:rFonts w:ascii="Times New Roman" w:hAnsi="Times New Roman" w:eastAsia="仿宋" w:cs="Times New Roman"/>
          <w:sz w:val="24"/>
        </w:rPr>
        <w:t>202</w:t>
      </w:r>
      <w:r>
        <w:rPr>
          <w:rFonts w:hint="eastAsia" w:ascii="Times New Roman" w:hAnsi="Times New Roman" w:eastAsia="仿宋" w:cs="Times New Roman"/>
          <w:sz w:val="24"/>
        </w:rPr>
        <w:t>5年，远期至</w:t>
      </w:r>
      <w:r>
        <w:rPr>
          <w:rFonts w:ascii="Times New Roman" w:hAnsi="Times New Roman" w:eastAsia="仿宋" w:cs="Times New Roman"/>
          <w:sz w:val="24"/>
        </w:rPr>
        <w:t>2035</w:t>
      </w:r>
      <w:r>
        <w:rPr>
          <w:rFonts w:hint="eastAsia" w:ascii="Times New Roman" w:hAnsi="Times New Roman" w:eastAsia="仿宋" w:cs="Times New Roman"/>
          <w:sz w:val="24"/>
        </w:rPr>
        <w:t>年。</w:t>
      </w:r>
    </w:p>
    <w:p>
      <w:pPr>
        <w:pStyle w:val="5"/>
        <w:rPr>
          <w:rFonts w:ascii="Times New Roman" w:hAnsi="Times New Roman" w:eastAsia="仿宋" w:cs="Times New Roman"/>
          <w:sz w:val="30"/>
          <w:szCs w:val="30"/>
        </w:rPr>
      </w:pPr>
      <w:bookmarkStart w:id="16" w:name="_Toc525718499"/>
      <w:bookmarkStart w:id="17" w:name="_Toc501619205"/>
      <w:bookmarkStart w:id="18" w:name="_Toc124321368"/>
      <w:r>
        <w:rPr>
          <w:rFonts w:hint="eastAsia" w:ascii="Times New Roman" w:hAnsi="Times New Roman" w:eastAsia="仿宋" w:cs="Times New Roman"/>
          <w:sz w:val="30"/>
          <w:szCs w:val="30"/>
        </w:rPr>
        <w:t>第</w:t>
      </w:r>
      <w:r>
        <w:rPr>
          <w:rFonts w:ascii="Times New Roman" w:hAnsi="Times New Roman" w:eastAsia="仿宋" w:cs="Times New Roman"/>
          <w:sz w:val="30"/>
          <w:szCs w:val="30"/>
        </w:rPr>
        <w:t>5</w:t>
      </w:r>
      <w:r>
        <w:rPr>
          <w:rFonts w:hint="eastAsia" w:ascii="Times New Roman" w:hAnsi="Times New Roman" w:eastAsia="仿宋" w:cs="Times New Roman"/>
          <w:sz w:val="30"/>
          <w:szCs w:val="30"/>
        </w:rPr>
        <w:t>条</w:t>
      </w:r>
      <w:r>
        <w:rPr>
          <w:rFonts w:ascii="Times New Roman" w:hAnsi="Times New Roman" w:eastAsia="仿宋" w:cs="Times New Roman"/>
          <w:sz w:val="30"/>
          <w:szCs w:val="30"/>
        </w:rPr>
        <w:t xml:space="preserve"> </w:t>
      </w:r>
      <w:r>
        <w:rPr>
          <w:rFonts w:hint="eastAsia" w:ascii="Times New Roman" w:hAnsi="Times New Roman" w:eastAsia="仿宋" w:cs="Times New Roman"/>
          <w:sz w:val="30"/>
          <w:szCs w:val="30"/>
        </w:rPr>
        <w:t>规划范围</w:t>
      </w:r>
      <w:bookmarkEnd w:id="16"/>
      <w:bookmarkEnd w:id="17"/>
      <w:bookmarkEnd w:id="18"/>
    </w:p>
    <w:p>
      <w:pPr>
        <w:tabs>
          <w:tab w:val="left" w:pos="1680"/>
        </w:tabs>
        <w:adjustRightInd w:val="0"/>
        <w:snapToGrid w:val="0"/>
        <w:spacing w:before="93" w:beforeLines="30" w:after="93" w:afterLines="30" w:line="360" w:lineRule="auto"/>
        <w:ind w:firstLine="480" w:firstLineChars="200"/>
        <w:rPr>
          <w:rFonts w:ascii="Times New Roman" w:hAnsi="Times New Roman" w:eastAsia="仿宋" w:cs="Times New Roman"/>
          <w:sz w:val="24"/>
        </w:rPr>
      </w:pPr>
      <w:r>
        <w:rPr>
          <w:rFonts w:hint="eastAsia" w:ascii="Times New Roman" w:hAnsi="Times New Roman" w:eastAsia="仿宋" w:cs="Times New Roman"/>
          <w:sz w:val="24"/>
        </w:rPr>
        <w:t>本规划的范围为中山市行政辖区的陆域面积，共1781平方公里。中山市行政辖区包括8个街道、15个建制镇、区域内含有1个国家级开发区——中山火炬高技术产业开发区和1个经济协作区——翠亨新区，辖</w:t>
      </w:r>
      <w:r>
        <w:rPr>
          <w:rFonts w:hint="eastAsia" w:ascii="Times New Roman" w:hAnsi="Times New Roman" w:eastAsia="仿宋" w:cs="Times New Roman"/>
          <w:sz w:val="24"/>
          <w:lang w:val="en-US" w:eastAsia="zh-CN"/>
        </w:rPr>
        <w:t>139</w:t>
      </w:r>
      <w:r>
        <w:rPr>
          <w:rFonts w:hint="eastAsia" w:ascii="Times New Roman" w:hAnsi="Times New Roman" w:eastAsia="仿宋" w:cs="Times New Roman"/>
          <w:sz w:val="24"/>
        </w:rPr>
        <w:t>个社区和150个行政村，总面积1899平方公里。其中：陆域面积1</w:t>
      </w:r>
      <w:r>
        <w:rPr>
          <w:rFonts w:ascii="Times New Roman" w:hAnsi="Times New Roman" w:eastAsia="仿宋" w:cs="Times New Roman"/>
          <w:sz w:val="24"/>
        </w:rPr>
        <w:t>781</w:t>
      </w:r>
      <w:r>
        <w:rPr>
          <w:rFonts w:hint="eastAsia" w:ascii="Times New Roman" w:hAnsi="Times New Roman" w:eastAsia="仿宋" w:cs="Times New Roman"/>
          <w:sz w:val="24"/>
        </w:rPr>
        <w:t>平方公里，海域面积1</w:t>
      </w:r>
      <w:r>
        <w:rPr>
          <w:rFonts w:ascii="Times New Roman" w:hAnsi="Times New Roman" w:eastAsia="仿宋" w:cs="Times New Roman"/>
          <w:sz w:val="24"/>
        </w:rPr>
        <w:t>18</w:t>
      </w:r>
      <w:r>
        <w:rPr>
          <w:rFonts w:hint="eastAsia" w:ascii="Times New Roman" w:hAnsi="Times New Roman" w:eastAsia="仿宋" w:cs="Times New Roman"/>
          <w:sz w:val="24"/>
        </w:rPr>
        <w:t>平方公里。</w:t>
      </w:r>
    </w:p>
    <w:p>
      <w:pPr>
        <w:pStyle w:val="4"/>
        <w:jc w:val="center"/>
        <w:rPr>
          <w:rFonts w:ascii="Times New Roman" w:hAnsi="Times New Roman" w:eastAsia="黑体" w:cs="Times New Roman"/>
          <w:sz w:val="36"/>
          <w:szCs w:val="36"/>
        </w:rPr>
        <w:sectPr>
          <w:footerReference r:id="rId7" w:type="default"/>
          <w:pgSz w:w="11906" w:h="16838"/>
          <w:pgMar w:top="1440" w:right="1797" w:bottom="1440" w:left="1797" w:header="851" w:footer="992" w:gutter="0"/>
          <w:pgNumType w:start="1"/>
          <w:cols w:space="425" w:num="1"/>
          <w:docGrid w:type="linesAndChars" w:linePitch="312" w:charSpace="0"/>
        </w:sectPr>
      </w:pPr>
      <w:bookmarkStart w:id="19" w:name="_Toc493355626"/>
      <w:bookmarkStart w:id="20" w:name="_Toc525718503"/>
      <w:bookmarkStart w:id="21" w:name="_Toc501619209"/>
    </w:p>
    <w:p>
      <w:pPr>
        <w:pStyle w:val="4"/>
        <w:jc w:val="center"/>
        <w:rPr>
          <w:rFonts w:ascii="Times New Roman" w:hAnsi="Times New Roman" w:eastAsia="黑体" w:cs="Times New Roman"/>
          <w:sz w:val="36"/>
          <w:szCs w:val="36"/>
        </w:rPr>
      </w:pPr>
      <w:bookmarkStart w:id="22" w:name="_Toc124321369"/>
      <w:r>
        <w:rPr>
          <w:rFonts w:hint="eastAsia" w:ascii="Times New Roman" w:hAnsi="Times New Roman" w:eastAsia="黑体" w:cs="Times New Roman"/>
          <w:sz w:val="36"/>
          <w:szCs w:val="36"/>
        </w:rPr>
        <w:t>第二章</w:t>
      </w:r>
      <w:r>
        <w:rPr>
          <w:rFonts w:ascii="Times New Roman" w:hAnsi="Times New Roman" w:eastAsia="黑体" w:cs="Times New Roman"/>
          <w:sz w:val="36"/>
          <w:szCs w:val="36"/>
        </w:rPr>
        <w:t xml:space="preserve"> </w:t>
      </w:r>
      <w:r>
        <w:rPr>
          <w:rFonts w:hint="eastAsia" w:ascii="Times New Roman" w:hAnsi="Times New Roman" w:eastAsia="黑体" w:cs="Times New Roman"/>
          <w:sz w:val="36"/>
          <w:szCs w:val="36"/>
        </w:rPr>
        <w:t>发展定位与目标</w:t>
      </w:r>
      <w:bookmarkEnd w:id="19"/>
      <w:bookmarkEnd w:id="20"/>
      <w:bookmarkEnd w:id="21"/>
      <w:bookmarkEnd w:id="22"/>
    </w:p>
    <w:p>
      <w:pPr>
        <w:pStyle w:val="5"/>
        <w:rPr>
          <w:rFonts w:ascii="Times New Roman" w:hAnsi="Times New Roman" w:eastAsia="仿宋" w:cs="Times New Roman"/>
          <w:sz w:val="30"/>
          <w:szCs w:val="30"/>
        </w:rPr>
      </w:pPr>
      <w:bookmarkStart w:id="23" w:name="_Toc501619210"/>
      <w:bookmarkStart w:id="24" w:name="_Toc525718504"/>
      <w:bookmarkStart w:id="25" w:name="_Toc124321370"/>
      <w:r>
        <w:rPr>
          <w:rFonts w:hint="eastAsia" w:ascii="Times New Roman" w:hAnsi="Times New Roman" w:eastAsia="仿宋" w:cs="Times New Roman"/>
          <w:sz w:val="30"/>
          <w:szCs w:val="30"/>
        </w:rPr>
        <w:t>第6条</w:t>
      </w:r>
      <w:r>
        <w:rPr>
          <w:rFonts w:ascii="Times New Roman" w:hAnsi="Times New Roman" w:eastAsia="仿宋" w:cs="Times New Roman"/>
          <w:sz w:val="30"/>
          <w:szCs w:val="30"/>
        </w:rPr>
        <w:t xml:space="preserve"> </w:t>
      </w:r>
      <w:r>
        <w:rPr>
          <w:rFonts w:hint="eastAsia" w:ascii="Times New Roman" w:hAnsi="Times New Roman" w:eastAsia="仿宋" w:cs="Times New Roman"/>
          <w:sz w:val="30"/>
          <w:szCs w:val="30"/>
        </w:rPr>
        <w:t>发展定位</w:t>
      </w:r>
      <w:bookmarkEnd w:id="23"/>
      <w:bookmarkEnd w:id="24"/>
      <w:bookmarkEnd w:id="25"/>
    </w:p>
    <w:p>
      <w:pPr>
        <w:tabs>
          <w:tab w:val="left" w:pos="1680"/>
        </w:tabs>
        <w:adjustRightInd w:val="0"/>
        <w:snapToGrid w:val="0"/>
        <w:spacing w:before="93" w:beforeLines="30" w:after="93" w:afterLines="30" w:line="360" w:lineRule="auto"/>
        <w:ind w:firstLine="480" w:firstLineChars="200"/>
        <w:rPr>
          <w:rFonts w:ascii="Times New Roman" w:hAnsi="Times New Roman" w:eastAsia="仿宋" w:cs="Times New Roman"/>
          <w:sz w:val="24"/>
        </w:rPr>
      </w:pPr>
      <w:r>
        <w:rPr>
          <w:rFonts w:hint="eastAsia" w:ascii="Times New Roman" w:hAnsi="Times New Roman" w:eastAsia="仿宋" w:cs="Times New Roman"/>
          <w:sz w:val="24"/>
        </w:rPr>
        <w:t>抓住粤港澳大湾区和深圳中国特色社会主义先行示范区建设“双区驱动”重大历史机遇，紧紧围绕“湾区枢纽、精品中山”的战略部署，努力推进中山市建筑低碳绿色发展，将中山市打造成珠江西岸绿色建筑高质量发展“桥头堡”，广东省绿色建筑发展重点城市。</w:t>
      </w:r>
    </w:p>
    <w:p>
      <w:pPr>
        <w:pStyle w:val="5"/>
        <w:rPr>
          <w:rFonts w:ascii="Times New Roman" w:hAnsi="Times New Roman" w:eastAsia="仿宋" w:cs="Times New Roman"/>
          <w:sz w:val="30"/>
          <w:szCs w:val="30"/>
        </w:rPr>
      </w:pPr>
      <w:bookmarkStart w:id="26" w:name="_Toc124321371"/>
      <w:bookmarkStart w:id="27" w:name="_Toc525718505"/>
      <w:r>
        <w:rPr>
          <w:rFonts w:hint="eastAsia" w:ascii="Times New Roman" w:hAnsi="Times New Roman" w:eastAsia="仿宋" w:cs="Times New Roman"/>
          <w:sz w:val="30"/>
          <w:szCs w:val="30"/>
        </w:rPr>
        <w:t>第7条</w:t>
      </w:r>
      <w:r>
        <w:rPr>
          <w:rFonts w:ascii="Times New Roman" w:hAnsi="Times New Roman" w:eastAsia="仿宋" w:cs="Times New Roman"/>
          <w:sz w:val="30"/>
          <w:szCs w:val="30"/>
        </w:rPr>
        <w:t xml:space="preserve"> </w:t>
      </w:r>
      <w:r>
        <w:rPr>
          <w:rFonts w:hint="eastAsia" w:ascii="Times New Roman" w:hAnsi="Times New Roman" w:eastAsia="仿宋" w:cs="Times New Roman"/>
          <w:sz w:val="30"/>
          <w:szCs w:val="30"/>
        </w:rPr>
        <w:t>总体目标</w:t>
      </w:r>
      <w:bookmarkEnd w:id="26"/>
      <w:bookmarkEnd w:id="27"/>
    </w:p>
    <w:p>
      <w:pPr>
        <w:tabs>
          <w:tab w:val="left" w:pos="1680"/>
        </w:tabs>
        <w:adjustRightInd w:val="0"/>
        <w:snapToGrid w:val="0"/>
        <w:spacing w:before="93" w:beforeLines="30" w:after="93" w:afterLines="30" w:line="360" w:lineRule="auto"/>
        <w:ind w:firstLine="480" w:firstLineChars="200"/>
        <w:rPr>
          <w:rFonts w:ascii="Times New Roman" w:hAnsi="Times New Roman" w:eastAsia="仿宋" w:cs="Times New Roman"/>
          <w:sz w:val="24"/>
        </w:rPr>
      </w:pPr>
      <w:r>
        <w:rPr>
          <w:rFonts w:hint="eastAsia" w:ascii="Times New Roman" w:hAnsi="Times New Roman" w:eastAsia="仿宋" w:cs="Times New Roman"/>
          <w:sz w:val="24"/>
        </w:rPr>
        <w:t>以绿色建筑高质量发展推动城乡建设更高质量、人居环境更加优良、人民生活更有品质、温室气体更少排放，到2025年，全面建设绿色建筑，以装配式建筑为代表的新型建筑工业化加快发展，装配式建筑标准化水平和建造质量进一步提高，为城乡建设领域2030年前碳达峰奠定坚实基础。</w:t>
      </w:r>
    </w:p>
    <w:p>
      <w:pPr>
        <w:tabs>
          <w:tab w:val="left" w:pos="1680"/>
        </w:tabs>
        <w:adjustRightInd w:val="0"/>
        <w:snapToGrid w:val="0"/>
        <w:spacing w:before="93" w:beforeLines="30" w:after="93" w:afterLines="30" w:line="360" w:lineRule="auto"/>
        <w:ind w:firstLine="480" w:firstLineChars="200"/>
        <w:rPr>
          <w:rFonts w:ascii="Times New Roman" w:hAnsi="Times New Roman" w:eastAsia="仿宋" w:cs="Times New Roman"/>
          <w:sz w:val="24"/>
        </w:rPr>
      </w:pPr>
      <w:r>
        <w:rPr>
          <w:rFonts w:hint="eastAsia" w:ascii="Times New Roman" w:hAnsi="Times New Roman" w:eastAsia="仿宋" w:cs="Times New Roman"/>
          <w:sz w:val="24"/>
        </w:rPr>
        <w:t>目标具体表现为：实现建筑绿色设计、施工、运行水平明显提高，高品质绿色建筑、健康建筑逐步普及，建筑能效显著提升，近零能耗建筑建设日趋成熟，既有建筑节能改造稳步推进，可再生能源建筑应用规模不断扩大，建筑工业化水平取得显著进步，绿色建材广泛应用，农村建筑节能实现新突破，形成有效推进城乡建设全领域和全过程的绿色建设与发展模式。</w:t>
      </w:r>
    </w:p>
    <w:p>
      <w:pPr>
        <w:pStyle w:val="5"/>
        <w:rPr>
          <w:rFonts w:ascii="Times New Roman" w:hAnsi="Times New Roman" w:eastAsia="仿宋" w:cs="Times New Roman"/>
          <w:sz w:val="30"/>
          <w:szCs w:val="30"/>
        </w:rPr>
      </w:pPr>
      <w:bookmarkStart w:id="28" w:name="_Toc124321372"/>
      <w:bookmarkStart w:id="29" w:name="_Toc525718506"/>
      <w:r>
        <w:rPr>
          <w:rFonts w:hint="eastAsia" w:ascii="Times New Roman" w:hAnsi="Times New Roman" w:eastAsia="仿宋" w:cs="Times New Roman"/>
          <w:sz w:val="30"/>
          <w:szCs w:val="30"/>
        </w:rPr>
        <w:t>第8条</w:t>
      </w:r>
      <w:r>
        <w:rPr>
          <w:rFonts w:ascii="Times New Roman" w:hAnsi="Times New Roman" w:eastAsia="仿宋" w:cs="Times New Roman"/>
          <w:sz w:val="30"/>
          <w:szCs w:val="30"/>
        </w:rPr>
        <w:t xml:space="preserve"> </w:t>
      </w:r>
      <w:r>
        <w:rPr>
          <w:rFonts w:hint="eastAsia" w:ascii="Times New Roman" w:hAnsi="Times New Roman" w:eastAsia="仿宋" w:cs="Times New Roman"/>
          <w:sz w:val="30"/>
          <w:szCs w:val="30"/>
        </w:rPr>
        <w:t>近期目标</w:t>
      </w:r>
      <w:bookmarkEnd w:id="28"/>
      <w:bookmarkEnd w:id="29"/>
    </w:p>
    <w:p>
      <w:pPr>
        <w:tabs>
          <w:tab w:val="left" w:pos="1680"/>
        </w:tabs>
        <w:adjustRightInd w:val="0"/>
        <w:snapToGrid w:val="0"/>
        <w:spacing w:before="93" w:beforeLines="30" w:after="93" w:afterLines="30" w:line="360" w:lineRule="auto"/>
        <w:ind w:firstLine="480" w:firstLineChars="200"/>
      </w:pPr>
      <w:r>
        <w:rPr>
          <w:rFonts w:ascii="Times New Roman" w:hAnsi="Times New Roman" w:eastAsia="仿宋" w:cs="Times New Roman"/>
          <w:sz w:val="24"/>
        </w:rPr>
        <w:t>为全面落实国家和广东省绿色低碳战略部署，实现</w:t>
      </w:r>
      <w:r>
        <w:rPr>
          <w:rFonts w:hint="eastAsia" w:ascii="Times New Roman" w:hAnsi="Times New Roman" w:eastAsia="仿宋" w:cs="Times New Roman"/>
          <w:sz w:val="24"/>
        </w:rPr>
        <w:t>中山</w:t>
      </w:r>
      <w:r>
        <w:rPr>
          <w:rFonts w:ascii="Times New Roman" w:hAnsi="Times New Roman" w:eastAsia="仿宋" w:cs="Times New Roman"/>
          <w:sz w:val="24"/>
        </w:rPr>
        <w:t>市绿色建筑发展目标，结合</w:t>
      </w:r>
      <w:r>
        <w:rPr>
          <w:rFonts w:hint="eastAsia" w:ascii="Times New Roman" w:hAnsi="Times New Roman" w:eastAsia="仿宋" w:cs="Times New Roman"/>
          <w:sz w:val="24"/>
        </w:rPr>
        <w:t>中山市</w:t>
      </w:r>
      <w:r>
        <w:rPr>
          <w:rFonts w:ascii="Times New Roman" w:hAnsi="Times New Roman" w:eastAsia="仿宋" w:cs="Times New Roman"/>
          <w:sz w:val="24"/>
        </w:rPr>
        <w:t>发展定位，制定</w:t>
      </w:r>
      <w:r>
        <w:rPr>
          <w:rFonts w:hint="eastAsia" w:ascii="Times New Roman" w:hAnsi="Times New Roman" w:eastAsia="仿宋" w:cs="Times New Roman"/>
          <w:sz w:val="24"/>
        </w:rPr>
        <w:t>中山</w:t>
      </w:r>
      <w:r>
        <w:rPr>
          <w:rFonts w:ascii="Times New Roman" w:hAnsi="Times New Roman" w:eastAsia="仿宋" w:cs="Times New Roman"/>
          <w:sz w:val="24"/>
        </w:rPr>
        <w:t>市绿色建筑发展近期目标。</w:t>
      </w:r>
      <w:r>
        <w:rPr>
          <w:rFonts w:hint="eastAsia" w:ascii="Times New Roman" w:hAnsi="Times New Roman" w:eastAsia="仿宋" w:cs="Times New Roman"/>
          <w:sz w:val="24"/>
        </w:rPr>
        <w:t>到2</w:t>
      </w:r>
      <w:r>
        <w:rPr>
          <w:rFonts w:ascii="Times New Roman" w:hAnsi="Times New Roman" w:eastAsia="仿宋" w:cs="Times New Roman"/>
          <w:sz w:val="24"/>
        </w:rPr>
        <w:t>025</w:t>
      </w:r>
      <w:r>
        <w:rPr>
          <w:rFonts w:hint="eastAsia" w:ascii="Times New Roman" w:hAnsi="Times New Roman" w:eastAsia="仿宋" w:cs="Times New Roman"/>
          <w:sz w:val="24"/>
        </w:rPr>
        <w:t>年，中山市全面建设绿色建筑，城镇绿色建筑占当年新建建筑比例达到1</w:t>
      </w:r>
      <w:r>
        <w:rPr>
          <w:rFonts w:ascii="Times New Roman" w:hAnsi="Times New Roman" w:eastAsia="仿宋" w:cs="Times New Roman"/>
          <w:sz w:val="24"/>
        </w:rPr>
        <w:t>00%</w:t>
      </w:r>
      <w:r>
        <w:rPr>
          <w:rFonts w:hint="eastAsia" w:ascii="Times New Roman" w:hAnsi="Times New Roman" w:eastAsia="仿宋" w:cs="Times New Roman"/>
          <w:sz w:val="24"/>
        </w:rPr>
        <w:t>；积极推动星级绿色建筑的建设，一星及以上等级绿色建筑占城镇新增绿色建筑比例达到4</w:t>
      </w:r>
      <w:r>
        <w:rPr>
          <w:rFonts w:ascii="Times New Roman" w:hAnsi="Times New Roman" w:eastAsia="仿宋" w:cs="Times New Roman"/>
          <w:sz w:val="24"/>
        </w:rPr>
        <w:t>5%</w:t>
      </w:r>
      <w:r>
        <w:rPr>
          <w:rFonts w:hint="eastAsia" w:ascii="Times New Roman" w:hAnsi="Times New Roman" w:eastAsia="仿宋" w:cs="Times New Roman"/>
          <w:sz w:val="24"/>
        </w:rPr>
        <w:t>；努力提升建筑能效水平，其中：城镇新建居住建筑能效水平提升比例达到3</w:t>
      </w:r>
      <w:r>
        <w:rPr>
          <w:rFonts w:ascii="Times New Roman" w:hAnsi="Times New Roman" w:eastAsia="仿宋" w:cs="Times New Roman"/>
          <w:sz w:val="24"/>
        </w:rPr>
        <w:t>0%</w:t>
      </w:r>
      <w:r>
        <w:rPr>
          <w:rFonts w:hint="eastAsia" w:ascii="Times New Roman" w:hAnsi="Times New Roman" w:eastAsia="仿宋" w:cs="Times New Roman"/>
          <w:sz w:val="24"/>
        </w:rPr>
        <w:t>，城镇新建公共建筑能效水平提升比例达到</w:t>
      </w:r>
      <w:r>
        <w:rPr>
          <w:rFonts w:ascii="Times New Roman" w:hAnsi="Times New Roman" w:eastAsia="仿宋" w:cs="Times New Roman"/>
          <w:sz w:val="24"/>
        </w:rPr>
        <w:t>20%</w:t>
      </w:r>
      <w:r>
        <w:rPr>
          <w:rFonts w:hint="eastAsia" w:ascii="Times New Roman" w:hAnsi="Times New Roman" w:eastAsia="仿宋" w:cs="Times New Roman"/>
          <w:sz w:val="24"/>
        </w:rPr>
        <w:t>；大力推进既有建筑节能绿色化改造，改造面积达到2</w:t>
      </w:r>
      <w:r>
        <w:rPr>
          <w:rFonts w:ascii="Times New Roman" w:hAnsi="Times New Roman" w:eastAsia="仿宋" w:cs="Times New Roman"/>
          <w:sz w:val="24"/>
        </w:rPr>
        <w:t>00</w:t>
      </w:r>
      <w:r>
        <w:rPr>
          <w:rFonts w:hint="eastAsia" w:ascii="Times New Roman" w:hAnsi="Times New Roman" w:eastAsia="仿宋" w:cs="Times New Roman"/>
          <w:sz w:val="24"/>
        </w:rPr>
        <w:t>万平方米。</w:t>
      </w:r>
    </w:p>
    <w:p>
      <w:pPr>
        <w:pStyle w:val="2"/>
        <w:spacing w:before="156" w:after="93"/>
        <w:ind w:firstLine="0" w:firstLineChars="0"/>
        <w:jc w:val="center"/>
        <w:rPr>
          <w:rFonts w:ascii="仿宋" w:hAnsi="仿宋" w:eastAsia="仿宋"/>
          <w:b/>
          <w:bCs/>
          <w:sz w:val="21"/>
          <w:szCs w:val="21"/>
        </w:rPr>
      </w:pPr>
      <w:r>
        <w:rPr>
          <w:rFonts w:ascii="仿宋" w:hAnsi="仿宋" w:eastAsia="仿宋"/>
          <w:b/>
          <w:bCs/>
          <w:sz w:val="21"/>
          <w:szCs w:val="21"/>
        </w:rPr>
        <w:t>表1 中山市绿色建筑规划核心指标表</w:t>
      </w:r>
    </w:p>
    <w:tbl>
      <w:tblPr>
        <w:tblStyle w:val="4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21"/>
        <w:gridCol w:w="1926"/>
        <w:gridCol w:w="1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tblHeader/>
          <w:jc w:val="center"/>
        </w:trPr>
        <w:tc>
          <w:tcPr>
            <w:tcW w:w="2944" w:type="pct"/>
            <w:shd w:val="clear" w:color="auto" w:fill="D8D8D8"/>
            <w:vAlign w:val="center"/>
          </w:tcPr>
          <w:p>
            <w:pPr>
              <w:pStyle w:val="302"/>
              <w:adjustRightInd w:val="0"/>
              <w:snapToGrid w:val="0"/>
              <w:spacing w:after="0" w:line="240" w:lineRule="auto"/>
              <w:ind w:left="0" w:leftChars="0"/>
              <w:jc w:val="center"/>
              <w:rPr>
                <w:rFonts w:hint="default" w:ascii="Times New Roman" w:hAnsi="Times New Roman" w:eastAsia="仿宋" w:cs="Times New Roman"/>
                <w:b/>
                <w:bCs/>
                <w:szCs w:val="21"/>
              </w:rPr>
            </w:pPr>
            <w:bookmarkStart w:id="30" w:name="_Toc501619214"/>
            <w:bookmarkStart w:id="31" w:name="_Toc525718507"/>
            <w:r>
              <w:rPr>
                <w:rFonts w:hint="default" w:ascii="Times New Roman" w:hAnsi="Times New Roman" w:eastAsia="仿宋" w:cs="Times New Roman"/>
                <w:b/>
                <w:bCs/>
                <w:szCs w:val="21"/>
              </w:rPr>
              <w:t>主要指标</w:t>
            </w:r>
          </w:p>
        </w:tc>
        <w:tc>
          <w:tcPr>
            <w:tcW w:w="1129" w:type="pct"/>
            <w:shd w:val="clear" w:color="auto" w:fill="D8D8D8"/>
            <w:vAlign w:val="center"/>
          </w:tcPr>
          <w:p>
            <w:pPr>
              <w:pStyle w:val="302"/>
              <w:adjustRightInd w:val="0"/>
              <w:snapToGrid w:val="0"/>
              <w:spacing w:after="0" w:line="240" w:lineRule="auto"/>
              <w:ind w:left="0" w:leftChars="0"/>
              <w:jc w:val="center"/>
              <w:rPr>
                <w:rFonts w:hint="default" w:ascii="Times New Roman" w:hAnsi="Times New Roman" w:eastAsia="仿宋" w:cs="Times New Roman"/>
                <w:b/>
                <w:bCs/>
                <w:szCs w:val="21"/>
              </w:rPr>
            </w:pPr>
            <w:r>
              <w:rPr>
                <w:rFonts w:hint="default" w:ascii="Times New Roman" w:hAnsi="Times New Roman" w:eastAsia="仿宋" w:cs="Times New Roman"/>
                <w:b/>
                <w:bCs/>
                <w:szCs w:val="21"/>
              </w:rPr>
              <w:t>至2025年</w:t>
            </w:r>
          </w:p>
        </w:tc>
        <w:tc>
          <w:tcPr>
            <w:tcW w:w="927" w:type="pct"/>
            <w:shd w:val="clear" w:color="auto" w:fill="D8D8D8"/>
            <w:vAlign w:val="center"/>
          </w:tcPr>
          <w:p>
            <w:pPr>
              <w:pStyle w:val="302"/>
              <w:adjustRightInd w:val="0"/>
              <w:snapToGrid w:val="0"/>
              <w:spacing w:after="0" w:line="240" w:lineRule="auto"/>
              <w:ind w:left="0" w:leftChars="0"/>
              <w:jc w:val="center"/>
              <w:rPr>
                <w:rFonts w:hint="default" w:ascii="Times New Roman" w:hAnsi="Times New Roman" w:eastAsia="仿宋" w:cs="Times New Roman"/>
                <w:b/>
                <w:bCs/>
                <w:szCs w:val="21"/>
              </w:rPr>
            </w:pPr>
            <w:r>
              <w:rPr>
                <w:rFonts w:hint="default" w:ascii="Times New Roman" w:hAnsi="Times New Roman" w:eastAsia="仿宋" w:cs="Times New Roman"/>
                <w:b/>
                <w:bCs/>
                <w:szCs w:val="21"/>
              </w:rPr>
              <w:t>指标类型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4" w:type="pct"/>
            <w:shd w:val="clear" w:color="auto" w:fill="auto"/>
            <w:vAlign w:val="center"/>
          </w:tcPr>
          <w:p>
            <w:pPr>
              <w:pStyle w:val="302"/>
              <w:adjustRightInd w:val="0"/>
              <w:snapToGrid w:val="0"/>
              <w:spacing w:after="0" w:line="240" w:lineRule="auto"/>
              <w:ind w:left="0" w:leftChars="0"/>
              <w:jc w:val="center"/>
              <w:rPr>
                <w:rFonts w:hint="default" w:ascii="Times New Roman" w:hAnsi="Times New Roman" w:eastAsia="仿宋" w:cs="Times New Roman"/>
                <w:szCs w:val="21"/>
              </w:rPr>
            </w:pPr>
            <w:bookmarkStart w:id="32" w:name="_Hlk124348830"/>
            <w:r>
              <w:rPr>
                <w:rFonts w:hint="default" w:ascii="Times New Roman" w:hAnsi="Times New Roman" w:eastAsia="仿宋" w:cs="Times New Roman"/>
                <w:szCs w:val="21"/>
              </w:rPr>
              <w:t>城镇绿色建筑占当年新建建筑比例</w:t>
            </w:r>
            <w:bookmarkEnd w:id="32"/>
          </w:p>
        </w:tc>
        <w:tc>
          <w:tcPr>
            <w:tcW w:w="1129" w:type="pct"/>
            <w:shd w:val="clear" w:color="auto" w:fill="auto"/>
            <w:vAlign w:val="center"/>
          </w:tcPr>
          <w:p>
            <w:pPr>
              <w:pStyle w:val="302"/>
              <w:adjustRightInd w:val="0"/>
              <w:snapToGrid w:val="0"/>
              <w:spacing w:after="0" w:line="240" w:lineRule="auto"/>
              <w:ind w:left="0" w:leftChars="0"/>
              <w:jc w:val="center"/>
              <w:rPr>
                <w:rFonts w:hint="default" w:ascii="Times New Roman" w:hAnsi="Times New Roman" w:eastAsia="仿宋" w:cs="Times New Roman"/>
                <w:szCs w:val="21"/>
              </w:rPr>
            </w:pPr>
            <w:r>
              <w:rPr>
                <w:rFonts w:hint="default" w:ascii="Times New Roman" w:hAnsi="Times New Roman" w:eastAsia="仿宋" w:cs="Times New Roman"/>
                <w:szCs w:val="21"/>
              </w:rPr>
              <w:t>100%</w:t>
            </w:r>
          </w:p>
        </w:tc>
        <w:tc>
          <w:tcPr>
            <w:tcW w:w="927" w:type="pct"/>
            <w:vAlign w:val="center"/>
          </w:tcPr>
          <w:p>
            <w:pPr>
              <w:pStyle w:val="302"/>
              <w:adjustRightInd w:val="0"/>
              <w:snapToGrid w:val="0"/>
              <w:spacing w:after="0" w:line="240" w:lineRule="auto"/>
              <w:ind w:left="0" w:leftChars="0"/>
              <w:jc w:val="center"/>
              <w:rPr>
                <w:rFonts w:hint="default" w:ascii="Times New Roman" w:hAnsi="Times New Roman" w:eastAsia="仿宋" w:cs="Times New Roman"/>
                <w:szCs w:val="21"/>
              </w:rPr>
            </w:pPr>
            <w:r>
              <w:rPr>
                <w:rFonts w:hint="default" w:ascii="Times New Roman" w:hAnsi="Times New Roman" w:eastAsia="仿宋" w:cs="Times New Roman"/>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4" w:type="pct"/>
            <w:shd w:val="clear" w:color="auto" w:fill="auto"/>
            <w:vAlign w:val="center"/>
          </w:tcPr>
          <w:p>
            <w:pPr>
              <w:pStyle w:val="302"/>
              <w:adjustRightInd w:val="0"/>
              <w:snapToGrid w:val="0"/>
              <w:spacing w:after="0" w:line="240" w:lineRule="auto"/>
              <w:ind w:left="0" w:leftChars="0"/>
              <w:jc w:val="center"/>
              <w:rPr>
                <w:rFonts w:hint="default" w:ascii="Times New Roman" w:hAnsi="Times New Roman" w:eastAsia="仿宋" w:cs="Times New Roman"/>
                <w:szCs w:val="21"/>
              </w:rPr>
            </w:pPr>
            <w:bookmarkStart w:id="33" w:name="_Hlk124348867"/>
            <w:r>
              <w:rPr>
                <w:rFonts w:hint="default" w:ascii="Times New Roman" w:hAnsi="Times New Roman" w:eastAsia="仿宋" w:cs="Times New Roman"/>
                <w:szCs w:val="21"/>
              </w:rPr>
              <w:t>一星及以上等级绿色建筑占城镇新增绿色建筑比例</w:t>
            </w:r>
            <w:bookmarkEnd w:id="33"/>
          </w:p>
        </w:tc>
        <w:tc>
          <w:tcPr>
            <w:tcW w:w="1129" w:type="pct"/>
            <w:shd w:val="clear" w:color="auto" w:fill="auto"/>
            <w:vAlign w:val="center"/>
          </w:tcPr>
          <w:p>
            <w:pPr>
              <w:pStyle w:val="302"/>
              <w:adjustRightInd w:val="0"/>
              <w:snapToGrid w:val="0"/>
              <w:spacing w:after="0" w:line="240" w:lineRule="auto"/>
              <w:ind w:left="0" w:leftChars="0"/>
              <w:jc w:val="center"/>
              <w:rPr>
                <w:rFonts w:hint="default" w:ascii="Times New Roman" w:hAnsi="Times New Roman" w:eastAsia="仿宋" w:cs="Times New Roman"/>
                <w:szCs w:val="21"/>
              </w:rPr>
            </w:pPr>
            <w:r>
              <w:rPr>
                <w:rFonts w:hint="default" w:ascii="Times New Roman" w:hAnsi="Times New Roman" w:eastAsia="仿宋" w:cs="Times New Roman"/>
                <w:szCs w:val="21"/>
              </w:rPr>
              <w:t>45%</w:t>
            </w:r>
          </w:p>
        </w:tc>
        <w:tc>
          <w:tcPr>
            <w:tcW w:w="927" w:type="pct"/>
            <w:vAlign w:val="center"/>
          </w:tcPr>
          <w:p>
            <w:pPr>
              <w:pStyle w:val="302"/>
              <w:adjustRightInd w:val="0"/>
              <w:snapToGrid w:val="0"/>
              <w:spacing w:after="0" w:line="240" w:lineRule="auto"/>
              <w:ind w:left="0" w:leftChars="0"/>
              <w:jc w:val="center"/>
              <w:rPr>
                <w:rFonts w:hint="default" w:ascii="Times New Roman" w:hAnsi="Times New Roman" w:eastAsia="仿宋" w:cs="Times New Roman"/>
                <w:szCs w:val="21"/>
              </w:rPr>
            </w:pPr>
            <w:r>
              <w:rPr>
                <w:rFonts w:hint="default" w:ascii="Times New Roman" w:hAnsi="Times New Roman" w:eastAsia="仿宋" w:cs="Times New Roman"/>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4" w:type="pct"/>
            <w:shd w:val="clear" w:color="auto" w:fill="auto"/>
            <w:vAlign w:val="center"/>
          </w:tcPr>
          <w:p>
            <w:pPr>
              <w:pStyle w:val="302"/>
              <w:adjustRightInd w:val="0"/>
              <w:snapToGrid w:val="0"/>
              <w:spacing w:after="0" w:line="240" w:lineRule="auto"/>
              <w:ind w:left="0" w:leftChars="0"/>
              <w:jc w:val="center"/>
              <w:rPr>
                <w:rFonts w:hint="default" w:ascii="Times New Roman" w:hAnsi="Times New Roman" w:eastAsia="仿宋" w:cs="Times New Roman"/>
                <w:szCs w:val="21"/>
              </w:rPr>
            </w:pPr>
            <w:bookmarkStart w:id="34" w:name="_Hlk124348942"/>
            <w:r>
              <w:rPr>
                <w:rFonts w:hint="default" w:ascii="Times New Roman" w:hAnsi="Times New Roman" w:eastAsia="仿宋" w:cs="Times New Roman"/>
                <w:szCs w:val="21"/>
              </w:rPr>
              <w:t>城镇新建居住建筑能效水平提升</w:t>
            </w:r>
            <w:bookmarkEnd w:id="34"/>
          </w:p>
        </w:tc>
        <w:tc>
          <w:tcPr>
            <w:tcW w:w="1129" w:type="pct"/>
            <w:shd w:val="clear" w:color="auto" w:fill="auto"/>
            <w:vAlign w:val="center"/>
          </w:tcPr>
          <w:p>
            <w:pPr>
              <w:pStyle w:val="302"/>
              <w:adjustRightInd w:val="0"/>
              <w:snapToGrid w:val="0"/>
              <w:spacing w:after="0" w:line="240" w:lineRule="auto"/>
              <w:ind w:left="0" w:leftChars="0"/>
              <w:jc w:val="center"/>
              <w:rPr>
                <w:rFonts w:hint="default" w:ascii="Times New Roman" w:hAnsi="Times New Roman" w:eastAsia="仿宋" w:cs="Times New Roman"/>
                <w:szCs w:val="21"/>
              </w:rPr>
            </w:pPr>
            <w:r>
              <w:rPr>
                <w:rFonts w:hint="default" w:ascii="Times New Roman" w:hAnsi="Times New Roman" w:eastAsia="仿宋" w:cs="Times New Roman"/>
                <w:szCs w:val="21"/>
              </w:rPr>
              <w:t>≥30%</w:t>
            </w:r>
          </w:p>
        </w:tc>
        <w:tc>
          <w:tcPr>
            <w:tcW w:w="927" w:type="pct"/>
            <w:vAlign w:val="center"/>
          </w:tcPr>
          <w:p>
            <w:pPr>
              <w:pStyle w:val="302"/>
              <w:adjustRightInd w:val="0"/>
              <w:snapToGrid w:val="0"/>
              <w:spacing w:after="0" w:line="240" w:lineRule="auto"/>
              <w:ind w:left="0" w:leftChars="0"/>
              <w:jc w:val="center"/>
              <w:rPr>
                <w:rFonts w:hint="default" w:ascii="Times New Roman" w:hAnsi="Times New Roman" w:eastAsia="仿宋" w:cs="Times New Roman"/>
                <w:szCs w:val="21"/>
              </w:rPr>
            </w:pPr>
            <w:r>
              <w:rPr>
                <w:rFonts w:hint="default" w:ascii="Times New Roman" w:hAnsi="Times New Roman" w:eastAsia="仿宋" w:cs="Times New Roman"/>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4" w:type="pct"/>
            <w:shd w:val="clear" w:color="auto" w:fill="auto"/>
            <w:vAlign w:val="center"/>
          </w:tcPr>
          <w:p>
            <w:pPr>
              <w:pStyle w:val="302"/>
              <w:adjustRightInd w:val="0"/>
              <w:snapToGrid w:val="0"/>
              <w:spacing w:after="0" w:line="240" w:lineRule="auto"/>
              <w:ind w:left="0" w:leftChars="0"/>
              <w:jc w:val="center"/>
              <w:rPr>
                <w:rFonts w:hint="default" w:ascii="Times New Roman" w:hAnsi="Times New Roman" w:eastAsia="仿宋" w:cs="Times New Roman"/>
                <w:szCs w:val="21"/>
              </w:rPr>
            </w:pPr>
            <w:r>
              <w:rPr>
                <w:rFonts w:hint="default" w:ascii="Times New Roman" w:hAnsi="Times New Roman" w:eastAsia="仿宋" w:cs="Times New Roman"/>
                <w:szCs w:val="21"/>
              </w:rPr>
              <w:t>城镇新建公共建筑能效水平提升</w:t>
            </w:r>
          </w:p>
        </w:tc>
        <w:tc>
          <w:tcPr>
            <w:tcW w:w="1129" w:type="pct"/>
            <w:shd w:val="clear" w:color="auto" w:fill="auto"/>
            <w:vAlign w:val="center"/>
          </w:tcPr>
          <w:p>
            <w:pPr>
              <w:pStyle w:val="302"/>
              <w:adjustRightInd w:val="0"/>
              <w:snapToGrid w:val="0"/>
              <w:spacing w:after="0" w:line="240" w:lineRule="auto"/>
              <w:ind w:left="0" w:leftChars="0"/>
              <w:jc w:val="center"/>
              <w:rPr>
                <w:rFonts w:hint="default" w:ascii="Times New Roman" w:hAnsi="Times New Roman" w:eastAsia="仿宋" w:cs="Times New Roman"/>
                <w:szCs w:val="21"/>
              </w:rPr>
            </w:pPr>
            <w:r>
              <w:rPr>
                <w:rFonts w:hint="default" w:ascii="Times New Roman" w:hAnsi="Times New Roman" w:eastAsia="仿宋" w:cs="Times New Roman"/>
                <w:szCs w:val="21"/>
              </w:rPr>
              <w:t>≥20%</w:t>
            </w:r>
          </w:p>
        </w:tc>
        <w:tc>
          <w:tcPr>
            <w:tcW w:w="927" w:type="pct"/>
            <w:vAlign w:val="center"/>
          </w:tcPr>
          <w:p>
            <w:pPr>
              <w:pStyle w:val="302"/>
              <w:adjustRightInd w:val="0"/>
              <w:snapToGrid w:val="0"/>
              <w:spacing w:after="0" w:line="240" w:lineRule="auto"/>
              <w:ind w:left="0" w:leftChars="0"/>
              <w:jc w:val="center"/>
              <w:rPr>
                <w:rFonts w:hint="default" w:ascii="Times New Roman" w:hAnsi="Times New Roman" w:eastAsia="仿宋" w:cs="Times New Roman"/>
                <w:szCs w:val="21"/>
              </w:rPr>
            </w:pPr>
            <w:r>
              <w:rPr>
                <w:rFonts w:hint="default" w:ascii="Times New Roman" w:hAnsi="Times New Roman" w:eastAsia="仿宋" w:cs="Times New Roman"/>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4" w:type="pct"/>
            <w:shd w:val="clear" w:color="auto" w:fill="auto"/>
            <w:vAlign w:val="center"/>
          </w:tcPr>
          <w:p>
            <w:pPr>
              <w:pStyle w:val="302"/>
              <w:adjustRightInd w:val="0"/>
              <w:snapToGrid w:val="0"/>
              <w:spacing w:after="0" w:line="240" w:lineRule="auto"/>
              <w:ind w:left="0" w:leftChars="0"/>
              <w:jc w:val="center"/>
              <w:rPr>
                <w:rFonts w:hint="default" w:ascii="Times New Roman" w:hAnsi="Times New Roman" w:eastAsia="仿宋" w:cs="Times New Roman"/>
                <w:szCs w:val="21"/>
              </w:rPr>
            </w:pPr>
            <w:r>
              <w:rPr>
                <w:rFonts w:hint="default" w:ascii="Times New Roman" w:hAnsi="Times New Roman" w:eastAsia="仿宋" w:cs="Times New Roman"/>
                <w:szCs w:val="21"/>
              </w:rPr>
              <w:t>既有建筑节能绿色化改造</w:t>
            </w:r>
            <w:r>
              <w:rPr>
                <w:rFonts w:hint="eastAsia" w:eastAsia="仿宋" w:cs="Times New Roman"/>
                <w:szCs w:val="21"/>
                <w:lang w:eastAsia="zh-CN"/>
              </w:rPr>
              <w:t>（万㎡）</w:t>
            </w:r>
          </w:p>
        </w:tc>
        <w:tc>
          <w:tcPr>
            <w:tcW w:w="1129" w:type="pct"/>
            <w:shd w:val="clear" w:color="auto" w:fill="auto"/>
            <w:vAlign w:val="center"/>
          </w:tcPr>
          <w:p>
            <w:pPr>
              <w:pStyle w:val="302"/>
              <w:adjustRightInd w:val="0"/>
              <w:snapToGrid w:val="0"/>
              <w:spacing w:after="0" w:line="240" w:lineRule="auto"/>
              <w:ind w:left="0" w:leftChars="0"/>
              <w:jc w:val="center"/>
              <w:rPr>
                <w:rFonts w:hint="default" w:ascii="Times New Roman" w:hAnsi="Times New Roman" w:eastAsia="仿宋" w:cs="Times New Roman"/>
                <w:szCs w:val="21"/>
              </w:rPr>
            </w:pPr>
            <w:r>
              <w:rPr>
                <w:rFonts w:hint="default" w:ascii="Times New Roman" w:hAnsi="Times New Roman" w:eastAsia="仿宋" w:cs="Times New Roman"/>
                <w:szCs w:val="21"/>
              </w:rPr>
              <w:t>200</w:t>
            </w:r>
          </w:p>
        </w:tc>
        <w:tc>
          <w:tcPr>
            <w:tcW w:w="927" w:type="pct"/>
            <w:vAlign w:val="center"/>
          </w:tcPr>
          <w:p>
            <w:pPr>
              <w:pStyle w:val="302"/>
              <w:adjustRightInd w:val="0"/>
              <w:snapToGrid w:val="0"/>
              <w:spacing w:after="0" w:line="240" w:lineRule="auto"/>
              <w:ind w:left="0" w:leftChars="0"/>
              <w:jc w:val="center"/>
              <w:rPr>
                <w:rFonts w:hint="default" w:ascii="Times New Roman" w:hAnsi="Times New Roman" w:eastAsia="仿宋" w:cs="Times New Roman"/>
                <w:szCs w:val="21"/>
              </w:rPr>
            </w:pPr>
            <w:r>
              <w:rPr>
                <w:rFonts w:hint="default" w:ascii="Times New Roman" w:hAnsi="Times New Roman" w:eastAsia="仿宋" w:cs="Times New Roman"/>
                <w:szCs w:val="21"/>
              </w:rPr>
              <w:t>约束性</w:t>
            </w:r>
          </w:p>
        </w:tc>
      </w:tr>
    </w:tbl>
    <w:p>
      <w:pPr>
        <w:pStyle w:val="5"/>
        <w:rPr>
          <w:rFonts w:ascii="Times New Roman" w:hAnsi="Times New Roman" w:eastAsia="仿宋" w:cs="Times New Roman"/>
          <w:sz w:val="30"/>
          <w:szCs w:val="30"/>
        </w:rPr>
      </w:pPr>
      <w:bookmarkStart w:id="35" w:name="_Toc124321373"/>
      <w:r>
        <w:rPr>
          <w:rFonts w:hint="eastAsia" w:ascii="Times New Roman" w:hAnsi="Times New Roman" w:eastAsia="仿宋" w:cs="Times New Roman"/>
          <w:sz w:val="30"/>
          <w:szCs w:val="30"/>
        </w:rPr>
        <w:t>第9条</w:t>
      </w:r>
      <w:r>
        <w:rPr>
          <w:rFonts w:ascii="Times New Roman" w:hAnsi="Times New Roman" w:eastAsia="仿宋" w:cs="Times New Roman"/>
          <w:sz w:val="30"/>
          <w:szCs w:val="30"/>
        </w:rPr>
        <w:t xml:space="preserve"> </w:t>
      </w:r>
      <w:r>
        <w:rPr>
          <w:rFonts w:hint="eastAsia" w:ascii="Times New Roman" w:hAnsi="Times New Roman" w:eastAsia="仿宋" w:cs="Times New Roman"/>
          <w:sz w:val="30"/>
          <w:szCs w:val="30"/>
        </w:rPr>
        <w:t>远期</w:t>
      </w:r>
      <w:bookmarkEnd w:id="30"/>
      <w:r>
        <w:rPr>
          <w:rFonts w:hint="eastAsia" w:ascii="Times New Roman" w:hAnsi="Times New Roman" w:eastAsia="仿宋" w:cs="Times New Roman"/>
          <w:sz w:val="30"/>
          <w:szCs w:val="30"/>
        </w:rPr>
        <w:t>目标</w:t>
      </w:r>
      <w:bookmarkEnd w:id="31"/>
      <w:bookmarkEnd w:id="35"/>
    </w:p>
    <w:p>
      <w:pPr>
        <w:pStyle w:val="6"/>
        <w:spacing w:before="93" w:after="93"/>
        <w:ind w:left="482"/>
        <w:rPr>
          <w:rFonts w:ascii="Times New Roman" w:hAnsi="Times New Roman" w:eastAsia="仿宋" w:cs="Times New Roman"/>
          <w:bCs w:val="0"/>
          <w:sz w:val="24"/>
          <w:szCs w:val="24"/>
        </w:rPr>
      </w:pPr>
      <w:bookmarkStart w:id="36" w:name="_Hlk102747841"/>
      <w:bookmarkStart w:id="37" w:name="_Toc501619215"/>
      <w:bookmarkStart w:id="38" w:name="_Toc493355627"/>
      <w:r>
        <w:rPr>
          <w:rFonts w:hint="eastAsia" w:ascii="Times New Roman" w:hAnsi="Times New Roman" w:eastAsia="仿宋" w:cs="Times New Roman"/>
          <w:bCs w:val="0"/>
          <w:sz w:val="24"/>
          <w:szCs w:val="24"/>
        </w:rPr>
        <w:t>1</w:t>
      </w:r>
      <w:r>
        <w:rPr>
          <w:rFonts w:hint="default" w:ascii="Times New Roman" w:hAnsi="Times New Roman" w:eastAsia="仿宋" w:cs="Times New Roman"/>
          <w:bCs w:val="0"/>
          <w:sz w:val="24"/>
          <w:szCs w:val="24"/>
        </w:rPr>
        <w:t>.</w:t>
      </w:r>
      <w:r>
        <w:rPr>
          <w:rFonts w:ascii="Times New Roman" w:hAnsi="Times New Roman" w:eastAsia="仿宋" w:cs="Times New Roman"/>
          <w:bCs w:val="0"/>
          <w:sz w:val="24"/>
          <w:szCs w:val="24"/>
        </w:rPr>
        <w:t>至2030年：</w:t>
      </w:r>
    </w:p>
    <w:p>
      <w:pPr>
        <w:tabs>
          <w:tab w:val="left" w:pos="1680"/>
        </w:tabs>
        <w:adjustRightInd w:val="0"/>
        <w:snapToGrid w:val="0"/>
        <w:spacing w:before="93" w:beforeLines="30" w:after="93" w:afterLines="30" w:line="360" w:lineRule="auto"/>
        <w:ind w:firstLine="480" w:firstLineChars="200"/>
        <w:rPr>
          <w:rFonts w:ascii="Times New Roman" w:hAnsi="Times New Roman" w:eastAsia="仿宋" w:cs="Times New Roman"/>
          <w:sz w:val="24"/>
        </w:rPr>
      </w:pPr>
      <w:bookmarkStart w:id="39" w:name="_Hlk116771837"/>
      <w:r>
        <w:rPr>
          <w:rFonts w:ascii="Times New Roman" w:hAnsi="Times New Roman" w:eastAsia="仿宋" w:cs="Times New Roman"/>
          <w:sz w:val="24"/>
        </w:rPr>
        <w:t>（1）城市建设方式绿色低碳转型取得积极进展。绿色建筑得到进一步发展，一星级及以上绿色建筑占</w:t>
      </w:r>
      <w:r>
        <w:rPr>
          <w:rFonts w:hint="eastAsia" w:ascii="Times New Roman" w:hAnsi="Times New Roman" w:eastAsia="仿宋" w:cs="Times New Roman"/>
          <w:sz w:val="24"/>
          <w:lang w:val="en-US" w:eastAsia="zh-CN"/>
        </w:rPr>
        <w:t>新建建筑的比例</w:t>
      </w:r>
      <w:r>
        <w:rPr>
          <w:rFonts w:ascii="Times New Roman" w:hAnsi="Times New Roman" w:eastAsia="仿宋" w:cs="Times New Roman"/>
          <w:sz w:val="24"/>
        </w:rPr>
        <w:t>达到50%以上。建成一批绿色农房，鼓励建设星级绿色农房和零碳农房。引导新建农房按照《农村居住建筑节能设计标准》《广东省农房建设绿色技术导则》等国家、省出台的技术文件进行建设。</w:t>
      </w:r>
    </w:p>
    <w:p>
      <w:pPr>
        <w:tabs>
          <w:tab w:val="left" w:pos="1680"/>
        </w:tabs>
        <w:adjustRightInd w:val="0"/>
        <w:snapToGrid w:val="0"/>
        <w:spacing w:before="93" w:beforeLines="30" w:after="93" w:afterLines="30"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2）城市空间布局持续优化，建筑能源利用效率持续提升。建筑节能利用水平大幅提升，能源资源利用率达到国际领先水平。新建居住建筑本体达到75%节能要求，新建公共建筑本体达到78%节能要求，新建建筑的围护结构性能满足超低能耗标准要求；形成一批岭南特色超低能耗建筑示范项目，力争建成</w:t>
      </w:r>
      <w:r>
        <w:rPr>
          <w:rFonts w:hint="eastAsia" w:ascii="Times New Roman" w:hAnsi="Times New Roman" w:eastAsia="仿宋" w:cs="Times New Roman"/>
          <w:sz w:val="24"/>
        </w:rPr>
        <w:t>3</w:t>
      </w:r>
      <w:r>
        <w:rPr>
          <w:rFonts w:ascii="Times New Roman" w:hAnsi="Times New Roman" w:eastAsia="仿宋" w:cs="Times New Roman"/>
          <w:sz w:val="24"/>
        </w:rPr>
        <w:t>个以上岭南特色近零能耗建筑项目。</w:t>
      </w:r>
    </w:p>
    <w:p>
      <w:pPr>
        <w:tabs>
          <w:tab w:val="left" w:pos="1680"/>
        </w:tabs>
        <w:adjustRightInd w:val="0"/>
        <w:snapToGrid w:val="0"/>
        <w:spacing w:before="93" w:beforeLines="30" w:after="93" w:afterLines="30"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（3）用能结构和方式更加优化，可再生能源应用更加充分。建筑品质和工程质量进一步提高，绿色建造方式广泛推行。</w:t>
      </w:r>
    </w:p>
    <w:p>
      <w:pPr>
        <w:tabs>
          <w:tab w:val="left" w:pos="1680"/>
        </w:tabs>
        <w:adjustRightInd w:val="0"/>
        <w:snapToGrid w:val="0"/>
        <w:spacing w:before="93" w:beforeLines="30" w:after="93" w:afterLines="30"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（4）既有建筑节能改造工作，</w:t>
      </w:r>
      <w:r>
        <w:rPr>
          <w:rFonts w:hint="eastAsia" w:ascii="Times New Roman" w:hAnsi="Times New Roman" w:eastAsia="仿宋" w:cs="Times New Roman"/>
          <w:sz w:val="24"/>
        </w:rPr>
        <w:t>强化</w:t>
      </w:r>
      <w:r>
        <w:rPr>
          <w:rFonts w:ascii="Times New Roman" w:hAnsi="Times New Roman" w:eastAsia="仿宋" w:cs="Times New Roman"/>
          <w:sz w:val="24"/>
        </w:rPr>
        <w:t>超能耗限额建筑节能降碳改造实施。逐步对大型公共建筑进行电气化改造，鼓励采用合同能源管理方式进行建筑节能改造。到2030年，累计完成不少于400万平方米的建筑节能绿色化改造。</w:t>
      </w:r>
    </w:p>
    <w:p>
      <w:pPr>
        <w:tabs>
          <w:tab w:val="left" w:pos="1680"/>
        </w:tabs>
        <w:adjustRightInd w:val="0"/>
        <w:snapToGrid w:val="0"/>
        <w:spacing w:before="93" w:beforeLines="30" w:after="93" w:afterLines="30"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5）推进建筑废物集中处理、分级利用，到2030年建筑垃圾资源化利用率达到55%。推广应用建筑废弃物再生建材产品，完善绿色建材推广应用措施，到2030年星级绿色建筑全面推广绿色建材，其中政府投资项目应率先采用绿色建材。</w:t>
      </w:r>
      <w:bookmarkEnd w:id="39"/>
    </w:p>
    <w:p>
      <w:pPr>
        <w:tabs>
          <w:tab w:val="left" w:pos="1680"/>
        </w:tabs>
        <w:adjustRightInd w:val="0"/>
        <w:snapToGrid w:val="0"/>
        <w:spacing w:before="93" w:beforeLines="30" w:after="93" w:afterLines="30"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w:t>
      </w:r>
      <w:r>
        <w:rPr>
          <w:rFonts w:hint="eastAsia" w:ascii="Times New Roman" w:hAnsi="Times New Roman" w:eastAsia="仿宋" w:cs="Times New Roman"/>
          <w:sz w:val="24"/>
        </w:rPr>
        <w:t>6</w:t>
      </w:r>
      <w:r>
        <w:rPr>
          <w:rFonts w:ascii="Times New Roman" w:hAnsi="Times New Roman" w:eastAsia="仿宋" w:cs="Times New Roman"/>
          <w:sz w:val="24"/>
        </w:rPr>
        <w:t>）工业建筑推广应用先进蓄冷技术、太阳能光伏等可再生能源以及可再循环和可再利用材料，形成具有</w:t>
      </w:r>
      <w:r>
        <w:rPr>
          <w:rFonts w:hint="eastAsia" w:ascii="Times New Roman" w:hAnsi="Times New Roman" w:eastAsia="仿宋" w:cs="Times New Roman"/>
          <w:sz w:val="24"/>
        </w:rPr>
        <w:t>中山</w:t>
      </w:r>
      <w:r>
        <w:rPr>
          <w:rFonts w:ascii="Times New Roman" w:hAnsi="Times New Roman" w:eastAsia="仿宋" w:cs="Times New Roman"/>
          <w:sz w:val="24"/>
        </w:rPr>
        <w:t>特色的</w:t>
      </w:r>
      <w:r>
        <w:rPr>
          <w:rFonts w:hint="eastAsia" w:ascii="Times New Roman" w:hAnsi="Times New Roman" w:eastAsia="仿宋" w:cs="Times New Roman"/>
          <w:sz w:val="24"/>
          <w:lang w:eastAsia="zh-CN"/>
        </w:rPr>
        <w:t>“</w:t>
      </w:r>
      <w:r>
        <w:rPr>
          <w:rFonts w:ascii="Times New Roman" w:hAnsi="Times New Roman" w:eastAsia="仿宋" w:cs="Times New Roman"/>
          <w:sz w:val="24"/>
        </w:rPr>
        <w:t>绿色工业建筑</w:t>
      </w:r>
      <w:r>
        <w:rPr>
          <w:rFonts w:hint="eastAsia" w:ascii="Times New Roman" w:hAnsi="Times New Roman" w:eastAsia="仿宋" w:cs="Times New Roman"/>
          <w:sz w:val="24"/>
          <w:lang w:eastAsia="zh-CN"/>
        </w:rPr>
        <w:t>”</w:t>
      </w:r>
      <w:r>
        <w:rPr>
          <w:rFonts w:ascii="Times New Roman" w:hAnsi="Times New Roman" w:eastAsia="仿宋" w:cs="Times New Roman"/>
          <w:sz w:val="24"/>
        </w:rPr>
        <w:t>。</w:t>
      </w:r>
    </w:p>
    <w:p>
      <w:pPr>
        <w:pStyle w:val="6"/>
        <w:spacing w:before="93" w:after="93"/>
        <w:ind w:left="482"/>
        <w:rPr>
          <w:rFonts w:ascii="Times New Roman" w:hAnsi="Times New Roman" w:eastAsia="仿宋" w:cs="Times New Roman"/>
          <w:bCs w:val="0"/>
          <w:sz w:val="24"/>
          <w:szCs w:val="24"/>
        </w:rPr>
      </w:pPr>
      <w:r>
        <w:rPr>
          <w:rFonts w:hint="eastAsia" w:ascii="Times New Roman" w:hAnsi="Times New Roman" w:eastAsia="仿宋" w:cs="Times New Roman"/>
          <w:bCs w:val="0"/>
          <w:sz w:val="24"/>
          <w:szCs w:val="24"/>
        </w:rPr>
        <w:t>2</w:t>
      </w:r>
      <w:r>
        <w:rPr>
          <w:rFonts w:hint="default" w:ascii="Times New Roman" w:hAnsi="Times New Roman" w:eastAsia="仿宋" w:cs="Times New Roman"/>
          <w:bCs w:val="0"/>
          <w:sz w:val="24"/>
          <w:szCs w:val="24"/>
        </w:rPr>
        <w:t>.</w:t>
      </w:r>
      <w:r>
        <w:rPr>
          <w:rFonts w:ascii="Times New Roman" w:hAnsi="Times New Roman" w:eastAsia="仿宋" w:cs="Times New Roman"/>
          <w:bCs w:val="0"/>
          <w:sz w:val="24"/>
          <w:szCs w:val="24"/>
        </w:rPr>
        <w:t>至2035年：</w:t>
      </w:r>
    </w:p>
    <w:p>
      <w:pPr>
        <w:tabs>
          <w:tab w:val="left" w:pos="1680"/>
        </w:tabs>
        <w:adjustRightInd w:val="0"/>
        <w:snapToGrid w:val="0"/>
        <w:spacing w:before="93" w:beforeLines="30" w:after="93" w:afterLines="30"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（1）全面实施绿色建筑运行效果后评估，绿色建筑品质显著提高。</w:t>
      </w:r>
      <w:r>
        <w:rPr>
          <w:rFonts w:hint="eastAsia" w:ascii="Times New Roman" w:hAnsi="Times New Roman" w:eastAsia="仿宋" w:cs="Times New Roman"/>
          <w:sz w:val="24"/>
        </w:rPr>
        <w:t>新建民用建筑全面执行一星级绿色建筑标准，二星级及以上绿色建筑面积比例超过45%。</w:t>
      </w:r>
    </w:p>
    <w:p>
      <w:pPr>
        <w:tabs>
          <w:tab w:val="left" w:pos="1680"/>
        </w:tabs>
        <w:adjustRightInd w:val="0"/>
        <w:snapToGrid w:val="0"/>
        <w:spacing w:before="93" w:beforeLines="30" w:after="93" w:afterLines="30"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（2）新建建筑普遍推广健康建筑、超低能耗建筑、近零能耗建筑、可再生能源应用，促进碳</w:t>
      </w:r>
      <w:r>
        <w:rPr>
          <w:rFonts w:hint="eastAsia" w:ascii="Times New Roman" w:hAnsi="Times New Roman" w:eastAsia="仿宋" w:cs="Times New Roman"/>
          <w:sz w:val="24"/>
          <w:lang w:val="en-US" w:eastAsia="zh-CN"/>
        </w:rPr>
        <w:t>中和</w:t>
      </w:r>
      <w:r>
        <w:rPr>
          <w:rFonts w:ascii="Times New Roman" w:hAnsi="Times New Roman" w:eastAsia="仿宋" w:cs="Times New Roman"/>
          <w:sz w:val="24"/>
        </w:rPr>
        <w:t>。</w:t>
      </w:r>
    </w:p>
    <w:p>
      <w:pPr>
        <w:tabs>
          <w:tab w:val="left" w:pos="1680"/>
        </w:tabs>
        <w:adjustRightInd w:val="0"/>
        <w:snapToGrid w:val="0"/>
        <w:spacing w:before="93" w:beforeLines="30" w:after="93" w:afterLines="30"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（3）普及既有建筑绿色化改造，加速能效提升。充分重视绿色改造人才素质，提升绿色改造产品性能和质量，分别从既有建筑绿色改造咨询设计、产品生产、施工、运行维护等全寿命</w:t>
      </w:r>
      <w:r>
        <w:rPr>
          <w:rFonts w:hint="eastAsia" w:ascii="Times New Roman" w:hAnsi="Times New Roman" w:eastAsia="仿宋" w:cs="Times New Roman"/>
          <w:sz w:val="24"/>
        </w:rPr>
        <w:t>期</w:t>
      </w:r>
      <w:r>
        <w:rPr>
          <w:rFonts w:ascii="Times New Roman" w:hAnsi="Times New Roman" w:eastAsia="仿宋" w:cs="Times New Roman"/>
          <w:sz w:val="24"/>
        </w:rPr>
        <w:t>的产业链角度进行引导和布局，实现既有建筑绿色化改造的稳步发展。</w:t>
      </w:r>
    </w:p>
    <w:p>
      <w:pPr>
        <w:tabs>
          <w:tab w:val="left" w:pos="1680"/>
        </w:tabs>
        <w:adjustRightInd w:val="0"/>
        <w:snapToGrid w:val="0"/>
        <w:spacing w:before="93" w:beforeLines="30" w:after="93" w:afterLines="30"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4）装配式建筑、绿色建材广泛应用。全市装配式建筑比例大幅提高，装配式建筑设计、施工、管理等专业人才培养体系建立完备，大力发展专业作业企业，培育出职业化、专业化、技能化建筑产业工人队伍，生产企业实现从粗放的建筑业向高端制造业转变。绿色建材企业快速发展，相关标准逐步完善，绿色建材应用比例进一步提高。</w:t>
      </w:r>
    </w:p>
    <w:p>
      <w:pPr>
        <w:tabs>
          <w:tab w:val="left" w:pos="1680"/>
        </w:tabs>
        <w:adjustRightInd w:val="0"/>
        <w:snapToGrid w:val="0"/>
        <w:spacing w:before="93" w:beforeLines="30" w:after="93" w:afterLines="30" w:line="360" w:lineRule="auto"/>
        <w:ind w:firstLine="480" w:firstLineChars="200"/>
        <w:rPr>
          <w:rFonts w:ascii="Times New Roman" w:hAnsi="Times New Roman" w:eastAsia="仿宋" w:cs="Times New Roman"/>
          <w:sz w:val="24"/>
        </w:rPr>
      </w:pPr>
    </w:p>
    <w:bookmarkEnd w:id="36"/>
    <w:p>
      <w:pPr>
        <w:tabs>
          <w:tab w:val="left" w:pos="1680"/>
        </w:tabs>
        <w:adjustRightInd w:val="0"/>
        <w:snapToGrid w:val="0"/>
        <w:spacing w:before="93" w:beforeLines="30" w:after="93" w:afterLines="30" w:line="360" w:lineRule="auto"/>
        <w:ind w:firstLine="480" w:firstLineChars="200"/>
        <w:rPr>
          <w:rFonts w:ascii="Times New Roman" w:hAnsi="Times New Roman" w:eastAsia="仿宋" w:cs="Times New Roman"/>
          <w:sz w:val="24"/>
        </w:rPr>
      </w:pPr>
      <w:bookmarkStart w:id="40" w:name="_Toc525718508"/>
    </w:p>
    <w:p>
      <w:pPr>
        <w:sectPr>
          <w:pgSz w:w="11906" w:h="16838"/>
          <w:pgMar w:top="1440" w:right="1797" w:bottom="1440" w:left="1797" w:header="851" w:footer="992" w:gutter="0"/>
          <w:cols w:space="425" w:num="1"/>
          <w:docGrid w:type="linesAndChars" w:linePitch="312" w:charSpace="0"/>
        </w:sectPr>
      </w:pPr>
    </w:p>
    <w:p>
      <w:pPr>
        <w:pStyle w:val="4"/>
        <w:jc w:val="center"/>
        <w:rPr>
          <w:rFonts w:ascii="Times New Roman" w:hAnsi="Times New Roman" w:eastAsia="黑体" w:cs="Times New Roman"/>
          <w:sz w:val="36"/>
          <w:szCs w:val="36"/>
        </w:rPr>
      </w:pPr>
      <w:bookmarkStart w:id="41" w:name="_Toc124321374"/>
      <w:r>
        <w:rPr>
          <w:rFonts w:hint="eastAsia" w:ascii="Times New Roman" w:hAnsi="Times New Roman" w:eastAsia="黑体" w:cs="Times New Roman"/>
          <w:sz w:val="36"/>
          <w:szCs w:val="36"/>
        </w:rPr>
        <w:t>第三章</w:t>
      </w:r>
      <w:r>
        <w:rPr>
          <w:rFonts w:ascii="Times New Roman" w:hAnsi="Times New Roman" w:eastAsia="黑体" w:cs="Times New Roman"/>
          <w:sz w:val="36"/>
          <w:szCs w:val="36"/>
        </w:rPr>
        <w:t xml:space="preserve"> </w:t>
      </w:r>
      <w:bookmarkEnd w:id="37"/>
      <w:bookmarkEnd w:id="38"/>
      <w:bookmarkEnd w:id="40"/>
      <w:r>
        <w:rPr>
          <w:rFonts w:hint="eastAsia" w:ascii="Times New Roman" w:hAnsi="Times New Roman" w:eastAsia="黑体" w:cs="Times New Roman"/>
          <w:sz w:val="36"/>
          <w:szCs w:val="36"/>
        </w:rPr>
        <w:t>重点任务</w:t>
      </w:r>
      <w:bookmarkEnd w:id="41"/>
      <w:r>
        <w:rPr>
          <w:rFonts w:ascii="Times New Roman" w:hAnsi="Times New Roman" w:eastAsia="黑体" w:cs="Times New Roman"/>
          <w:sz w:val="36"/>
          <w:szCs w:val="36"/>
        </w:rPr>
        <w:t xml:space="preserve"> </w:t>
      </w:r>
    </w:p>
    <w:p>
      <w:pPr>
        <w:pStyle w:val="5"/>
        <w:rPr>
          <w:rFonts w:ascii="Times New Roman" w:hAnsi="Times New Roman" w:eastAsia="仿宋" w:cs="Times New Roman"/>
          <w:sz w:val="30"/>
          <w:szCs w:val="30"/>
        </w:rPr>
      </w:pPr>
      <w:bookmarkStart w:id="42" w:name="_Toc501619216"/>
      <w:bookmarkStart w:id="43" w:name="_Toc525718509"/>
      <w:bookmarkStart w:id="44" w:name="_Toc124321375"/>
      <w:r>
        <w:rPr>
          <w:rFonts w:hint="eastAsia" w:ascii="Times New Roman" w:hAnsi="Times New Roman" w:eastAsia="仿宋" w:cs="Times New Roman"/>
          <w:sz w:val="30"/>
          <w:szCs w:val="30"/>
        </w:rPr>
        <w:t>第</w:t>
      </w:r>
      <w:r>
        <w:rPr>
          <w:rFonts w:ascii="Times New Roman" w:hAnsi="Times New Roman" w:eastAsia="仿宋" w:cs="Times New Roman"/>
          <w:sz w:val="30"/>
          <w:szCs w:val="30"/>
        </w:rPr>
        <w:t>10</w:t>
      </w:r>
      <w:r>
        <w:rPr>
          <w:rFonts w:hint="eastAsia" w:ascii="Times New Roman" w:hAnsi="Times New Roman" w:eastAsia="仿宋" w:cs="Times New Roman"/>
          <w:sz w:val="30"/>
          <w:szCs w:val="30"/>
        </w:rPr>
        <w:t>条</w:t>
      </w:r>
      <w:r>
        <w:rPr>
          <w:rFonts w:ascii="Times New Roman" w:hAnsi="Times New Roman" w:eastAsia="仿宋" w:cs="Times New Roman"/>
          <w:sz w:val="30"/>
          <w:szCs w:val="30"/>
        </w:rPr>
        <w:t xml:space="preserve"> </w:t>
      </w:r>
      <w:bookmarkEnd w:id="42"/>
      <w:bookmarkEnd w:id="43"/>
      <w:bookmarkStart w:id="45" w:name="_Hlk103240396"/>
      <w:r>
        <w:rPr>
          <w:rFonts w:hint="eastAsia" w:ascii="Times New Roman" w:hAnsi="Times New Roman" w:eastAsia="仿宋" w:cs="Times New Roman"/>
          <w:sz w:val="30"/>
          <w:szCs w:val="30"/>
        </w:rPr>
        <w:t>引领绿色建筑高品质发展</w:t>
      </w:r>
      <w:bookmarkEnd w:id="44"/>
      <w:bookmarkEnd w:id="45"/>
    </w:p>
    <w:p>
      <w:pPr>
        <w:pStyle w:val="6"/>
        <w:ind w:firstLine="480" w:firstLineChars="200"/>
        <w:rPr>
          <w:rFonts w:ascii="Times New Roman" w:hAnsi="Times New Roman" w:eastAsia="仿宋" w:cs="Times New Roman"/>
          <w:b w:val="0"/>
          <w:bCs w:val="0"/>
          <w:sz w:val="24"/>
          <w:szCs w:val="24"/>
        </w:rPr>
      </w:pPr>
      <w:bookmarkStart w:id="46" w:name="_Hlk103240352"/>
      <w:r>
        <w:rPr>
          <w:rFonts w:ascii="Times New Roman" w:hAnsi="Times New Roman" w:eastAsia="仿宋" w:cs="Times New Roman"/>
          <w:bCs w:val="0"/>
          <w:sz w:val="24"/>
          <w:szCs w:val="24"/>
        </w:rPr>
        <w:t>1</w:t>
      </w:r>
      <w:bookmarkStart w:id="47" w:name="_Hlk119622761"/>
      <w:r>
        <w:rPr>
          <w:rFonts w:hint="default" w:ascii="Times New Roman" w:hAnsi="Times New Roman" w:eastAsia="仿宋" w:cs="Times New Roman"/>
          <w:bCs w:val="0"/>
          <w:sz w:val="24"/>
          <w:szCs w:val="24"/>
        </w:rPr>
        <w:t>.</w:t>
      </w:r>
      <w:r>
        <w:rPr>
          <w:rFonts w:hint="eastAsia" w:ascii="Times New Roman" w:hAnsi="Times New Roman" w:eastAsia="仿宋" w:cs="Times New Roman"/>
          <w:bCs w:val="0"/>
          <w:sz w:val="24"/>
          <w:szCs w:val="24"/>
        </w:rPr>
        <w:t>全市形成“三核两带一轴多点”的新建绿色建筑发展格局</w:t>
      </w:r>
      <w:bookmarkEnd w:id="47"/>
    </w:p>
    <w:p>
      <w:pPr>
        <w:tabs>
          <w:tab w:val="left" w:pos="1680"/>
        </w:tabs>
        <w:adjustRightInd w:val="0"/>
        <w:snapToGrid w:val="0"/>
        <w:spacing w:before="93" w:beforeLines="30" w:after="93" w:afterLines="30" w:line="360" w:lineRule="auto"/>
        <w:ind w:firstLine="480" w:firstLineChars="200"/>
        <w:rPr>
          <w:rFonts w:ascii="Times New Roman" w:hAnsi="Times New Roman" w:eastAsia="仿宋" w:cs="Times New Roman"/>
          <w:sz w:val="24"/>
        </w:rPr>
      </w:pPr>
      <w:bookmarkStart w:id="48" w:name="_Hlk119622749"/>
      <w:r>
        <w:rPr>
          <w:rFonts w:hint="eastAsia" w:ascii="Times New Roman" w:hAnsi="Times New Roman" w:eastAsia="仿宋" w:cs="Times New Roman"/>
          <w:sz w:val="24"/>
        </w:rPr>
        <w:t>“三核”即岐江新城、火炬开发区和翠亨新区</w:t>
      </w:r>
      <w:r>
        <w:rPr>
          <w:rFonts w:hint="eastAsia" w:ascii="Times New Roman" w:hAnsi="Times New Roman" w:eastAsia="仿宋" w:cs="Times New Roman"/>
          <w:sz w:val="24"/>
          <w:lang w:eastAsia="zh-CN"/>
        </w:rPr>
        <w:t>，</w:t>
      </w:r>
      <w:r>
        <w:rPr>
          <w:rFonts w:hint="eastAsia" w:ascii="Times New Roman" w:hAnsi="Times New Roman" w:eastAsia="仿宋" w:cs="Times New Roman"/>
          <w:sz w:val="24"/>
        </w:rPr>
        <w:t>以“三核”为中山市绿色建筑重点发展平台，打造中山市高星级绿色建筑示范区；“两带”即以小榄镇和三角镇为支撑，串联古镇镇和阜沙镇的东西向绿色建筑发展带，以及以坦洲镇、三乡镇、东区街道、</w:t>
      </w:r>
      <w:r>
        <w:rPr>
          <w:rFonts w:hint="eastAsia" w:ascii="Times New Roman" w:hAnsi="Times New Roman" w:eastAsia="仿宋" w:cs="Times New Roman"/>
          <w:sz w:val="24"/>
          <w:lang w:eastAsia="zh-CN"/>
        </w:rPr>
        <w:t>石岐</w:t>
      </w:r>
      <w:r>
        <w:rPr>
          <w:rFonts w:hint="eastAsia" w:ascii="Times New Roman" w:hAnsi="Times New Roman" w:eastAsia="仿宋" w:cs="Times New Roman"/>
          <w:sz w:val="24"/>
        </w:rPr>
        <w:t>街道和小榄镇为核心</w:t>
      </w:r>
      <w:r>
        <w:rPr>
          <w:rFonts w:hint="eastAsia" w:ascii="Times New Roman" w:hAnsi="Times New Roman" w:eastAsia="仿宋" w:cs="Times New Roman"/>
          <w:sz w:val="24"/>
          <w:lang w:val="en-US" w:eastAsia="zh-CN"/>
        </w:rPr>
        <w:t>节点</w:t>
      </w:r>
      <w:r>
        <w:rPr>
          <w:rFonts w:hint="eastAsia" w:ascii="Times New Roman" w:hAnsi="Times New Roman" w:eastAsia="仿宋" w:cs="Times New Roman"/>
          <w:sz w:val="24"/>
        </w:rPr>
        <w:t>，贯穿五桂山街道和西区街道的南北向绿色建筑发展带。以香山新城、西部产业园、北部产业园和中山科学城等创新产业平台为基础，向北紧跟广州、佛山高速发展，向南与珠海紧密联系，稳步前进，形成中山与周边城市绿色建筑协同发展的新走廊；“一轴”即珠江东西两岸融合发展轴，贯通中心城区与岐江新城、火炬开发区、翠亨新区“三核”，打造中山市绿色建筑高质量发展新通道。“多点”即以各镇街为基础，以特色产业与科技创新平台为支撑，强化资源要素统筹，合力打造一批重</w:t>
      </w:r>
      <w:r>
        <w:rPr>
          <w:rFonts w:hint="eastAsia" w:ascii="Times New Roman" w:hAnsi="Times New Roman" w:eastAsia="仿宋" w:cs="Times New Roman"/>
          <w:sz w:val="24"/>
          <w:lang w:val="en-US" w:eastAsia="zh-CN"/>
        </w:rPr>
        <w:t>点</w:t>
      </w:r>
      <w:r>
        <w:rPr>
          <w:rFonts w:hint="eastAsia" w:ascii="Times New Roman" w:hAnsi="Times New Roman" w:eastAsia="仿宋" w:cs="Times New Roman"/>
          <w:sz w:val="24"/>
        </w:rPr>
        <w:t>平台，提升市镇产业平台承载能力，加快镇村产业园区改造和城市更新，释放发展新空间，打造支撑全市发展的多个支点，为全市绿色建筑高质量发展提供示范样本。</w:t>
      </w:r>
      <w:bookmarkEnd w:id="48"/>
    </w:p>
    <w:p>
      <w:pPr>
        <w:pStyle w:val="6"/>
        <w:ind w:firstLine="480" w:firstLineChars="200"/>
        <w:rPr>
          <w:rFonts w:ascii="Times New Roman" w:hAnsi="Times New Roman" w:eastAsia="仿宋" w:cs="Times New Roman"/>
          <w:b w:val="0"/>
          <w:bCs w:val="0"/>
          <w:sz w:val="24"/>
          <w:szCs w:val="24"/>
        </w:rPr>
      </w:pPr>
      <w:bookmarkStart w:id="49" w:name="_Toc501619218"/>
      <w:r>
        <w:rPr>
          <w:rFonts w:ascii="Times New Roman" w:hAnsi="Times New Roman" w:eastAsia="仿宋" w:cs="Times New Roman"/>
          <w:bCs w:val="0"/>
          <w:sz w:val="24"/>
          <w:szCs w:val="24"/>
        </w:rPr>
        <w:t>2</w:t>
      </w:r>
      <w:bookmarkEnd w:id="49"/>
      <w:r>
        <w:rPr>
          <w:rFonts w:hint="default" w:ascii="Times New Roman" w:hAnsi="Times New Roman" w:eastAsia="仿宋" w:cs="Times New Roman"/>
          <w:bCs w:val="0"/>
          <w:sz w:val="24"/>
          <w:szCs w:val="24"/>
        </w:rPr>
        <w:t>.</w:t>
      </w:r>
      <w:r>
        <w:rPr>
          <w:rFonts w:hint="eastAsia" w:ascii="Times New Roman" w:hAnsi="Times New Roman" w:eastAsia="仿宋" w:cs="Times New Roman"/>
          <w:bCs w:val="0"/>
          <w:sz w:val="24"/>
          <w:szCs w:val="24"/>
        </w:rPr>
        <w:t>完善绿色建筑全流程管理</w:t>
      </w:r>
    </w:p>
    <w:p>
      <w:pPr>
        <w:pStyle w:val="2"/>
        <w:spacing w:before="156" w:after="93" w:line="360" w:lineRule="auto"/>
        <w:ind w:firstLine="480"/>
        <w:rPr>
          <w:rFonts w:ascii="Times New Roman" w:hAnsi="Times New Roman" w:eastAsia="仿宋"/>
          <w:sz w:val="24"/>
        </w:rPr>
      </w:pPr>
      <w:r>
        <w:rPr>
          <w:rFonts w:hint="eastAsia" w:ascii="Times New Roman" w:hAnsi="Times New Roman" w:eastAsia="仿宋"/>
          <w:sz w:val="24"/>
        </w:rPr>
        <w:t>各相关部门要结合实际，以贯彻执行《广东省绿色建筑条例》为抓手，制定绿色建筑管理配套政策，建立绿色建筑规划和建设、运行和改造、技术发展和激励措施等全寿命期工作推进机制，压实建设、规划、设计、施工图审查、施工、监理、检测、验收等各方主体及相关部门监管责任，将绿色建筑发展纳入法治轨道。</w:t>
      </w:r>
    </w:p>
    <w:p>
      <w:pPr>
        <w:pStyle w:val="2"/>
        <w:spacing w:before="156" w:after="93" w:line="360" w:lineRule="auto"/>
        <w:ind w:firstLine="480"/>
        <w:rPr>
          <w:rFonts w:ascii="Times New Roman" w:hAnsi="Times New Roman" w:eastAsia="仿宋"/>
          <w:sz w:val="24"/>
        </w:rPr>
      </w:pPr>
      <w:r>
        <w:rPr>
          <w:rFonts w:hint="eastAsia" w:ascii="Times New Roman" w:hAnsi="Times New Roman" w:eastAsia="仿宋"/>
          <w:sz w:val="24"/>
        </w:rPr>
        <w:t>市自然资源局在土地出让或者划拨时，要将建设用地规划条件中明确的绿色建筑等级要求纳入国有建设用地使用权出让合同或者国有土地划拨决定书。出具规划意见时，应在工程规划许可证或附件中注明绿色建筑等级要求</w:t>
      </w:r>
      <w:bookmarkStart w:id="50" w:name="_Hlk119624221"/>
      <w:r>
        <w:rPr>
          <w:rFonts w:hint="eastAsia" w:ascii="Times New Roman" w:hAnsi="Times New Roman" w:eastAsia="仿宋"/>
          <w:sz w:val="24"/>
        </w:rPr>
        <w:t>，并由</w:t>
      </w:r>
      <w:r>
        <w:rPr>
          <w:rFonts w:hint="default" w:ascii="Times New Roman" w:hAnsi="Times New Roman" w:eastAsia="仿宋"/>
          <w:sz w:val="24"/>
        </w:rPr>
        <w:t>市住房城乡建设局</w:t>
      </w:r>
      <w:r>
        <w:rPr>
          <w:rFonts w:hint="eastAsia" w:ascii="Times New Roman" w:hAnsi="Times New Roman" w:eastAsia="仿宋"/>
          <w:sz w:val="24"/>
        </w:rPr>
        <w:t>在项目设计和施工验收阶段进行绿色建筑设计施工图审查和绿色建筑验收。</w:t>
      </w:r>
      <w:bookmarkEnd w:id="50"/>
      <w:r>
        <w:rPr>
          <w:rFonts w:hint="eastAsia" w:ascii="Times New Roman" w:hAnsi="Times New Roman" w:eastAsia="仿宋"/>
          <w:sz w:val="24"/>
        </w:rPr>
        <w:t>各部门应强化建设单位的首要责任，指导督促建设单位在组织编制可行性研究报告或项目申请报告时应明确绿色建筑等级、技术以及节能减排等内容，将绿色建筑的相关费用纳入工程投资概预算，按照建设用地规划条件中明确的绿色建筑等级，进行委托设计、施工和监理，并在合同中载明绿色建筑等级要求。</w:t>
      </w:r>
    </w:p>
    <w:p>
      <w:pPr>
        <w:pStyle w:val="2"/>
        <w:spacing w:before="156" w:after="93" w:line="360" w:lineRule="auto"/>
        <w:ind w:firstLine="480"/>
        <w:rPr>
          <w:rFonts w:ascii="Times New Roman" w:hAnsi="Times New Roman" w:eastAsia="仿宋"/>
          <w:sz w:val="24"/>
        </w:rPr>
      </w:pPr>
      <w:r>
        <w:rPr>
          <w:rFonts w:hint="eastAsia" w:ascii="Times New Roman" w:hAnsi="Times New Roman" w:eastAsia="仿宋"/>
          <w:sz w:val="24"/>
        </w:rPr>
        <w:t>加强绿色建筑运行管理。强化绿色建筑所有权人或使用权人对绿色建筑的设施设备进行维护保养的主体责任，加强绿色建筑物业管理，保障绿色建筑运行满足要求；推广用能系统的智能管理，加强绿色建筑运行数据收集统计，建立健全建筑能耗统计、能源审计、能耗监测和能效测评制度，按年度开展碳排放核算，为科学、高效监管绿色建筑运行提供依据；对大型公共建筑和国家机关办公建筑、国有资金参与投资建设的其他公共建筑执行公共建筑能耗限额，对能耗水平进行评估和调适。</w:t>
      </w:r>
    </w:p>
    <w:p>
      <w:pPr>
        <w:pStyle w:val="6"/>
        <w:ind w:firstLine="480" w:firstLineChars="200"/>
        <w:rPr>
          <w:rFonts w:ascii="Times New Roman" w:hAnsi="Times New Roman" w:eastAsia="仿宋" w:cs="Times New Roman"/>
          <w:bCs w:val="0"/>
          <w:sz w:val="24"/>
          <w:szCs w:val="24"/>
        </w:rPr>
      </w:pPr>
      <w:r>
        <w:rPr>
          <w:rFonts w:hint="eastAsia" w:ascii="Times New Roman" w:hAnsi="Times New Roman" w:eastAsia="仿宋" w:cs="Times New Roman"/>
          <w:bCs w:val="0"/>
          <w:sz w:val="24"/>
          <w:szCs w:val="24"/>
        </w:rPr>
        <w:t>3</w:t>
      </w:r>
      <w:r>
        <w:rPr>
          <w:rFonts w:hint="eastAsia" w:ascii="Times New Roman" w:hAnsi="Times New Roman" w:eastAsia="仿宋" w:cs="Times New Roman"/>
          <w:bCs w:val="0"/>
          <w:sz w:val="24"/>
          <w:szCs w:val="24"/>
          <w:lang w:val="en-US" w:eastAsia="zh-CN"/>
        </w:rPr>
        <w:t>.</w:t>
      </w:r>
      <w:r>
        <w:rPr>
          <w:rFonts w:hint="eastAsia" w:ascii="Times New Roman" w:hAnsi="Times New Roman" w:eastAsia="仿宋" w:cs="Times New Roman"/>
          <w:bCs w:val="0"/>
          <w:sz w:val="24"/>
          <w:szCs w:val="24"/>
        </w:rPr>
        <w:t>不断提升绿色建筑品质</w:t>
      </w:r>
    </w:p>
    <w:p>
      <w:pPr>
        <w:pStyle w:val="2"/>
        <w:spacing w:before="156" w:after="93" w:line="360" w:lineRule="auto"/>
        <w:ind w:firstLine="480"/>
        <w:rPr>
          <w:rFonts w:ascii="Times New Roman" w:hAnsi="Times New Roman" w:eastAsia="仿宋"/>
          <w:sz w:val="24"/>
        </w:rPr>
      </w:pPr>
      <w:r>
        <w:rPr>
          <w:rFonts w:hint="eastAsia" w:ascii="Times New Roman" w:hAnsi="Times New Roman" w:eastAsia="仿宋"/>
          <w:sz w:val="24"/>
        </w:rPr>
        <w:t>强化住宅健康性能设计要求，关注全龄化需求、倡导气候适应性、突出岭南特色，注重通风采光、遮阳防潮，提升建筑视觉和心理舒适性，降低住宅用能需求。全面推动星级绿色建筑发展，建设二星级及以上高星级绿色建筑重点示范区，超高层建筑按不低于三星级标准进行建设。</w:t>
      </w:r>
    </w:p>
    <w:p>
      <w:pPr>
        <w:pStyle w:val="2"/>
        <w:spacing w:before="156" w:after="93" w:line="360" w:lineRule="auto"/>
        <w:ind w:firstLine="480"/>
        <w:rPr>
          <w:rFonts w:ascii="Times New Roman" w:hAnsi="Times New Roman" w:eastAsia="仿宋"/>
          <w:sz w:val="24"/>
        </w:rPr>
      </w:pPr>
      <w:r>
        <w:rPr>
          <w:rFonts w:hint="eastAsia" w:ascii="Times New Roman" w:hAnsi="Times New Roman" w:eastAsia="仿宋"/>
          <w:sz w:val="24"/>
        </w:rPr>
        <w:t>落实国家、省绿色建筑标识管理办法，明确组织管理、认定程序、监督管理等内容，配合省住房和城乡建设厅做好绿色建筑二星级、三星级标识推荐工作，做好一星级标识认定和授予工作。以广东省绿色建筑信息平台为依托，按照省要求落实绿色建筑标识工作管理。对绿色建筑实行动态管理，对不符合绿色建筑等级要求的，予以限期整改或直接撤销。</w:t>
      </w:r>
    </w:p>
    <w:p>
      <w:pPr>
        <w:pStyle w:val="6"/>
        <w:ind w:firstLine="480" w:firstLineChars="200"/>
        <w:rPr>
          <w:rFonts w:ascii="Times New Roman" w:hAnsi="Times New Roman" w:eastAsia="仿宋" w:cs="Times New Roman"/>
          <w:bCs w:val="0"/>
          <w:sz w:val="24"/>
          <w:szCs w:val="24"/>
        </w:rPr>
      </w:pPr>
      <w:bookmarkStart w:id="51" w:name="_Toc501619228"/>
      <w:r>
        <w:rPr>
          <w:rFonts w:hint="eastAsia" w:ascii="Times New Roman" w:hAnsi="Times New Roman" w:eastAsia="仿宋" w:cs="Times New Roman"/>
          <w:bCs w:val="0"/>
          <w:sz w:val="24"/>
          <w:szCs w:val="24"/>
        </w:rPr>
        <w:t>4</w:t>
      </w:r>
      <w:r>
        <w:rPr>
          <w:rFonts w:hint="eastAsia" w:ascii="Times New Roman" w:hAnsi="Times New Roman" w:eastAsia="仿宋" w:cs="Times New Roman"/>
          <w:bCs w:val="0"/>
          <w:sz w:val="24"/>
          <w:szCs w:val="24"/>
          <w:lang w:val="en-US" w:eastAsia="zh-CN"/>
        </w:rPr>
        <w:t>.</w:t>
      </w:r>
      <w:r>
        <w:rPr>
          <w:rFonts w:hint="eastAsia" w:ascii="Times New Roman" w:hAnsi="Times New Roman" w:eastAsia="仿宋" w:cs="Times New Roman"/>
          <w:bCs w:val="0"/>
          <w:sz w:val="24"/>
          <w:szCs w:val="24"/>
        </w:rPr>
        <w:t>大力</w:t>
      </w:r>
      <w:bookmarkEnd w:id="51"/>
      <w:r>
        <w:rPr>
          <w:rFonts w:hint="eastAsia" w:ascii="Times New Roman" w:hAnsi="Times New Roman" w:eastAsia="仿宋" w:cs="Times New Roman"/>
          <w:bCs w:val="0"/>
          <w:sz w:val="24"/>
          <w:szCs w:val="24"/>
        </w:rPr>
        <w:t>发展节能低碳建筑</w:t>
      </w:r>
    </w:p>
    <w:p>
      <w:pPr>
        <w:pStyle w:val="2"/>
        <w:spacing w:before="156" w:after="93" w:line="360" w:lineRule="auto"/>
        <w:ind w:firstLine="480"/>
        <w:rPr>
          <w:rFonts w:hint="eastAsia" w:ascii="Times New Roman" w:hAnsi="Times New Roman" w:eastAsia="仿宋"/>
          <w:sz w:val="24"/>
        </w:rPr>
      </w:pPr>
      <w:r>
        <w:rPr>
          <w:rFonts w:hint="eastAsia" w:ascii="Times New Roman" w:hAnsi="Times New Roman" w:eastAsia="仿宋"/>
          <w:sz w:val="24"/>
        </w:rPr>
        <w:t>按照国家及省</w:t>
      </w:r>
      <w:r>
        <w:rPr>
          <w:rFonts w:hint="eastAsia" w:ascii="Times New Roman" w:hAnsi="Times New Roman" w:eastAsia="仿宋"/>
          <w:sz w:val="24"/>
          <w:lang w:val="en-US" w:eastAsia="zh-CN"/>
        </w:rPr>
        <w:t>市</w:t>
      </w:r>
      <w:r>
        <w:rPr>
          <w:rFonts w:hint="eastAsia" w:ascii="Times New Roman" w:hAnsi="Times New Roman" w:eastAsia="仿宋"/>
          <w:sz w:val="24"/>
        </w:rPr>
        <w:t>双碳工作要求，提升新建建筑节能水平。以《建筑节能与可再生能源利用通用规范》确定的节能指标为基线，提高建筑门窗等关键部品节能性能要求，研究实施高于广东省现行标准要求的建筑节能标准。加快发展超低能耗、近零能耗建筑，进一步提升绿色建筑室内空气、水质、隔声等方面的健康性能。探索岭南特色超低能耗建筑建设，力争建成1栋岭南特色超低能耗建筑项目。</w:t>
      </w:r>
    </w:p>
    <w:p>
      <w:pPr>
        <w:pStyle w:val="6"/>
        <w:numPr>
          <w:ilvl w:val="-1"/>
          <w:numId w:val="0"/>
        </w:numPr>
        <w:ind w:firstLine="480" w:firstLineChars="200"/>
        <w:rPr>
          <w:rFonts w:hint="eastAsia" w:ascii="Times New Roman" w:hAnsi="Times New Roman" w:eastAsia="仿宋" w:cs="Times New Roman"/>
          <w:bCs w:val="0"/>
          <w:sz w:val="24"/>
          <w:szCs w:val="24"/>
          <w:lang w:val="en-US" w:eastAsia="zh-CN"/>
        </w:rPr>
      </w:pPr>
      <w:r>
        <w:rPr>
          <w:rFonts w:hint="eastAsia" w:ascii="Times New Roman" w:hAnsi="Times New Roman" w:eastAsia="仿宋" w:cs="Times New Roman"/>
          <w:bCs w:val="0"/>
          <w:sz w:val="24"/>
          <w:szCs w:val="24"/>
          <w:lang w:val="en-US" w:eastAsia="zh-CN"/>
        </w:rPr>
        <w:t>5.加快推动农村农房建筑绿色技术应用</w:t>
      </w:r>
    </w:p>
    <w:p>
      <w:pPr>
        <w:tabs>
          <w:tab w:val="left" w:pos="1680"/>
        </w:tabs>
        <w:adjustRightInd w:val="0"/>
        <w:snapToGrid w:val="0"/>
        <w:spacing w:before="93" w:beforeLines="30" w:after="93" w:afterLines="30" w:line="360" w:lineRule="auto"/>
        <w:ind w:firstLine="480" w:firstLineChars="200"/>
        <w:rPr>
          <w:rFonts w:hint="eastAsia" w:ascii="Times New Roman" w:hAnsi="Times New Roman" w:eastAsia="仿宋" w:cs="Times New Roman"/>
          <w:sz w:val="24"/>
          <w:lang w:val="en-US" w:eastAsia="zh-CN"/>
        </w:rPr>
      </w:pPr>
      <w:r>
        <w:rPr>
          <w:rFonts w:hint="eastAsia" w:ascii="Times New Roman" w:hAnsi="Times New Roman" w:eastAsia="仿宋" w:cs="Times New Roman"/>
          <w:sz w:val="24"/>
          <w:lang w:val="en-US" w:eastAsia="zh-CN"/>
        </w:rPr>
        <w:t>鼓励农村新建、改建和扩建的居住建筑按节能设计、绿色农房标准等进行设计和建造。鼓励政府投资的农村公共建筑、各类示范村镇农房建设项目率先执行节能及绿色农房标准、导则。结合农村医院、学校等公共建筑和农村危房改造，稳步推进农村建筑节能。鼓励可再生能源在农村建筑中的应用，进一步推广使用太阳能热水系统。</w:t>
      </w:r>
    </w:p>
    <w:p>
      <w:pPr>
        <w:tabs>
          <w:tab w:val="left" w:pos="1680"/>
        </w:tabs>
        <w:adjustRightInd w:val="0"/>
        <w:snapToGrid w:val="0"/>
        <w:spacing w:before="93" w:beforeLines="30" w:after="93" w:afterLines="30" w:line="360" w:lineRule="auto"/>
        <w:ind w:firstLine="480" w:firstLineChars="200"/>
        <w:rPr>
          <w:rFonts w:hint="eastAsia" w:ascii="Times New Roman" w:hAnsi="Times New Roman" w:eastAsia="仿宋" w:cs="Times New Roman"/>
          <w:sz w:val="24"/>
          <w:lang w:val="en-US" w:eastAsia="zh-CN"/>
        </w:rPr>
      </w:pPr>
      <w:r>
        <w:rPr>
          <w:rFonts w:hint="eastAsia" w:ascii="Times New Roman" w:hAnsi="Times New Roman" w:eastAsia="仿宋" w:cs="Times New Roman"/>
          <w:sz w:val="24"/>
          <w:lang w:val="en-US" w:eastAsia="zh-CN"/>
        </w:rPr>
        <w:t>促进室外环境整治，加强生活垃圾和污水处理力度，设置集中绿地、公共照明，完善乡村硬化道路。提升农房室内环境，改善室内采光与自然通风，采用遮阳、防潮措施；开展绿色建材下乡行动，促进绿色建材在农房建设的应用，积极采用原生材料，重点推广应用节能门窗、轻型自保温砌块、预制构件等绿色建材产品，支持新农村建设。</w:t>
      </w:r>
    </w:p>
    <w:bookmarkEnd w:id="46"/>
    <w:p>
      <w:pPr>
        <w:pStyle w:val="5"/>
        <w:rPr>
          <w:rFonts w:ascii="Times New Roman" w:hAnsi="Times New Roman" w:eastAsia="仿宋" w:cs="Times New Roman"/>
          <w:sz w:val="30"/>
          <w:szCs w:val="30"/>
        </w:rPr>
      </w:pPr>
      <w:bookmarkStart w:id="52" w:name="_Toc501619222"/>
      <w:bookmarkStart w:id="53" w:name="_Toc525718510"/>
      <w:bookmarkStart w:id="54" w:name="_Toc124321376"/>
      <w:r>
        <w:rPr>
          <w:rFonts w:hint="eastAsia" w:ascii="Times New Roman" w:hAnsi="Times New Roman" w:eastAsia="仿宋" w:cs="Times New Roman"/>
          <w:sz w:val="30"/>
          <w:szCs w:val="30"/>
        </w:rPr>
        <w:t>第1</w:t>
      </w:r>
      <w:r>
        <w:rPr>
          <w:rFonts w:ascii="Times New Roman" w:hAnsi="Times New Roman" w:eastAsia="仿宋" w:cs="Times New Roman"/>
          <w:sz w:val="30"/>
          <w:szCs w:val="30"/>
        </w:rPr>
        <w:t>1</w:t>
      </w:r>
      <w:r>
        <w:rPr>
          <w:rFonts w:hint="eastAsia" w:ascii="Times New Roman" w:hAnsi="Times New Roman" w:eastAsia="仿宋" w:cs="Times New Roman"/>
          <w:sz w:val="30"/>
          <w:szCs w:val="30"/>
        </w:rPr>
        <w:t>条</w:t>
      </w:r>
      <w:r>
        <w:rPr>
          <w:rFonts w:ascii="Times New Roman" w:hAnsi="Times New Roman" w:eastAsia="仿宋" w:cs="Times New Roman"/>
          <w:sz w:val="30"/>
          <w:szCs w:val="30"/>
        </w:rPr>
        <w:t xml:space="preserve"> </w:t>
      </w:r>
      <w:bookmarkEnd w:id="52"/>
      <w:bookmarkEnd w:id="53"/>
      <w:bookmarkStart w:id="55" w:name="_Hlk103240481"/>
      <w:r>
        <w:rPr>
          <w:rFonts w:hint="eastAsia" w:ascii="Times New Roman" w:hAnsi="Times New Roman" w:eastAsia="仿宋" w:cs="Times New Roman"/>
          <w:sz w:val="30"/>
          <w:szCs w:val="30"/>
        </w:rPr>
        <w:t>加快</w:t>
      </w:r>
      <w:r>
        <w:rPr>
          <w:rFonts w:hint="eastAsia" w:ascii="Times New Roman" w:hAnsi="Times New Roman" w:eastAsia="仿宋" w:cs="Times New Roman"/>
          <w:sz w:val="30"/>
          <w:szCs w:val="30"/>
          <w:lang w:eastAsia="zh-CN"/>
        </w:rPr>
        <w:t>既有民用建筑</w:t>
      </w:r>
      <w:r>
        <w:rPr>
          <w:rFonts w:hint="eastAsia" w:ascii="Times New Roman" w:hAnsi="Times New Roman" w:eastAsia="仿宋" w:cs="Times New Roman"/>
          <w:sz w:val="30"/>
          <w:szCs w:val="30"/>
        </w:rPr>
        <w:t>节能绿色化改造</w:t>
      </w:r>
      <w:bookmarkEnd w:id="54"/>
      <w:bookmarkEnd w:id="55"/>
    </w:p>
    <w:p>
      <w:pPr>
        <w:pStyle w:val="6"/>
        <w:spacing w:before="0"/>
        <w:ind w:firstLine="480" w:firstLineChars="200"/>
        <w:rPr>
          <w:rFonts w:ascii="Times New Roman" w:hAnsi="Times New Roman" w:eastAsia="仿宋" w:cs="Times New Roman"/>
          <w:bCs w:val="0"/>
          <w:sz w:val="24"/>
          <w:szCs w:val="24"/>
        </w:rPr>
      </w:pPr>
      <w:bookmarkStart w:id="56" w:name="_Toc501619223"/>
      <w:bookmarkStart w:id="57" w:name="_Hlk103241450"/>
      <w:r>
        <w:rPr>
          <w:rFonts w:ascii="Times New Roman" w:hAnsi="Times New Roman" w:eastAsia="仿宋" w:cs="Times New Roman"/>
          <w:bCs w:val="0"/>
          <w:sz w:val="24"/>
          <w:szCs w:val="24"/>
        </w:rPr>
        <w:t>1</w:t>
      </w:r>
      <w:r>
        <w:rPr>
          <w:rFonts w:hint="eastAsia" w:ascii="Times New Roman" w:hAnsi="Times New Roman" w:eastAsia="仿宋" w:cs="Times New Roman"/>
          <w:bCs w:val="0"/>
          <w:sz w:val="24"/>
          <w:szCs w:val="24"/>
          <w:lang w:val="en-US" w:eastAsia="zh-CN"/>
        </w:rPr>
        <w:t>.</w:t>
      </w:r>
      <w:r>
        <w:rPr>
          <w:rFonts w:hint="eastAsia" w:ascii="Times New Roman" w:hAnsi="Times New Roman" w:eastAsia="仿宋" w:cs="Times New Roman"/>
          <w:bCs w:val="0"/>
          <w:sz w:val="24"/>
          <w:szCs w:val="24"/>
        </w:rPr>
        <w:t>摸清</w:t>
      </w:r>
      <w:bookmarkEnd w:id="56"/>
      <w:r>
        <w:rPr>
          <w:rFonts w:hint="eastAsia" w:ascii="Times New Roman" w:hAnsi="Times New Roman" w:eastAsia="仿宋" w:cs="Times New Roman"/>
          <w:bCs w:val="0"/>
          <w:sz w:val="24"/>
          <w:szCs w:val="24"/>
          <w:lang w:eastAsia="zh-CN"/>
        </w:rPr>
        <w:t>既有民用建筑</w:t>
      </w:r>
      <w:r>
        <w:rPr>
          <w:rFonts w:hint="eastAsia" w:ascii="Times New Roman" w:hAnsi="Times New Roman" w:eastAsia="仿宋" w:cs="Times New Roman"/>
          <w:bCs w:val="0"/>
          <w:sz w:val="24"/>
          <w:szCs w:val="24"/>
        </w:rPr>
        <w:t>现状，完善改造路径</w:t>
      </w:r>
    </w:p>
    <w:p>
      <w:pPr>
        <w:tabs>
          <w:tab w:val="left" w:pos="1680"/>
        </w:tabs>
        <w:adjustRightInd w:val="0"/>
        <w:snapToGrid w:val="0"/>
        <w:spacing w:before="93" w:beforeLines="30" w:after="93" w:afterLines="30" w:line="360" w:lineRule="auto"/>
        <w:ind w:firstLine="480" w:firstLineChars="200"/>
        <w:rPr>
          <w:rFonts w:ascii="Times New Roman" w:hAnsi="Times New Roman" w:eastAsia="仿宋" w:cs="Times New Roman"/>
          <w:sz w:val="24"/>
        </w:rPr>
      </w:pPr>
      <w:r>
        <w:rPr>
          <w:rFonts w:hint="eastAsia" w:ascii="Times New Roman" w:hAnsi="Times New Roman" w:eastAsia="仿宋" w:cs="Times New Roman"/>
          <w:sz w:val="24"/>
        </w:rPr>
        <w:t>开展全市</w:t>
      </w:r>
      <w:r>
        <w:rPr>
          <w:rFonts w:hint="eastAsia" w:ascii="Times New Roman" w:hAnsi="Times New Roman" w:eastAsia="仿宋" w:cs="Times New Roman"/>
          <w:sz w:val="24"/>
          <w:lang w:eastAsia="zh-CN"/>
        </w:rPr>
        <w:t>既有民用建筑</w:t>
      </w:r>
      <w:r>
        <w:rPr>
          <w:rFonts w:hint="eastAsia" w:ascii="Times New Roman" w:hAnsi="Times New Roman" w:eastAsia="仿宋" w:cs="Times New Roman"/>
          <w:sz w:val="24"/>
        </w:rPr>
        <w:t>现状调研，统计</w:t>
      </w:r>
      <w:r>
        <w:rPr>
          <w:rFonts w:hint="eastAsia" w:ascii="Times New Roman" w:hAnsi="Times New Roman" w:eastAsia="仿宋" w:cs="Times New Roman"/>
          <w:sz w:val="24"/>
          <w:lang w:eastAsia="zh-CN"/>
        </w:rPr>
        <w:t>既有民用建筑</w:t>
      </w:r>
      <w:r>
        <w:rPr>
          <w:rFonts w:hint="eastAsia" w:ascii="Times New Roman" w:hAnsi="Times New Roman" w:eastAsia="仿宋" w:cs="Times New Roman"/>
          <w:sz w:val="24"/>
        </w:rPr>
        <w:t>类型及面积比例、建筑质量状况、建筑能耗水平、建筑使用特点及存在问题，确定各类建筑的节能潜力和改造重点。综合考虑各类建筑节能潜力大小、节能改造实施难易程度、项目示范作用来选取</w:t>
      </w:r>
      <w:r>
        <w:rPr>
          <w:rFonts w:hint="eastAsia" w:ascii="Times New Roman" w:hAnsi="Times New Roman" w:eastAsia="仿宋" w:cs="Times New Roman"/>
          <w:sz w:val="24"/>
          <w:lang w:eastAsia="zh-CN"/>
        </w:rPr>
        <w:t>节能绿色化改造</w:t>
      </w:r>
      <w:r>
        <w:rPr>
          <w:rFonts w:hint="eastAsia" w:ascii="Times New Roman" w:hAnsi="Times New Roman" w:eastAsia="仿宋" w:cs="Times New Roman"/>
          <w:sz w:val="24"/>
        </w:rPr>
        <w:t>对象。完善能耗监管。加快建筑能耗监测平台建设。实行能耗定额管理。建立既有绿色改造流动清单和进度计划。</w:t>
      </w:r>
    </w:p>
    <w:p>
      <w:pPr>
        <w:pStyle w:val="6"/>
        <w:ind w:firstLine="480" w:firstLineChars="200"/>
        <w:rPr>
          <w:rFonts w:ascii="Times New Roman" w:hAnsi="Times New Roman" w:eastAsia="仿宋" w:cs="Times New Roman"/>
          <w:bCs w:val="0"/>
          <w:sz w:val="24"/>
          <w:szCs w:val="24"/>
        </w:rPr>
      </w:pPr>
      <w:bookmarkStart w:id="58" w:name="_Toc501619224"/>
      <w:r>
        <w:rPr>
          <w:rFonts w:ascii="Times New Roman" w:hAnsi="Times New Roman" w:eastAsia="仿宋" w:cs="Times New Roman"/>
          <w:bCs w:val="0"/>
          <w:sz w:val="24"/>
          <w:szCs w:val="24"/>
        </w:rPr>
        <w:t>2</w:t>
      </w:r>
      <w:r>
        <w:rPr>
          <w:rFonts w:hint="eastAsia" w:ascii="Times New Roman" w:hAnsi="Times New Roman" w:eastAsia="仿宋" w:cs="Times New Roman"/>
          <w:bCs w:val="0"/>
          <w:sz w:val="24"/>
          <w:szCs w:val="24"/>
          <w:lang w:val="en-US" w:eastAsia="zh-CN"/>
        </w:rPr>
        <w:t>.</w:t>
      </w:r>
      <w:r>
        <w:rPr>
          <w:rFonts w:hint="eastAsia" w:ascii="Times New Roman" w:hAnsi="Times New Roman" w:eastAsia="仿宋" w:cs="Times New Roman"/>
          <w:bCs w:val="0"/>
          <w:sz w:val="24"/>
          <w:szCs w:val="24"/>
        </w:rPr>
        <w:t>开展公共建筑</w:t>
      </w:r>
      <w:r>
        <w:rPr>
          <w:rFonts w:hint="eastAsia" w:ascii="Times New Roman" w:hAnsi="Times New Roman" w:eastAsia="仿宋" w:cs="Times New Roman"/>
          <w:bCs w:val="0"/>
          <w:sz w:val="24"/>
          <w:szCs w:val="24"/>
          <w:lang w:eastAsia="zh-CN"/>
        </w:rPr>
        <w:t>节能绿色化改造</w:t>
      </w:r>
      <w:r>
        <w:rPr>
          <w:rFonts w:hint="eastAsia" w:ascii="Times New Roman" w:hAnsi="Times New Roman" w:eastAsia="仿宋" w:cs="Times New Roman"/>
          <w:bCs w:val="0"/>
          <w:sz w:val="24"/>
          <w:szCs w:val="24"/>
        </w:rPr>
        <w:t>示范</w:t>
      </w:r>
      <w:bookmarkEnd w:id="58"/>
    </w:p>
    <w:p>
      <w:pPr>
        <w:tabs>
          <w:tab w:val="left" w:pos="1680"/>
        </w:tabs>
        <w:adjustRightInd w:val="0"/>
        <w:snapToGrid w:val="0"/>
        <w:spacing w:before="93" w:beforeLines="30" w:after="93" w:afterLines="30" w:line="360" w:lineRule="auto"/>
        <w:ind w:firstLine="480" w:firstLineChars="200"/>
        <w:rPr>
          <w:rFonts w:ascii="Times New Roman" w:hAnsi="Times New Roman" w:eastAsia="仿宋" w:cs="Times New Roman"/>
          <w:sz w:val="24"/>
        </w:rPr>
      </w:pPr>
      <w:r>
        <w:rPr>
          <w:rFonts w:hint="eastAsia" w:ascii="Times New Roman" w:hAnsi="Times New Roman" w:eastAsia="仿宋" w:cs="Times New Roman"/>
          <w:sz w:val="24"/>
        </w:rPr>
        <w:t>支持有条件地区开展学校、医院节能改造试点，建设一批</w:t>
      </w:r>
      <w:r>
        <w:rPr>
          <w:rFonts w:hint="eastAsia" w:ascii="Times New Roman" w:hAnsi="Times New Roman" w:eastAsia="仿宋" w:cs="Times New Roman"/>
          <w:sz w:val="24"/>
          <w:lang w:eastAsia="zh-CN"/>
        </w:rPr>
        <w:t>既有民用建筑</w:t>
      </w:r>
      <w:r>
        <w:rPr>
          <w:rFonts w:hint="eastAsia" w:ascii="Times New Roman" w:hAnsi="Times New Roman" w:eastAsia="仿宋" w:cs="Times New Roman"/>
          <w:sz w:val="24"/>
        </w:rPr>
        <w:t>节能改造示范项目，包括：政府行政办公建筑，结合公共机构节能工作，推进节能改造示范；大型商业建筑的空调、照明系统节能改造与外墙节能改造；学校、工业厂房中的宿舍、医院、保健院、卫生中心及服务站等有稳定热水需求的</w:t>
      </w:r>
      <w:r>
        <w:rPr>
          <w:rFonts w:hint="eastAsia" w:ascii="Times New Roman" w:hAnsi="Times New Roman" w:eastAsia="仿宋" w:cs="Times New Roman"/>
          <w:sz w:val="24"/>
          <w:lang w:eastAsia="zh-CN"/>
        </w:rPr>
        <w:t>既有民用建筑</w:t>
      </w:r>
      <w:r>
        <w:rPr>
          <w:rFonts w:hint="eastAsia" w:ascii="Times New Roman" w:hAnsi="Times New Roman" w:eastAsia="仿宋" w:cs="Times New Roman"/>
          <w:sz w:val="24"/>
        </w:rPr>
        <w:t>考虑安装太阳能热水；文化建筑应从提升能效，改善室内物理环境方面开展改造；福利院、敬老院等建筑应提升建筑人性化设计等。</w:t>
      </w:r>
    </w:p>
    <w:p>
      <w:pPr>
        <w:pStyle w:val="6"/>
        <w:ind w:firstLine="480" w:firstLineChars="200"/>
        <w:rPr>
          <w:rFonts w:ascii="Times New Roman" w:hAnsi="Times New Roman" w:eastAsia="仿宋" w:cs="Times New Roman"/>
          <w:bCs w:val="0"/>
          <w:sz w:val="24"/>
          <w:szCs w:val="24"/>
        </w:rPr>
      </w:pPr>
      <w:bookmarkStart w:id="59" w:name="_Toc501619225"/>
      <w:r>
        <w:rPr>
          <w:rFonts w:ascii="Times New Roman" w:hAnsi="Times New Roman" w:eastAsia="仿宋" w:cs="Times New Roman"/>
          <w:bCs w:val="0"/>
          <w:sz w:val="24"/>
          <w:szCs w:val="24"/>
        </w:rPr>
        <w:t>3</w:t>
      </w:r>
      <w:bookmarkEnd w:id="59"/>
      <w:r>
        <w:rPr>
          <w:rFonts w:hint="eastAsia" w:ascii="Times New Roman" w:hAnsi="Times New Roman" w:eastAsia="仿宋" w:cs="Times New Roman"/>
          <w:bCs w:val="0"/>
          <w:sz w:val="24"/>
          <w:szCs w:val="24"/>
          <w:lang w:val="en-US" w:eastAsia="zh-CN"/>
        </w:rPr>
        <w:t>.</w:t>
      </w:r>
      <w:r>
        <w:rPr>
          <w:rFonts w:hint="eastAsia" w:ascii="Times New Roman" w:hAnsi="Times New Roman" w:eastAsia="仿宋" w:cs="Times New Roman"/>
          <w:bCs w:val="0"/>
          <w:sz w:val="24"/>
          <w:szCs w:val="24"/>
        </w:rPr>
        <w:t>推进居住建筑绿色化改造</w:t>
      </w:r>
    </w:p>
    <w:bookmarkEnd w:id="57"/>
    <w:p>
      <w:pPr>
        <w:pStyle w:val="2"/>
        <w:spacing w:before="156" w:after="93" w:line="360" w:lineRule="auto"/>
        <w:ind w:firstLine="480"/>
        <w:rPr>
          <w:rFonts w:ascii="Times New Roman" w:hAnsi="Times New Roman" w:eastAsia="仿宋"/>
          <w:sz w:val="24"/>
        </w:rPr>
      </w:pPr>
      <w:r>
        <w:rPr>
          <w:rFonts w:hint="eastAsia" w:ascii="Times New Roman" w:hAnsi="Times New Roman" w:eastAsia="仿宋"/>
          <w:sz w:val="24"/>
        </w:rPr>
        <w:t>结合《中山市城市更新（“三旧”改造）专项规划（2020</w:t>
      </w:r>
      <w:r>
        <w:rPr>
          <w:rFonts w:hint="eastAsia" w:ascii="Times New Roman" w:hAnsi="Times New Roman" w:eastAsia="仿宋"/>
          <w:sz w:val="24"/>
          <w:lang w:val="en-US" w:eastAsia="zh-CN"/>
        </w:rPr>
        <w:t>—</w:t>
      </w:r>
      <w:r>
        <w:rPr>
          <w:rFonts w:hint="eastAsia" w:ascii="Times New Roman" w:hAnsi="Times New Roman" w:eastAsia="仿宋"/>
          <w:sz w:val="24"/>
        </w:rPr>
        <w:t>2035）》三旧改造项目、城市更新重点区域，以及《中山市老旧小区2021</w:t>
      </w:r>
      <w:r>
        <w:rPr>
          <w:rFonts w:hint="eastAsia" w:ascii="Times New Roman" w:hAnsi="Times New Roman" w:eastAsia="仿宋"/>
          <w:sz w:val="24"/>
          <w:lang w:val="en-US" w:eastAsia="zh-CN"/>
        </w:rPr>
        <w:t>—</w:t>
      </w:r>
      <w:r>
        <w:rPr>
          <w:rFonts w:hint="eastAsia" w:ascii="Times New Roman" w:hAnsi="Times New Roman" w:eastAsia="仿宋"/>
          <w:sz w:val="24"/>
        </w:rPr>
        <w:t>2025年改造规划》明确的老旧小区改造推进</w:t>
      </w:r>
      <w:r>
        <w:rPr>
          <w:rFonts w:hint="eastAsia" w:ascii="Times New Roman" w:hAnsi="Times New Roman" w:eastAsia="仿宋"/>
          <w:sz w:val="24"/>
          <w:lang w:eastAsia="zh-CN"/>
        </w:rPr>
        <w:t>既有</w:t>
      </w:r>
      <w:r>
        <w:rPr>
          <w:rFonts w:hint="eastAsia" w:ascii="Times New Roman" w:hAnsi="Times New Roman" w:eastAsia="仿宋"/>
          <w:sz w:val="24"/>
          <w:lang w:val="en-US" w:eastAsia="zh-CN"/>
        </w:rPr>
        <w:t>居住</w:t>
      </w:r>
      <w:r>
        <w:rPr>
          <w:rFonts w:hint="eastAsia" w:ascii="Times New Roman" w:hAnsi="Times New Roman" w:eastAsia="仿宋"/>
          <w:sz w:val="24"/>
          <w:lang w:eastAsia="zh-CN"/>
        </w:rPr>
        <w:t>建筑</w:t>
      </w:r>
      <w:r>
        <w:rPr>
          <w:rFonts w:hint="eastAsia" w:ascii="Times New Roman" w:hAnsi="Times New Roman" w:eastAsia="仿宋"/>
          <w:sz w:val="24"/>
        </w:rPr>
        <w:t>的</w:t>
      </w:r>
      <w:r>
        <w:rPr>
          <w:rFonts w:hint="eastAsia" w:ascii="Times New Roman" w:hAnsi="Times New Roman" w:eastAsia="仿宋"/>
          <w:sz w:val="24"/>
          <w:lang w:eastAsia="zh-CN"/>
        </w:rPr>
        <w:t>节能绿色化改造</w:t>
      </w:r>
      <w:r>
        <w:rPr>
          <w:rFonts w:hint="eastAsia" w:ascii="Times New Roman" w:hAnsi="Times New Roman" w:eastAsia="仿宋"/>
          <w:sz w:val="24"/>
        </w:rPr>
        <w:t>。以市级重点城市更新片区</w:t>
      </w:r>
      <w:r>
        <w:rPr>
          <w:rFonts w:hint="eastAsia" w:ascii="Times New Roman" w:hAnsi="Times New Roman" w:eastAsia="仿宋"/>
          <w:sz w:val="24"/>
          <w:lang w:val="en-US" w:eastAsia="zh-CN"/>
        </w:rPr>
        <w:t>为支撑</w:t>
      </w:r>
      <w:r>
        <w:rPr>
          <w:rFonts w:hint="eastAsia" w:ascii="Times New Roman" w:hAnsi="Times New Roman" w:eastAsia="仿宋"/>
          <w:sz w:val="24"/>
        </w:rPr>
        <w:t>，优先纳入年度实施计划重点执行；镇级重点城市更新片区内的城市更新单元按申报批次有序纳入年度计划。对于用地性质改变的改造，其绿色建筑要求与新建建筑一致；对于沿街沿江城市风貌改造，结合立面改造进行宜居环境提升。</w:t>
      </w:r>
    </w:p>
    <w:p>
      <w:pPr>
        <w:pStyle w:val="2"/>
        <w:spacing w:before="156" w:after="93" w:line="360" w:lineRule="auto"/>
        <w:ind w:firstLine="480"/>
        <w:rPr>
          <w:rFonts w:ascii="Times New Roman" w:hAnsi="Times New Roman" w:eastAsia="仿宋"/>
          <w:sz w:val="24"/>
        </w:rPr>
      </w:pPr>
      <w:r>
        <w:rPr>
          <w:rFonts w:hint="eastAsia" w:ascii="Times New Roman" w:hAnsi="Times New Roman" w:eastAsia="仿宋"/>
          <w:sz w:val="24"/>
        </w:rPr>
        <w:t>在各区老旧小区改造中打造绿色化改造示范区，开展老旧小区</w:t>
      </w:r>
      <w:r>
        <w:rPr>
          <w:rFonts w:hint="eastAsia" w:ascii="Times New Roman" w:hAnsi="Times New Roman" w:eastAsia="仿宋"/>
          <w:sz w:val="24"/>
          <w:lang w:val="en-US" w:eastAsia="zh-CN"/>
        </w:rPr>
        <w:t>节能</w:t>
      </w:r>
      <w:r>
        <w:rPr>
          <w:rFonts w:hint="eastAsia" w:ascii="Times New Roman" w:hAnsi="Times New Roman" w:eastAsia="仿宋"/>
          <w:sz w:val="24"/>
        </w:rPr>
        <w:t>绿色化改造，提高居住建筑改造中建筑使用者的满意度。技术改造可选择以下内容：旧建筑的性能检测和抗震、立体绿化、加装太阳能屋顶、建筑绿化与雨水系统完善、住宅加装节能电梯、建立小区立体停车库、小区垃圾分类和LED照明改造、海绵社区整体设计改造、加装遮阳窗、厨房油烟集中过滤、老旧楼宇空旷场地的综合利用、基于节能减排的绿色物业管理和智慧社区等。</w:t>
      </w:r>
    </w:p>
    <w:p>
      <w:pPr>
        <w:pStyle w:val="5"/>
        <w:rPr>
          <w:rFonts w:ascii="Times New Roman" w:hAnsi="Times New Roman" w:eastAsia="仿宋" w:cs="Times New Roman"/>
          <w:sz w:val="30"/>
          <w:szCs w:val="30"/>
        </w:rPr>
      </w:pPr>
      <w:bookmarkStart w:id="60" w:name="_Toc124321377"/>
      <w:r>
        <w:rPr>
          <w:rFonts w:hint="eastAsia" w:ascii="Times New Roman" w:hAnsi="Times New Roman" w:eastAsia="仿宋" w:cs="Times New Roman"/>
          <w:sz w:val="30"/>
          <w:szCs w:val="30"/>
        </w:rPr>
        <w:t>第12条 提升工业建筑绿色低碳水平</w:t>
      </w:r>
      <w:bookmarkEnd w:id="60"/>
    </w:p>
    <w:p>
      <w:pPr>
        <w:pStyle w:val="6"/>
        <w:ind w:firstLine="480" w:firstLineChars="200"/>
        <w:rPr>
          <w:rFonts w:ascii="Times New Roman" w:hAnsi="Times New Roman" w:eastAsia="仿宋" w:cs="Times New Roman"/>
          <w:bCs w:val="0"/>
          <w:sz w:val="24"/>
          <w:szCs w:val="24"/>
        </w:rPr>
      </w:pPr>
      <w:r>
        <w:rPr>
          <w:rFonts w:hint="eastAsia" w:ascii="Times New Roman" w:hAnsi="Times New Roman" w:eastAsia="仿宋" w:cs="Times New Roman"/>
          <w:bCs w:val="0"/>
          <w:sz w:val="24"/>
          <w:szCs w:val="24"/>
        </w:rPr>
        <w:t>1</w:t>
      </w:r>
      <w:r>
        <w:rPr>
          <w:rFonts w:hint="eastAsia" w:ascii="Times New Roman" w:hAnsi="Times New Roman" w:eastAsia="仿宋" w:cs="Times New Roman"/>
          <w:bCs w:val="0"/>
          <w:sz w:val="24"/>
          <w:szCs w:val="24"/>
          <w:lang w:val="en-US" w:eastAsia="zh-CN"/>
        </w:rPr>
        <w:t>.</w:t>
      </w:r>
      <w:r>
        <w:rPr>
          <w:rFonts w:hint="eastAsia" w:ascii="Times New Roman" w:hAnsi="Times New Roman" w:eastAsia="仿宋" w:cs="Times New Roman"/>
          <w:bCs w:val="0"/>
          <w:sz w:val="24"/>
          <w:szCs w:val="24"/>
        </w:rPr>
        <w:t>鼓励新建工业建筑绿色化发展</w:t>
      </w:r>
    </w:p>
    <w:p>
      <w:pPr>
        <w:tabs>
          <w:tab w:val="left" w:pos="1680"/>
        </w:tabs>
        <w:adjustRightInd w:val="0"/>
        <w:snapToGrid w:val="0"/>
        <w:spacing w:before="93" w:beforeLines="30" w:after="93" w:afterLines="30" w:line="360" w:lineRule="auto"/>
        <w:ind w:firstLine="480" w:firstLineChars="200"/>
        <w:rPr>
          <w:rFonts w:ascii="Times New Roman" w:hAnsi="Times New Roman" w:eastAsia="仿宋" w:cs="Times New Roman"/>
          <w:sz w:val="24"/>
        </w:rPr>
      </w:pPr>
      <w:r>
        <w:rPr>
          <w:rFonts w:hint="eastAsia" w:ascii="Times New Roman" w:hAnsi="Times New Roman" w:eastAsia="仿宋" w:cs="Times New Roman"/>
          <w:sz w:val="24"/>
        </w:rPr>
        <w:t>以高水平打造香山新城、西部产业园、北部产业园、中山科学城等4个大湾区特色产业与科技创新平台为契机，开展绿色低碳工业建筑示范园区建设，鼓励新建工业建筑按照绿色建筑标准要求进行建设。根据不同行业工业建筑实际情况，因地制宜选用以下技术内容：用地布局优化措施，如土地集约利用和公共服务设施优化措施；能源资源利用措施，如可再生能源技术应用、建筑节能设计、节水技术、绿色建材应用以及装配式建造技术；生态环境优化措施，如绿化及海绵城市设计、污染物控制措施、振动和噪声控制措施等。</w:t>
      </w:r>
    </w:p>
    <w:p>
      <w:pPr>
        <w:pStyle w:val="6"/>
        <w:ind w:firstLine="480" w:firstLineChars="200"/>
        <w:rPr>
          <w:rFonts w:ascii="Times New Roman" w:hAnsi="Times New Roman" w:eastAsia="仿宋" w:cs="Times New Roman"/>
          <w:bCs w:val="0"/>
          <w:sz w:val="24"/>
          <w:szCs w:val="24"/>
        </w:rPr>
      </w:pPr>
      <w:r>
        <w:rPr>
          <w:rFonts w:hint="eastAsia" w:ascii="Times New Roman" w:hAnsi="Times New Roman" w:eastAsia="仿宋" w:cs="Times New Roman"/>
          <w:bCs w:val="0"/>
          <w:sz w:val="24"/>
          <w:szCs w:val="24"/>
        </w:rPr>
        <w:t>2</w:t>
      </w:r>
      <w:r>
        <w:rPr>
          <w:rFonts w:hint="eastAsia" w:ascii="Times New Roman" w:hAnsi="Times New Roman" w:eastAsia="仿宋" w:cs="Times New Roman"/>
          <w:bCs w:val="0"/>
          <w:sz w:val="24"/>
          <w:szCs w:val="24"/>
          <w:lang w:val="en-US" w:eastAsia="zh-CN"/>
        </w:rPr>
        <w:t>.</w:t>
      </w:r>
      <w:r>
        <w:rPr>
          <w:rFonts w:hint="eastAsia" w:ascii="Times New Roman" w:hAnsi="Times New Roman" w:eastAsia="仿宋" w:cs="Times New Roman"/>
          <w:bCs w:val="0"/>
          <w:sz w:val="24"/>
          <w:szCs w:val="24"/>
        </w:rPr>
        <w:t>推广既有工业建筑绿色低碳改造</w:t>
      </w:r>
    </w:p>
    <w:p>
      <w:pPr>
        <w:tabs>
          <w:tab w:val="left" w:pos="1680"/>
        </w:tabs>
        <w:adjustRightInd w:val="0"/>
        <w:snapToGrid w:val="0"/>
        <w:spacing w:before="93" w:beforeLines="30" w:after="93" w:afterLines="30" w:line="360" w:lineRule="auto"/>
        <w:ind w:firstLine="480" w:firstLineChars="200"/>
        <w:rPr>
          <w:rFonts w:ascii="Times New Roman" w:hAnsi="Times New Roman" w:eastAsia="仿宋" w:cs="Times New Roman"/>
          <w:sz w:val="24"/>
        </w:rPr>
      </w:pPr>
      <w:r>
        <w:rPr>
          <w:rFonts w:hint="eastAsia" w:ascii="Times New Roman" w:hAnsi="Times New Roman" w:eastAsia="仿宋" w:cs="Times New Roman"/>
          <w:sz w:val="24"/>
        </w:rPr>
        <w:t>结合中山市政府“工改”项目实施契机，探索开展工业建筑绿色化改造，注重提升资源能源节约水平，采取相关技术措施减轻对周边环境的影响，营造健康安全的室内工作环境。研究探索废旧工业厂房建筑空间改造适宜技术，合理进行建筑体型设计和节能改造，推广应用工业建筑绿色化技术措施。探索工业建筑绿色发展适宜技术，鼓励在计划改造面积超过100亩的“工改”项目中，重点推广应用工业建筑屋顶分布式光伏、先进蓄冷技术和立体绿化等技术措施。</w:t>
      </w:r>
    </w:p>
    <w:p>
      <w:pPr>
        <w:pStyle w:val="5"/>
        <w:rPr>
          <w:rFonts w:ascii="Times New Roman" w:hAnsi="Times New Roman" w:eastAsia="仿宋" w:cs="Times New Roman"/>
          <w:sz w:val="30"/>
          <w:szCs w:val="30"/>
        </w:rPr>
      </w:pPr>
      <w:bookmarkStart w:id="61" w:name="_Toc525718511"/>
      <w:bookmarkStart w:id="62" w:name="_Toc501619227"/>
      <w:bookmarkStart w:id="63" w:name="_Toc124321378"/>
      <w:r>
        <w:rPr>
          <w:rFonts w:hint="eastAsia" w:ascii="Times New Roman" w:hAnsi="Times New Roman" w:eastAsia="仿宋" w:cs="Times New Roman"/>
          <w:sz w:val="30"/>
          <w:szCs w:val="30"/>
        </w:rPr>
        <w:t>第13条</w:t>
      </w:r>
      <w:r>
        <w:rPr>
          <w:rFonts w:ascii="Times New Roman" w:hAnsi="Times New Roman" w:eastAsia="仿宋" w:cs="Times New Roman"/>
          <w:sz w:val="30"/>
          <w:szCs w:val="30"/>
        </w:rPr>
        <w:t xml:space="preserve"> </w:t>
      </w:r>
      <w:bookmarkEnd w:id="61"/>
      <w:bookmarkEnd w:id="62"/>
      <w:r>
        <w:rPr>
          <w:rFonts w:hint="eastAsia" w:ascii="Times New Roman" w:hAnsi="Times New Roman" w:eastAsia="仿宋" w:cs="Times New Roman"/>
          <w:sz w:val="30"/>
          <w:szCs w:val="30"/>
        </w:rPr>
        <w:t>建设绿色城市人居环境</w:t>
      </w:r>
      <w:bookmarkEnd w:id="63"/>
    </w:p>
    <w:p>
      <w:pPr>
        <w:pStyle w:val="6"/>
        <w:ind w:firstLine="480" w:firstLineChars="200"/>
        <w:rPr>
          <w:rFonts w:ascii="Times New Roman" w:hAnsi="Times New Roman" w:eastAsia="仿宋" w:cs="Times New Roman"/>
          <w:bCs w:val="0"/>
          <w:sz w:val="24"/>
          <w:szCs w:val="24"/>
        </w:rPr>
      </w:pPr>
      <w:bookmarkStart w:id="64" w:name="_Toc501619235"/>
      <w:bookmarkStart w:id="65" w:name="_Hlk103241595"/>
      <w:r>
        <w:rPr>
          <w:rFonts w:ascii="Times New Roman" w:hAnsi="Times New Roman" w:eastAsia="仿宋" w:cs="Times New Roman"/>
          <w:bCs w:val="0"/>
          <w:sz w:val="24"/>
          <w:szCs w:val="24"/>
        </w:rPr>
        <w:t>1</w:t>
      </w:r>
      <w:r>
        <w:rPr>
          <w:rFonts w:hint="eastAsia" w:ascii="Times New Roman" w:hAnsi="Times New Roman" w:eastAsia="仿宋" w:cs="Times New Roman"/>
          <w:bCs w:val="0"/>
          <w:sz w:val="24"/>
          <w:szCs w:val="24"/>
          <w:lang w:val="en-US" w:eastAsia="zh-CN"/>
        </w:rPr>
        <w:t>.打造</w:t>
      </w:r>
      <w:r>
        <w:rPr>
          <w:rFonts w:hint="eastAsia" w:ascii="Times New Roman" w:hAnsi="Times New Roman" w:eastAsia="仿宋" w:cs="Times New Roman"/>
          <w:bCs w:val="0"/>
          <w:sz w:val="24"/>
          <w:szCs w:val="24"/>
        </w:rPr>
        <w:t>城市通风廊道</w:t>
      </w:r>
    </w:p>
    <w:p>
      <w:pPr>
        <w:tabs>
          <w:tab w:val="left" w:pos="1680"/>
        </w:tabs>
        <w:adjustRightInd w:val="0"/>
        <w:snapToGrid w:val="0"/>
        <w:spacing w:before="93" w:beforeLines="30" w:after="93" w:afterLines="30" w:line="360" w:lineRule="auto"/>
        <w:ind w:firstLine="480" w:firstLineChars="200"/>
        <w:rPr>
          <w:rFonts w:ascii="Times New Roman" w:hAnsi="Times New Roman" w:eastAsia="仿宋" w:cs="Times New Roman"/>
          <w:sz w:val="24"/>
        </w:rPr>
      </w:pPr>
      <w:r>
        <w:rPr>
          <w:rFonts w:hint="eastAsia" w:ascii="Times New Roman" w:hAnsi="Times New Roman" w:eastAsia="仿宋" w:cs="Times New Roman"/>
          <w:sz w:val="24"/>
        </w:rPr>
        <w:t>综合地形特征、风场特征、总体规划布局及生态框架，在中山市形成“两大补偿空间、三级通风廊道、多片作用区”的通风系统框架。</w:t>
      </w:r>
    </w:p>
    <w:p>
      <w:pPr>
        <w:tabs>
          <w:tab w:val="left" w:pos="1680"/>
        </w:tabs>
        <w:adjustRightInd w:val="0"/>
        <w:snapToGrid w:val="0"/>
        <w:spacing w:before="93" w:beforeLines="30" w:after="93" w:afterLines="30" w:line="360" w:lineRule="auto"/>
        <w:ind w:firstLine="480" w:firstLineChars="200"/>
        <w:rPr>
          <w:rFonts w:ascii="Times New Roman" w:hAnsi="Times New Roman" w:eastAsia="仿宋" w:cs="Times New Roman"/>
          <w:sz w:val="24"/>
        </w:rPr>
      </w:pPr>
      <w:r>
        <w:rPr>
          <w:rFonts w:hint="eastAsia" w:ascii="Times New Roman" w:hAnsi="Times New Roman" w:eastAsia="仿宋" w:cs="Times New Roman"/>
          <w:sz w:val="24"/>
        </w:rPr>
        <w:t>两大</w:t>
      </w:r>
      <w:r>
        <w:rPr>
          <w:rFonts w:ascii="Times New Roman" w:hAnsi="Times New Roman" w:eastAsia="仿宋" w:cs="Times New Roman"/>
          <w:sz w:val="24"/>
        </w:rPr>
        <w:t>补偿</w:t>
      </w:r>
      <w:r>
        <w:rPr>
          <w:rFonts w:hint="eastAsia" w:ascii="Times New Roman" w:hAnsi="Times New Roman" w:eastAsia="仿宋" w:cs="Times New Roman"/>
          <w:sz w:val="24"/>
        </w:rPr>
        <w:t>空间分为区域及补偿空间与城市级补偿空间，区域及补偿空间包括：中山北部补偿空间（桑基鱼塘）、中山中部补偿空间（五桂山、大尖山、南台山、加林山及各水库）、中山南部补偿空间（丫髻山、火炉山）。城市级补偿空间分布于城区水道、绿地等。三大区域性</w:t>
      </w:r>
      <w:r>
        <w:rPr>
          <w:rFonts w:ascii="Times New Roman" w:hAnsi="Times New Roman" w:eastAsia="仿宋" w:cs="Times New Roman"/>
          <w:sz w:val="24"/>
        </w:rPr>
        <w:t>补偿</w:t>
      </w:r>
      <w:r>
        <w:rPr>
          <w:rFonts w:hint="eastAsia" w:ascii="Times New Roman" w:hAnsi="Times New Roman" w:eastAsia="仿宋" w:cs="Times New Roman"/>
          <w:sz w:val="24"/>
        </w:rPr>
        <w:t>空间</w:t>
      </w:r>
      <w:r>
        <w:rPr>
          <w:rFonts w:ascii="Times New Roman" w:hAnsi="Times New Roman" w:eastAsia="仿宋" w:cs="Times New Roman"/>
          <w:sz w:val="24"/>
        </w:rPr>
        <w:t>呈组团分布，将</w:t>
      </w:r>
      <w:r>
        <w:rPr>
          <w:rFonts w:hint="eastAsia" w:ascii="Times New Roman" w:hAnsi="Times New Roman" w:eastAsia="仿宋" w:cs="Times New Roman"/>
          <w:sz w:val="24"/>
        </w:rPr>
        <w:t>中山</w:t>
      </w:r>
      <w:r>
        <w:rPr>
          <w:rFonts w:ascii="Times New Roman" w:hAnsi="Times New Roman" w:eastAsia="仿宋" w:cs="Times New Roman"/>
          <w:sz w:val="24"/>
        </w:rPr>
        <w:t>市各城区隔离开来，为城区外部和内部通风廊道的建立奠定基础。</w:t>
      </w:r>
    </w:p>
    <w:p>
      <w:pPr>
        <w:tabs>
          <w:tab w:val="left" w:pos="1680"/>
        </w:tabs>
        <w:adjustRightInd w:val="0"/>
        <w:snapToGrid w:val="0"/>
        <w:spacing w:before="93" w:beforeLines="30" w:after="93" w:afterLines="30" w:line="360" w:lineRule="auto"/>
        <w:ind w:firstLine="480" w:firstLineChars="200"/>
        <w:rPr>
          <w:rFonts w:ascii="Times New Roman" w:hAnsi="Times New Roman" w:eastAsia="仿宋" w:cs="Times New Roman"/>
          <w:sz w:val="24"/>
        </w:rPr>
      </w:pPr>
      <w:r>
        <w:rPr>
          <w:rFonts w:hint="eastAsia" w:ascii="Times New Roman" w:hAnsi="Times New Roman" w:eastAsia="仿宋" w:cs="Times New Roman"/>
          <w:sz w:val="24"/>
        </w:rPr>
        <w:t>三级通风廊道分为一级通风廊道、二级通风廊道与面域通风廊道。一级通风廊道包括：西江及沿岸通风廊道；途径小榄镇、中部补偿空间、火炬开发区的通风廊道；途径南头镇、中部补偿空间、火炬开发区的通风廊道；洪奇沥水道及沿岸通风廊道与途径南朗街道、火炬开发区的通风廊道。二级通风廊道主要为各镇街内部绿地、水域形成的通风廊道。面域通风廊道包括自中部补偿空间到中心城区的通风廊道与自北部补偿空间到中心城区的通风廊道。</w:t>
      </w:r>
    </w:p>
    <w:p>
      <w:pPr>
        <w:tabs>
          <w:tab w:val="left" w:pos="1680"/>
        </w:tabs>
        <w:adjustRightInd w:val="0"/>
        <w:snapToGrid w:val="0"/>
        <w:spacing w:before="93" w:beforeLines="30" w:after="93" w:afterLines="30" w:line="360" w:lineRule="auto"/>
        <w:ind w:firstLine="480" w:firstLineChars="200"/>
        <w:rPr>
          <w:rFonts w:ascii="Times New Roman" w:hAnsi="Times New Roman" w:eastAsia="仿宋" w:cs="Times New Roman"/>
          <w:sz w:val="24"/>
        </w:rPr>
      </w:pPr>
      <w:r>
        <w:rPr>
          <w:rFonts w:hint="eastAsia" w:ascii="Times New Roman" w:hAnsi="Times New Roman" w:eastAsia="仿宋" w:cs="Times New Roman"/>
          <w:sz w:val="24"/>
        </w:rPr>
        <w:t>多片作用区为三级通风廊道的作用区域，包括各镇街主要居住、商业、办公、工业区域。</w:t>
      </w:r>
    </w:p>
    <w:p>
      <w:pPr>
        <w:tabs>
          <w:tab w:val="left" w:pos="1680"/>
        </w:tabs>
        <w:adjustRightInd w:val="0"/>
        <w:snapToGrid w:val="0"/>
        <w:spacing w:before="93" w:beforeLines="30" w:after="93" w:afterLines="30"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结合</w:t>
      </w:r>
      <w:r>
        <w:rPr>
          <w:rFonts w:hint="eastAsia" w:ascii="Times New Roman" w:hAnsi="Times New Roman" w:eastAsia="仿宋" w:cs="Times New Roman"/>
          <w:sz w:val="24"/>
        </w:rPr>
        <w:t>中山</w:t>
      </w:r>
      <w:r>
        <w:rPr>
          <w:rFonts w:ascii="Times New Roman" w:hAnsi="Times New Roman" w:eastAsia="仿宋" w:cs="Times New Roman"/>
          <w:sz w:val="24"/>
        </w:rPr>
        <w:t>城市规划管控要素，重点地区的建筑密度、建筑高度、建筑布局形式、建筑形态、植物种植、道路宽度、道路贴线率、建筑退让、场地间口率等应该满足控制指标要求。（如表</w:t>
      </w:r>
      <w:r>
        <w:rPr>
          <w:rFonts w:hint="eastAsia" w:ascii="Times New Roman" w:hAnsi="Times New Roman" w:eastAsia="仿宋" w:cs="Times New Roman"/>
          <w:sz w:val="24"/>
        </w:rPr>
        <w:t>2</w:t>
      </w:r>
      <w:r>
        <w:rPr>
          <w:rFonts w:ascii="Times New Roman" w:hAnsi="Times New Roman" w:eastAsia="仿宋" w:cs="Times New Roman"/>
          <w:sz w:val="24"/>
        </w:rPr>
        <w:t>）</w:t>
      </w:r>
    </w:p>
    <w:p>
      <w:pPr>
        <w:pStyle w:val="2"/>
        <w:spacing w:before="156" w:after="93"/>
        <w:ind w:firstLine="0" w:firstLineChars="0"/>
        <w:jc w:val="center"/>
        <w:rPr>
          <w:rFonts w:ascii="仿宋" w:hAnsi="仿宋" w:eastAsia="仿宋"/>
          <w:b/>
          <w:bCs/>
          <w:sz w:val="21"/>
          <w:szCs w:val="21"/>
        </w:rPr>
      </w:pPr>
      <w:r>
        <w:rPr>
          <w:rFonts w:hint="eastAsia" w:ascii="仿宋" w:hAnsi="仿宋" w:eastAsia="仿宋"/>
          <w:b/>
          <w:bCs/>
          <w:sz w:val="21"/>
          <w:szCs w:val="21"/>
        </w:rPr>
        <w:t>表2 中山市通风廊道控制指引</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3"/>
        <w:gridCol w:w="639"/>
        <w:gridCol w:w="7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restart"/>
            <w:vAlign w:val="center"/>
          </w:tcPr>
          <w:p>
            <w:pPr>
              <w:pStyle w:val="3"/>
              <w:spacing w:after="60"/>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补偿空间</w:t>
            </w:r>
          </w:p>
        </w:tc>
        <w:tc>
          <w:tcPr>
            <w:tcW w:w="686" w:type="dxa"/>
            <w:vAlign w:val="center"/>
          </w:tcPr>
          <w:p>
            <w:pPr>
              <w:pStyle w:val="3"/>
              <w:spacing w:after="60"/>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范围</w:t>
            </w:r>
          </w:p>
        </w:tc>
        <w:tc>
          <w:tcPr>
            <w:tcW w:w="8871" w:type="dxa"/>
            <w:vAlign w:val="center"/>
          </w:tcPr>
          <w:p>
            <w:pPr>
              <w:pStyle w:val="3"/>
              <w:spacing w:after="60"/>
              <w:jc w:val="both"/>
              <w:rPr>
                <w:rFonts w:hint="eastAsia" w:ascii="Times New Roman" w:hAnsi="Times New Roman" w:eastAsia="仿宋" w:cs="Times New Roman"/>
                <w:kern w:val="0"/>
                <w:sz w:val="21"/>
                <w:szCs w:val="21"/>
                <w:lang w:eastAsia="zh-CN"/>
              </w:rPr>
            </w:pPr>
            <w:r>
              <w:rPr>
                <w:rFonts w:hint="default" w:ascii="Times New Roman" w:hAnsi="Times New Roman" w:eastAsia="仿宋" w:cs="Times New Roman"/>
                <w:kern w:val="0"/>
                <w:sz w:val="21"/>
                <w:szCs w:val="21"/>
              </w:rPr>
              <w:t>中山北部补偿空间（桑基鱼塘）、中山中部补偿空间（五桂山、大尖山、南台山、加林山及各水库）、中山南部补偿空间（丫髻山、火炉山）、各城市级补偿空间</w:t>
            </w:r>
            <w:r>
              <w:rPr>
                <w:rFonts w:hint="eastAsia" w:ascii="Times New Roman" w:hAnsi="Times New Roman" w:eastAsia="仿宋" w:cs="Times New Roman"/>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pStyle w:val="3"/>
              <w:spacing w:after="60"/>
              <w:jc w:val="center"/>
              <w:rPr>
                <w:rFonts w:hint="default" w:ascii="Times New Roman" w:hAnsi="Times New Roman" w:eastAsia="仿宋" w:cs="Times New Roman"/>
                <w:kern w:val="0"/>
                <w:sz w:val="21"/>
                <w:szCs w:val="21"/>
              </w:rPr>
            </w:pPr>
          </w:p>
        </w:tc>
        <w:tc>
          <w:tcPr>
            <w:tcW w:w="686" w:type="dxa"/>
            <w:vAlign w:val="center"/>
          </w:tcPr>
          <w:p>
            <w:pPr>
              <w:pStyle w:val="3"/>
              <w:spacing w:after="60"/>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控</w:t>
            </w:r>
          </w:p>
          <w:p>
            <w:pPr>
              <w:pStyle w:val="3"/>
              <w:spacing w:after="60"/>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制</w:t>
            </w:r>
          </w:p>
          <w:p>
            <w:pPr>
              <w:pStyle w:val="3"/>
              <w:spacing w:after="60"/>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指</w:t>
            </w:r>
          </w:p>
          <w:p>
            <w:pPr>
              <w:pStyle w:val="3"/>
              <w:spacing w:after="60"/>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引</w:t>
            </w:r>
          </w:p>
        </w:tc>
        <w:tc>
          <w:tcPr>
            <w:tcW w:w="8871" w:type="dxa"/>
            <w:vAlign w:val="center"/>
          </w:tcPr>
          <w:p>
            <w:pPr>
              <w:pStyle w:val="3"/>
              <w:spacing w:after="60"/>
              <w:jc w:val="both"/>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1、保护并充分利用五桂山、大尖山、南台山、加林山、丫髻山、火炉山等自然资源和现有的水体、滩涂湿地，以及耕地、园地、山坡上的林地。尽量避免改变上述用地的用地性质，严禁进行破坏性开发。</w:t>
            </w:r>
          </w:p>
          <w:p>
            <w:pPr>
              <w:pStyle w:val="3"/>
              <w:spacing w:after="60"/>
              <w:jc w:val="both"/>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2、生态控制线内准入的项目，其道路和建筑排列宜为沿东南或南向设计，且建筑体量不宜过大，建筑布局力求开敞、通透。</w:t>
            </w:r>
          </w:p>
          <w:p>
            <w:pPr>
              <w:pStyle w:val="3"/>
              <w:spacing w:after="60"/>
              <w:jc w:val="both"/>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3、在发展用地内，尽量增加绿化空间，为发展用地提供新的小型补偿区。</w:t>
            </w:r>
          </w:p>
          <w:p>
            <w:pPr>
              <w:pStyle w:val="3"/>
              <w:spacing w:after="60"/>
              <w:jc w:val="both"/>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4、充分利用现有的大型公园绿地的调节功能，其周边建筑规划时，宜遵循低密度、高通透的原则，以支持绿地与作用空间之间的空气交换。</w:t>
            </w:r>
          </w:p>
          <w:p>
            <w:pPr>
              <w:pStyle w:val="3"/>
              <w:spacing w:after="60"/>
              <w:jc w:val="both"/>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5、对于中心城区绿地中的植被不宜种植过密，应保持较高的通透性。提高表面粗糙度较小的草坪和其他地被植物面积比例，以增强夜间冷空气生成与空气流动。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restart"/>
            <w:vAlign w:val="center"/>
          </w:tcPr>
          <w:p>
            <w:pPr>
              <w:pStyle w:val="3"/>
              <w:spacing w:after="60"/>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通风廊道</w:t>
            </w:r>
          </w:p>
        </w:tc>
        <w:tc>
          <w:tcPr>
            <w:tcW w:w="686" w:type="dxa"/>
            <w:vAlign w:val="center"/>
          </w:tcPr>
          <w:p>
            <w:pPr>
              <w:pStyle w:val="3"/>
              <w:spacing w:after="60"/>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范围</w:t>
            </w:r>
          </w:p>
        </w:tc>
        <w:tc>
          <w:tcPr>
            <w:tcW w:w="8871" w:type="dxa"/>
            <w:vAlign w:val="center"/>
          </w:tcPr>
          <w:p>
            <w:pPr>
              <w:pStyle w:val="3"/>
              <w:spacing w:after="60"/>
              <w:jc w:val="both"/>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各一级通风廊道、面域通风廊道与二级通风廊道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pStyle w:val="3"/>
              <w:spacing w:after="60"/>
              <w:jc w:val="center"/>
              <w:rPr>
                <w:rFonts w:hint="default" w:ascii="Times New Roman" w:hAnsi="Times New Roman" w:eastAsia="仿宋" w:cs="Times New Roman"/>
                <w:kern w:val="0"/>
                <w:sz w:val="21"/>
                <w:szCs w:val="21"/>
              </w:rPr>
            </w:pPr>
          </w:p>
        </w:tc>
        <w:tc>
          <w:tcPr>
            <w:tcW w:w="686" w:type="dxa"/>
            <w:vAlign w:val="center"/>
          </w:tcPr>
          <w:p>
            <w:pPr>
              <w:pStyle w:val="3"/>
              <w:spacing w:after="60"/>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控</w:t>
            </w:r>
          </w:p>
          <w:p>
            <w:pPr>
              <w:pStyle w:val="3"/>
              <w:spacing w:after="60"/>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制</w:t>
            </w:r>
          </w:p>
          <w:p>
            <w:pPr>
              <w:pStyle w:val="3"/>
              <w:spacing w:after="60"/>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指</w:t>
            </w:r>
          </w:p>
          <w:p>
            <w:pPr>
              <w:pStyle w:val="3"/>
              <w:spacing w:after="60"/>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引</w:t>
            </w:r>
          </w:p>
        </w:tc>
        <w:tc>
          <w:tcPr>
            <w:tcW w:w="8871" w:type="dxa"/>
          </w:tcPr>
          <w:p>
            <w:pPr>
              <w:spacing w:after="60"/>
              <w:rPr>
                <w:rFonts w:hint="default" w:ascii="Times New Roman" w:hAnsi="Times New Roman" w:eastAsia="仿宋" w:cs="Times New Roman"/>
                <w:szCs w:val="21"/>
              </w:rPr>
            </w:pPr>
            <w:r>
              <w:rPr>
                <w:rFonts w:hint="default" w:ascii="Times New Roman" w:hAnsi="Times New Roman" w:eastAsia="仿宋" w:cs="Times New Roman"/>
                <w:szCs w:val="21"/>
              </w:rPr>
              <w:t>1、对于一级通风廊道，主要对风道内以及风道两侧100米范围内进行控制，对于各二级风道，主要对风道内以及风道两侧50米范围内进行控制。</w:t>
            </w:r>
          </w:p>
          <w:p>
            <w:pPr>
              <w:spacing w:after="60"/>
              <w:rPr>
                <w:rFonts w:hint="default" w:ascii="Times New Roman" w:hAnsi="Times New Roman" w:eastAsia="仿宋" w:cs="Times New Roman"/>
                <w:szCs w:val="21"/>
              </w:rPr>
            </w:pPr>
            <w:r>
              <w:rPr>
                <w:rFonts w:hint="default" w:ascii="Times New Roman" w:hAnsi="Times New Roman" w:eastAsia="仿宋" w:cs="Times New Roman"/>
                <w:szCs w:val="21"/>
              </w:rPr>
              <w:t>2、在风道内不宜新建建筑，建议以草地、低矮灌木种植为主，避免新建建筑组团风道。</w:t>
            </w:r>
          </w:p>
          <w:p>
            <w:pPr>
              <w:spacing w:after="60"/>
              <w:rPr>
                <w:rFonts w:hint="default" w:ascii="Times New Roman" w:hAnsi="Times New Roman" w:eastAsia="仿宋" w:cs="Times New Roman"/>
                <w:szCs w:val="21"/>
              </w:rPr>
            </w:pPr>
            <w:r>
              <w:rPr>
                <w:rFonts w:hint="default" w:ascii="Times New Roman" w:hAnsi="Times New Roman" w:eastAsia="仿宋" w:cs="Times New Roman"/>
                <w:szCs w:val="21"/>
              </w:rPr>
              <w:t>3、各风道控制范围内禁止布置有污染的项目，有污染的项目应布置到城市下风向地区。</w:t>
            </w:r>
          </w:p>
          <w:p>
            <w:pPr>
              <w:spacing w:after="60"/>
              <w:rPr>
                <w:rFonts w:hint="default" w:ascii="Times New Roman" w:hAnsi="Times New Roman" w:eastAsia="仿宋" w:cs="Times New Roman"/>
                <w:szCs w:val="21"/>
              </w:rPr>
            </w:pPr>
            <w:r>
              <w:rPr>
                <w:rFonts w:hint="default" w:ascii="Times New Roman" w:hAnsi="Times New Roman" w:eastAsia="仿宋" w:cs="Times New Roman"/>
                <w:szCs w:val="21"/>
              </w:rPr>
              <w:t>4、保障开敞的道路、广场、道路交叉路口、各景观面、绿化景观节点的空旷性，丰富一级通风廊道上的开敞空间体系，新增一些小型绿化节点作为次一级风道的开敞空间。</w:t>
            </w:r>
          </w:p>
          <w:p>
            <w:pPr>
              <w:spacing w:after="60"/>
              <w:rPr>
                <w:rFonts w:hint="default" w:ascii="Times New Roman" w:hAnsi="Times New Roman" w:eastAsia="仿宋" w:cs="Times New Roman"/>
                <w:szCs w:val="21"/>
              </w:rPr>
            </w:pPr>
            <w:r>
              <w:rPr>
                <w:rFonts w:hint="default" w:ascii="Times New Roman" w:hAnsi="Times New Roman" w:eastAsia="仿宋" w:cs="Times New Roman"/>
                <w:szCs w:val="21"/>
              </w:rPr>
              <w:t>5、对于以道路为基础的风道，宜在道路两旁、广场、建筑退距等地方，种植高大乔木，在起到遮</w:t>
            </w:r>
            <w:r>
              <w:rPr>
                <w:rFonts w:hint="default" w:ascii="Times New Roman" w:hAnsi="Times New Roman" w:eastAsia="仿宋" w:cs="Times New Roman"/>
                <w:szCs w:val="21"/>
                <w:lang w:val="en-US" w:eastAsia="zh-CN"/>
              </w:rPr>
              <w:t>荫</w:t>
            </w:r>
            <w:r>
              <w:rPr>
                <w:rFonts w:hint="default" w:ascii="Times New Roman" w:hAnsi="Times New Roman" w:eastAsia="仿宋" w:cs="Times New Roman"/>
                <w:szCs w:val="21"/>
              </w:rPr>
              <w:t>作用的同时，也可以降低风道内的空气温度。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restart"/>
            <w:vAlign w:val="center"/>
          </w:tcPr>
          <w:p>
            <w:pPr>
              <w:pStyle w:val="3"/>
              <w:spacing w:after="60"/>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作用区域</w:t>
            </w:r>
          </w:p>
        </w:tc>
        <w:tc>
          <w:tcPr>
            <w:tcW w:w="686" w:type="dxa"/>
            <w:vAlign w:val="center"/>
          </w:tcPr>
          <w:p>
            <w:pPr>
              <w:pStyle w:val="3"/>
              <w:spacing w:after="60"/>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范围</w:t>
            </w:r>
          </w:p>
        </w:tc>
        <w:tc>
          <w:tcPr>
            <w:tcW w:w="8871" w:type="dxa"/>
            <w:vAlign w:val="center"/>
          </w:tcPr>
          <w:p>
            <w:pPr>
              <w:pStyle w:val="3"/>
              <w:spacing w:after="60"/>
              <w:jc w:val="both"/>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各主要居住、商业、办公、工业区域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pStyle w:val="3"/>
              <w:spacing w:after="60"/>
              <w:jc w:val="center"/>
              <w:rPr>
                <w:rFonts w:hint="default" w:ascii="Times New Roman" w:hAnsi="Times New Roman" w:eastAsia="仿宋" w:cs="Times New Roman"/>
                <w:kern w:val="0"/>
                <w:sz w:val="21"/>
                <w:szCs w:val="21"/>
              </w:rPr>
            </w:pPr>
          </w:p>
        </w:tc>
        <w:tc>
          <w:tcPr>
            <w:tcW w:w="686" w:type="dxa"/>
            <w:vAlign w:val="center"/>
          </w:tcPr>
          <w:p>
            <w:pPr>
              <w:pStyle w:val="3"/>
              <w:spacing w:after="60"/>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控</w:t>
            </w:r>
          </w:p>
          <w:p>
            <w:pPr>
              <w:pStyle w:val="3"/>
              <w:spacing w:after="60"/>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制</w:t>
            </w:r>
          </w:p>
          <w:p>
            <w:pPr>
              <w:pStyle w:val="3"/>
              <w:spacing w:after="60"/>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指</w:t>
            </w:r>
          </w:p>
          <w:p>
            <w:pPr>
              <w:pStyle w:val="3"/>
              <w:spacing w:after="60"/>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引</w:t>
            </w:r>
          </w:p>
        </w:tc>
        <w:tc>
          <w:tcPr>
            <w:tcW w:w="8871" w:type="dxa"/>
            <w:vAlign w:val="center"/>
          </w:tcPr>
          <w:p>
            <w:pPr>
              <w:pStyle w:val="3"/>
              <w:spacing w:after="60"/>
              <w:jc w:val="both"/>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1、地块内建筑布局宜沿东南或南向布置，建筑间距不宜过小，有条件的地方建筑间距宜大于18米，预留空气流通的通道。</w:t>
            </w:r>
          </w:p>
          <w:p>
            <w:pPr>
              <w:pStyle w:val="3"/>
              <w:spacing w:after="60"/>
              <w:jc w:val="both"/>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2、建筑宜采取斜列式、错列式和并列式相结合建筑布局方式，尽力促进自然通风。</w:t>
            </w:r>
          </w:p>
          <w:p>
            <w:pPr>
              <w:pStyle w:val="3"/>
              <w:spacing w:after="60"/>
              <w:jc w:val="both"/>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3、应避免过长的裙楼设计。裙楼宜通过架空或设置通廊等方式形成地块内的贯通风道。</w:t>
            </w:r>
          </w:p>
          <w:p>
            <w:pPr>
              <w:pStyle w:val="3"/>
              <w:spacing w:after="60"/>
              <w:jc w:val="both"/>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4、沿江风道的建筑高度必须加以控制，遵循越接近风道建筑高度越低的原则。</w:t>
            </w:r>
          </w:p>
          <w:p>
            <w:pPr>
              <w:pStyle w:val="3"/>
              <w:spacing w:after="60"/>
              <w:jc w:val="both"/>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5、应严格控制城市空间中的建筑密度，地块的建筑密度宜维持在30%左右。当场地靠近二级通风廊道时，还应控制其场地间口率大于60%；当场地靠近一级通风廊道时，其场地间口率应控制在70%以上。</w:t>
            </w:r>
          </w:p>
          <w:p>
            <w:pPr>
              <w:pStyle w:val="3"/>
              <w:spacing w:after="60"/>
              <w:jc w:val="both"/>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6、建筑外墙的材质宜选择反射系数较高的材料，铺设路面时宜采用参合大量白色原料的沥青。</w:t>
            </w:r>
          </w:p>
          <w:p>
            <w:pPr>
              <w:pStyle w:val="3"/>
              <w:spacing w:after="60"/>
              <w:jc w:val="both"/>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7、在城市高密度区域，其主要道路方向宜设置成南北向和东南—西北向。</w:t>
            </w:r>
          </w:p>
          <w:p>
            <w:pPr>
              <w:pStyle w:val="3"/>
              <w:spacing w:after="60"/>
              <w:jc w:val="both"/>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8、城市的停车场和道路设置宜使用透水铺装，并采用种植大树冠树木、建设草坪等措施，提高街道空间与周边建筑群的环境质量。</w:t>
            </w:r>
          </w:p>
        </w:tc>
      </w:tr>
    </w:tbl>
    <w:p>
      <w:pPr>
        <w:pStyle w:val="6"/>
        <w:ind w:firstLine="480" w:firstLineChars="200"/>
      </w:pPr>
      <w:r>
        <w:rPr>
          <w:rFonts w:hint="eastAsia" w:ascii="Times New Roman" w:hAnsi="Times New Roman" w:eastAsia="仿宋" w:cs="Times New Roman"/>
          <w:bCs w:val="0"/>
          <w:sz w:val="24"/>
          <w:szCs w:val="24"/>
        </w:rPr>
        <w:t>2</w:t>
      </w:r>
      <w:r>
        <w:rPr>
          <w:rFonts w:hint="eastAsia" w:ascii="Times New Roman" w:hAnsi="Times New Roman" w:eastAsia="仿宋" w:cs="Times New Roman"/>
          <w:bCs w:val="0"/>
          <w:sz w:val="24"/>
          <w:szCs w:val="24"/>
          <w:lang w:val="en-US" w:eastAsia="zh-CN"/>
        </w:rPr>
        <w:t>.</w:t>
      </w:r>
      <w:r>
        <w:rPr>
          <w:rFonts w:hint="eastAsia" w:ascii="Times New Roman" w:hAnsi="Times New Roman" w:eastAsia="仿宋" w:cs="Times New Roman"/>
          <w:bCs w:val="0"/>
          <w:sz w:val="24"/>
          <w:szCs w:val="24"/>
        </w:rPr>
        <w:t>提升区域声环境</w:t>
      </w:r>
    </w:p>
    <w:p>
      <w:pPr>
        <w:tabs>
          <w:tab w:val="left" w:pos="1680"/>
        </w:tabs>
        <w:adjustRightInd w:val="0"/>
        <w:snapToGrid w:val="0"/>
        <w:spacing w:before="93" w:beforeLines="30" w:after="93" w:afterLines="30" w:line="360" w:lineRule="auto"/>
        <w:ind w:firstLine="480" w:firstLineChars="200"/>
        <w:rPr>
          <w:rFonts w:ascii="Times New Roman" w:hAnsi="Times New Roman" w:eastAsia="仿宋" w:cs="Times New Roman"/>
          <w:sz w:val="24"/>
        </w:rPr>
      </w:pPr>
      <w:r>
        <w:rPr>
          <w:rFonts w:hint="eastAsia" w:ascii="Times New Roman" w:hAnsi="Times New Roman" w:eastAsia="仿宋" w:cs="Times New Roman"/>
          <w:sz w:val="24"/>
        </w:rPr>
        <w:t>（1）交通噪声控制</w:t>
      </w:r>
    </w:p>
    <w:p>
      <w:pPr>
        <w:tabs>
          <w:tab w:val="left" w:pos="1680"/>
        </w:tabs>
        <w:adjustRightInd w:val="0"/>
        <w:snapToGrid w:val="0"/>
        <w:spacing w:before="93" w:beforeLines="30" w:after="93" w:afterLines="30" w:line="360" w:lineRule="auto"/>
        <w:ind w:firstLine="480" w:firstLineChars="200"/>
        <w:rPr>
          <w:rFonts w:ascii="Times New Roman" w:hAnsi="Times New Roman" w:eastAsia="仿宋" w:cs="Times New Roman"/>
          <w:sz w:val="24"/>
        </w:rPr>
      </w:pPr>
      <w:r>
        <w:rPr>
          <w:rFonts w:hint="eastAsia" w:ascii="Times New Roman" w:hAnsi="Times New Roman" w:eastAsia="仿宋" w:cs="Times New Roman"/>
          <w:sz w:val="24"/>
        </w:rPr>
        <w:t>1）轨道交通（火车、轻轨等）噪声控制指引</w:t>
      </w:r>
    </w:p>
    <w:p>
      <w:pPr>
        <w:tabs>
          <w:tab w:val="left" w:pos="1680"/>
        </w:tabs>
        <w:adjustRightInd w:val="0"/>
        <w:snapToGrid w:val="0"/>
        <w:spacing w:before="93" w:beforeLines="30" w:after="93" w:afterLines="30" w:line="360" w:lineRule="auto"/>
        <w:ind w:firstLine="480" w:firstLineChars="200"/>
        <w:rPr>
          <w:rFonts w:ascii="Times New Roman" w:hAnsi="Times New Roman" w:eastAsia="仿宋" w:cs="Times New Roman"/>
          <w:sz w:val="24"/>
        </w:rPr>
      </w:pPr>
      <w:r>
        <w:rPr>
          <w:rFonts w:hint="eastAsia" w:ascii="Times New Roman" w:hAnsi="Times New Roman" w:eastAsia="仿宋" w:cs="Times New Roman"/>
          <w:sz w:val="24"/>
        </w:rPr>
        <w:t>轨道交通噪声防治措施。在有条件的地区，宜采取以下措施。一是加强管理。列车通过城区段实行限速，夜间降低行车次数，降低行车速度；二是设置声屏障。在市区铁路两侧住宅密集区、医疗卫生、学校等噪声敏感区设置高标准的隔声屏障，声屏障的高度以受保护区处于声影区为宜。</w:t>
      </w:r>
    </w:p>
    <w:p>
      <w:pPr>
        <w:tabs>
          <w:tab w:val="left" w:pos="1680"/>
        </w:tabs>
        <w:adjustRightInd w:val="0"/>
        <w:snapToGrid w:val="0"/>
        <w:spacing w:before="93" w:beforeLines="30" w:after="93" w:afterLines="30" w:line="360" w:lineRule="auto"/>
        <w:ind w:firstLine="480" w:firstLineChars="200"/>
        <w:rPr>
          <w:rFonts w:ascii="Times New Roman" w:hAnsi="Times New Roman" w:eastAsia="仿宋" w:cs="Times New Roman"/>
          <w:sz w:val="24"/>
        </w:rPr>
      </w:pPr>
      <w:r>
        <w:rPr>
          <w:rFonts w:hint="eastAsia" w:ascii="Times New Roman" w:hAnsi="Times New Roman" w:eastAsia="仿宋" w:cs="Times New Roman"/>
          <w:sz w:val="24"/>
        </w:rPr>
        <w:t>2）道路交通噪声控制指引</w:t>
      </w:r>
    </w:p>
    <w:p>
      <w:pPr>
        <w:tabs>
          <w:tab w:val="left" w:pos="1680"/>
        </w:tabs>
        <w:adjustRightInd w:val="0"/>
        <w:snapToGrid w:val="0"/>
        <w:spacing w:before="93" w:beforeLines="30" w:after="93" w:afterLines="30" w:line="360" w:lineRule="auto"/>
        <w:ind w:firstLine="480" w:firstLineChars="200"/>
        <w:rPr>
          <w:rFonts w:ascii="Times New Roman" w:hAnsi="Times New Roman" w:eastAsia="仿宋" w:cs="Times New Roman"/>
          <w:sz w:val="24"/>
        </w:rPr>
      </w:pPr>
      <w:r>
        <w:rPr>
          <w:rFonts w:hint="eastAsia" w:ascii="Times New Roman" w:hAnsi="Times New Roman" w:eastAsia="仿宋" w:cs="Times New Roman"/>
          <w:sz w:val="24"/>
        </w:rPr>
        <w:t>一是开展路网和城市建设规划环境评价，提出规划控制距离及道路房屋规划要求：严格控制规划干道两侧的用地性质，城市快速路两侧防噪声距离不宜小于50m，城市次干道两侧防噪声距离不宜小于30m，城市支路两侧防噪声距离不宜小于10m，并在防噪区设置大面积的绿化带。临街受到噪声污染严重的房屋规划为商铺等对噪声相对不敏感的房屋；二是对高架部分城市道路，安装一定高度的声屏障；三是加强受噪声影响建筑的外墙、外窗等外围护结构的隔声性能。</w:t>
      </w:r>
    </w:p>
    <w:p>
      <w:pPr>
        <w:tabs>
          <w:tab w:val="left" w:pos="1680"/>
        </w:tabs>
        <w:adjustRightInd w:val="0"/>
        <w:snapToGrid w:val="0"/>
        <w:spacing w:before="93" w:beforeLines="30" w:after="93" w:afterLines="30" w:line="360" w:lineRule="auto"/>
        <w:ind w:firstLine="480" w:firstLineChars="200"/>
        <w:rPr>
          <w:rFonts w:ascii="Times New Roman" w:hAnsi="Times New Roman" w:eastAsia="仿宋" w:cs="Times New Roman"/>
          <w:sz w:val="24"/>
        </w:rPr>
      </w:pPr>
      <w:r>
        <w:rPr>
          <w:rFonts w:hint="eastAsia" w:ascii="Times New Roman" w:hAnsi="Times New Roman" w:eastAsia="仿宋" w:cs="Times New Roman"/>
          <w:sz w:val="24"/>
        </w:rPr>
        <w:t>（2）声景观设计</w:t>
      </w:r>
    </w:p>
    <w:p>
      <w:pPr>
        <w:tabs>
          <w:tab w:val="left" w:pos="1680"/>
        </w:tabs>
        <w:adjustRightInd w:val="0"/>
        <w:snapToGrid w:val="0"/>
        <w:spacing w:before="93" w:beforeLines="30" w:after="93" w:afterLines="30" w:line="360" w:lineRule="auto"/>
        <w:ind w:firstLine="480" w:firstLineChars="200"/>
        <w:rPr>
          <w:rFonts w:ascii="Times New Roman" w:hAnsi="Times New Roman" w:eastAsia="仿宋" w:cs="Times New Roman"/>
          <w:sz w:val="24"/>
        </w:rPr>
      </w:pPr>
      <w:r>
        <w:rPr>
          <w:rFonts w:hint="eastAsia" w:ascii="Times New Roman" w:hAnsi="Times New Roman" w:eastAsia="仿宋" w:cs="Times New Roman"/>
          <w:sz w:val="24"/>
        </w:rPr>
        <w:t>依据城市整体空间结构，充分利用中山丰富的山体、水系等自然资源及各类历史人文资源，建设游憩功能完善、景观优美的开放绿地声景区，形成城市绿色生态文化景观轴。并在道路红线内及两侧一定用地范围加强绿化建设，形成贯穿城市的带状绿化空间（即道路降噪带）。并以景观道路衔接不同类型的绿地景观和重要景观节点，在空间形态与功能上将散布的点状、面状的声景空间有机衔接，构筑城市绿化声景廊道。</w:t>
      </w:r>
    </w:p>
    <w:p>
      <w:pPr>
        <w:pStyle w:val="6"/>
        <w:ind w:firstLine="480"/>
        <w:rPr>
          <w:rFonts w:ascii="Times New Roman" w:hAnsi="Times New Roman" w:eastAsia="仿宋" w:cs="Times New Roman"/>
          <w:bCs w:val="0"/>
          <w:sz w:val="24"/>
          <w:szCs w:val="24"/>
        </w:rPr>
      </w:pPr>
      <w:r>
        <w:rPr>
          <w:rFonts w:ascii="Times New Roman" w:hAnsi="Times New Roman" w:eastAsia="仿宋" w:cs="Times New Roman"/>
          <w:bCs w:val="0"/>
          <w:sz w:val="24"/>
          <w:szCs w:val="24"/>
        </w:rPr>
        <w:t>3</w:t>
      </w:r>
      <w:r>
        <w:rPr>
          <w:rFonts w:hint="eastAsia" w:ascii="Times New Roman" w:hAnsi="Times New Roman" w:eastAsia="仿宋" w:cs="Times New Roman"/>
          <w:bCs w:val="0"/>
          <w:sz w:val="24"/>
          <w:szCs w:val="24"/>
          <w:lang w:val="en-US" w:eastAsia="zh-CN"/>
        </w:rPr>
        <w:t>.</w:t>
      </w:r>
      <w:r>
        <w:rPr>
          <w:rFonts w:ascii="Times New Roman" w:hAnsi="Times New Roman" w:eastAsia="仿宋" w:cs="Times New Roman"/>
          <w:bCs w:val="0"/>
          <w:sz w:val="24"/>
          <w:szCs w:val="24"/>
        </w:rPr>
        <w:t>打造低碳交通</w:t>
      </w:r>
      <w:r>
        <w:rPr>
          <w:rFonts w:hint="eastAsia" w:ascii="Times New Roman" w:hAnsi="Times New Roman" w:eastAsia="仿宋" w:cs="Times New Roman"/>
          <w:bCs w:val="0"/>
          <w:sz w:val="24"/>
          <w:szCs w:val="24"/>
        </w:rPr>
        <w:t>出行</w:t>
      </w:r>
    </w:p>
    <w:p>
      <w:pPr>
        <w:tabs>
          <w:tab w:val="left" w:pos="1680"/>
        </w:tabs>
        <w:adjustRightInd w:val="0"/>
        <w:snapToGrid w:val="0"/>
        <w:spacing w:before="93" w:beforeLines="30" w:after="93" w:afterLines="30" w:line="360" w:lineRule="auto"/>
        <w:ind w:firstLine="480" w:firstLineChars="200"/>
        <w:rPr>
          <w:rFonts w:ascii="Times New Roman" w:hAnsi="Times New Roman" w:eastAsia="仿宋" w:cs="Times New Roman"/>
          <w:sz w:val="24"/>
        </w:rPr>
      </w:pPr>
      <w:r>
        <w:rPr>
          <w:rFonts w:hint="eastAsia" w:ascii="Times New Roman" w:hAnsi="Times New Roman" w:eastAsia="仿宋" w:cs="Times New Roman"/>
          <w:sz w:val="24"/>
        </w:rPr>
        <w:t>（1）构建现代公共交通体系</w:t>
      </w:r>
    </w:p>
    <w:p>
      <w:pPr>
        <w:tabs>
          <w:tab w:val="left" w:pos="1680"/>
        </w:tabs>
        <w:adjustRightInd w:val="0"/>
        <w:snapToGrid w:val="0"/>
        <w:spacing w:before="93" w:beforeLines="30" w:after="93" w:afterLines="30" w:line="360" w:lineRule="auto"/>
        <w:ind w:firstLine="480" w:firstLineChars="200"/>
        <w:rPr>
          <w:rFonts w:ascii="Times New Roman" w:hAnsi="Times New Roman" w:eastAsia="仿宋" w:cs="Times New Roman"/>
          <w:sz w:val="24"/>
        </w:rPr>
      </w:pPr>
      <w:r>
        <w:rPr>
          <w:rFonts w:hint="eastAsia" w:ascii="Times New Roman" w:hAnsi="Times New Roman" w:eastAsia="仿宋" w:cs="Times New Roman"/>
          <w:sz w:val="24"/>
        </w:rPr>
        <w:t>依托现有国道和省道基础，打造联系各大组团之间的公交线路，建设城乡客运一体化的公共交通网络。针对客流需求旺盛的产业园区和居住组团与各街道、镇生态休闲资源，开辟特色公共交通模式。</w:t>
      </w:r>
    </w:p>
    <w:p>
      <w:pPr>
        <w:tabs>
          <w:tab w:val="left" w:pos="1680"/>
        </w:tabs>
        <w:adjustRightInd w:val="0"/>
        <w:snapToGrid w:val="0"/>
        <w:spacing w:before="93" w:beforeLines="30" w:after="93" w:afterLines="30" w:line="360" w:lineRule="auto"/>
        <w:ind w:firstLine="480" w:firstLineChars="200"/>
        <w:rPr>
          <w:rFonts w:ascii="Times New Roman" w:hAnsi="Times New Roman" w:eastAsia="仿宋" w:cs="Times New Roman"/>
          <w:sz w:val="24"/>
        </w:rPr>
      </w:pPr>
      <w:r>
        <w:rPr>
          <w:rFonts w:hint="eastAsia" w:ascii="Times New Roman" w:hAnsi="Times New Roman" w:eastAsia="仿宋" w:cs="Times New Roman"/>
          <w:sz w:val="24"/>
        </w:rPr>
        <w:t>（2）建设绿道和慢行系统</w:t>
      </w:r>
    </w:p>
    <w:p>
      <w:pPr>
        <w:tabs>
          <w:tab w:val="left" w:pos="1680"/>
        </w:tabs>
        <w:adjustRightInd w:val="0"/>
        <w:snapToGrid w:val="0"/>
        <w:spacing w:before="93" w:beforeLines="30" w:after="93" w:afterLines="30" w:line="360" w:lineRule="auto"/>
        <w:ind w:firstLine="480" w:firstLineChars="200"/>
        <w:rPr>
          <w:rFonts w:ascii="Times New Roman" w:hAnsi="Times New Roman" w:eastAsia="仿宋" w:cs="Times New Roman"/>
          <w:sz w:val="24"/>
        </w:rPr>
      </w:pPr>
      <w:r>
        <w:rPr>
          <w:rFonts w:hint="eastAsia" w:ascii="Times New Roman" w:hAnsi="Times New Roman" w:eastAsia="仿宋" w:cs="Times New Roman"/>
          <w:sz w:val="24"/>
        </w:rPr>
        <w:t>通过优先发展公共交通、提倡和引导慢行交通，不断完善“公交+慢行”的一体化交通出行结构体系。</w:t>
      </w:r>
    </w:p>
    <w:p>
      <w:pPr>
        <w:tabs>
          <w:tab w:val="left" w:pos="1680"/>
        </w:tabs>
        <w:adjustRightInd w:val="0"/>
        <w:snapToGrid w:val="0"/>
        <w:spacing w:before="93" w:beforeLines="30" w:after="93" w:afterLines="30" w:line="360" w:lineRule="auto"/>
        <w:ind w:firstLine="480" w:firstLineChars="200"/>
        <w:rPr>
          <w:rFonts w:ascii="Times New Roman" w:hAnsi="Times New Roman" w:eastAsia="仿宋" w:cs="Times New Roman"/>
          <w:sz w:val="24"/>
        </w:rPr>
      </w:pPr>
      <w:r>
        <w:rPr>
          <w:rFonts w:hint="eastAsia" w:ascii="Times New Roman" w:hAnsi="Times New Roman" w:eastAsia="仿宋" w:cs="Times New Roman"/>
          <w:sz w:val="24"/>
        </w:rPr>
        <w:t>以城市道路为依托，建立与城市土地利用相协调的非机动车廊道。城市公园、绿地以及郊区区域，慢行交通的建设与城乡绿道网的建设相结合，将绿道网作为城市慢行交通的重要组成部分。</w:t>
      </w:r>
    </w:p>
    <w:p>
      <w:pPr>
        <w:tabs>
          <w:tab w:val="left" w:pos="1680"/>
        </w:tabs>
        <w:adjustRightInd w:val="0"/>
        <w:snapToGrid w:val="0"/>
        <w:spacing w:before="93" w:beforeLines="30" w:after="93" w:afterLines="30" w:line="360" w:lineRule="auto"/>
        <w:ind w:firstLine="480" w:firstLineChars="200"/>
        <w:rPr>
          <w:rFonts w:ascii="Times New Roman" w:hAnsi="Times New Roman" w:eastAsia="仿宋" w:cs="Times New Roman"/>
          <w:sz w:val="24"/>
        </w:rPr>
      </w:pPr>
      <w:r>
        <w:rPr>
          <w:rFonts w:hint="eastAsia" w:ascii="Times New Roman" w:hAnsi="Times New Roman" w:eastAsia="仿宋" w:cs="Times New Roman"/>
          <w:sz w:val="24"/>
        </w:rPr>
        <w:t>在城市主干道条件允许的情况下，采用分隔带分离机非交通流；在没有条件设置分隔带的路段，采用不同铺面材料或彩色路面，或者利用断面的高差将机动车道与非机动车道清晰分开。</w:t>
      </w:r>
    </w:p>
    <w:p>
      <w:pPr>
        <w:tabs>
          <w:tab w:val="left" w:pos="1680"/>
        </w:tabs>
        <w:adjustRightInd w:val="0"/>
        <w:snapToGrid w:val="0"/>
        <w:spacing w:before="93" w:beforeLines="30" w:after="93" w:afterLines="30" w:line="360" w:lineRule="auto"/>
        <w:ind w:firstLine="480" w:firstLineChars="200"/>
        <w:rPr>
          <w:rFonts w:ascii="Times New Roman" w:hAnsi="Times New Roman" w:eastAsia="仿宋" w:cs="Times New Roman"/>
          <w:sz w:val="24"/>
        </w:rPr>
      </w:pPr>
      <w:r>
        <w:rPr>
          <w:rFonts w:hint="eastAsia" w:ascii="Times New Roman" w:hAnsi="Times New Roman" w:eastAsia="仿宋" w:cs="Times New Roman"/>
          <w:sz w:val="24"/>
        </w:rPr>
        <w:t>以优先、大力发展公共交通为基础，促进非机动车与城市公共交通系统的衔接，保证良好的换乘环境。合理的规划机动车停车位和非机动车停车位。建立、完善自行车租赁系统。根据功能需要、流量需要、商业需要修建人行立交。</w:t>
      </w:r>
    </w:p>
    <w:p>
      <w:pPr>
        <w:pStyle w:val="5"/>
        <w:rPr>
          <w:rFonts w:ascii="Times New Roman" w:hAnsi="Times New Roman" w:eastAsia="仿宋" w:cs="Times New Roman"/>
          <w:sz w:val="30"/>
          <w:szCs w:val="30"/>
        </w:rPr>
      </w:pPr>
      <w:bookmarkStart w:id="66" w:name="_Toc124321379"/>
      <w:r>
        <w:rPr>
          <w:rFonts w:hint="eastAsia" w:ascii="Times New Roman" w:hAnsi="Times New Roman" w:eastAsia="仿宋" w:cs="Times New Roman"/>
          <w:sz w:val="30"/>
          <w:szCs w:val="30"/>
        </w:rPr>
        <w:t>第14条 建立绿色建筑技术体系</w:t>
      </w:r>
      <w:bookmarkEnd w:id="66"/>
    </w:p>
    <w:p>
      <w:pPr>
        <w:tabs>
          <w:tab w:val="left" w:pos="1680"/>
        </w:tabs>
        <w:adjustRightInd w:val="0"/>
        <w:snapToGrid w:val="0"/>
        <w:spacing w:before="93" w:beforeLines="30" w:after="93" w:afterLines="30" w:line="360" w:lineRule="auto"/>
        <w:ind w:firstLine="480" w:firstLineChars="200"/>
        <w:rPr>
          <w:rFonts w:ascii="Times New Roman" w:hAnsi="Times New Roman" w:eastAsia="仿宋" w:cs="Times New Roman"/>
          <w:sz w:val="24"/>
        </w:rPr>
      </w:pPr>
      <w:r>
        <w:rPr>
          <w:rFonts w:hint="eastAsia" w:ascii="Times New Roman" w:hAnsi="Times New Roman" w:eastAsia="仿宋" w:cs="Times New Roman"/>
          <w:sz w:val="24"/>
        </w:rPr>
        <w:t>中山市位于夏热冬暖地区，在发展绿色建筑过程中应当遵循“被动优先、主动优化”原则，根据岭南地区气候条件，因地制宜发展自然通风、遮阳、隔热等适应亚热带气候的绿色建筑技术，构建完整的技术体系。</w:t>
      </w:r>
    </w:p>
    <w:p>
      <w:pPr>
        <w:rPr>
          <w:rFonts w:hint="eastAsia" w:ascii="仿宋" w:hAnsi="仿宋" w:eastAsia="仿宋"/>
          <w:b/>
          <w:bCs/>
          <w:sz w:val="21"/>
          <w:szCs w:val="21"/>
        </w:rPr>
      </w:pPr>
      <w:r>
        <w:rPr>
          <w:rFonts w:hint="eastAsia" w:ascii="仿宋" w:hAnsi="仿宋" w:eastAsia="仿宋"/>
          <w:b/>
          <w:bCs/>
          <w:sz w:val="21"/>
          <w:szCs w:val="21"/>
        </w:rPr>
        <w:br w:type="page"/>
      </w:r>
    </w:p>
    <w:p>
      <w:pPr>
        <w:pStyle w:val="2"/>
        <w:spacing w:before="156" w:after="93"/>
        <w:ind w:firstLine="0" w:firstLineChars="0"/>
        <w:jc w:val="center"/>
        <w:rPr>
          <w:rFonts w:ascii="仿宋" w:hAnsi="仿宋" w:eastAsia="仿宋"/>
          <w:b/>
          <w:bCs/>
          <w:sz w:val="21"/>
          <w:szCs w:val="21"/>
        </w:rPr>
      </w:pPr>
      <w:r>
        <w:rPr>
          <w:rFonts w:hint="eastAsia" w:ascii="仿宋" w:hAnsi="仿宋" w:eastAsia="仿宋"/>
          <w:b/>
          <w:bCs/>
          <w:sz w:val="21"/>
          <w:szCs w:val="21"/>
        </w:rPr>
        <w:t>表3 中山市绿色建筑技术清单</w:t>
      </w:r>
    </w:p>
    <w:tbl>
      <w:tblPr>
        <w:tblStyle w:val="44"/>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00"/>
        <w:gridCol w:w="1637"/>
        <w:gridCol w:w="589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2" w:hRule="atLeast"/>
          <w:tblHeader/>
        </w:trPr>
        <w:tc>
          <w:tcPr>
            <w:tcW w:w="1124" w:type="dxa"/>
            <w:vAlign w:val="center"/>
          </w:tcPr>
          <w:p>
            <w:pPr>
              <w:tabs>
                <w:tab w:val="left" w:pos="1680"/>
              </w:tabs>
              <w:adjustRightInd w:val="0"/>
              <w:snapToGrid w:val="0"/>
              <w:spacing w:before="93" w:beforeLines="30" w:after="93" w:afterLines="30"/>
              <w:jc w:val="center"/>
              <w:rPr>
                <w:rFonts w:hint="default" w:ascii="Times New Roman" w:hAnsi="Times New Roman" w:eastAsia="仿宋" w:cs="Times New Roman"/>
                <w:b/>
                <w:bCs/>
                <w:sz w:val="21"/>
                <w:szCs w:val="21"/>
              </w:rPr>
            </w:pPr>
            <w:r>
              <w:rPr>
                <w:rFonts w:hint="default" w:ascii="Times New Roman" w:hAnsi="Times New Roman" w:eastAsia="仿宋" w:cs="Times New Roman"/>
                <w:b/>
                <w:bCs/>
                <w:sz w:val="21"/>
                <w:szCs w:val="21"/>
              </w:rPr>
              <w:t>类型</w:t>
            </w:r>
          </w:p>
        </w:tc>
        <w:tc>
          <w:tcPr>
            <w:tcW w:w="1854" w:type="dxa"/>
            <w:vAlign w:val="center"/>
          </w:tcPr>
          <w:p>
            <w:pPr>
              <w:tabs>
                <w:tab w:val="left" w:pos="1680"/>
              </w:tabs>
              <w:adjustRightInd w:val="0"/>
              <w:snapToGrid w:val="0"/>
              <w:spacing w:before="93" w:beforeLines="30" w:after="93" w:afterLines="30"/>
              <w:jc w:val="center"/>
              <w:rPr>
                <w:rFonts w:hint="default" w:ascii="Times New Roman" w:hAnsi="Times New Roman" w:eastAsia="仿宋" w:cs="Times New Roman"/>
                <w:b/>
                <w:bCs/>
                <w:sz w:val="21"/>
                <w:szCs w:val="21"/>
              </w:rPr>
            </w:pPr>
            <w:r>
              <w:rPr>
                <w:rFonts w:hint="default" w:ascii="Times New Roman" w:hAnsi="Times New Roman" w:eastAsia="仿宋" w:cs="Times New Roman"/>
                <w:b/>
                <w:bCs/>
                <w:sz w:val="21"/>
                <w:szCs w:val="21"/>
              </w:rPr>
              <w:t>技术措施</w:t>
            </w:r>
          </w:p>
        </w:tc>
        <w:tc>
          <w:tcPr>
            <w:tcW w:w="6946" w:type="dxa"/>
            <w:vAlign w:val="center"/>
          </w:tcPr>
          <w:p>
            <w:pPr>
              <w:tabs>
                <w:tab w:val="left" w:pos="1680"/>
              </w:tabs>
              <w:adjustRightInd w:val="0"/>
              <w:snapToGrid w:val="0"/>
              <w:spacing w:before="93" w:beforeLines="30" w:after="93" w:afterLines="30"/>
              <w:jc w:val="center"/>
              <w:rPr>
                <w:rFonts w:hint="default" w:ascii="Times New Roman" w:hAnsi="Times New Roman" w:eastAsia="仿宋" w:cs="Times New Roman"/>
                <w:b/>
                <w:bCs/>
                <w:sz w:val="21"/>
                <w:szCs w:val="21"/>
              </w:rPr>
            </w:pPr>
            <w:r>
              <w:rPr>
                <w:rFonts w:hint="default" w:ascii="Times New Roman" w:hAnsi="Times New Roman" w:eastAsia="仿宋" w:cs="Times New Roman"/>
                <w:b/>
                <w:bCs/>
                <w:sz w:val="21"/>
                <w:szCs w:val="21"/>
              </w:rPr>
              <w:t>具体内容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24" w:type="dxa"/>
            <w:vMerge w:val="restart"/>
            <w:vAlign w:val="center"/>
          </w:tcPr>
          <w:p>
            <w:pPr>
              <w:tabs>
                <w:tab w:val="left" w:pos="1680"/>
              </w:tabs>
              <w:adjustRightInd w:val="0"/>
              <w:snapToGrid w:val="0"/>
              <w:spacing w:before="93" w:beforeLines="30" w:after="93" w:afterLines="30"/>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安全耐久</w:t>
            </w:r>
          </w:p>
        </w:tc>
        <w:tc>
          <w:tcPr>
            <w:tcW w:w="1854" w:type="dxa"/>
            <w:vAlign w:val="center"/>
          </w:tcPr>
          <w:p>
            <w:pPr>
              <w:tabs>
                <w:tab w:val="left" w:pos="1680"/>
              </w:tabs>
              <w:adjustRightInd w:val="0"/>
              <w:snapToGrid w:val="0"/>
              <w:spacing w:before="93" w:beforeLines="30" w:after="93" w:afterLines="30"/>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使用耐久性建材</w:t>
            </w:r>
          </w:p>
        </w:tc>
        <w:tc>
          <w:tcPr>
            <w:tcW w:w="6946" w:type="dxa"/>
            <w:vAlign w:val="center"/>
          </w:tcPr>
          <w:p>
            <w:pPr>
              <w:tabs>
                <w:tab w:val="left" w:pos="1680"/>
              </w:tabs>
              <w:adjustRightInd w:val="0"/>
              <w:snapToGrid w:val="0"/>
              <w:spacing w:before="93" w:beforeLines="30" w:after="93" w:afterLines="30"/>
              <w:jc w:val="left"/>
              <w:rPr>
                <w:rFonts w:hint="default" w:ascii="Times New Roman" w:hAnsi="Times New Roman" w:eastAsia="仿宋" w:cs="Times New Roman"/>
                <w:sz w:val="21"/>
                <w:szCs w:val="21"/>
              </w:rPr>
            </w:pPr>
            <w:r>
              <w:rPr>
                <w:rFonts w:hint="default" w:ascii="Times New Roman" w:hAnsi="Times New Roman" w:eastAsia="仿宋" w:cs="Times New Roman"/>
                <w:sz w:val="21"/>
                <w:szCs w:val="21"/>
              </w:rPr>
              <w:t>结构与设备管线分离，提升建筑部品部件和结构材料的耐久性。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24" w:type="dxa"/>
            <w:vMerge w:val="continue"/>
            <w:vAlign w:val="center"/>
          </w:tcPr>
          <w:p>
            <w:pPr>
              <w:tabs>
                <w:tab w:val="left" w:pos="1680"/>
              </w:tabs>
              <w:adjustRightInd w:val="0"/>
              <w:snapToGrid w:val="0"/>
              <w:spacing w:before="93" w:beforeLines="30" w:after="93" w:afterLines="30"/>
              <w:jc w:val="center"/>
              <w:rPr>
                <w:rFonts w:hint="default" w:ascii="Times New Roman" w:hAnsi="Times New Roman" w:eastAsia="仿宋" w:cs="Times New Roman"/>
                <w:sz w:val="21"/>
                <w:szCs w:val="21"/>
              </w:rPr>
            </w:pPr>
          </w:p>
        </w:tc>
        <w:tc>
          <w:tcPr>
            <w:tcW w:w="1854" w:type="dxa"/>
            <w:vAlign w:val="center"/>
          </w:tcPr>
          <w:p>
            <w:pPr>
              <w:tabs>
                <w:tab w:val="left" w:pos="1680"/>
              </w:tabs>
              <w:adjustRightInd w:val="0"/>
              <w:snapToGrid w:val="0"/>
              <w:spacing w:before="93" w:beforeLines="30" w:after="93" w:afterLines="30"/>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抗震性能设计</w:t>
            </w:r>
          </w:p>
        </w:tc>
        <w:tc>
          <w:tcPr>
            <w:tcW w:w="6946" w:type="dxa"/>
            <w:vAlign w:val="center"/>
          </w:tcPr>
          <w:p>
            <w:pPr>
              <w:tabs>
                <w:tab w:val="left" w:pos="1680"/>
              </w:tabs>
              <w:adjustRightInd w:val="0"/>
              <w:snapToGrid w:val="0"/>
              <w:spacing w:before="93" w:beforeLines="30" w:after="93" w:afterLines="30"/>
              <w:jc w:val="left"/>
              <w:rPr>
                <w:rFonts w:hint="default" w:ascii="Times New Roman" w:hAnsi="Times New Roman" w:eastAsia="仿宋" w:cs="Times New Roman"/>
                <w:sz w:val="21"/>
                <w:szCs w:val="21"/>
              </w:rPr>
            </w:pPr>
            <w:r>
              <w:rPr>
                <w:rFonts w:hint="default" w:ascii="Times New Roman" w:hAnsi="Times New Roman" w:eastAsia="仿宋" w:cs="Times New Roman"/>
                <w:sz w:val="21"/>
                <w:szCs w:val="21"/>
              </w:rPr>
              <w:t>优化建筑形体，通过设置隔震垫、阻尼器等改善结构的抗震性能，鼓励在合适项目中尝试创新的抗震系统，合理提高建筑的抗震能力。</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24" w:type="dxa"/>
            <w:vMerge w:val="restart"/>
            <w:vAlign w:val="center"/>
          </w:tcPr>
          <w:p>
            <w:pPr>
              <w:tabs>
                <w:tab w:val="left" w:pos="1680"/>
              </w:tabs>
              <w:adjustRightInd w:val="0"/>
              <w:snapToGrid w:val="0"/>
              <w:spacing w:before="93" w:beforeLines="30" w:after="93" w:afterLines="30"/>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健康舒适</w:t>
            </w:r>
          </w:p>
        </w:tc>
        <w:tc>
          <w:tcPr>
            <w:tcW w:w="1854" w:type="dxa"/>
            <w:vAlign w:val="center"/>
          </w:tcPr>
          <w:p>
            <w:pPr>
              <w:tabs>
                <w:tab w:val="left" w:pos="1680"/>
              </w:tabs>
              <w:adjustRightInd w:val="0"/>
              <w:snapToGrid w:val="0"/>
              <w:spacing w:before="93" w:beforeLines="30" w:after="93" w:afterLines="30"/>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室内声光热、空气环境设计技术</w:t>
            </w:r>
          </w:p>
        </w:tc>
        <w:tc>
          <w:tcPr>
            <w:tcW w:w="6946" w:type="dxa"/>
            <w:vAlign w:val="center"/>
          </w:tcPr>
          <w:p>
            <w:pPr>
              <w:tabs>
                <w:tab w:val="left" w:pos="1680"/>
              </w:tabs>
              <w:adjustRightInd w:val="0"/>
              <w:snapToGrid w:val="0"/>
              <w:spacing w:before="93" w:beforeLines="30" w:after="93" w:afterLines="30"/>
              <w:jc w:val="left"/>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合理的功能分区，进行合理的开窗、开启面积、底层架空、遮阳构件</w:t>
            </w:r>
            <w:r>
              <w:rPr>
                <w:rFonts w:hint="eastAsia" w:ascii="Times New Roman" w:hAnsi="Times New Roman" w:eastAsia="仿宋" w:cs="Times New Roman"/>
                <w:sz w:val="21"/>
                <w:szCs w:val="21"/>
                <w:lang w:val="en-US" w:eastAsia="zh-CN"/>
              </w:rPr>
              <w:t>实现</w:t>
            </w:r>
            <w:r>
              <w:rPr>
                <w:rFonts w:hint="default" w:ascii="Times New Roman" w:hAnsi="Times New Roman" w:eastAsia="仿宋" w:cs="Times New Roman"/>
                <w:sz w:val="21"/>
                <w:szCs w:val="21"/>
              </w:rPr>
              <w:t>营造良好的室内通风、采光环境。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24" w:type="dxa"/>
            <w:vMerge w:val="continue"/>
            <w:vAlign w:val="center"/>
          </w:tcPr>
          <w:p>
            <w:pPr>
              <w:tabs>
                <w:tab w:val="left" w:pos="1680"/>
              </w:tabs>
              <w:adjustRightInd w:val="0"/>
              <w:snapToGrid w:val="0"/>
              <w:spacing w:before="93" w:beforeLines="30" w:after="93" w:afterLines="30"/>
              <w:jc w:val="center"/>
              <w:rPr>
                <w:rFonts w:hint="default" w:ascii="Times New Roman" w:hAnsi="Times New Roman" w:eastAsia="仿宋" w:cs="Times New Roman"/>
                <w:sz w:val="21"/>
                <w:szCs w:val="21"/>
              </w:rPr>
            </w:pPr>
          </w:p>
        </w:tc>
        <w:tc>
          <w:tcPr>
            <w:tcW w:w="1854" w:type="dxa"/>
            <w:vAlign w:val="center"/>
          </w:tcPr>
          <w:p>
            <w:pPr>
              <w:tabs>
                <w:tab w:val="left" w:pos="1680"/>
              </w:tabs>
              <w:adjustRightInd w:val="0"/>
              <w:snapToGrid w:val="0"/>
              <w:spacing w:before="93" w:beforeLines="30" w:after="93" w:afterLines="30"/>
              <w:jc w:val="center"/>
              <w:rPr>
                <w:rFonts w:hint="eastAsia" w:ascii="Times New Roman" w:hAnsi="Times New Roman" w:eastAsia="仿宋" w:cs="Times New Roman"/>
                <w:sz w:val="21"/>
                <w:szCs w:val="21"/>
                <w:lang w:val="en-US" w:eastAsia="zh-CN"/>
              </w:rPr>
            </w:pPr>
            <w:r>
              <w:rPr>
                <w:rFonts w:hint="default" w:ascii="Times New Roman" w:hAnsi="Times New Roman" w:eastAsia="仿宋" w:cs="Times New Roman"/>
                <w:sz w:val="21"/>
                <w:szCs w:val="21"/>
              </w:rPr>
              <w:t>室内热舒适度营造</w:t>
            </w:r>
            <w:r>
              <w:rPr>
                <w:rFonts w:hint="eastAsia" w:ascii="Times New Roman" w:hAnsi="Times New Roman" w:eastAsia="仿宋" w:cs="Times New Roman"/>
                <w:sz w:val="21"/>
                <w:szCs w:val="21"/>
                <w:lang w:val="en-US" w:eastAsia="zh-CN"/>
              </w:rPr>
              <w:t>技术</w:t>
            </w:r>
          </w:p>
        </w:tc>
        <w:tc>
          <w:tcPr>
            <w:tcW w:w="6946" w:type="dxa"/>
            <w:vAlign w:val="center"/>
          </w:tcPr>
          <w:p>
            <w:pPr>
              <w:tabs>
                <w:tab w:val="left" w:pos="1680"/>
              </w:tabs>
              <w:adjustRightInd w:val="0"/>
              <w:snapToGrid w:val="0"/>
              <w:spacing w:before="93" w:beforeLines="30" w:after="93" w:afterLines="30"/>
              <w:jc w:val="left"/>
              <w:rPr>
                <w:rFonts w:hint="default" w:ascii="Times New Roman" w:hAnsi="Times New Roman" w:eastAsia="仿宋" w:cs="Times New Roman"/>
                <w:sz w:val="21"/>
                <w:szCs w:val="21"/>
              </w:rPr>
            </w:pPr>
            <w:r>
              <w:rPr>
                <w:rFonts w:hint="default" w:ascii="Times New Roman" w:hAnsi="Times New Roman" w:eastAsia="仿宋" w:cs="Times New Roman"/>
                <w:sz w:val="21"/>
                <w:szCs w:val="21"/>
              </w:rPr>
              <w:t>通过加强建筑自然通风或复合通风、温湿度独立控制等技术营造良好的热湿环境。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24" w:type="dxa"/>
            <w:vMerge w:val="continue"/>
            <w:vAlign w:val="center"/>
          </w:tcPr>
          <w:p>
            <w:pPr>
              <w:tabs>
                <w:tab w:val="left" w:pos="1680"/>
              </w:tabs>
              <w:adjustRightInd w:val="0"/>
              <w:snapToGrid w:val="0"/>
              <w:spacing w:before="93" w:beforeLines="30" w:after="93" w:afterLines="30"/>
              <w:jc w:val="center"/>
              <w:rPr>
                <w:rFonts w:hint="default" w:ascii="Times New Roman" w:hAnsi="Times New Roman" w:eastAsia="仿宋" w:cs="Times New Roman"/>
                <w:sz w:val="21"/>
                <w:szCs w:val="21"/>
              </w:rPr>
            </w:pPr>
          </w:p>
        </w:tc>
        <w:tc>
          <w:tcPr>
            <w:tcW w:w="1854" w:type="dxa"/>
            <w:vAlign w:val="center"/>
          </w:tcPr>
          <w:p>
            <w:pPr>
              <w:tabs>
                <w:tab w:val="left" w:pos="1680"/>
              </w:tabs>
              <w:adjustRightInd w:val="0"/>
              <w:snapToGrid w:val="0"/>
              <w:spacing w:before="93" w:beforeLines="30" w:after="93" w:afterLines="30"/>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室内采光照明控制技术</w:t>
            </w:r>
          </w:p>
        </w:tc>
        <w:tc>
          <w:tcPr>
            <w:tcW w:w="6946" w:type="dxa"/>
            <w:vAlign w:val="center"/>
          </w:tcPr>
          <w:p>
            <w:pPr>
              <w:tabs>
                <w:tab w:val="left" w:pos="1680"/>
              </w:tabs>
              <w:adjustRightInd w:val="0"/>
              <w:snapToGrid w:val="0"/>
              <w:spacing w:before="93" w:beforeLines="30" w:after="93" w:afterLines="30"/>
              <w:jc w:val="left"/>
              <w:rPr>
                <w:rFonts w:hint="default" w:ascii="Times New Roman" w:hAnsi="Times New Roman" w:eastAsia="仿宋" w:cs="Times New Roman"/>
                <w:sz w:val="21"/>
                <w:szCs w:val="21"/>
              </w:rPr>
            </w:pPr>
            <w:r>
              <w:rPr>
                <w:rFonts w:hint="default" w:ascii="Times New Roman" w:hAnsi="Times New Roman" w:eastAsia="仿宋" w:cs="Times New Roman"/>
                <w:sz w:val="21"/>
                <w:szCs w:val="21"/>
              </w:rPr>
              <w:t>设置可调节的外遮阳装置，光源的显色性设计与控制。</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1124" w:type="dxa"/>
            <w:vMerge w:val="continue"/>
            <w:vAlign w:val="center"/>
          </w:tcPr>
          <w:p>
            <w:pPr>
              <w:tabs>
                <w:tab w:val="left" w:pos="1680"/>
              </w:tabs>
              <w:adjustRightInd w:val="0"/>
              <w:snapToGrid w:val="0"/>
              <w:spacing w:before="93" w:beforeLines="30" w:after="93" w:afterLines="30"/>
              <w:jc w:val="center"/>
              <w:rPr>
                <w:rFonts w:hint="default" w:ascii="Times New Roman" w:hAnsi="Times New Roman" w:eastAsia="仿宋" w:cs="Times New Roman"/>
                <w:sz w:val="21"/>
                <w:szCs w:val="21"/>
              </w:rPr>
            </w:pPr>
          </w:p>
        </w:tc>
        <w:tc>
          <w:tcPr>
            <w:tcW w:w="1854" w:type="dxa"/>
            <w:vAlign w:val="center"/>
          </w:tcPr>
          <w:p>
            <w:pPr>
              <w:tabs>
                <w:tab w:val="left" w:pos="1680"/>
              </w:tabs>
              <w:adjustRightInd w:val="0"/>
              <w:snapToGrid w:val="0"/>
              <w:spacing w:before="93" w:beforeLines="30" w:after="93" w:afterLines="30"/>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空气质量控制技术</w:t>
            </w:r>
          </w:p>
        </w:tc>
        <w:tc>
          <w:tcPr>
            <w:tcW w:w="6946" w:type="dxa"/>
            <w:vAlign w:val="center"/>
          </w:tcPr>
          <w:p>
            <w:pPr>
              <w:tabs>
                <w:tab w:val="left" w:pos="1680"/>
              </w:tabs>
              <w:adjustRightInd w:val="0"/>
              <w:snapToGrid w:val="0"/>
              <w:spacing w:before="93" w:beforeLines="30" w:after="93" w:afterLines="30"/>
              <w:jc w:val="left"/>
              <w:rPr>
                <w:rFonts w:hint="default" w:ascii="Times New Roman" w:hAnsi="Times New Roman" w:eastAsia="仿宋" w:cs="Times New Roman"/>
                <w:sz w:val="21"/>
                <w:szCs w:val="21"/>
              </w:rPr>
            </w:pPr>
            <w:r>
              <w:rPr>
                <w:rFonts w:hint="default" w:ascii="Times New Roman" w:hAnsi="Times New Roman" w:eastAsia="仿宋" w:cs="Times New Roman"/>
                <w:sz w:val="21"/>
                <w:szCs w:val="21"/>
              </w:rPr>
              <w:t>通过设置吸湿性面层材料、地面架空等进行防霉设置。设置室内通风换气与空气质量监控系统。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24" w:type="dxa"/>
            <w:vMerge w:val="restart"/>
            <w:vAlign w:val="center"/>
          </w:tcPr>
          <w:p>
            <w:pPr>
              <w:tabs>
                <w:tab w:val="left" w:pos="1680"/>
              </w:tabs>
              <w:adjustRightInd w:val="0"/>
              <w:snapToGrid w:val="0"/>
              <w:spacing w:before="93" w:beforeLines="30" w:after="93" w:afterLines="30"/>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生活便利</w:t>
            </w:r>
          </w:p>
        </w:tc>
        <w:tc>
          <w:tcPr>
            <w:tcW w:w="1854" w:type="dxa"/>
            <w:vAlign w:val="center"/>
          </w:tcPr>
          <w:p>
            <w:pPr>
              <w:tabs>
                <w:tab w:val="left" w:pos="1680"/>
              </w:tabs>
              <w:adjustRightInd w:val="0"/>
              <w:snapToGrid w:val="0"/>
              <w:spacing w:before="93" w:beforeLines="30" w:after="93" w:afterLines="30"/>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场地交通系统优化设计</w:t>
            </w:r>
          </w:p>
        </w:tc>
        <w:tc>
          <w:tcPr>
            <w:tcW w:w="6946" w:type="dxa"/>
            <w:vAlign w:val="center"/>
          </w:tcPr>
          <w:p>
            <w:pPr>
              <w:tabs>
                <w:tab w:val="left" w:pos="1680"/>
              </w:tabs>
              <w:adjustRightInd w:val="0"/>
              <w:snapToGrid w:val="0"/>
              <w:spacing w:before="93" w:beforeLines="30" w:after="93" w:afterLines="30"/>
              <w:jc w:val="left"/>
              <w:rPr>
                <w:rFonts w:hint="default" w:ascii="Times New Roman" w:hAnsi="Times New Roman" w:eastAsia="仿宋" w:cs="Times New Roman"/>
                <w:sz w:val="21"/>
                <w:szCs w:val="21"/>
              </w:rPr>
            </w:pPr>
            <w:r>
              <w:rPr>
                <w:rFonts w:hint="default" w:ascii="Times New Roman" w:hAnsi="Times New Roman" w:eastAsia="仿宋" w:cs="Times New Roman"/>
                <w:sz w:val="21"/>
                <w:szCs w:val="21"/>
              </w:rPr>
              <w:t>交通组织实行人车分流，设置便捷、安全的人行通道、</w:t>
            </w:r>
            <w:r>
              <w:rPr>
                <w:rFonts w:hint="default" w:ascii="Times New Roman" w:hAnsi="Times New Roman" w:eastAsia="仿宋" w:cs="Times New Roman"/>
                <w:sz w:val="21"/>
                <w:szCs w:val="21"/>
                <w:lang w:val="en-US"/>
              </w:rPr>
              <w:t>自行车</w:t>
            </w:r>
            <w:r>
              <w:rPr>
                <w:rFonts w:hint="default" w:ascii="Times New Roman" w:hAnsi="Times New Roman" w:eastAsia="仿宋" w:cs="Times New Roman"/>
                <w:sz w:val="21"/>
                <w:szCs w:val="21"/>
              </w:rPr>
              <w:t>道，方便人员出行。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24" w:type="dxa"/>
            <w:vMerge w:val="continue"/>
            <w:vAlign w:val="center"/>
          </w:tcPr>
          <w:p>
            <w:pPr>
              <w:tabs>
                <w:tab w:val="left" w:pos="1680"/>
              </w:tabs>
              <w:adjustRightInd w:val="0"/>
              <w:snapToGrid w:val="0"/>
              <w:spacing w:before="93" w:beforeLines="30" w:after="93" w:afterLines="30"/>
              <w:jc w:val="center"/>
              <w:rPr>
                <w:rFonts w:hint="default" w:ascii="Times New Roman" w:hAnsi="Times New Roman" w:eastAsia="仿宋" w:cs="Times New Roman"/>
                <w:sz w:val="21"/>
                <w:szCs w:val="21"/>
              </w:rPr>
            </w:pPr>
          </w:p>
        </w:tc>
        <w:tc>
          <w:tcPr>
            <w:tcW w:w="1854" w:type="dxa"/>
            <w:vAlign w:val="center"/>
          </w:tcPr>
          <w:p>
            <w:pPr>
              <w:tabs>
                <w:tab w:val="left" w:pos="1680"/>
              </w:tabs>
              <w:adjustRightInd w:val="0"/>
              <w:snapToGrid w:val="0"/>
              <w:spacing w:before="93" w:beforeLines="30" w:after="93" w:afterLines="30"/>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建筑室内外公共区域全龄化设计</w:t>
            </w:r>
          </w:p>
        </w:tc>
        <w:tc>
          <w:tcPr>
            <w:tcW w:w="6946" w:type="dxa"/>
            <w:vAlign w:val="center"/>
          </w:tcPr>
          <w:p>
            <w:pPr>
              <w:tabs>
                <w:tab w:val="left" w:pos="1680"/>
              </w:tabs>
              <w:adjustRightInd w:val="0"/>
              <w:snapToGrid w:val="0"/>
              <w:spacing w:before="93" w:beforeLines="30" w:after="93" w:afterLines="30"/>
              <w:jc w:val="left"/>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场地内人行通道按规范进行无障碍设计，合理组织交通流线；宜在建筑入口、电梯、卫生间等主要活动空间设置无障碍设施。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24" w:type="dxa"/>
            <w:vMerge w:val="continue"/>
            <w:vAlign w:val="center"/>
          </w:tcPr>
          <w:p>
            <w:pPr>
              <w:tabs>
                <w:tab w:val="left" w:pos="1680"/>
              </w:tabs>
              <w:adjustRightInd w:val="0"/>
              <w:snapToGrid w:val="0"/>
              <w:spacing w:before="93" w:beforeLines="30" w:after="93" w:afterLines="30"/>
              <w:jc w:val="center"/>
              <w:rPr>
                <w:rFonts w:hint="default" w:ascii="Times New Roman" w:hAnsi="Times New Roman" w:eastAsia="仿宋" w:cs="Times New Roman"/>
                <w:sz w:val="21"/>
                <w:szCs w:val="21"/>
              </w:rPr>
            </w:pPr>
          </w:p>
        </w:tc>
        <w:tc>
          <w:tcPr>
            <w:tcW w:w="1854" w:type="dxa"/>
            <w:vAlign w:val="center"/>
          </w:tcPr>
          <w:p>
            <w:pPr>
              <w:tabs>
                <w:tab w:val="left" w:pos="1680"/>
              </w:tabs>
              <w:adjustRightInd w:val="0"/>
              <w:snapToGrid w:val="0"/>
              <w:spacing w:before="93" w:beforeLines="30" w:after="93" w:afterLines="30"/>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合理设置健身场地和空间</w:t>
            </w:r>
          </w:p>
        </w:tc>
        <w:tc>
          <w:tcPr>
            <w:tcW w:w="6946" w:type="dxa"/>
            <w:vAlign w:val="center"/>
          </w:tcPr>
          <w:p>
            <w:pPr>
              <w:tabs>
                <w:tab w:val="left" w:pos="1680"/>
              </w:tabs>
              <w:adjustRightInd w:val="0"/>
              <w:snapToGrid w:val="0"/>
              <w:spacing w:before="93" w:beforeLines="30" w:after="93" w:afterLines="30"/>
              <w:jc w:val="left"/>
              <w:rPr>
                <w:rFonts w:hint="default" w:ascii="Times New Roman" w:hAnsi="Times New Roman" w:eastAsia="仿宋" w:cs="Times New Roman"/>
                <w:sz w:val="21"/>
                <w:szCs w:val="21"/>
              </w:rPr>
            </w:pPr>
            <w:r>
              <w:rPr>
                <w:rFonts w:hint="default" w:ascii="Times New Roman" w:hAnsi="Times New Roman" w:eastAsia="仿宋" w:cs="Times New Roman"/>
                <w:sz w:val="21"/>
                <w:szCs w:val="21"/>
              </w:rPr>
              <w:t>集中布置健身场地，场地面积应不小于总用地面积</w:t>
            </w:r>
            <w:r>
              <w:rPr>
                <w:rFonts w:hint="default" w:ascii="Times New Roman" w:hAnsi="Times New Roman" w:eastAsia="仿宋" w:cs="Times New Roman"/>
                <w:sz w:val="21"/>
                <w:szCs w:val="21"/>
                <w:lang w:val="en-US" w:eastAsia="zh-CN"/>
              </w:rPr>
              <w:t>的</w:t>
            </w:r>
            <w:r>
              <w:rPr>
                <w:rFonts w:hint="default" w:ascii="Times New Roman" w:hAnsi="Times New Roman" w:eastAsia="仿宋" w:cs="Times New Roman"/>
                <w:sz w:val="21"/>
                <w:szCs w:val="21"/>
              </w:rPr>
              <w:t>0.5%，并根据运动类型设置适当的隔声措施，健身场地设施应进行全龄化设计，满足各年龄段人群的室外活动要求；设置健身慢道应避免与场地内车行道交叉，不能避免时应设置斑马线、减速坡、道闸等安全设施，步道宜采用弹性减振、防滑和环保的材料，以减少对人体关节的冲击和损伤。</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24" w:type="dxa"/>
            <w:vMerge w:val="continue"/>
            <w:vAlign w:val="center"/>
          </w:tcPr>
          <w:p>
            <w:pPr>
              <w:tabs>
                <w:tab w:val="left" w:pos="1680"/>
              </w:tabs>
              <w:adjustRightInd w:val="0"/>
              <w:snapToGrid w:val="0"/>
              <w:spacing w:before="93" w:beforeLines="30" w:after="93" w:afterLines="30"/>
              <w:jc w:val="center"/>
              <w:rPr>
                <w:rFonts w:hint="default" w:ascii="Times New Roman" w:hAnsi="Times New Roman" w:eastAsia="仿宋" w:cs="Times New Roman"/>
                <w:sz w:val="21"/>
                <w:szCs w:val="21"/>
              </w:rPr>
            </w:pPr>
          </w:p>
        </w:tc>
        <w:tc>
          <w:tcPr>
            <w:tcW w:w="1854" w:type="dxa"/>
            <w:vAlign w:val="center"/>
          </w:tcPr>
          <w:p>
            <w:pPr>
              <w:tabs>
                <w:tab w:val="left" w:pos="1680"/>
              </w:tabs>
              <w:adjustRightInd w:val="0"/>
              <w:snapToGrid w:val="0"/>
              <w:spacing w:before="93" w:beforeLines="30" w:after="93" w:afterLines="30"/>
              <w:jc w:val="center"/>
              <w:rPr>
                <w:rFonts w:hint="default" w:ascii="Times New Roman" w:hAnsi="Times New Roman" w:eastAsia="仿宋" w:cs="Times New Roman"/>
                <w:sz w:val="21"/>
                <w:szCs w:val="21"/>
              </w:rPr>
            </w:pPr>
            <w:r>
              <w:rPr>
                <w:rFonts w:hint="eastAsia" w:ascii="Times New Roman" w:hAnsi="Times New Roman" w:eastAsia="仿宋" w:cs="Times New Roman"/>
                <w:sz w:val="21"/>
                <w:szCs w:val="21"/>
                <w:lang w:val="en-US" w:eastAsia="zh-CN"/>
              </w:rPr>
              <w:t>贯彻落实</w:t>
            </w:r>
            <w:r>
              <w:rPr>
                <w:rFonts w:hint="default" w:ascii="Times New Roman" w:hAnsi="Times New Roman" w:eastAsia="仿宋" w:cs="Times New Roman"/>
                <w:sz w:val="21"/>
                <w:szCs w:val="21"/>
              </w:rPr>
              <w:t>绿色建筑的管理制度</w:t>
            </w:r>
          </w:p>
        </w:tc>
        <w:tc>
          <w:tcPr>
            <w:tcW w:w="6946" w:type="dxa"/>
            <w:vAlign w:val="center"/>
          </w:tcPr>
          <w:p>
            <w:pPr>
              <w:tabs>
                <w:tab w:val="left" w:pos="1680"/>
              </w:tabs>
              <w:adjustRightInd w:val="0"/>
              <w:snapToGrid w:val="0"/>
              <w:spacing w:before="93" w:beforeLines="30" w:after="93" w:afterLines="30"/>
              <w:jc w:val="left"/>
              <w:rPr>
                <w:rFonts w:hint="default" w:ascii="Times New Roman" w:hAnsi="Times New Roman" w:eastAsia="仿宋" w:cs="Times New Roman"/>
                <w:sz w:val="21"/>
                <w:szCs w:val="21"/>
              </w:rPr>
            </w:pPr>
            <w:r>
              <w:rPr>
                <w:rFonts w:hint="default" w:ascii="Times New Roman" w:hAnsi="Times New Roman" w:eastAsia="仿宋" w:cs="Times New Roman"/>
                <w:sz w:val="21"/>
                <w:szCs w:val="21"/>
              </w:rPr>
              <w:t xml:space="preserve">绿色建筑物业管理部门应获得有关管理体系认证；完善并有效实施节能、节水、节材、绿化等相关设施的操作规程及应急预案；物业管理机构的工作考核体系中应包含能源资源管理激励机制；采用合同能源管理模式；建立绿色教育宣传机制，编制绿色设施使用手册，形成良好的绿色氛围；开展绿色物业管理试点示范工作。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1124" w:type="dxa"/>
            <w:vMerge w:val="continue"/>
            <w:vAlign w:val="center"/>
          </w:tcPr>
          <w:p>
            <w:pPr>
              <w:tabs>
                <w:tab w:val="left" w:pos="1680"/>
              </w:tabs>
              <w:adjustRightInd w:val="0"/>
              <w:snapToGrid w:val="0"/>
              <w:spacing w:before="93" w:beforeLines="30" w:after="93" w:afterLines="30"/>
              <w:jc w:val="center"/>
              <w:rPr>
                <w:rFonts w:hint="default" w:ascii="Times New Roman" w:hAnsi="Times New Roman" w:eastAsia="仿宋" w:cs="Times New Roman"/>
                <w:sz w:val="21"/>
                <w:szCs w:val="21"/>
              </w:rPr>
            </w:pPr>
          </w:p>
        </w:tc>
        <w:tc>
          <w:tcPr>
            <w:tcW w:w="1854" w:type="dxa"/>
            <w:vAlign w:val="center"/>
          </w:tcPr>
          <w:p>
            <w:pPr>
              <w:tabs>
                <w:tab w:val="left" w:pos="1680"/>
              </w:tabs>
              <w:adjustRightInd w:val="0"/>
              <w:snapToGrid w:val="0"/>
              <w:spacing w:before="93" w:beforeLines="30" w:after="93" w:afterLines="30"/>
              <w:jc w:val="center"/>
              <w:rPr>
                <w:rFonts w:hint="default" w:ascii="Times New Roman" w:hAnsi="Times New Roman" w:eastAsia="仿宋" w:cs="Times New Roman"/>
                <w:sz w:val="21"/>
                <w:szCs w:val="21"/>
              </w:rPr>
            </w:pPr>
            <w:r>
              <w:rPr>
                <w:rFonts w:hint="eastAsia" w:ascii="Times New Roman" w:hAnsi="Times New Roman" w:eastAsia="仿宋" w:cs="Times New Roman"/>
                <w:sz w:val="21"/>
                <w:szCs w:val="21"/>
                <w:lang w:val="en-US" w:eastAsia="zh-CN"/>
              </w:rPr>
              <w:t>科学运用</w:t>
            </w:r>
            <w:r>
              <w:rPr>
                <w:rFonts w:hint="default" w:ascii="Times New Roman" w:hAnsi="Times New Roman" w:eastAsia="仿宋" w:cs="Times New Roman"/>
                <w:sz w:val="21"/>
                <w:szCs w:val="21"/>
              </w:rPr>
              <w:t>绿色建筑的技术管理手段</w:t>
            </w:r>
          </w:p>
        </w:tc>
        <w:tc>
          <w:tcPr>
            <w:tcW w:w="6946" w:type="dxa"/>
            <w:vAlign w:val="center"/>
          </w:tcPr>
          <w:p>
            <w:pPr>
              <w:tabs>
                <w:tab w:val="left" w:pos="1680"/>
              </w:tabs>
              <w:adjustRightInd w:val="0"/>
              <w:snapToGrid w:val="0"/>
              <w:spacing w:before="93" w:beforeLines="30" w:after="93" w:afterLines="30"/>
              <w:jc w:val="left"/>
              <w:rPr>
                <w:rFonts w:hint="default" w:ascii="Times New Roman" w:hAnsi="Times New Roman" w:eastAsia="仿宋" w:cs="Times New Roman"/>
                <w:sz w:val="21"/>
                <w:szCs w:val="21"/>
              </w:rPr>
            </w:pPr>
            <w:r>
              <w:rPr>
                <w:rFonts w:hint="default" w:ascii="Times New Roman" w:hAnsi="Times New Roman" w:eastAsia="仿宋" w:cs="Times New Roman"/>
                <w:sz w:val="21"/>
                <w:szCs w:val="21"/>
              </w:rPr>
              <w:t xml:space="preserve">定期检查、调试公共设施设备，并根据运行检测数据进行设备系统的运行优化；对空调通风系统进行定期检查和清洗，对非传统水源的水质和用水量记录完整、准确；智能化系统的运行效果应满足建筑运行与管理的需要；应用信息化手段进行物业管理。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24" w:type="dxa"/>
            <w:vMerge w:val="restart"/>
            <w:vAlign w:val="center"/>
          </w:tcPr>
          <w:p>
            <w:pPr>
              <w:tabs>
                <w:tab w:val="left" w:pos="1680"/>
              </w:tabs>
              <w:adjustRightInd w:val="0"/>
              <w:snapToGrid w:val="0"/>
              <w:spacing w:before="93" w:beforeLines="30" w:after="93" w:afterLines="30"/>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资源节约</w:t>
            </w:r>
          </w:p>
        </w:tc>
        <w:tc>
          <w:tcPr>
            <w:tcW w:w="1854" w:type="dxa"/>
            <w:vAlign w:val="center"/>
          </w:tcPr>
          <w:p>
            <w:pPr>
              <w:tabs>
                <w:tab w:val="left" w:pos="1680"/>
              </w:tabs>
              <w:adjustRightInd w:val="0"/>
              <w:snapToGrid w:val="0"/>
              <w:spacing w:before="93" w:beforeLines="30" w:after="93" w:afterLines="30"/>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围护结构节能技术</w:t>
            </w:r>
          </w:p>
        </w:tc>
        <w:tc>
          <w:tcPr>
            <w:tcW w:w="6946" w:type="dxa"/>
            <w:vAlign w:val="center"/>
          </w:tcPr>
          <w:p>
            <w:pPr>
              <w:tabs>
                <w:tab w:val="left" w:pos="1680"/>
              </w:tabs>
              <w:adjustRightInd w:val="0"/>
              <w:snapToGrid w:val="0"/>
              <w:spacing w:before="93" w:beforeLines="30" w:after="93" w:afterLines="30"/>
              <w:jc w:val="left"/>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注重不透明围护结构隔热防晒和透明围护结构遮阳系数的降低；鼓励通过采用新技术、新工艺和新材料等手段，大力提高围护结构热工性能的指标。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24" w:type="dxa"/>
            <w:vMerge w:val="continue"/>
            <w:vAlign w:val="center"/>
          </w:tcPr>
          <w:p>
            <w:pPr>
              <w:tabs>
                <w:tab w:val="left" w:pos="1680"/>
              </w:tabs>
              <w:adjustRightInd w:val="0"/>
              <w:snapToGrid w:val="0"/>
              <w:spacing w:before="93" w:beforeLines="30" w:after="93" w:afterLines="30"/>
              <w:jc w:val="center"/>
              <w:rPr>
                <w:rFonts w:hint="default" w:ascii="Times New Roman" w:hAnsi="Times New Roman" w:eastAsia="仿宋" w:cs="Times New Roman"/>
                <w:sz w:val="21"/>
                <w:szCs w:val="21"/>
              </w:rPr>
            </w:pPr>
          </w:p>
        </w:tc>
        <w:tc>
          <w:tcPr>
            <w:tcW w:w="1854" w:type="dxa"/>
            <w:vAlign w:val="center"/>
          </w:tcPr>
          <w:p>
            <w:pPr>
              <w:tabs>
                <w:tab w:val="left" w:pos="1680"/>
              </w:tabs>
              <w:adjustRightInd w:val="0"/>
              <w:snapToGrid w:val="0"/>
              <w:spacing w:before="93" w:beforeLines="30" w:after="93" w:afterLines="30"/>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暖通空调系统节能技术</w:t>
            </w:r>
          </w:p>
        </w:tc>
        <w:tc>
          <w:tcPr>
            <w:tcW w:w="6946" w:type="dxa"/>
            <w:vAlign w:val="center"/>
          </w:tcPr>
          <w:p>
            <w:pPr>
              <w:tabs>
                <w:tab w:val="left" w:pos="1680"/>
              </w:tabs>
              <w:adjustRightInd w:val="0"/>
              <w:snapToGrid w:val="0"/>
              <w:spacing w:before="93" w:beforeLines="30" w:after="93" w:afterLines="30"/>
              <w:jc w:val="left"/>
              <w:rPr>
                <w:rFonts w:hint="default" w:ascii="Times New Roman" w:hAnsi="Times New Roman" w:eastAsia="仿宋" w:cs="Times New Roman"/>
                <w:sz w:val="21"/>
                <w:szCs w:val="21"/>
              </w:rPr>
            </w:pPr>
            <w:r>
              <w:rPr>
                <w:rFonts w:hint="default" w:ascii="Times New Roman" w:hAnsi="Times New Roman" w:eastAsia="仿宋" w:cs="Times New Roman"/>
                <w:sz w:val="21"/>
                <w:szCs w:val="21"/>
              </w:rPr>
              <w:t>选择高效率设备并制定运行策略，在分析可行性的基础上，可采用热回收装置回收排风中的能量。对一万平方米以上的公共建筑，有稳定热需求时，要求采用冷凝热回收设计。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24" w:type="dxa"/>
            <w:vMerge w:val="continue"/>
            <w:vAlign w:val="center"/>
          </w:tcPr>
          <w:p>
            <w:pPr>
              <w:tabs>
                <w:tab w:val="left" w:pos="1680"/>
              </w:tabs>
              <w:adjustRightInd w:val="0"/>
              <w:snapToGrid w:val="0"/>
              <w:spacing w:before="93" w:beforeLines="30" w:after="93" w:afterLines="30"/>
              <w:jc w:val="center"/>
              <w:rPr>
                <w:rFonts w:hint="default" w:ascii="Times New Roman" w:hAnsi="Times New Roman" w:eastAsia="仿宋" w:cs="Times New Roman"/>
                <w:sz w:val="21"/>
                <w:szCs w:val="21"/>
              </w:rPr>
            </w:pPr>
          </w:p>
        </w:tc>
        <w:tc>
          <w:tcPr>
            <w:tcW w:w="1854" w:type="dxa"/>
            <w:vAlign w:val="center"/>
          </w:tcPr>
          <w:p>
            <w:pPr>
              <w:tabs>
                <w:tab w:val="left" w:pos="1680"/>
              </w:tabs>
              <w:adjustRightInd w:val="0"/>
              <w:snapToGrid w:val="0"/>
              <w:spacing w:before="93" w:beforeLines="30" w:after="93" w:afterLines="30"/>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照明系统节能技术</w:t>
            </w:r>
          </w:p>
        </w:tc>
        <w:tc>
          <w:tcPr>
            <w:tcW w:w="6946" w:type="dxa"/>
            <w:vAlign w:val="center"/>
          </w:tcPr>
          <w:p>
            <w:pPr>
              <w:tabs>
                <w:tab w:val="left" w:pos="1680"/>
              </w:tabs>
              <w:adjustRightInd w:val="0"/>
              <w:snapToGrid w:val="0"/>
              <w:spacing w:before="93" w:beforeLines="30" w:after="93" w:afterLines="30"/>
              <w:jc w:val="left"/>
              <w:rPr>
                <w:rFonts w:hint="default" w:ascii="Times New Roman" w:hAnsi="Times New Roman" w:eastAsia="仿宋" w:cs="Times New Roman"/>
                <w:sz w:val="21"/>
                <w:szCs w:val="21"/>
              </w:rPr>
            </w:pPr>
            <w:r>
              <w:rPr>
                <w:rFonts w:hint="default" w:ascii="Times New Roman" w:hAnsi="Times New Roman" w:eastAsia="仿宋" w:cs="Times New Roman"/>
                <w:sz w:val="21"/>
                <w:szCs w:val="21"/>
              </w:rPr>
              <w:t>采用LED灯等高效节能的电光源，可采用分布式或集中式智能照明控制系统，自动调光、启闭，实现自动化、程序化、智能化的管理监控，使整个照明系统更加高效节能。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24" w:type="dxa"/>
            <w:vMerge w:val="continue"/>
            <w:vAlign w:val="center"/>
          </w:tcPr>
          <w:p>
            <w:pPr>
              <w:tabs>
                <w:tab w:val="left" w:pos="1680"/>
              </w:tabs>
              <w:adjustRightInd w:val="0"/>
              <w:snapToGrid w:val="0"/>
              <w:spacing w:before="93" w:beforeLines="30" w:after="93" w:afterLines="30"/>
              <w:jc w:val="center"/>
              <w:rPr>
                <w:rFonts w:hint="default" w:ascii="Times New Roman" w:hAnsi="Times New Roman" w:eastAsia="仿宋" w:cs="Times New Roman"/>
                <w:sz w:val="21"/>
                <w:szCs w:val="21"/>
              </w:rPr>
            </w:pPr>
          </w:p>
        </w:tc>
        <w:tc>
          <w:tcPr>
            <w:tcW w:w="1854" w:type="dxa"/>
            <w:vAlign w:val="center"/>
          </w:tcPr>
          <w:p>
            <w:pPr>
              <w:tabs>
                <w:tab w:val="left" w:pos="1680"/>
              </w:tabs>
              <w:adjustRightInd w:val="0"/>
              <w:snapToGrid w:val="0"/>
              <w:spacing w:before="93" w:beforeLines="30" w:after="93" w:afterLines="30"/>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可再生能源应用技术</w:t>
            </w:r>
          </w:p>
        </w:tc>
        <w:tc>
          <w:tcPr>
            <w:tcW w:w="6946" w:type="dxa"/>
            <w:vAlign w:val="center"/>
          </w:tcPr>
          <w:p>
            <w:pPr>
              <w:tabs>
                <w:tab w:val="left" w:pos="1680"/>
              </w:tabs>
              <w:adjustRightInd w:val="0"/>
              <w:snapToGrid w:val="0"/>
              <w:spacing w:before="93" w:beforeLines="30" w:after="93" w:afterLines="30"/>
              <w:jc w:val="left"/>
              <w:rPr>
                <w:rFonts w:hint="default" w:ascii="Times New Roman" w:hAnsi="Times New Roman" w:eastAsia="仿宋" w:cs="Times New Roman"/>
                <w:sz w:val="21"/>
                <w:szCs w:val="21"/>
              </w:rPr>
            </w:pPr>
            <w:r>
              <w:rPr>
                <w:rFonts w:hint="default" w:ascii="Times New Roman" w:hAnsi="Times New Roman" w:eastAsia="仿宋" w:cs="Times New Roman"/>
                <w:sz w:val="21"/>
                <w:szCs w:val="21"/>
              </w:rPr>
              <w:t>积极推进可再生能源在建筑中的模块化应用，重点</w:t>
            </w:r>
            <w:r>
              <w:rPr>
                <w:rFonts w:hint="eastAsia" w:ascii="Times New Roman" w:hAnsi="Times New Roman" w:eastAsia="仿宋" w:cs="Times New Roman"/>
                <w:sz w:val="21"/>
                <w:szCs w:val="21"/>
                <w:lang w:val="en-US" w:eastAsia="zh-CN"/>
              </w:rPr>
              <w:t>包</w:t>
            </w:r>
            <w:r>
              <w:rPr>
                <w:rFonts w:hint="default" w:ascii="Times New Roman" w:hAnsi="Times New Roman" w:eastAsia="仿宋" w:cs="Times New Roman"/>
                <w:sz w:val="21"/>
                <w:szCs w:val="21"/>
              </w:rPr>
              <w:t>括太阳能光伏发电系统和太阳能热水系统应用。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24" w:type="dxa"/>
            <w:vMerge w:val="continue"/>
            <w:vAlign w:val="center"/>
          </w:tcPr>
          <w:p>
            <w:pPr>
              <w:tabs>
                <w:tab w:val="left" w:pos="1680"/>
              </w:tabs>
              <w:adjustRightInd w:val="0"/>
              <w:snapToGrid w:val="0"/>
              <w:spacing w:before="93" w:beforeLines="30" w:after="93" w:afterLines="30"/>
              <w:jc w:val="center"/>
              <w:rPr>
                <w:rFonts w:hint="default" w:ascii="Times New Roman" w:hAnsi="Times New Roman" w:eastAsia="仿宋" w:cs="Times New Roman"/>
                <w:sz w:val="21"/>
                <w:szCs w:val="21"/>
              </w:rPr>
            </w:pPr>
          </w:p>
        </w:tc>
        <w:tc>
          <w:tcPr>
            <w:tcW w:w="1854" w:type="dxa"/>
            <w:vAlign w:val="center"/>
          </w:tcPr>
          <w:p>
            <w:pPr>
              <w:tabs>
                <w:tab w:val="left" w:pos="1680"/>
              </w:tabs>
              <w:adjustRightInd w:val="0"/>
              <w:snapToGrid w:val="0"/>
              <w:spacing w:before="93" w:beforeLines="30" w:after="93" w:afterLines="30"/>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水资源综合利用规划设计技术</w:t>
            </w:r>
          </w:p>
        </w:tc>
        <w:tc>
          <w:tcPr>
            <w:tcW w:w="6946" w:type="dxa"/>
            <w:vAlign w:val="center"/>
          </w:tcPr>
          <w:p>
            <w:pPr>
              <w:tabs>
                <w:tab w:val="left" w:pos="1680"/>
              </w:tabs>
              <w:adjustRightInd w:val="0"/>
              <w:snapToGrid w:val="0"/>
              <w:spacing w:before="93" w:beforeLines="30" w:after="93" w:afterLines="30"/>
              <w:jc w:val="left"/>
              <w:rPr>
                <w:rFonts w:hint="default" w:ascii="Times New Roman" w:hAnsi="Times New Roman" w:eastAsia="仿宋" w:cs="Times New Roman"/>
                <w:sz w:val="21"/>
                <w:szCs w:val="21"/>
              </w:rPr>
            </w:pPr>
            <w:r>
              <w:rPr>
                <w:rFonts w:hint="default" w:ascii="Times New Roman" w:hAnsi="Times New Roman" w:eastAsia="仿宋" w:cs="Times New Roman"/>
                <w:sz w:val="21"/>
                <w:szCs w:val="21"/>
              </w:rPr>
              <w:t>综合分析研究各种水资源利用的可能性和潜力，制定水系统规划方案，以提高水资源综合利用率，减少市政供水量和污水排放量。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24" w:type="dxa"/>
            <w:vMerge w:val="continue"/>
            <w:vAlign w:val="center"/>
          </w:tcPr>
          <w:p>
            <w:pPr>
              <w:tabs>
                <w:tab w:val="left" w:pos="1680"/>
              </w:tabs>
              <w:adjustRightInd w:val="0"/>
              <w:snapToGrid w:val="0"/>
              <w:spacing w:before="93" w:beforeLines="30" w:after="93" w:afterLines="30"/>
              <w:jc w:val="center"/>
              <w:rPr>
                <w:rFonts w:hint="default" w:ascii="Times New Roman" w:hAnsi="Times New Roman" w:eastAsia="仿宋" w:cs="Times New Roman"/>
                <w:sz w:val="21"/>
                <w:szCs w:val="21"/>
              </w:rPr>
            </w:pPr>
          </w:p>
        </w:tc>
        <w:tc>
          <w:tcPr>
            <w:tcW w:w="1854" w:type="dxa"/>
            <w:vAlign w:val="center"/>
          </w:tcPr>
          <w:p>
            <w:pPr>
              <w:tabs>
                <w:tab w:val="left" w:pos="1680"/>
              </w:tabs>
              <w:adjustRightInd w:val="0"/>
              <w:snapToGrid w:val="0"/>
              <w:spacing w:before="93" w:beforeLines="30" w:after="93" w:afterLines="30"/>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雨水综合利用设计技术</w:t>
            </w:r>
          </w:p>
        </w:tc>
        <w:tc>
          <w:tcPr>
            <w:tcW w:w="6946" w:type="dxa"/>
            <w:vAlign w:val="center"/>
          </w:tcPr>
          <w:p>
            <w:pPr>
              <w:tabs>
                <w:tab w:val="left" w:pos="1680"/>
              </w:tabs>
              <w:adjustRightInd w:val="0"/>
              <w:snapToGrid w:val="0"/>
              <w:spacing w:before="93" w:beforeLines="30" w:after="93" w:afterLines="30"/>
              <w:jc w:val="left"/>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根据当地降水量、雨水水质、汇水条件、可收集雨水量、项目雨水用水点（用水量）等一系列影响雨水利用实施的因素进行分析确定雨水收集系统规模。根据原水水质、用水途径和水质要求选用适当的处理工艺。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24" w:type="dxa"/>
            <w:vMerge w:val="continue"/>
            <w:vAlign w:val="center"/>
          </w:tcPr>
          <w:p>
            <w:pPr>
              <w:tabs>
                <w:tab w:val="left" w:pos="1680"/>
              </w:tabs>
              <w:adjustRightInd w:val="0"/>
              <w:snapToGrid w:val="0"/>
              <w:spacing w:before="93" w:beforeLines="30" w:after="93" w:afterLines="30"/>
              <w:jc w:val="center"/>
              <w:rPr>
                <w:rFonts w:hint="default" w:ascii="Times New Roman" w:hAnsi="Times New Roman" w:eastAsia="仿宋" w:cs="Times New Roman"/>
                <w:sz w:val="21"/>
                <w:szCs w:val="21"/>
              </w:rPr>
            </w:pPr>
          </w:p>
        </w:tc>
        <w:tc>
          <w:tcPr>
            <w:tcW w:w="1854" w:type="dxa"/>
            <w:vAlign w:val="center"/>
          </w:tcPr>
          <w:p>
            <w:pPr>
              <w:tabs>
                <w:tab w:val="left" w:pos="1680"/>
              </w:tabs>
              <w:adjustRightInd w:val="0"/>
              <w:snapToGrid w:val="0"/>
              <w:spacing w:before="93" w:beforeLines="30" w:after="93" w:afterLines="30"/>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建筑中水回用系统设计技术</w:t>
            </w:r>
          </w:p>
        </w:tc>
        <w:tc>
          <w:tcPr>
            <w:tcW w:w="6946" w:type="dxa"/>
            <w:vAlign w:val="center"/>
          </w:tcPr>
          <w:p>
            <w:pPr>
              <w:tabs>
                <w:tab w:val="left" w:pos="1680"/>
              </w:tabs>
              <w:adjustRightInd w:val="0"/>
              <w:snapToGrid w:val="0"/>
              <w:spacing w:before="93" w:beforeLines="30" w:after="93" w:afterLines="30"/>
              <w:jc w:val="left"/>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当项目所在地有市政中水时，优先选用市政中水（市政再生水）；无市政</w:t>
            </w:r>
            <w:r>
              <w:rPr>
                <w:rFonts w:hint="eastAsia" w:ascii="Times New Roman" w:hAnsi="Times New Roman" w:eastAsia="仿宋" w:cs="Times New Roman"/>
                <w:sz w:val="21"/>
                <w:szCs w:val="21"/>
                <w:lang w:val="en-US" w:eastAsia="zh-CN"/>
              </w:rPr>
              <w:t>中水</w:t>
            </w:r>
            <w:r>
              <w:rPr>
                <w:rFonts w:hint="default" w:ascii="Times New Roman" w:hAnsi="Times New Roman" w:eastAsia="仿宋" w:cs="Times New Roman"/>
                <w:sz w:val="21"/>
                <w:szCs w:val="21"/>
              </w:rPr>
              <w:t>利用时，可自设建筑中水设施，建议采用地埋式或封闭式设施，选用无污泥系统或少污泥系统并选用经济、适用成熟的处理工艺、安全可靠的消毒技术。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24" w:type="dxa"/>
            <w:vMerge w:val="continue"/>
            <w:vAlign w:val="center"/>
          </w:tcPr>
          <w:p>
            <w:pPr>
              <w:tabs>
                <w:tab w:val="left" w:pos="1680"/>
              </w:tabs>
              <w:adjustRightInd w:val="0"/>
              <w:snapToGrid w:val="0"/>
              <w:spacing w:before="93" w:beforeLines="30" w:after="93" w:afterLines="30"/>
              <w:jc w:val="center"/>
              <w:rPr>
                <w:rFonts w:hint="default" w:ascii="Times New Roman" w:hAnsi="Times New Roman" w:eastAsia="仿宋" w:cs="Times New Roman"/>
                <w:sz w:val="21"/>
                <w:szCs w:val="21"/>
              </w:rPr>
            </w:pPr>
          </w:p>
        </w:tc>
        <w:tc>
          <w:tcPr>
            <w:tcW w:w="1854" w:type="dxa"/>
            <w:vAlign w:val="center"/>
          </w:tcPr>
          <w:p>
            <w:pPr>
              <w:tabs>
                <w:tab w:val="left" w:pos="1680"/>
              </w:tabs>
              <w:adjustRightInd w:val="0"/>
              <w:snapToGrid w:val="0"/>
              <w:spacing w:before="93" w:beforeLines="30" w:after="93" w:afterLines="30"/>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建筑减量化技术和减量化材料</w:t>
            </w:r>
          </w:p>
        </w:tc>
        <w:tc>
          <w:tcPr>
            <w:tcW w:w="6946" w:type="dxa"/>
            <w:vAlign w:val="center"/>
          </w:tcPr>
          <w:p>
            <w:pPr>
              <w:tabs>
                <w:tab w:val="left" w:pos="1680"/>
              </w:tabs>
              <w:adjustRightInd w:val="0"/>
              <w:snapToGrid w:val="0"/>
              <w:spacing w:before="93" w:beforeLines="30" w:after="93" w:afterLines="30"/>
              <w:jc w:val="left"/>
              <w:rPr>
                <w:rFonts w:hint="default" w:ascii="Times New Roman" w:hAnsi="Times New Roman" w:eastAsia="仿宋" w:cs="Times New Roman"/>
                <w:sz w:val="21"/>
                <w:szCs w:val="21"/>
              </w:rPr>
            </w:pPr>
            <w:r>
              <w:rPr>
                <w:rFonts w:hint="default" w:ascii="Times New Roman" w:hAnsi="Times New Roman" w:eastAsia="仿宋" w:cs="Times New Roman"/>
                <w:sz w:val="21"/>
                <w:szCs w:val="21"/>
              </w:rPr>
              <w:t>采用环境友好型结构体系，建筑造型设计减少</w:t>
            </w:r>
            <w:r>
              <w:rPr>
                <w:rFonts w:hint="eastAsia" w:ascii="Times New Roman" w:hAnsi="Times New Roman" w:eastAsia="仿宋" w:cs="Times New Roman"/>
                <w:sz w:val="21"/>
                <w:szCs w:val="21"/>
                <w:lang w:val="en-US" w:eastAsia="zh-CN"/>
              </w:rPr>
              <w:t>纯</w:t>
            </w:r>
            <w:r>
              <w:rPr>
                <w:rFonts w:hint="default" w:ascii="Times New Roman" w:hAnsi="Times New Roman" w:eastAsia="仿宋" w:cs="Times New Roman"/>
                <w:sz w:val="21"/>
                <w:szCs w:val="21"/>
              </w:rPr>
              <w:t>装饰性构件，建筑设计进行建筑装修一体化设计和建筑工业化设计，设计选材使用高性能材料，建筑布局室内空间采用方便拆卸和重复使用的灵活隔断材料等设计方法来减少建筑对材料的需求。使用距离项目较近的本地生产的建材、使用可再循环材料和可快速再生材料等减量化材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24" w:type="dxa"/>
            <w:vMerge w:val="continue"/>
            <w:vAlign w:val="center"/>
          </w:tcPr>
          <w:p>
            <w:pPr>
              <w:tabs>
                <w:tab w:val="left" w:pos="1680"/>
              </w:tabs>
              <w:adjustRightInd w:val="0"/>
              <w:snapToGrid w:val="0"/>
              <w:spacing w:before="93" w:beforeLines="30" w:after="93" w:afterLines="30"/>
              <w:jc w:val="center"/>
              <w:rPr>
                <w:rFonts w:hint="default" w:ascii="Times New Roman" w:hAnsi="Times New Roman" w:eastAsia="仿宋" w:cs="Times New Roman"/>
                <w:sz w:val="21"/>
                <w:szCs w:val="21"/>
              </w:rPr>
            </w:pPr>
          </w:p>
        </w:tc>
        <w:tc>
          <w:tcPr>
            <w:tcW w:w="1854" w:type="dxa"/>
            <w:vAlign w:val="center"/>
          </w:tcPr>
          <w:p>
            <w:pPr>
              <w:tabs>
                <w:tab w:val="left" w:pos="1680"/>
              </w:tabs>
              <w:adjustRightInd w:val="0"/>
              <w:snapToGrid w:val="0"/>
              <w:spacing w:before="93" w:beforeLines="30" w:after="93" w:afterLines="30"/>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废弃物再利用技术</w:t>
            </w:r>
          </w:p>
        </w:tc>
        <w:tc>
          <w:tcPr>
            <w:tcW w:w="6946" w:type="dxa"/>
            <w:vAlign w:val="center"/>
          </w:tcPr>
          <w:p>
            <w:pPr>
              <w:tabs>
                <w:tab w:val="left" w:pos="1680"/>
              </w:tabs>
              <w:adjustRightInd w:val="0"/>
              <w:snapToGrid w:val="0"/>
              <w:spacing w:before="93" w:beforeLines="30" w:after="93" w:afterLines="30"/>
              <w:jc w:val="left"/>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对于在不改变所回收物质形态的前提下进行材料的直接再利用，或经过再组合、再修复后再利用的建筑材料，应延长其使用周期，进行重复使用，降低材料生产的资源、能源消耗和材料运输对环境造成的影响。</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24" w:type="dxa"/>
            <w:vMerge w:val="continue"/>
            <w:vAlign w:val="center"/>
          </w:tcPr>
          <w:p>
            <w:pPr>
              <w:tabs>
                <w:tab w:val="left" w:pos="1680"/>
              </w:tabs>
              <w:adjustRightInd w:val="0"/>
              <w:snapToGrid w:val="0"/>
              <w:spacing w:before="93" w:beforeLines="30" w:after="93" w:afterLines="30"/>
              <w:jc w:val="center"/>
              <w:rPr>
                <w:rFonts w:hint="default" w:ascii="Times New Roman" w:hAnsi="Times New Roman" w:eastAsia="仿宋" w:cs="Times New Roman"/>
                <w:sz w:val="21"/>
                <w:szCs w:val="21"/>
              </w:rPr>
            </w:pPr>
          </w:p>
        </w:tc>
        <w:tc>
          <w:tcPr>
            <w:tcW w:w="1854" w:type="dxa"/>
            <w:vAlign w:val="center"/>
          </w:tcPr>
          <w:p>
            <w:pPr>
              <w:tabs>
                <w:tab w:val="left" w:pos="1680"/>
              </w:tabs>
              <w:adjustRightInd w:val="0"/>
              <w:snapToGrid w:val="0"/>
              <w:spacing w:before="93" w:beforeLines="30" w:after="93" w:afterLines="30"/>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废弃物资源化技术</w:t>
            </w:r>
          </w:p>
        </w:tc>
        <w:tc>
          <w:tcPr>
            <w:tcW w:w="6946" w:type="dxa"/>
            <w:vAlign w:val="center"/>
          </w:tcPr>
          <w:p>
            <w:pPr>
              <w:tabs>
                <w:tab w:val="left" w:pos="1680"/>
              </w:tabs>
              <w:adjustRightInd w:val="0"/>
              <w:snapToGrid w:val="0"/>
              <w:spacing w:before="93" w:beforeLines="30" w:after="93" w:afterLines="30"/>
              <w:jc w:val="left"/>
              <w:rPr>
                <w:rFonts w:hint="default" w:ascii="Times New Roman" w:hAnsi="Times New Roman" w:eastAsia="仿宋" w:cs="Times New Roman"/>
                <w:sz w:val="21"/>
                <w:szCs w:val="21"/>
              </w:rPr>
            </w:pPr>
            <w:r>
              <w:rPr>
                <w:rFonts w:hint="default" w:ascii="Times New Roman" w:hAnsi="Times New Roman" w:eastAsia="仿宋" w:cs="Times New Roman"/>
                <w:sz w:val="21"/>
                <w:szCs w:val="21"/>
              </w:rPr>
              <w:t>通过废弃物资源化利用，将建筑废弃物、工业废弃物和生活垃圾作为再生资源，用于生产</w:t>
            </w:r>
            <w:r>
              <w:rPr>
                <w:rFonts w:hint="default" w:ascii="Times New Roman" w:hAnsi="Times New Roman" w:eastAsia="仿宋" w:cs="Times New Roman"/>
                <w:sz w:val="21"/>
                <w:szCs w:val="21"/>
                <w:lang w:eastAsia="zh-CN"/>
              </w:rPr>
              <w:t>“</w:t>
            </w:r>
            <w:r>
              <w:rPr>
                <w:rFonts w:hint="default" w:ascii="Times New Roman" w:hAnsi="Times New Roman" w:eastAsia="仿宋" w:cs="Times New Roman"/>
                <w:sz w:val="21"/>
                <w:szCs w:val="21"/>
              </w:rPr>
              <w:t>绿色</w:t>
            </w:r>
            <w:r>
              <w:rPr>
                <w:rFonts w:hint="default" w:ascii="Times New Roman" w:hAnsi="Times New Roman" w:eastAsia="仿宋" w:cs="Times New Roman"/>
                <w:sz w:val="21"/>
                <w:szCs w:val="21"/>
                <w:lang w:eastAsia="zh-CN"/>
              </w:rPr>
              <w:t>”</w:t>
            </w:r>
            <w:r>
              <w:rPr>
                <w:rFonts w:hint="default" w:ascii="Times New Roman" w:hAnsi="Times New Roman" w:eastAsia="仿宋" w:cs="Times New Roman"/>
                <w:sz w:val="21"/>
                <w:szCs w:val="21"/>
              </w:rPr>
              <w:t>建材。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24" w:type="dxa"/>
            <w:vMerge w:val="restart"/>
            <w:vAlign w:val="center"/>
          </w:tcPr>
          <w:p>
            <w:pPr>
              <w:tabs>
                <w:tab w:val="left" w:pos="1680"/>
              </w:tabs>
              <w:adjustRightInd w:val="0"/>
              <w:snapToGrid w:val="0"/>
              <w:spacing w:before="93" w:beforeLines="30" w:after="93" w:afterLines="30"/>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环境宜居</w:t>
            </w:r>
          </w:p>
        </w:tc>
        <w:tc>
          <w:tcPr>
            <w:tcW w:w="1854" w:type="dxa"/>
            <w:vAlign w:val="center"/>
          </w:tcPr>
          <w:p>
            <w:pPr>
              <w:tabs>
                <w:tab w:val="left" w:pos="1680"/>
              </w:tabs>
              <w:adjustRightInd w:val="0"/>
              <w:snapToGrid w:val="0"/>
              <w:spacing w:before="93" w:beforeLines="30" w:after="93" w:afterLines="30"/>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场地景观优化设计技术</w:t>
            </w:r>
          </w:p>
        </w:tc>
        <w:tc>
          <w:tcPr>
            <w:tcW w:w="6946" w:type="dxa"/>
            <w:vAlign w:val="center"/>
          </w:tcPr>
          <w:p>
            <w:pPr>
              <w:tabs>
                <w:tab w:val="left" w:pos="1680"/>
              </w:tabs>
              <w:adjustRightInd w:val="0"/>
              <w:snapToGrid w:val="0"/>
              <w:spacing w:before="93" w:beforeLines="30" w:after="93" w:afterLines="30"/>
              <w:jc w:val="left"/>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合理进行植物配置，优先选择易种植、易生长、易养护、安全的乡土植物。设置透水地面，优化水景设计，构建植物成荫景观。广泛采用立体绿化技术。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24" w:type="dxa"/>
            <w:vMerge w:val="continue"/>
            <w:vAlign w:val="center"/>
          </w:tcPr>
          <w:p>
            <w:pPr>
              <w:tabs>
                <w:tab w:val="left" w:pos="1680"/>
              </w:tabs>
              <w:adjustRightInd w:val="0"/>
              <w:snapToGrid w:val="0"/>
              <w:spacing w:before="93" w:beforeLines="30" w:after="93" w:afterLines="30"/>
              <w:jc w:val="center"/>
              <w:rPr>
                <w:rFonts w:hint="default" w:ascii="Times New Roman" w:hAnsi="Times New Roman" w:eastAsia="仿宋" w:cs="Times New Roman"/>
                <w:sz w:val="21"/>
                <w:szCs w:val="21"/>
              </w:rPr>
            </w:pPr>
          </w:p>
        </w:tc>
        <w:tc>
          <w:tcPr>
            <w:tcW w:w="1854" w:type="dxa"/>
            <w:vAlign w:val="center"/>
          </w:tcPr>
          <w:p>
            <w:pPr>
              <w:tabs>
                <w:tab w:val="left" w:pos="1680"/>
              </w:tabs>
              <w:adjustRightInd w:val="0"/>
              <w:snapToGrid w:val="0"/>
              <w:spacing w:before="93" w:beforeLines="30" w:after="93" w:afterLines="30"/>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场地声环境优化设计技术</w:t>
            </w:r>
          </w:p>
        </w:tc>
        <w:tc>
          <w:tcPr>
            <w:tcW w:w="6946" w:type="dxa"/>
            <w:vAlign w:val="center"/>
          </w:tcPr>
          <w:p>
            <w:pPr>
              <w:tabs>
                <w:tab w:val="left" w:pos="1680"/>
              </w:tabs>
              <w:adjustRightInd w:val="0"/>
              <w:snapToGrid w:val="0"/>
              <w:spacing w:before="93" w:beforeLines="30" w:after="93" w:afterLines="30"/>
              <w:jc w:val="left"/>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场地声环境设计应符合现行国家标准《声环境质量标准》GB 3096 的规定。应对场地噪声现状进行检测或者模拟分析，当存在超标的噪声源时，应采取相应措施，如采取适当的隔声和降噪措施，或设置声屏障或降噪路面等措施。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24" w:type="dxa"/>
            <w:vMerge w:val="continue"/>
            <w:vAlign w:val="center"/>
          </w:tcPr>
          <w:p>
            <w:pPr>
              <w:tabs>
                <w:tab w:val="left" w:pos="1680"/>
              </w:tabs>
              <w:adjustRightInd w:val="0"/>
              <w:snapToGrid w:val="0"/>
              <w:spacing w:before="93" w:beforeLines="30" w:after="93" w:afterLines="30"/>
              <w:jc w:val="center"/>
              <w:rPr>
                <w:rFonts w:hint="default" w:ascii="Times New Roman" w:hAnsi="Times New Roman" w:eastAsia="仿宋" w:cs="Times New Roman"/>
                <w:sz w:val="21"/>
                <w:szCs w:val="21"/>
              </w:rPr>
            </w:pPr>
          </w:p>
        </w:tc>
        <w:tc>
          <w:tcPr>
            <w:tcW w:w="1854" w:type="dxa"/>
            <w:vAlign w:val="center"/>
          </w:tcPr>
          <w:p>
            <w:pPr>
              <w:tabs>
                <w:tab w:val="left" w:pos="1680"/>
              </w:tabs>
              <w:adjustRightInd w:val="0"/>
              <w:snapToGrid w:val="0"/>
              <w:spacing w:before="93" w:beforeLines="30" w:after="93" w:afterLines="30"/>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场地光环境优化设计技术</w:t>
            </w:r>
          </w:p>
        </w:tc>
        <w:tc>
          <w:tcPr>
            <w:tcW w:w="6946" w:type="dxa"/>
            <w:vAlign w:val="center"/>
          </w:tcPr>
          <w:p>
            <w:pPr>
              <w:tabs>
                <w:tab w:val="left" w:pos="1680"/>
              </w:tabs>
              <w:adjustRightInd w:val="0"/>
              <w:snapToGrid w:val="0"/>
              <w:spacing w:before="93" w:beforeLines="30" w:after="93" w:afterLines="30"/>
              <w:jc w:val="left"/>
              <w:rPr>
                <w:rFonts w:hint="default" w:ascii="Times New Roman" w:hAnsi="Times New Roman" w:eastAsia="仿宋" w:cs="Times New Roman"/>
                <w:sz w:val="21"/>
                <w:szCs w:val="21"/>
              </w:rPr>
            </w:pPr>
            <w:r>
              <w:rPr>
                <w:rFonts w:hint="default" w:ascii="Times New Roman" w:hAnsi="Times New Roman" w:eastAsia="仿宋" w:cs="Times New Roman"/>
                <w:sz w:val="21"/>
                <w:szCs w:val="21"/>
              </w:rPr>
              <w:t>采用日照模拟分析软件辅助计算，合理确定建筑朝向、间距及高度，减少建筑间遮挡，采用可见光透射比较大的玻璃、防眩光路灯、防眩光玻璃幕墙（反射比不大于0.30）等，合理选择绿色照明技术。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24" w:type="dxa"/>
            <w:vMerge w:val="continue"/>
            <w:vAlign w:val="center"/>
          </w:tcPr>
          <w:p>
            <w:pPr>
              <w:tabs>
                <w:tab w:val="left" w:pos="1680"/>
              </w:tabs>
              <w:adjustRightInd w:val="0"/>
              <w:snapToGrid w:val="0"/>
              <w:spacing w:before="93" w:beforeLines="30" w:after="93" w:afterLines="30"/>
              <w:jc w:val="center"/>
              <w:rPr>
                <w:rFonts w:hint="default" w:ascii="Times New Roman" w:hAnsi="Times New Roman" w:eastAsia="仿宋" w:cs="Times New Roman"/>
                <w:sz w:val="21"/>
                <w:szCs w:val="21"/>
              </w:rPr>
            </w:pPr>
          </w:p>
        </w:tc>
        <w:tc>
          <w:tcPr>
            <w:tcW w:w="1854" w:type="dxa"/>
            <w:vAlign w:val="center"/>
          </w:tcPr>
          <w:p>
            <w:pPr>
              <w:tabs>
                <w:tab w:val="left" w:pos="1680"/>
              </w:tabs>
              <w:adjustRightInd w:val="0"/>
              <w:snapToGrid w:val="0"/>
              <w:spacing w:before="93" w:beforeLines="30" w:after="93" w:afterLines="30"/>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场地热环境优化设计技术</w:t>
            </w:r>
          </w:p>
        </w:tc>
        <w:tc>
          <w:tcPr>
            <w:tcW w:w="6946" w:type="dxa"/>
            <w:vAlign w:val="center"/>
          </w:tcPr>
          <w:p>
            <w:pPr>
              <w:tabs>
                <w:tab w:val="left" w:pos="1680"/>
              </w:tabs>
              <w:adjustRightInd w:val="0"/>
              <w:snapToGrid w:val="0"/>
              <w:spacing w:before="93" w:beforeLines="30" w:after="93" w:afterLines="30"/>
              <w:jc w:val="left"/>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宜种植高大乔木为停车场、人行道和广场等遮荫，另外还可以通过改变建筑物表面颜色，地面材料的反射率宜为 0.3-0.5，屋面材料的反射率宜为0.3-0.6。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24" w:type="dxa"/>
            <w:vMerge w:val="continue"/>
            <w:vAlign w:val="center"/>
          </w:tcPr>
          <w:p>
            <w:pPr>
              <w:tabs>
                <w:tab w:val="left" w:pos="1680"/>
              </w:tabs>
              <w:adjustRightInd w:val="0"/>
              <w:snapToGrid w:val="0"/>
              <w:spacing w:before="93" w:beforeLines="30" w:after="93" w:afterLines="30"/>
              <w:jc w:val="center"/>
              <w:rPr>
                <w:rFonts w:hint="default" w:ascii="Times New Roman" w:hAnsi="Times New Roman" w:eastAsia="仿宋" w:cs="Times New Roman"/>
                <w:sz w:val="21"/>
                <w:szCs w:val="21"/>
              </w:rPr>
            </w:pPr>
          </w:p>
        </w:tc>
        <w:tc>
          <w:tcPr>
            <w:tcW w:w="1854" w:type="dxa"/>
            <w:vAlign w:val="center"/>
          </w:tcPr>
          <w:p>
            <w:pPr>
              <w:tabs>
                <w:tab w:val="left" w:pos="1680"/>
              </w:tabs>
              <w:adjustRightInd w:val="0"/>
              <w:snapToGrid w:val="0"/>
              <w:spacing w:before="93" w:beforeLines="30" w:after="93" w:afterLines="30"/>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场地风环境优化设计</w:t>
            </w:r>
          </w:p>
        </w:tc>
        <w:tc>
          <w:tcPr>
            <w:tcW w:w="6946" w:type="dxa"/>
            <w:vAlign w:val="center"/>
          </w:tcPr>
          <w:p>
            <w:pPr>
              <w:tabs>
                <w:tab w:val="left" w:pos="1680"/>
              </w:tabs>
              <w:adjustRightInd w:val="0"/>
              <w:snapToGrid w:val="0"/>
              <w:spacing w:before="93" w:beforeLines="30" w:after="93" w:afterLines="30"/>
              <w:jc w:val="left"/>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有目的性的调节室外的自然风向和风速，使空气流通与建筑功能的要求相协调。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24" w:type="dxa"/>
            <w:vMerge w:val="continue"/>
            <w:vAlign w:val="center"/>
          </w:tcPr>
          <w:p>
            <w:pPr>
              <w:tabs>
                <w:tab w:val="left" w:pos="1680"/>
              </w:tabs>
              <w:adjustRightInd w:val="0"/>
              <w:snapToGrid w:val="0"/>
              <w:spacing w:before="93" w:beforeLines="30" w:after="93" w:afterLines="30"/>
              <w:jc w:val="center"/>
              <w:rPr>
                <w:rFonts w:hint="default" w:ascii="Times New Roman" w:hAnsi="Times New Roman" w:eastAsia="仿宋" w:cs="Times New Roman"/>
                <w:sz w:val="21"/>
                <w:szCs w:val="21"/>
              </w:rPr>
            </w:pPr>
          </w:p>
        </w:tc>
        <w:tc>
          <w:tcPr>
            <w:tcW w:w="1854" w:type="dxa"/>
            <w:vAlign w:val="center"/>
          </w:tcPr>
          <w:p>
            <w:pPr>
              <w:tabs>
                <w:tab w:val="left" w:pos="1680"/>
              </w:tabs>
              <w:adjustRightInd w:val="0"/>
              <w:snapToGrid w:val="0"/>
              <w:spacing w:before="93" w:beforeLines="30" w:after="93" w:afterLines="30"/>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废弃地污染治理和修复技术</w:t>
            </w:r>
          </w:p>
        </w:tc>
        <w:tc>
          <w:tcPr>
            <w:tcW w:w="6946" w:type="dxa"/>
            <w:vAlign w:val="center"/>
          </w:tcPr>
          <w:p>
            <w:pPr>
              <w:tabs>
                <w:tab w:val="left" w:pos="1680"/>
              </w:tabs>
              <w:adjustRightInd w:val="0"/>
              <w:snapToGrid w:val="0"/>
              <w:spacing w:before="93" w:beforeLines="30" w:after="93" w:afterLines="30"/>
              <w:jc w:val="left"/>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建筑用地可以考虑使用处理过的废弃场地。利用物理法、化学法、微生物修复法等科技手段将垃圾中对人体有害的物质清除，再利用回填土加桩基等方法提高地基承载能力，如果有害物质不易清除，也可采取换土的方法保证废弃地的利用。</w:t>
            </w:r>
          </w:p>
        </w:tc>
      </w:tr>
      <w:bookmarkEnd w:id="64"/>
      <w:bookmarkEnd w:id="65"/>
    </w:tbl>
    <w:p>
      <w:pPr>
        <w:pStyle w:val="5"/>
        <w:rPr>
          <w:rFonts w:ascii="Times New Roman" w:hAnsi="Times New Roman" w:eastAsia="仿宋" w:cs="Times New Roman"/>
          <w:sz w:val="30"/>
          <w:szCs w:val="30"/>
        </w:rPr>
      </w:pPr>
      <w:bookmarkStart w:id="67" w:name="_Toc124321380"/>
      <w:r>
        <w:rPr>
          <w:rFonts w:hint="eastAsia" w:ascii="Times New Roman" w:hAnsi="Times New Roman" w:eastAsia="仿宋" w:cs="Times New Roman"/>
          <w:sz w:val="30"/>
          <w:szCs w:val="30"/>
        </w:rPr>
        <w:t>第15条 推动绿色产业发展</w:t>
      </w:r>
      <w:bookmarkEnd w:id="67"/>
    </w:p>
    <w:p>
      <w:pPr>
        <w:pStyle w:val="6"/>
        <w:ind w:firstLine="480" w:firstLineChars="200"/>
        <w:rPr>
          <w:rFonts w:ascii="Times New Roman" w:hAnsi="Times New Roman" w:eastAsia="仿宋" w:cs="Times New Roman"/>
          <w:bCs w:val="0"/>
          <w:sz w:val="24"/>
          <w:szCs w:val="24"/>
        </w:rPr>
      </w:pPr>
      <w:bookmarkStart w:id="68" w:name="_Toc525718515"/>
      <w:bookmarkStart w:id="69" w:name="_Toc493632758"/>
      <w:bookmarkStart w:id="70" w:name="_Toc495873949"/>
      <w:bookmarkStart w:id="71" w:name="_Toc501619242"/>
      <w:bookmarkStart w:id="72" w:name="_Toc493632771"/>
      <w:r>
        <w:rPr>
          <w:rFonts w:hint="eastAsia" w:ascii="Times New Roman" w:hAnsi="Times New Roman" w:eastAsia="仿宋" w:cs="Times New Roman"/>
          <w:bCs w:val="0"/>
          <w:sz w:val="24"/>
          <w:szCs w:val="24"/>
        </w:rPr>
        <w:t>1</w:t>
      </w:r>
      <w:r>
        <w:rPr>
          <w:rFonts w:hint="eastAsia" w:ascii="Times New Roman" w:hAnsi="Times New Roman" w:eastAsia="仿宋" w:cs="Times New Roman"/>
          <w:bCs w:val="0"/>
          <w:sz w:val="24"/>
          <w:szCs w:val="24"/>
          <w:lang w:val="en-US" w:eastAsia="zh-CN"/>
        </w:rPr>
        <w:t>.</w:t>
      </w:r>
      <w:r>
        <w:rPr>
          <w:rFonts w:hint="eastAsia" w:ascii="Times New Roman" w:hAnsi="Times New Roman" w:eastAsia="仿宋" w:cs="Times New Roman"/>
          <w:bCs w:val="0"/>
          <w:sz w:val="24"/>
          <w:szCs w:val="24"/>
        </w:rPr>
        <w:t>大力推动光伏建筑一体化</w:t>
      </w:r>
    </w:p>
    <w:p>
      <w:pPr>
        <w:tabs>
          <w:tab w:val="left" w:pos="1680"/>
        </w:tabs>
        <w:adjustRightInd w:val="0"/>
        <w:snapToGrid w:val="0"/>
        <w:spacing w:before="93" w:beforeLines="30" w:after="93" w:afterLines="30" w:line="360" w:lineRule="auto"/>
        <w:ind w:firstLine="480" w:firstLineChars="200"/>
        <w:rPr>
          <w:rFonts w:ascii="Times New Roman" w:hAnsi="Times New Roman" w:eastAsia="仿宋" w:cs="Times New Roman"/>
          <w:sz w:val="24"/>
        </w:rPr>
      </w:pPr>
      <w:r>
        <w:rPr>
          <w:rFonts w:hint="eastAsia" w:ascii="Times New Roman" w:hAnsi="Times New Roman" w:eastAsia="仿宋" w:cs="Times New Roman"/>
          <w:sz w:val="24"/>
        </w:rPr>
        <w:t>推动光伏建筑一体化规模应用。充分利用工业园区、企业厂房、物流仓储基地、公共建筑、交通设施和居民住宅等建筑物屋顶、外立面或其他适宜场地，积极开展光伏项目建设，大力推广建筑光伏一体化（BIPV），重点推动工业园区规模化布局光伏项目，引导大型企业集团积极开展光伏项目建设，支持国有企业规模化建设光伏项目。</w:t>
      </w:r>
    </w:p>
    <w:p>
      <w:pPr>
        <w:tabs>
          <w:tab w:val="left" w:pos="1680"/>
        </w:tabs>
        <w:adjustRightInd w:val="0"/>
        <w:snapToGrid w:val="0"/>
        <w:spacing w:before="93" w:beforeLines="30" w:after="93" w:afterLines="30" w:line="360" w:lineRule="auto"/>
        <w:ind w:firstLine="480" w:firstLineChars="200"/>
        <w:rPr>
          <w:rFonts w:ascii="Times New Roman" w:hAnsi="Times New Roman" w:eastAsia="仿宋" w:cs="Times New Roman"/>
          <w:sz w:val="24"/>
        </w:rPr>
      </w:pPr>
      <w:r>
        <w:rPr>
          <w:rFonts w:hint="eastAsia" w:ascii="Times New Roman" w:hAnsi="Times New Roman" w:eastAsia="仿宋" w:cs="Times New Roman"/>
          <w:sz w:val="24"/>
        </w:rPr>
        <w:t>完善光伏项目建设管理工作。加强建筑安装光伏发电设施的安全性评价和管理工作，市发展</w:t>
      </w:r>
      <w:r>
        <w:rPr>
          <w:rFonts w:hint="eastAsia" w:ascii="Times New Roman" w:hAnsi="Times New Roman" w:eastAsia="仿宋" w:cs="Times New Roman"/>
          <w:sz w:val="24"/>
          <w:lang w:val="en-US" w:eastAsia="zh-CN"/>
        </w:rPr>
        <w:t>和</w:t>
      </w:r>
      <w:r>
        <w:rPr>
          <w:rFonts w:hint="eastAsia" w:ascii="Times New Roman" w:hAnsi="Times New Roman" w:eastAsia="仿宋" w:cs="Times New Roman"/>
          <w:sz w:val="24"/>
        </w:rPr>
        <w:t>改革局负责制定光伏项目管理操作办法，建立简便高效规范的项目申报流程，明确项目备案、建设、验收、运维等工作要求。</w:t>
      </w:r>
    </w:p>
    <w:p>
      <w:pPr>
        <w:tabs>
          <w:tab w:val="left" w:pos="1680"/>
        </w:tabs>
        <w:adjustRightInd w:val="0"/>
        <w:snapToGrid w:val="0"/>
        <w:spacing w:before="93" w:beforeLines="30" w:after="93" w:afterLines="30" w:line="360" w:lineRule="auto"/>
        <w:ind w:firstLine="480" w:firstLineChars="200"/>
        <w:rPr>
          <w:rFonts w:ascii="Times New Roman" w:hAnsi="Times New Roman" w:eastAsia="仿宋" w:cs="Times New Roman"/>
          <w:sz w:val="24"/>
        </w:rPr>
      </w:pPr>
      <w:r>
        <w:rPr>
          <w:rFonts w:hint="eastAsia" w:ascii="Times New Roman" w:hAnsi="Times New Roman" w:eastAsia="仿宋" w:cs="Times New Roman"/>
          <w:sz w:val="24"/>
        </w:rPr>
        <w:t>培育光伏产业和骨干企业。支持企业和科研机构持续提升光伏材料、组件及配套设备等技术水平，强化光伏装备、电池片及组件、系统集成、电站建设运维产业链条。加强政策引导与支持，建立光伏产业骨干企业培育机制，重点支持技术水平高、市场竞争力强的光伏设备制造企业和光伏能源建设运营管理企业快速发展，努力形成一批光伏制造、运维龙头企业。</w:t>
      </w:r>
    </w:p>
    <w:p>
      <w:pPr>
        <w:pStyle w:val="6"/>
        <w:ind w:firstLine="480" w:firstLineChars="200"/>
        <w:rPr>
          <w:rFonts w:ascii="Times New Roman" w:hAnsi="Times New Roman" w:eastAsia="仿宋" w:cs="Times New Roman"/>
          <w:bCs w:val="0"/>
          <w:sz w:val="24"/>
          <w:szCs w:val="24"/>
        </w:rPr>
      </w:pPr>
      <w:r>
        <w:rPr>
          <w:rFonts w:hint="eastAsia" w:ascii="Times New Roman" w:hAnsi="Times New Roman" w:eastAsia="仿宋" w:cs="Times New Roman"/>
          <w:bCs w:val="0"/>
          <w:sz w:val="24"/>
          <w:szCs w:val="24"/>
        </w:rPr>
        <w:t>2</w:t>
      </w:r>
      <w:r>
        <w:rPr>
          <w:rFonts w:hint="eastAsia" w:ascii="Times New Roman" w:hAnsi="Times New Roman" w:eastAsia="仿宋" w:cs="Times New Roman"/>
          <w:bCs w:val="0"/>
          <w:sz w:val="24"/>
          <w:szCs w:val="24"/>
          <w:lang w:val="en-US" w:eastAsia="zh-CN"/>
        </w:rPr>
        <w:t>.</w:t>
      </w:r>
      <w:r>
        <w:rPr>
          <w:rFonts w:hint="eastAsia" w:ascii="Times New Roman" w:hAnsi="Times New Roman" w:eastAsia="仿宋" w:cs="Times New Roman"/>
          <w:bCs w:val="0"/>
          <w:sz w:val="24"/>
          <w:szCs w:val="24"/>
        </w:rPr>
        <w:t>积极推进装配式建筑发展</w:t>
      </w:r>
    </w:p>
    <w:p>
      <w:pPr>
        <w:tabs>
          <w:tab w:val="left" w:pos="1680"/>
        </w:tabs>
        <w:adjustRightInd w:val="0"/>
        <w:snapToGrid w:val="0"/>
        <w:spacing w:before="93" w:beforeLines="30" w:after="93" w:afterLines="30" w:line="360" w:lineRule="auto"/>
        <w:ind w:firstLine="480" w:firstLineChars="200"/>
        <w:rPr>
          <w:rFonts w:ascii="Times New Roman" w:hAnsi="Times New Roman" w:eastAsia="仿宋" w:cs="Times New Roman"/>
          <w:sz w:val="24"/>
        </w:rPr>
      </w:pPr>
      <w:r>
        <w:rPr>
          <w:rFonts w:hint="eastAsia" w:ascii="Times New Roman" w:hAnsi="Times New Roman" w:eastAsia="仿宋" w:cs="Times New Roman"/>
          <w:sz w:val="24"/>
        </w:rPr>
        <w:t>落实《广东省人民政府办公厅关于大力发展装配式建筑的实施意见》</w:t>
      </w:r>
      <w:r>
        <w:rPr>
          <w:rFonts w:hint="eastAsia" w:ascii="Times New Roman" w:hAnsi="Times New Roman" w:eastAsia="仿宋" w:cs="Times New Roman"/>
          <w:sz w:val="24"/>
          <w:lang w:eastAsia="zh-CN"/>
        </w:rPr>
        <w:t>（</w:t>
      </w:r>
      <w:r>
        <w:rPr>
          <w:rFonts w:hint="eastAsia" w:ascii="Times New Roman" w:hAnsi="Times New Roman" w:eastAsia="仿宋" w:cs="Times New Roman"/>
          <w:sz w:val="24"/>
        </w:rPr>
        <w:t>粤府办〔2017〕28号</w:t>
      </w:r>
      <w:r>
        <w:rPr>
          <w:rFonts w:hint="eastAsia" w:ascii="Times New Roman" w:hAnsi="Times New Roman" w:eastAsia="仿宋" w:cs="Times New Roman"/>
          <w:sz w:val="24"/>
          <w:lang w:eastAsia="zh-CN"/>
        </w:rPr>
        <w:t>）</w:t>
      </w:r>
      <w:r>
        <w:rPr>
          <w:rFonts w:hint="eastAsia" w:ascii="Times New Roman" w:hAnsi="Times New Roman" w:eastAsia="仿宋" w:cs="Times New Roman"/>
          <w:sz w:val="24"/>
        </w:rPr>
        <w:t>、《中山市人民政府办公室关于加快发展装配式建筑的实施意见》（中府办〔2018〕47号）和《中山市装配式建筑（2021</w:t>
      </w:r>
      <w:r>
        <w:rPr>
          <w:rFonts w:hint="eastAsia" w:ascii="Times New Roman" w:hAnsi="Times New Roman" w:eastAsia="仿宋" w:cs="Times New Roman"/>
          <w:sz w:val="24"/>
          <w:lang w:eastAsia="zh-CN"/>
        </w:rPr>
        <w:t>—</w:t>
      </w:r>
      <w:r>
        <w:rPr>
          <w:rFonts w:hint="eastAsia" w:ascii="Times New Roman" w:hAnsi="Times New Roman" w:eastAsia="仿宋" w:cs="Times New Roman"/>
          <w:sz w:val="24"/>
        </w:rPr>
        <w:t>2025年）发展规划》等政策文件要求，大力发展以装配式建筑为代表的新型建筑工业化。到2025年末，全市装配式建筑占新建建筑面积比例达到35%以上，其中政府投资工程装配式建筑面积占比达到70%以上。规划混凝土预制构件生产基地2</w:t>
      </w:r>
      <w:r>
        <w:rPr>
          <w:rFonts w:hint="eastAsia" w:ascii="Times New Roman" w:hAnsi="Times New Roman" w:eastAsia="仿宋" w:cs="Times New Roman"/>
          <w:sz w:val="24"/>
          <w:lang w:eastAsia="zh-CN"/>
        </w:rPr>
        <w:t>—</w:t>
      </w:r>
      <w:r>
        <w:rPr>
          <w:rFonts w:hint="eastAsia" w:ascii="Times New Roman" w:hAnsi="Times New Roman" w:eastAsia="仿宋" w:cs="Times New Roman"/>
          <w:sz w:val="24"/>
        </w:rPr>
        <w:t>5个，划分24个装配式建筑规划分区，并划定14个镇街作为装配式建筑的重点推进片区，为全市装配式建筑的发展起到积极示范带头的作用。</w:t>
      </w:r>
    </w:p>
    <w:p>
      <w:pPr>
        <w:tabs>
          <w:tab w:val="left" w:pos="1680"/>
        </w:tabs>
        <w:adjustRightInd w:val="0"/>
        <w:snapToGrid w:val="0"/>
        <w:spacing w:before="93" w:beforeLines="30" w:after="93" w:afterLines="30" w:line="360" w:lineRule="auto"/>
        <w:ind w:firstLine="480" w:firstLineChars="200"/>
        <w:rPr>
          <w:rFonts w:ascii="Times New Roman" w:hAnsi="Times New Roman" w:eastAsia="仿宋" w:cs="Times New Roman"/>
          <w:sz w:val="24"/>
        </w:rPr>
      </w:pPr>
      <w:r>
        <w:rPr>
          <w:rFonts w:hint="eastAsia" w:ascii="Times New Roman" w:hAnsi="Times New Roman" w:eastAsia="仿宋" w:cs="Times New Roman"/>
          <w:sz w:val="24"/>
        </w:rPr>
        <w:t>坚持标准化设计、工厂化生产、装配化施工、一体化装修、信息化管理，推动装配式与绿色建筑深度融合。提高装配式建筑预制部品部件标准化水平，全面推行全装修，研究出台装配式装修技术标准，推动装配式装修发展。强化信息技术协同，加大建筑信息（BIM）技术推广应用，在建造全过程探索建筑信息模型（BIM）、5G、物联网、大数据、人工智能、区块链等新技术的集成与创新应用，促进绿色建筑技术与装配式建筑技术、智能建造深度融合发展，在装配式建筑项目推行工程总承包模式，提升装配化施工水平，全面推行全装修。国有资金参与投资建设的建筑工程应实施装配式建筑，在立项阶段明确实施装配式建筑的相关要求，星级绿色建筑应积极采用装配化建造方式。力争创建成为广东省装配式建筑示范城市。</w:t>
      </w:r>
    </w:p>
    <w:p>
      <w:pPr>
        <w:pStyle w:val="6"/>
        <w:ind w:firstLine="480" w:firstLineChars="200"/>
        <w:rPr>
          <w:rFonts w:ascii="Times New Roman" w:hAnsi="Times New Roman" w:eastAsia="仿宋" w:cs="Times New Roman"/>
          <w:bCs w:val="0"/>
          <w:sz w:val="24"/>
          <w:szCs w:val="24"/>
        </w:rPr>
      </w:pPr>
      <w:r>
        <w:rPr>
          <w:rFonts w:hint="eastAsia" w:ascii="Times New Roman" w:hAnsi="Times New Roman" w:eastAsia="仿宋" w:cs="Times New Roman"/>
          <w:bCs w:val="0"/>
          <w:sz w:val="24"/>
          <w:szCs w:val="24"/>
        </w:rPr>
        <w:t>3</w:t>
      </w:r>
      <w:r>
        <w:rPr>
          <w:rFonts w:hint="eastAsia" w:ascii="Times New Roman" w:hAnsi="Times New Roman" w:eastAsia="仿宋" w:cs="Times New Roman"/>
          <w:bCs w:val="0"/>
          <w:sz w:val="24"/>
          <w:szCs w:val="24"/>
          <w:lang w:val="en-US" w:eastAsia="zh-CN"/>
        </w:rPr>
        <w:t>.</w:t>
      </w:r>
      <w:r>
        <w:rPr>
          <w:rFonts w:hint="eastAsia" w:ascii="Times New Roman" w:hAnsi="Times New Roman" w:eastAsia="仿宋" w:cs="Times New Roman"/>
          <w:bCs w:val="0"/>
          <w:sz w:val="24"/>
          <w:szCs w:val="24"/>
        </w:rPr>
        <w:t>加强推广绿色建材应用</w:t>
      </w:r>
    </w:p>
    <w:p>
      <w:pPr>
        <w:tabs>
          <w:tab w:val="left" w:pos="1680"/>
        </w:tabs>
        <w:adjustRightInd w:val="0"/>
        <w:snapToGrid w:val="0"/>
        <w:spacing w:before="93" w:beforeLines="30" w:after="93" w:afterLines="30" w:line="360" w:lineRule="auto"/>
        <w:ind w:firstLine="480" w:firstLineChars="200"/>
        <w:rPr>
          <w:rFonts w:ascii="Times New Roman" w:hAnsi="Times New Roman" w:eastAsia="仿宋" w:cs="Times New Roman"/>
          <w:sz w:val="24"/>
        </w:rPr>
      </w:pPr>
      <w:r>
        <w:rPr>
          <w:rFonts w:hint="eastAsia" w:ascii="Times New Roman" w:hAnsi="Times New Roman" w:eastAsia="仿宋" w:cs="Times New Roman"/>
          <w:sz w:val="24"/>
        </w:rPr>
        <w:t>按《广东省绿色建材产品认证及推广应用实施方案》推进绿色建材产品认证，推进绿色建材产品应用。探索绿色建材推广应用模式，建立绿色建材试点项目应用全过程监督管理体制机制，打造绿色建材应用试点示范项目，加强示范引领，逐步建立绿色建材发展长效机制，推动本地绿色建材企业绿色化发展。</w:t>
      </w:r>
    </w:p>
    <w:p>
      <w:pPr>
        <w:tabs>
          <w:tab w:val="left" w:pos="1680"/>
        </w:tabs>
        <w:adjustRightInd w:val="0"/>
        <w:snapToGrid w:val="0"/>
        <w:spacing w:before="93" w:beforeLines="30" w:after="93" w:afterLines="30" w:line="360" w:lineRule="auto"/>
        <w:ind w:firstLine="480" w:firstLineChars="200"/>
        <w:rPr>
          <w:rFonts w:ascii="Times New Roman" w:hAnsi="Times New Roman" w:eastAsia="仿宋" w:cs="Times New Roman"/>
          <w:sz w:val="24"/>
        </w:rPr>
      </w:pPr>
      <w:r>
        <w:rPr>
          <w:rFonts w:hint="eastAsia" w:ascii="Times New Roman" w:hAnsi="Times New Roman" w:eastAsia="仿宋" w:cs="Times New Roman"/>
          <w:sz w:val="24"/>
        </w:rPr>
        <w:t>加大工程应用力度。建议政府投资工程率先采用绿色建材，其中，政府投资或政府投资为主的城镇新建民用建筑建议全面推广采用绿色建材，星级绿色建筑项目绿色建材应用比例不低于30%。鼓励社会投资工程建设项目采用绿色建材，引导新建、改建农村住房采用绿色建材。</w:t>
      </w:r>
    </w:p>
    <w:p>
      <w:pPr>
        <w:tabs>
          <w:tab w:val="left" w:pos="1680"/>
        </w:tabs>
        <w:adjustRightInd w:val="0"/>
        <w:snapToGrid w:val="0"/>
        <w:spacing w:before="93" w:beforeLines="30" w:after="93" w:afterLines="30" w:line="360" w:lineRule="auto"/>
        <w:ind w:firstLine="480" w:firstLineChars="200"/>
        <w:rPr>
          <w:rFonts w:ascii="Times New Roman" w:hAnsi="Times New Roman" w:eastAsia="仿宋" w:cs="Times New Roman"/>
          <w:sz w:val="24"/>
        </w:rPr>
      </w:pPr>
      <w:r>
        <w:rPr>
          <w:rFonts w:hint="eastAsia" w:ascii="Times New Roman" w:hAnsi="Times New Roman" w:eastAsia="仿宋" w:cs="Times New Roman"/>
          <w:sz w:val="24"/>
        </w:rPr>
        <w:t>推广适宜技术产品。分批次编制发布中山市建设领域推广应用和限制、禁止使用技术产品目录，重点推广高强钢筋、高性能混凝土、高性能砌体材料、结构保温一体化墙板、节能系统门窗、可再生能源利用、装配式建筑部品部件、装配化装修、建筑垃圾循环再生等绿色建材，积极推广自然采光、通风、雨水收集、中水利用、节能、节水、隔声、减隔震等适宜配套技术产品。</w:t>
      </w:r>
    </w:p>
    <w:p>
      <w:pPr>
        <w:tabs>
          <w:tab w:val="left" w:pos="1680"/>
        </w:tabs>
        <w:adjustRightInd w:val="0"/>
        <w:snapToGrid w:val="0"/>
        <w:spacing w:before="93" w:beforeLines="30" w:after="93" w:afterLines="30" w:line="360" w:lineRule="auto"/>
        <w:ind w:firstLine="480" w:firstLineChars="200"/>
        <w:rPr>
          <w:rFonts w:ascii="Times New Roman" w:hAnsi="Times New Roman" w:eastAsia="仿宋" w:cs="Times New Roman"/>
          <w:sz w:val="24"/>
        </w:rPr>
      </w:pPr>
      <w:r>
        <w:rPr>
          <w:rFonts w:hint="eastAsia" w:ascii="Times New Roman" w:hAnsi="Times New Roman" w:eastAsia="仿宋" w:cs="Times New Roman"/>
          <w:sz w:val="24"/>
        </w:rPr>
        <w:t>完善技术标准体系。按照国家和广东省的要求，建议组织编制中山市绿色建材工程应用相关技术标准和导则，明确绿色建材应用比例计算办法及不同类型建筑项目绿色建材应用比例要求。细化星级绿色建筑评价中绿色建材应用评分要求，将绿色建材应用情况纳入装配式建筑、健康住宅等评价标准内容。尽快形成满足工程设计、施工、验收需求的绿色建材应用技术标准体系。</w:t>
      </w:r>
    </w:p>
    <w:p>
      <w:pPr>
        <w:tabs>
          <w:tab w:val="left" w:pos="1680"/>
        </w:tabs>
        <w:adjustRightInd w:val="0"/>
        <w:snapToGrid w:val="0"/>
        <w:spacing w:before="93" w:beforeLines="30" w:after="93" w:afterLines="30" w:line="360" w:lineRule="auto"/>
        <w:ind w:firstLine="480" w:firstLineChars="200"/>
        <w:rPr>
          <w:rFonts w:ascii="Times New Roman" w:hAnsi="Times New Roman" w:eastAsia="仿宋" w:cs="Times New Roman"/>
          <w:sz w:val="24"/>
        </w:rPr>
      </w:pPr>
      <w:r>
        <w:rPr>
          <w:rFonts w:hint="eastAsia" w:ascii="Times New Roman" w:hAnsi="Times New Roman" w:eastAsia="仿宋" w:cs="Times New Roman"/>
          <w:sz w:val="24"/>
        </w:rPr>
        <w:t>强化科技创新驱动。支持企业发挥创新主体作用，联合领域内高校、科研院所、金融机构等，组建绿色建材推广应用创新创业联合体或技术创新中心，协同开展绿色建材产品技术研究，推进绿色建材创新技术成果转化。组建绿色建材推广应用专业委员会，为开展绿色建材产品推广应用提供决策咨询和技术服务。</w:t>
      </w:r>
    </w:p>
    <w:p>
      <w:pPr>
        <w:tabs>
          <w:tab w:val="left" w:pos="1680"/>
        </w:tabs>
        <w:adjustRightInd w:val="0"/>
        <w:snapToGrid w:val="0"/>
        <w:spacing w:before="93" w:beforeLines="30" w:after="93" w:afterLines="30" w:line="360" w:lineRule="auto"/>
        <w:ind w:firstLine="480" w:firstLineChars="200"/>
        <w:rPr>
          <w:rFonts w:ascii="Times New Roman" w:hAnsi="Times New Roman" w:eastAsia="仿宋" w:cs="Times New Roman"/>
          <w:sz w:val="24"/>
        </w:rPr>
      </w:pPr>
      <w:r>
        <w:rPr>
          <w:rFonts w:hint="eastAsia" w:ascii="Times New Roman" w:hAnsi="Times New Roman" w:eastAsia="仿宋" w:cs="Times New Roman"/>
          <w:sz w:val="24"/>
        </w:rPr>
        <w:t>推进绿色建材认证。会同有关部门，积极推进绿色建材产品认证工作，支持具备建筑节能、绿色建筑、装配式建筑等有关技术产品应用推广能力和经验的机构，申请绿色建材产品认证资质；加大国家绿色建材产品认证目录和绿色建材产品认证实施规则解读宣传力度，引导绿色建材生产企业向具备资质的认证机构申请绿色建材产品认证。</w:t>
      </w:r>
    </w:p>
    <w:p>
      <w:pPr>
        <w:pStyle w:val="2"/>
        <w:spacing w:before="156" w:after="93"/>
        <w:ind w:firstLine="480"/>
        <w:rPr>
          <w:rFonts w:ascii="Times New Roman" w:hAnsi="Times New Roman" w:eastAsia="仿宋"/>
          <w:sz w:val="24"/>
        </w:rPr>
      </w:pPr>
    </w:p>
    <w:p>
      <w:pPr>
        <w:pStyle w:val="2"/>
        <w:spacing w:before="156" w:after="93"/>
        <w:ind w:firstLine="480"/>
        <w:rPr>
          <w:rFonts w:ascii="Times New Roman" w:hAnsi="Times New Roman" w:eastAsia="仿宋"/>
          <w:sz w:val="24"/>
        </w:rPr>
      </w:pPr>
    </w:p>
    <w:p>
      <w:pPr>
        <w:pStyle w:val="2"/>
        <w:spacing w:before="156" w:after="93"/>
        <w:ind w:firstLine="0" w:firstLineChars="0"/>
        <w:rPr>
          <w:rFonts w:ascii="Times New Roman" w:hAnsi="Times New Roman" w:eastAsia="仿宋"/>
          <w:sz w:val="24"/>
        </w:rPr>
      </w:pPr>
    </w:p>
    <w:p>
      <w:pPr>
        <w:pStyle w:val="2"/>
        <w:spacing w:before="156" w:after="93"/>
        <w:ind w:firstLine="480"/>
        <w:rPr>
          <w:rFonts w:ascii="Times New Roman" w:hAnsi="Times New Roman" w:eastAsia="仿宋"/>
          <w:sz w:val="24"/>
        </w:rPr>
      </w:pPr>
    </w:p>
    <w:p>
      <w:pPr>
        <w:pStyle w:val="2"/>
        <w:spacing w:before="156" w:after="93"/>
        <w:ind w:firstLine="480"/>
        <w:rPr>
          <w:rFonts w:ascii="Times New Roman" w:hAnsi="Times New Roman" w:eastAsia="仿宋"/>
          <w:sz w:val="24"/>
        </w:rPr>
      </w:pPr>
    </w:p>
    <w:p>
      <w:pPr>
        <w:pStyle w:val="2"/>
        <w:spacing w:before="156" w:after="93"/>
        <w:ind w:left="0" w:leftChars="0" w:firstLine="0" w:firstLineChars="0"/>
        <w:rPr>
          <w:rFonts w:ascii="Times New Roman" w:hAnsi="Times New Roman" w:eastAsia="仿宋"/>
          <w:sz w:val="24"/>
        </w:rPr>
        <w:sectPr>
          <w:pgSz w:w="11906" w:h="16838"/>
          <w:pgMar w:top="1440" w:right="1797" w:bottom="1440" w:left="1797" w:header="851" w:footer="992" w:gutter="0"/>
          <w:cols w:space="425" w:num="1"/>
          <w:docGrid w:type="linesAndChars" w:linePitch="312" w:charSpace="0"/>
        </w:sectPr>
      </w:pPr>
    </w:p>
    <w:p>
      <w:pPr>
        <w:pStyle w:val="4"/>
        <w:jc w:val="center"/>
        <w:rPr>
          <w:rFonts w:ascii="Times New Roman" w:hAnsi="Times New Roman" w:eastAsia="黑体" w:cs="Times New Roman"/>
          <w:sz w:val="36"/>
          <w:szCs w:val="36"/>
        </w:rPr>
      </w:pPr>
      <w:bookmarkStart w:id="73" w:name="_Toc124321381"/>
      <w:r>
        <w:rPr>
          <w:rFonts w:hint="eastAsia" w:ascii="Times New Roman" w:hAnsi="Times New Roman" w:eastAsia="黑体" w:cs="Times New Roman"/>
          <w:sz w:val="36"/>
          <w:szCs w:val="36"/>
        </w:rPr>
        <w:t>第四章</w:t>
      </w:r>
      <w:r>
        <w:rPr>
          <w:rFonts w:ascii="Times New Roman" w:hAnsi="Times New Roman" w:eastAsia="黑体" w:cs="Times New Roman"/>
          <w:sz w:val="36"/>
          <w:szCs w:val="36"/>
        </w:rPr>
        <w:t xml:space="preserve"> </w:t>
      </w:r>
      <w:bookmarkEnd w:id="68"/>
      <w:bookmarkEnd w:id="69"/>
      <w:bookmarkEnd w:id="70"/>
      <w:bookmarkEnd w:id="71"/>
      <w:bookmarkStart w:id="74" w:name="_Toc493632759"/>
      <w:bookmarkStart w:id="75" w:name="_Toc495873950"/>
      <w:bookmarkStart w:id="76" w:name="_Toc493632764"/>
      <w:r>
        <w:rPr>
          <w:rFonts w:hint="eastAsia" w:ascii="Times New Roman" w:hAnsi="Times New Roman" w:eastAsia="黑体" w:cs="Times New Roman"/>
          <w:sz w:val="36"/>
          <w:szCs w:val="36"/>
        </w:rPr>
        <w:t>规划分区与要求</w:t>
      </w:r>
      <w:bookmarkEnd w:id="73"/>
    </w:p>
    <w:bookmarkEnd w:id="72"/>
    <w:bookmarkEnd w:id="74"/>
    <w:bookmarkEnd w:id="75"/>
    <w:bookmarkEnd w:id="76"/>
    <w:p>
      <w:pPr>
        <w:pStyle w:val="5"/>
        <w:rPr>
          <w:rFonts w:ascii="Times New Roman" w:hAnsi="Times New Roman" w:eastAsia="仿宋" w:cs="Times New Roman"/>
          <w:sz w:val="30"/>
          <w:szCs w:val="30"/>
        </w:rPr>
      </w:pPr>
      <w:bookmarkStart w:id="77" w:name="_Toc498596288"/>
      <w:bookmarkStart w:id="78" w:name="_Toc525718516"/>
      <w:bookmarkStart w:id="79" w:name="_Toc124321382"/>
      <w:r>
        <w:rPr>
          <w:rFonts w:hint="eastAsia" w:ascii="Times New Roman" w:hAnsi="Times New Roman" w:eastAsia="仿宋" w:cs="Times New Roman"/>
          <w:sz w:val="30"/>
          <w:szCs w:val="30"/>
        </w:rPr>
        <w:t>第</w:t>
      </w:r>
      <w:r>
        <w:rPr>
          <w:rFonts w:ascii="Times New Roman" w:hAnsi="Times New Roman" w:eastAsia="仿宋" w:cs="Times New Roman"/>
          <w:sz w:val="30"/>
          <w:szCs w:val="30"/>
        </w:rPr>
        <w:t>1</w:t>
      </w:r>
      <w:r>
        <w:rPr>
          <w:rFonts w:hint="eastAsia" w:ascii="Times New Roman" w:hAnsi="Times New Roman" w:eastAsia="仿宋" w:cs="Times New Roman"/>
          <w:sz w:val="30"/>
          <w:szCs w:val="30"/>
        </w:rPr>
        <w:t>6条</w:t>
      </w:r>
      <w:r>
        <w:rPr>
          <w:rFonts w:ascii="Times New Roman" w:hAnsi="Times New Roman" w:eastAsia="仿宋" w:cs="Times New Roman"/>
          <w:sz w:val="30"/>
          <w:szCs w:val="30"/>
        </w:rPr>
        <w:t xml:space="preserve"> </w:t>
      </w:r>
      <w:bookmarkEnd w:id="77"/>
      <w:bookmarkEnd w:id="78"/>
      <w:r>
        <w:rPr>
          <w:rFonts w:hint="eastAsia" w:ascii="Times New Roman" w:hAnsi="Times New Roman" w:eastAsia="仿宋" w:cs="Times New Roman"/>
          <w:sz w:val="30"/>
          <w:szCs w:val="30"/>
        </w:rPr>
        <w:t>发展组团</w:t>
      </w:r>
      <w:bookmarkEnd w:id="79"/>
    </w:p>
    <w:p>
      <w:pPr>
        <w:pStyle w:val="6"/>
        <w:spacing w:before="93" w:after="93"/>
        <w:ind w:firstLine="480" w:firstLineChars="200"/>
        <w:rPr>
          <w:rFonts w:ascii="Times New Roman" w:hAnsi="Times New Roman" w:eastAsia="仿宋" w:cs="Times New Roman"/>
          <w:bCs w:val="0"/>
          <w:sz w:val="24"/>
          <w:szCs w:val="24"/>
        </w:rPr>
      </w:pPr>
      <w:bookmarkStart w:id="80" w:name="_Toc498596289"/>
      <w:bookmarkStart w:id="81" w:name="_Toc495873951"/>
      <w:r>
        <w:rPr>
          <w:rFonts w:ascii="Times New Roman" w:hAnsi="Times New Roman" w:eastAsia="仿宋" w:cs="Times New Roman"/>
          <w:bCs w:val="0"/>
          <w:sz w:val="24"/>
          <w:szCs w:val="24"/>
        </w:rPr>
        <w:t>1</w:t>
      </w:r>
      <w:bookmarkEnd w:id="80"/>
      <w:bookmarkEnd w:id="81"/>
      <w:r>
        <w:rPr>
          <w:rFonts w:hint="eastAsia" w:ascii="Times New Roman" w:hAnsi="Times New Roman" w:eastAsia="仿宋" w:cs="Times New Roman"/>
          <w:bCs w:val="0"/>
          <w:sz w:val="24"/>
          <w:szCs w:val="24"/>
          <w:lang w:val="en-US" w:eastAsia="zh-CN"/>
        </w:rPr>
        <w:t>.</w:t>
      </w:r>
      <w:r>
        <w:rPr>
          <w:rFonts w:hint="eastAsia" w:ascii="Times New Roman" w:hAnsi="Times New Roman" w:eastAsia="仿宋" w:cs="Times New Roman"/>
          <w:bCs w:val="0"/>
          <w:sz w:val="24"/>
          <w:szCs w:val="24"/>
        </w:rPr>
        <w:t>划分原则</w:t>
      </w:r>
    </w:p>
    <w:p>
      <w:pPr>
        <w:tabs>
          <w:tab w:val="left" w:pos="1680"/>
        </w:tabs>
        <w:adjustRightInd w:val="0"/>
        <w:snapToGrid w:val="0"/>
        <w:spacing w:before="93" w:beforeLines="30" w:after="93" w:afterLines="30" w:line="360" w:lineRule="auto"/>
        <w:ind w:firstLine="480" w:firstLineChars="200"/>
        <w:rPr>
          <w:rFonts w:eastAsia="仿宋"/>
        </w:rPr>
      </w:pPr>
      <w:bookmarkStart w:id="82" w:name="_Hlk124237159"/>
      <w:r>
        <w:rPr>
          <w:rFonts w:hint="eastAsia" w:ascii="Times New Roman" w:hAnsi="Times New Roman" w:eastAsia="仿宋" w:cs="Times New Roman"/>
          <w:sz w:val="24"/>
        </w:rPr>
        <w:t>参照上位规划、产业空间布局、城市特定重点发展区域进行划分</w:t>
      </w:r>
      <w:bookmarkEnd w:id="82"/>
      <w:r>
        <w:rPr>
          <w:rFonts w:hint="eastAsia" w:ascii="Times New Roman" w:hAnsi="Times New Roman" w:eastAsia="仿宋" w:cs="Times New Roman"/>
          <w:sz w:val="24"/>
        </w:rPr>
        <w:t>。</w:t>
      </w:r>
    </w:p>
    <w:p>
      <w:pPr>
        <w:pStyle w:val="6"/>
        <w:spacing w:before="93" w:after="93"/>
        <w:ind w:firstLine="480" w:firstLineChars="200"/>
        <w:rPr>
          <w:rFonts w:ascii="Times New Roman" w:hAnsi="Times New Roman" w:eastAsia="仿宋" w:cs="Times New Roman"/>
          <w:bCs w:val="0"/>
          <w:sz w:val="24"/>
          <w:szCs w:val="24"/>
        </w:rPr>
      </w:pPr>
      <w:bookmarkStart w:id="83" w:name="_Toc498596290"/>
      <w:bookmarkStart w:id="84" w:name="_Toc495873952"/>
      <w:bookmarkStart w:id="85" w:name="_Toc493632761"/>
      <w:r>
        <w:rPr>
          <w:rFonts w:ascii="Times New Roman" w:hAnsi="Times New Roman" w:eastAsia="仿宋" w:cs="Times New Roman"/>
          <w:bCs w:val="0"/>
          <w:sz w:val="24"/>
          <w:szCs w:val="24"/>
        </w:rPr>
        <w:t>2</w:t>
      </w:r>
      <w:bookmarkEnd w:id="83"/>
      <w:bookmarkEnd w:id="84"/>
      <w:r>
        <w:rPr>
          <w:rFonts w:hint="eastAsia" w:ascii="Times New Roman" w:hAnsi="Times New Roman" w:eastAsia="仿宋" w:cs="Times New Roman"/>
          <w:bCs w:val="0"/>
          <w:sz w:val="24"/>
          <w:szCs w:val="24"/>
          <w:lang w:val="en-US" w:eastAsia="zh-CN"/>
        </w:rPr>
        <w:t>.</w:t>
      </w:r>
      <w:r>
        <w:rPr>
          <w:rFonts w:hint="eastAsia" w:ascii="Times New Roman" w:hAnsi="Times New Roman" w:eastAsia="仿宋" w:cs="Times New Roman"/>
          <w:bCs w:val="0"/>
          <w:sz w:val="24"/>
          <w:szCs w:val="24"/>
        </w:rPr>
        <w:t>发展组团列表和发展策略</w:t>
      </w:r>
    </w:p>
    <w:p>
      <w:pPr>
        <w:tabs>
          <w:tab w:val="left" w:pos="1680"/>
        </w:tabs>
        <w:adjustRightInd w:val="0"/>
        <w:snapToGrid w:val="0"/>
        <w:spacing w:before="93" w:beforeLines="30" w:after="93" w:afterLines="30" w:line="360" w:lineRule="auto"/>
        <w:ind w:firstLine="480" w:firstLineChars="200"/>
        <w:rPr>
          <w:rFonts w:ascii="Times New Roman" w:hAnsi="Times New Roman" w:eastAsia="仿宋" w:cs="Times New Roman"/>
          <w:sz w:val="24"/>
        </w:rPr>
      </w:pPr>
      <w:r>
        <w:rPr>
          <w:rFonts w:hint="eastAsia" w:ascii="Times New Roman" w:hAnsi="Times New Roman" w:eastAsia="仿宋" w:cs="Times New Roman"/>
          <w:sz w:val="24"/>
        </w:rPr>
        <w:t>本规划参照国土空间总体规划对中山市市域组团的划分，将中山市划分为六大发展组团，分别为中心城区发展组团、翠亨新区发展组团、</w:t>
      </w:r>
      <w:r>
        <w:rPr>
          <w:rFonts w:hint="eastAsia" w:ascii="Times New Roman" w:hAnsi="Times New Roman" w:eastAsia="仿宋" w:cs="Times New Roman"/>
          <w:sz w:val="24"/>
          <w:lang w:eastAsia="zh-CN"/>
        </w:rPr>
        <w:t>火炬开发区</w:t>
      </w:r>
      <w:r>
        <w:rPr>
          <w:rFonts w:hint="eastAsia" w:ascii="Times New Roman" w:hAnsi="Times New Roman" w:eastAsia="仿宋" w:cs="Times New Roman"/>
          <w:sz w:val="24"/>
        </w:rPr>
        <w:t>发展组团、西部发展组团、南部发展组团和北部发展组团。</w:t>
      </w:r>
    </w:p>
    <w:p>
      <w:pPr>
        <w:pStyle w:val="2"/>
        <w:spacing w:before="156" w:after="93"/>
        <w:ind w:firstLine="0" w:firstLineChars="0"/>
        <w:jc w:val="center"/>
        <w:rPr>
          <w:rFonts w:ascii="仿宋" w:hAnsi="仿宋" w:eastAsia="仿宋"/>
          <w:b/>
          <w:bCs/>
          <w:sz w:val="21"/>
          <w:szCs w:val="21"/>
        </w:rPr>
      </w:pPr>
      <w:bookmarkStart w:id="86" w:name="_Hlk110098367"/>
      <w:r>
        <w:rPr>
          <w:rFonts w:ascii="仿宋" w:hAnsi="仿宋" w:eastAsia="仿宋"/>
          <w:b/>
          <w:bCs/>
          <w:sz w:val="21"/>
          <w:szCs w:val="21"/>
        </w:rPr>
        <w:t>表</w:t>
      </w:r>
      <w:r>
        <w:rPr>
          <w:rFonts w:hint="eastAsia" w:ascii="仿宋" w:hAnsi="仿宋" w:eastAsia="仿宋"/>
          <w:b/>
          <w:bCs/>
          <w:sz w:val="21"/>
          <w:szCs w:val="21"/>
        </w:rPr>
        <w:t>4</w:t>
      </w:r>
      <w:r>
        <w:rPr>
          <w:rFonts w:ascii="仿宋" w:hAnsi="仿宋" w:eastAsia="仿宋"/>
          <w:b/>
          <w:bCs/>
          <w:sz w:val="21"/>
          <w:szCs w:val="21"/>
        </w:rPr>
        <w:t xml:space="preserve"> 中山市</w:t>
      </w:r>
      <w:r>
        <w:rPr>
          <w:rFonts w:hint="eastAsia" w:ascii="仿宋" w:hAnsi="仿宋" w:eastAsia="仿宋"/>
          <w:b/>
          <w:bCs/>
          <w:sz w:val="21"/>
          <w:szCs w:val="21"/>
        </w:rPr>
        <w:t>发展组团划分表</w:t>
      </w:r>
    </w:p>
    <w:tbl>
      <w:tblPr>
        <w:tblStyle w:val="43"/>
        <w:tblW w:w="0" w:type="auto"/>
        <w:jc w:val="center"/>
        <w:tblLayout w:type="autofit"/>
        <w:tblCellMar>
          <w:top w:w="0" w:type="dxa"/>
          <w:left w:w="0" w:type="dxa"/>
          <w:bottom w:w="0" w:type="dxa"/>
          <w:right w:w="0" w:type="dxa"/>
        </w:tblCellMar>
      </w:tblPr>
      <w:tblGrid>
        <w:gridCol w:w="649"/>
        <w:gridCol w:w="1908"/>
        <w:gridCol w:w="1222"/>
        <w:gridCol w:w="4651"/>
      </w:tblGrid>
      <w:tr>
        <w:tblPrEx>
          <w:tblCellMar>
            <w:top w:w="0" w:type="dxa"/>
            <w:left w:w="0" w:type="dxa"/>
            <w:bottom w:w="0" w:type="dxa"/>
            <w:right w:w="0" w:type="dxa"/>
          </w:tblCellMar>
        </w:tblPrEx>
        <w:trPr>
          <w:trHeight w:val="340" w:hRule="atLeast"/>
          <w:tblHeader/>
          <w:jc w:val="center"/>
        </w:trPr>
        <w:tc>
          <w:tcPr>
            <w:tcW w:w="649"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序号</w:t>
            </w:r>
          </w:p>
        </w:tc>
        <w:tc>
          <w:tcPr>
            <w:tcW w:w="1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发展组团名称</w:t>
            </w:r>
          </w:p>
        </w:tc>
        <w:tc>
          <w:tcPr>
            <w:tcW w:w="122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分区编号</w:t>
            </w:r>
          </w:p>
        </w:tc>
        <w:tc>
          <w:tcPr>
            <w:tcW w:w="4651" w:type="dxa"/>
            <w:tcBorders>
              <w:top w:val="single" w:color="000000" w:sz="8" w:space="0"/>
              <w:left w:val="single" w:color="000000" w:sz="8" w:space="0"/>
              <w:bottom w:val="single" w:color="000000" w:sz="8" w:space="0"/>
              <w:right w:val="single" w:color="000000" w:sz="8" w:space="0"/>
            </w:tcBorders>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绿色建筑发展策略</w:t>
            </w:r>
          </w:p>
        </w:tc>
      </w:tr>
      <w:tr>
        <w:tblPrEx>
          <w:tblCellMar>
            <w:top w:w="0" w:type="dxa"/>
            <w:left w:w="0" w:type="dxa"/>
            <w:bottom w:w="0" w:type="dxa"/>
            <w:right w:w="0" w:type="dxa"/>
          </w:tblCellMar>
        </w:tblPrEx>
        <w:trPr>
          <w:trHeight w:val="90" w:hRule="atLeast"/>
          <w:jc w:val="center"/>
        </w:trPr>
        <w:tc>
          <w:tcPr>
            <w:tcW w:w="649"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1</w:t>
            </w:r>
          </w:p>
        </w:tc>
        <w:tc>
          <w:tcPr>
            <w:tcW w:w="1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中心城区发展组团</w:t>
            </w:r>
          </w:p>
        </w:tc>
        <w:tc>
          <w:tcPr>
            <w:tcW w:w="122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ZXCQ</w:t>
            </w:r>
          </w:p>
        </w:tc>
        <w:tc>
          <w:tcPr>
            <w:tcW w:w="4651" w:type="dxa"/>
            <w:tcBorders>
              <w:top w:val="single" w:color="000000" w:sz="8" w:space="0"/>
              <w:left w:val="single" w:color="000000" w:sz="8" w:space="0"/>
              <w:bottom w:val="single" w:color="000000" w:sz="8" w:space="0"/>
              <w:right w:val="single" w:color="000000" w:sz="8" w:space="0"/>
            </w:tcBorders>
            <w:vAlign w:val="center"/>
          </w:tcPr>
          <w:p>
            <w:pPr>
              <w:widowControl/>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以公共服务设施发展为发展契机，以城市中央活动区为发展基础，推动中心城区发展组团绿色建筑的高质量发展。以建设星级绿色建筑为基本目标，依托岐江新城打造成为“一个有文化底蕴的、宜居生态、复合高效、活力多元的城市中心区”的发展目标，集聚金融、科创、文化、生态、医疗、教育、居住等各类高端要素，建设高星级绿色建筑示范区。</w:t>
            </w:r>
          </w:p>
        </w:tc>
      </w:tr>
      <w:tr>
        <w:tblPrEx>
          <w:tblCellMar>
            <w:top w:w="0" w:type="dxa"/>
            <w:left w:w="0" w:type="dxa"/>
            <w:bottom w:w="0" w:type="dxa"/>
            <w:right w:w="0" w:type="dxa"/>
          </w:tblCellMar>
        </w:tblPrEx>
        <w:trPr>
          <w:trHeight w:val="340" w:hRule="atLeast"/>
          <w:jc w:val="center"/>
        </w:trPr>
        <w:tc>
          <w:tcPr>
            <w:tcW w:w="649"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2</w:t>
            </w:r>
          </w:p>
        </w:tc>
        <w:tc>
          <w:tcPr>
            <w:tcW w:w="1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翠亨新区发展组团</w:t>
            </w:r>
          </w:p>
        </w:tc>
        <w:tc>
          <w:tcPr>
            <w:tcW w:w="122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CHXQ</w:t>
            </w:r>
          </w:p>
        </w:tc>
        <w:tc>
          <w:tcPr>
            <w:tcW w:w="4651" w:type="dxa"/>
            <w:tcBorders>
              <w:top w:val="single" w:color="000000" w:sz="8" w:space="0"/>
              <w:left w:val="single" w:color="000000" w:sz="8" w:space="0"/>
              <w:bottom w:val="single" w:color="000000" w:sz="8" w:space="0"/>
              <w:right w:val="single" w:color="000000" w:sz="8" w:space="0"/>
            </w:tcBorders>
            <w:vAlign w:val="center"/>
          </w:tcPr>
          <w:p>
            <w:pPr>
              <w:widowControl/>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依托翠亨新区重点发展</w:t>
            </w:r>
            <w:r>
              <w:rPr>
                <w:rFonts w:hint="default" w:ascii="Times New Roman" w:hAnsi="Times New Roman" w:eastAsia="仿宋" w:cs="Times New Roman"/>
                <w:kern w:val="0"/>
                <w:sz w:val="21"/>
                <w:szCs w:val="21"/>
                <w:lang w:eastAsia="zh-CN"/>
              </w:rPr>
              <w:t>的</w:t>
            </w:r>
            <w:r>
              <w:rPr>
                <w:rFonts w:hint="default" w:ascii="Times New Roman" w:hAnsi="Times New Roman" w:eastAsia="仿宋" w:cs="Times New Roman"/>
                <w:kern w:val="0"/>
                <w:sz w:val="21"/>
                <w:szCs w:val="21"/>
              </w:rPr>
              <w:t>大好机遇，坚持整体统筹、集聚带动、轴带串联，突出区位、生态、创新、文化、产业等优势，</w:t>
            </w:r>
            <w:r>
              <w:rPr>
                <w:rFonts w:hint="default" w:ascii="Times New Roman" w:hAnsi="Times New Roman" w:eastAsia="仿宋" w:cs="Times New Roman"/>
                <w:kern w:val="0"/>
                <w:sz w:val="21"/>
                <w:szCs w:val="21"/>
                <w:lang w:val="en-US" w:eastAsia="zh-CN"/>
              </w:rPr>
              <w:t>打造</w:t>
            </w:r>
            <w:r>
              <w:rPr>
                <w:rFonts w:hint="default" w:ascii="Times New Roman" w:hAnsi="Times New Roman" w:eastAsia="仿宋" w:cs="Times New Roman"/>
                <w:kern w:val="0"/>
                <w:sz w:val="21"/>
                <w:szCs w:val="21"/>
              </w:rPr>
              <w:t>疏密有度、水城共融的城市空间，推动翠亨新区全面建设高星级绿色建筑。</w:t>
            </w:r>
          </w:p>
        </w:tc>
      </w:tr>
      <w:tr>
        <w:tblPrEx>
          <w:tblCellMar>
            <w:top w:w="0" w:type="dxa"/>
            <w:left w:w="0" w:type="dxa"/>
            <w:bottom w:w="0" w:type="dxa"/>
            <w:right w:w="0" w:type="dxa"/>
          </w:tblCellMar>
        </w:tblPrEx>
        <w:trPr>
          <w:trHeight w:val="340" w:hRule="atLeast"/>
          <w:jc w:val="center"/>
        </w:trPr>
        <w:tc>
          <w:tcPr>
            <w:tcW w:w="649"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3</w:t>
            </w:r>
          </w:p>
        </w:tc>
        <w:tc>
          <w:tcPr>
            <w:tcW w:w="1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textAlignment w:val="center"/>
              <w:rPr>
                <w:rFonts w:hint="default" w:ascii="Times New Roman" w:hAnsi="Times New Roman" w:eastAsia="仿宋" w:cs="Times New Roman"/>
                <w:kern w:val="0"/>
                <w:sz w:val="21"/>
                <w:szCs w:val="21"/>
              </w:rPr>
            </w:pPr>
            <w:r>
              <w:rPr>
                <w:rFonts w:hint="eastAsia" w:ascii="Times New Roman" w:hAnsi="Times New Roman" w:eastAsia="仿宋" w:cs="Times New Roman"/>
                <w:kern w:val="0"/>
                <w:sz w:val="21"/>
                <w:szCs w:val="21"/>
                <w:lang w:eastAsia="zh-CN"/>
              </w:rPr>
              <w:t>火炬开发区</w:t>
            </w:r>
            <w:r>
              <w:rPr>
                <w:rFonts w:hint="default" w:ascii="Times New Roman" w:hAnsi="Times New Roman" w:eastAsia="仿宋" w:cs="Times New Roman"/>
                <w:kern w:val="0"/>
                <w:sz w:val="21"/>
                <w:szCs w:val="21"/>
              </w:rPr>
              <w:t>发展组团</w:t>
            </w:r>
          </w:p>
        </w:tc>
        <w:tc>
          <w:tcPr>
            <w:tcW w:w="122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HJQ</w:t>
            </w:r>
          </w:p>
        </w:tc>
        <w:tc>
          <w:tcPr>
            <w:tcW w:w="4651" w:type="dxa"/>
            <w:tcBorders>
              <w:top w:val="single" w:color="000000" w:sz="8" w:space="0"/>
              <w:left w:val="single" w:color="000000" w:sz="8" w:space="0"/>
              <w:bottom w:val="single" w:color="000000" w:sz="8" w:space="0"/>
              <w:right w:val="single" w:color="000000" w:sz="8" w:space="0"/>
            </w:tcBorders>
            <w:vAlign w:val="center"/>
          </w:tcPr>
          <w:p>
            <w:pPr>
              <w:widowControl/>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基于火炬开发区良好的产业和人气基础，发挥区域地理优势，抢抓深中通道开通时机，吸引产业，培育创新氛围，服务中山产业转型，</w:t>
            </w:r>
            <w:r>
              <w:rPr>
                <w:rFonts w:hint="default" w:ascii="Times New Roman" w:hAnsi="Times New Roman" w:eastAsia="仿宋" w:cs="Times New Roman"/>
                <w:kern w:val="0"/>
                <w:sz w:val="21"/>
                <w:szCs w:val="21"/>
                <w:lang w:val="en-US" w:eastAsia="zh-CN"/>
              </w:rPr>
              <w:t>建设</w:t>
            </w:r>
            <w:r>
              <w:rPr>
                <w:rFonts w:hint="default" w:ascii="Times New Roman" w:hAnsi="Times New Roman" w:eastAsia="仿宋" w:cs="Times New Roman"/>
                <w:kern w:val="0"/>
                <w:sz w:val="21"/>
                <w:szCs w:val="21"/>
              </w:rPr>
              <w:t>新一代国家高新区，提升绿色建筑建设水平。全面打造</w:t>
            </w:r>
            <w:r>
              <w:rPr>
                <w:rFonts w:hint="eastAsia" w:ascii="Times New Roman" w:hAnsi="Times New Roman" w:eastAsia="仿宋" w:cs="Times New Roman"/>
                <w:kern w:val="0"/>
                <w:sz w:val="21"/>
                <w:szCs w:val="21"/>
                <w:lang w:eastAsia="zh-CN"/>
              </w:rPr>
              <w:t>火炬开发区</w:t>
            </w:r>
            <w:r>
              <w:rPr>
                <w:rFonts w:hint="default" w:ascii="Times New Roman" w:hAnsi="Times New Roman" w:eastAsia="仿宋" w:cs="Times New Roman"/>
                <w:kern w:val="0"/>
                <w:sz w:val="21"/>
                <w:szCs w:val="21"/>
              </w:rPr>
              <w:t>高星级绿色建筑示范区。</w:t>
            </w:r>
          </w:p>
        </w:tc>
      </w:tr>
      <w:tr>
        <w:tblPrEx>
          <w:tblCellMar>
            <w:top w:w="0" w:type="dxa"/>
            <w:left w:w="0" w:type="dxa"/>
            <w:bottom w:w="0" w:type="dxa"/>
            <w:right w:w="0" w:type="dxa"/>
          </w:tblCellMar>
        </w:tblPrEx>
        <w:trPr>
          <w:trHeight w:val="340" w:hRule="atLeast"/>
          <w:jc w:val="center"/>
        </w:trPr>
        <w:tc>
          <w:tcPr>
            <w:tcW w:w="649"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4</w:t>
            </w:r>
          </w:p>
        </w:tc>
        <w:tc>
          <w:tcPr>
            <w:tcW w:w="1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西部发展组团</w:t>
            </w:r>
          </w:p>
        </w:tc>
        <w:tc>
          <w:tcPr>
            <w:tcW w:w="122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XBZT</w:t>
            </w:r>
          </w:p>
        </w:tc>
        <w:tc>
          <w:tcPr>
            <w:tcW w:w="4651" w:type="dxa"/>
            <w:tcBorders>
              <w:top w:val="single" w:color="000000" w:sz="8" w:space="0"/>
              <w:left w:val="single" w:color="000000" w:sz="8" w:space="0"/>
              <w:bottom w:val="single" w:color="000000" w:sz="8" w:space="0"/>
              <w:right w:val="single" w:color="000000" w:sz="8" w:space="0"/>
            </w:tcBorders>
            <w:vAlign w:val="center"/>
          </w:tcPr>
          <w:p>
            <w:pPr>
              <w:widowControl/>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围绕西部产业园建设，带动其他功能片区发展，全面落实绿色发展理念，提升全区的绿色建筑发展水平。以小榄镇为基础，重点建设星级绿色建筑聚集区，并在其它镇全面加强推行绿色建筑建设。</w:t>
            </w:r>
          </w:p>
        </w:tc>
      </w:tr>
      <w:tr>
        <w:tblPrEx>
          <w:tblCellMar>
            <w:top w:w="0" w:type="dxa"/>
            <w:left w:w="0" w:type="dxa"/>
            <w:bottom w:w="0" w:type="dxa"/>
            <w:right w:w="0" w:type="dxa"/>
          </w:tblCellMar>
        </w:tblPrEx>
        <w:trPr>
          <w:trHeight w:val="340" w:hRule="atLeast"/>
          <w:jc w:val="center"/>
        </w:trPr>
        <w:tc>
          <w:tcPr>
            <w:tcW w:w="649"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5</w:t>
            </w:r>
          </w:p>
        </w:tc>
        <w:tc>
          <w:tcPr>
            <w:tcW w:w="1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textAlignment w:val="center"/>
              <w:rPr>
                <w:rFonts w:hint="default" w:ascii="Times New Roman" w:hAnsi="Times New Roman" w:eastAsia="仿宋" w:cs="Times New Roman"/>
                <w:kern w:val="0"/>
                <w:sz w:val="21"/>
                <w:szCs w:val="21"/>
              </w:rPr>
            </w:pPr>
            <w:bookmarkStart w:id="87" w:name="_Hlk124172801"/>
            <w:r>
              <w:rPr>
                <w:rFonts w:hint="default" w:ascii="Times New Roman" w:hAnsi="Times New Roman" w:eastAsia="仿宋" w:cs="Times New Roman"/>
                <w:kern w:val="0"/>
                <w:sz w:val="21"/>
                <w:szCs w:val="21"/>
              </w:rPr>
              <w:t>南部发展组团</w:t>
            </w:r>
            <w:bookmarkEnd w:id="87"/>
          </w:p>
        </w:tc>
        <w:tc>
          <w:tcPr>
            <w:tcW w:w="122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NBZT</w:t>
            </w:r>
          </w:p>
        </w:tc>
        <w:tc>
          <w:tcPr>
            <w:tcW w:w="4651" w:type="dxa"/>
            <w:tcBorders>
              <w:top w:val="single" w:color="000000" w:sz="8" w:space="0"/>
              <w:left w:val="single" w:color="000000" w:sz="8" w:space="0"/>
              <w:bottom w:val="single" w:color="000000" w:sz="8" w:space="0"/>
              <w:right w:val="single" w:color="000000" w:sz="8" w:space="0"/>
            </w:tcBorders>
            <w:vAlign w:val="center"/>
          </w:tcPr>
          <w:p>
            <w:pPr>
              <w:widowControl/>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将绿色发展与香山新城的发展相结合，充分抓住打造珠西生态休闲旅游基地、粤港澳优质生活示范区的建设契机，提升绿色建筑的认知，以三乡镇和坦洲镇的绿色建筑建设为核心，推进南部发展组团的绿色建筑发展和品质提升。</w:t>
            </w:r>
          </w:p>
        </w:tc>
      </w:tr>
      <w:tr>
        <w:tblPrEx>
          <w:tblCellMar>
            <w:top w:w="0" w:type="dxa"/>
            <w:left w:w="0" w:type="dxa"/>
            <w:bottom w:w="0" w:type="dxa"/>
            <w:right w:w="0" w:type="dxa"/>
          </w:tblCellMar>
        </w:tblPrEx>
        <w:trPr>
          <w:trHeight w:val="340" w:hRule="atLeast"/>
          <w:jc w:val="center"/>
        </w:trPr>
        <w:tc>
          <w:tcPr>
            <w:tcW w:w="649"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6</w:t>
            </w:r>
          </w:p>
        </w:tc>
        <w:tc>
          <w:tcPr>
            <w:tcW w:w="190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textAlignment w:val="center"/>
              <w:rPr>
                <w:rFonts w:hint="default" w:ascii="Times New Roman" w:hAnsi="Times New Roman" w:eastAsia="仿宋" w:cs="Times New Roman"/>
                <w:kern w:val="0"/>
                <w:sz w:val="21"/>
                <w:szCs w:val="21"/>
              </w:rPr>
            </w:pPr>
            <w:bookmarkStart w:id="88" w:name="_Hlk124172835"/>
            <w:r>
              <w:rPr>
                <w:rFonts w:hint="default" w:ascii="Times New Roman" w:hAnsi="Times New Roman" w:eastAsia="仿宋" w:cs="Times New Roman"/>
                <w:kern w:val="0"/>
                <w:sz w:val="21"/>
                <w:szCs w:val="21"/>
              </w:rPr>
              <w:t>北部发展组团</w:t>
            </w:r>
            <w:bookmarkEnd w:id="88"/>
          </w:p>
        </w:tc>
        <w:tc>
          <w:tcPr>
            <w:tcW w:w="122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BBZT</w:t>
            </w:r>
          </w:p>
        </w:tc>
        <w:tc>
          <w:tcPr>
            <w:tcW w:w="4651" w:type="dxa"/>
            <w:tcBorders>
              <w:top w:val="single" w:color="000000" w:sz="8" w:space="0"/>
              <w:left w:val="single" w:color="000000" w:sz="8" w:space="0"/>
              <w:bottom w:val="single" w:color="000000" w:sz="8" w:space="0"/>
              <w:right w:val="single" w:color="000000" w:sz="8" w:space="0"/>
            </w:tcBorders>
            <w:vAlign w:val="center"/>
          </w:tcPr>
          <w:p>
            <w:pPr>
              <w:widowControl/>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将绿色建筑发展与中山北部产业园发展相结合，抓住重点区域、重要平台、重大项目的建设，落实绿色建筑的发展要求，以三角镇绿色建筑建设为核心，稳步推进北部发展组团绿色建筑建设。</w:t>
            </w:r>
          </w:p>
        </w:tc>
      </w:tr>
      <w:bookmarkEnd w:id="85"/>
      <w:bookmarkEnd w:id="86"/>
    </w:tbl>
    <w:p>
      <w:pPr>
        <w:pStyle w:val="5"/>
        <w:rPr>
          <w:rFonts w:ascii="Times New Roman" w:hAnsi="Times New Roman" w:eastAsia="仿宋" w:cs="Times New Roman"/>
          <w:sz w:val="30"/>
          <w:szCs w:val="30"/>
        </w:rPr>
      </w:pPr>
      <w:bookmarkStart w:id="89" w:name="_Toc124321383"/>
      <w:bookmarkStart w:id="90" w:name="_Toc501619258"/>
      <w:bookmarkStart w:id="91" w:name="_Toc495873966"/>
      <w:bookmarkStart w:id="92" w:name="_Toc495873980"/>
      <w:bookmarkStart w:id="93" w:name="_Toc493632791"/>
      <w:bookmarkStart w:id="94" w:name="_Toc493965821"/>
      <w:bookmarkStart w:id="95" w:name="_Toc493355635"/>
      <w:r>
        <w:rPr>
          <w:rFonts w:hint="eastAsia" w:ascii="Times New Roman" w:hAnsi="Times New Roman" w:eastAsia="仿宋" w:cs="Times New Roman"/>
          <w:sz w:val="30"/>
          <w:szCs w:val="30"/>
        </w:rPr>
        <w:t>第</w:t>
      </w:r>
      <w:r>
        <w:rPr>
          <w:rFonts w:ascii="Times New Roman" w:hAnsi="Times New Roman" w:eastAsia="仿宋" w:cs="Times New Roman"/>
          <w:sz w:val="30"/>
          <w:szCs w:val="30"/>
        </w:rPr>
        <w:t>1</w:t>
      </w:r>
      <w:r>
        <w:rPr>
          <w:rFonts w:hint="eastAsia" w:ascii="Times New Roman" w:hAnsi="Times New Roman" w:eastAsia="仿宋" w:cs="Times New Roman"/>
          <w:sz w:val="30"/>
          <w:szCs w:val="30"/>
        </w:rPr>
        <w:t>7条</w:t>
      </w:r>
      <w:r>
        <w:rPr>
          <w:rFonts w:ascii="Times New Roman" w:hAnsi="Times New Roman" w:eastAsia="仿宋" w:cs="Times New Roman"/>
          <w:sz w:val="30"/>
          <w:szCs w:val="30"/>
        </w:rPr>
        <w:t xml:space="preserve"> </w:t>
      </w:r>
      <w:r>
        <w:rPr>
          <w:rFonts w:hint="eastAsia" w:ascii="Times New Roman" w:hAnsi="Times New Roman" w:eastAsia="仿宋" w:cs="Times New Roman"/>
          <w:sz w:val="30"/>
          <w:szCs w:val="30"/>
        </w:rPr>
        <w:t>目标单元</w:t>
      </w:r>
      <w:bookmarkEnd w:id="89"/>
    </w:p>
    <w:p>
      <w:pPr>
        <w:pStyle w:val="6"/>
        <w:spacing w:before="93" w:after="93"/>
        <w:ind w:firstLine="480" w:firstLineChars="200"/>
        <w:rPr>
          <w:rFonts w:ascii="Times New Roman" w:hAnsi="Times New Roman" w:eastAsia="仿宋" w:cs="Times New Roman"/>
          <w:bCs w:val="0"/>
          <w:sz w:val="24"/>
          <w:szCs w:val="24"/>
        </w:rPr>
      </w:pPr>
      <w:r>
        <w:rPr>
          <w:rFonts w:ascii="Times New Roman" w:hAnsi="Times New Roman" w:eastAsia="仿宋" w:cs="Times New Roman"/>
          <w:bCs w:val="0"/>
          <w:sz w:val="24"/>
          <w:szCs w:val="24"/>
        </w:rPr>
        <w:t>1</w:t>
      </w:r>
      <w:r>
        <w:rPr>
          <w:rFonts w:hint="eastAsia" w:ascii="Times New Roman" w:hAnsi="Times New Roman" w:eastAsia="仿宋" w:cs="Times New Roman"/>
          <w:bCs w:val="0"/>
          <w:sz w:val="24"/>
          <w:szCs w:val="24"/>
          <w:lang w:val="en-US" w:eastAsia="zh-CN"/>
        </w:rPr>
        <w:t>.</w:t>
      </w:r>
      <w:r>
        <w:rPr>
          <w:rFonts w:hint="eastAsia" w:ascii="Times New Roman" w:hAnsi="Times New Roman" w:eastAsia="仿宋" w:cs="Times New Roman"/>
          <w:bCs w:val="0"/>
          <w:sz w:val="24"/>
          <w:szCs w:val="24"/>
        </w:rPr>
        <w:t>分区原则</w:t>
      </w:r>
    </w:p>
    <w:p>
      <w:pPr>
        <w:tabs>
          <w:tab w:val="left" w:pos="1680"/>
        </w:tabs>
        <w:adjustRightInd w:val="0"/>
        <w:snapToGrid w:val="0"/>
        <w:spacing w:before="93" w:beforeLines="30" w:after="93" w:afterLines="30" w:line="360" w:lineRule="auto"/>
        <w:ind w:firstLine="480" w:firstLineChars="200"/>
        <w:rPr>
          <w:rFonts w:ascii="Times New Roman" w:hAnsi="Times New Roman" w:eastAsia="仿宋" w:cs="Times New Roman"/>
          <w:sz w:val="24"/>
        </w:rPr>
      </w:pPr>
      <w:r>
        <w:rPr>
          <w:rFonts w:hint="eastAsia" w:ascii="Times New Roman" w:hAnsi="Times New Roman" w:eastAsia="仿宋" w:cs="Times New Roman"/>
          <w:sz w:val="24"/>
        </w:rPr>
        <w:t>参照建设主管部门的行政边界，以中山市各镇街作为目标单元划分的基础。针对各目标单元发展潜力，可进一步划分重点区域、核心目标单元和基础目标单元，前者指标要求高于后者。</w:t>
      </w:r>
    </w:p>
    <w:p>
      <w:pPr>
        <w:pStyle w:val="6"/>
        <w:spacing w:before="93" w:after="93"/>
        <w:ind w:firstLine="480" w:firstLineChars="200"/>
        <w:rPr>
          <w:rFonts w:ascii="Times New Roman" w:hAnsi="Times New Roman" w:eastAsia="仿宋" w:cs="Times New Roman"/>
          <w:bCs w:val="0"/>
          <w:sz w:val="24"/>
          <w:szCs w:val="24"/>
        </w:rPr>
      </w:pPr>
      <w:r>
        <w:rPr>
          <w:rFonts w:ascii="Times New Roman" w:hAnsi="Times New Roman" w:eastAsia="仿宋" w:cs="Times New Roman"/>
          <w:bCs w:val="0"/>
          <w:sz w:val="24"/>
          <w:szCs w:val="24"/>
        </w:rPr>
        <w:t>2</w:t>
      </w:r>
      <w:r>
        <w:rPr>
          <w:rFonts w:hint="eastAsia" w:ascii="Times New Roman" w:hAnsi="Times New Roman" w:eastAsia="仿宋" w:cs="Times New Roman"/>
          <w:bCs w:val="0"/>
          <w:sz w:val="24"/>
          <w:szCs w:val="24"/>
          <w:lang w:val="en-US" w:eastAsia="zh-CN"/>
        </w:rPr>
        <w:t>.</w:t>
      </w:r>
      <w:r>
        <w:rPr>
          <w:rFonts w:hint="eastAsia" w:ascii="Times New Roman" w:hAnsi="Times New Roman" w:eastAsia="仿宋" w:cs="Times New Roman"/>
          <w:bCs w:val="0"/>
          <w:sz w:val="24"/>
          <w:szCs w:val="24"/>
        </w:rPr>
        <w:t>分区列表与指标要求</w:t>
      </w:r>
    </w:p>
    <w:p>
      <w:pPr>
        <w:pStyle w:val="2"/>
        <w:spacing w:before="156" w:after="93"/>
        <w:ind w:firstLine="480"/>
        <w:rPr>
          <w:rFonts w:ascii="Times New Roman" w:hAnsi="Times New Roman" w:eastAsia="仿宋"/>
          <w:sz w:val="24"/>
        </w:rPr>
      </w:pPr>
      <w:r>
        <w:rPr>
          <w:rFonts w:hint="eastAsia" w:ascii="Times New Roman" w:hAnsi="Times New Roman" w:eastAsia="仿宋"/>
          <w:sz w:val="24"/>
        </w:rPr>
        <w:t>（1）中心城区发展组团目标单元</w:t>
      </w:r>
    </w:p>
    <w:p>
      <w:pPr>
        <w:pStyle w:val="2"/>
        <w:spacing w:before="156" w:after="93"/>
        <w:ind w:firstLine="480"/>
        <w:rPr>
          <w:rFonts w:ascii="Times New Roman" w:hAnsi="Times New Roman" w:eastAsia="仿宋"/>
          <w:sz w:val="24"/>
        </w:rPr>
      </w:pPr>
      <w:r>
        <w:rPr>
          <w:rFonts w:hint="eastAsia" w:ascii="Times New Roman" w:hAnsi="Times New Roman" w:eastAsia="仿宋"/>
          <w:sz w:val="24"/>
        </w:rPr>
        <w:t>在中心城区发展组团中划分出</w:t>
      </w:r>
      <w:r>
        <w:rPr>
          <w:rFonts w:ascii="Times New Roman" w:hAnsi="Times New Roman" w:eastAsia="仿宋"/>
          <w:sz w:val="24"/>
        </w:rPr>
        <w:t>8</w:t>
      </w:r>
      <w:r>
        <w:rPr>
          <w:rFonts w:hint="eastAsia" w:ascii="Times New Roman" w:hAnsi="Times New Roman" w:eastAsia="仿宋"/>
          <w:sz w:val="24"/>
        </w:rPr>
        <w:t>个目标单元，其中：重点区域</w:t>
      </w:r>
      <w:r>
        <w:rPr>
          <w:rFonts w:ascii="Times New Roman" w:hAnsi="Times New Roman" w:eastAsia="仿宋"/>
          <w:sz w:val="24"/>
        </w:rPr>
        <w:t>2</w:t>
      </w:r>
      <w:r>
        <w:rPr>
          <w:rFonts w:hint="eastAsia" w:ascii="Times New Roman" w:hAnsi="Times New Roman" w:eastAsia="仿宋"/>
          <w:sz w:val="24"/>
        </w:rPr>
        <w:t>个，核心目标单元2个，基础目标单元4个。</w:t>
      </w:r>
    </w:p>
    <w:p>
      <w:pPr>
        <w:pStyle w:val="2"/>
        <w:spacing w:before="156" w:after="93"/>
        <w:ind w:firstLine="0" w:firstLineChars="0"/>
        <w:jc w:val="center"/>
        <w:rPr>
          <w:rFonts w:ascii="仿宋" w:hAnsi="仿宋" w:eastAsia="仿宋"/>
          <w:b/>
          <w:bCs/>
          <w:sz w:val="21"/>
          <w:szCs w:val="21"/>
        </w:rPr>
      </w:pPr>
      <w:r>
        <w:rPr>
          <w:rFonts w:ascii="仿宋" w:hAnsi="仿宋" w:eastAsia="仿宋"/>
          <w:b/>
          <w:bCs/>
          <w:sz w:val="21"/>
          <w:szCs w:val="21"/>
        </w:rPr>
        <w:t>表</w:t>
      </w:r>
      <w:r>
        <w:rPr>
          <w:rFonts w:hint="eastAsia" w:ascii="仿宋" w:hAnsi="仿宋" w:eastAsia="仿宋"/>
          <w:b/>
          <w:bCs/>
          <w:sz w:val="21"/>
          <w:szCs w:val="21"/>
        </w:rPr>
        <w:t>5</w:t>
      </w:r>
      <w:r>
        <w:rPr>
          <w:rFonts w:ascii="仿宋" w:hAnsi="仿宋" w:eastAsia="仿宋"/>
          <w:b/>
          <w:bCs/>
          <w:sz w:val="21"/>
          <w:szCs w:val="21"/>
        </w:rPr>
        <w:t xml:space="preserve"> </w:t>
      </w:r>
      <w:r>
        <w:rPr>
          <w:rFonts w:hint="eastAsia" w:ascii="仿宋" w:hAnsi="仿宋" w:eastAsia="仿宋"/>
          <w:b/>
          <w:bCs/>
          <w:sz w:val="21"/>
          <w:szCs w:val="21"/>
        </w:rPr>
        <w:t>中心城区发展组团目标单元汇总表</w:t>
      </w:r>
    </w:p>
    <w:tbl>
      <w:tblPr>
        <w:tblStyle w:val="4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85"/>
        <w:gridCol w:w="4456"/>
        <w:gridCol w:w="1610"/>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 w:hRule="atLeast"/>
          <w:jc w:val="center"/>
        </w:trPr>
        <w:tc>
          <w:tcPr>
            <w:tcW w:w="574" w:type="pct"/>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目标单元类别</w:t>
            </w:r>
          </w:p>
        </w:tc>
        <w:tc>
          <w:tcPr>
            <w:tcW w:w="2597" w:type="pct"/>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目标单元名称</w:t>
            </w:r>
          </w:p>
        </w:tc>
        <w:tc>
          <w:tcPr>
            <w:tcW w:w="938" w:type="pct"/>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目标单元编号</w:t>
            </w:r>
          </w:p>
        </w:tc>
        <w:tc>
          <w:tcPr>
            <w:tcW w:w="891" w:type="pct"/>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目标单元数量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 w:hRule="atLeast"/>
          <w:jc w:val="center"/>
        </w:trPr>
        <w:tc>
          <w:tcPr>
            <w:tcW w:w="574" w:type="pct"/>
            <w:vMerge w:val="restart"/>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重点区域</w:t>
            </w:r>
          </w:p>
        </w:tc>
        <w:tc>
          <w:tcPr>
            <w:tcW w:w="2597" w:type="pct"/>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港口镇岐江新城区域</w:t>
            </w:r>
          </w:p>
        </w:tc>
        <w:tc>
          <w:tcPr>
            <w:tcW w:w="938" w:type="pct"/>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ZXCQ-GK-B</w:t>
            </w:r>
          </w:p>
        </w:tc>
        <w:tc>
          <w:tcPr>
            <w:tcW w:w="891" w:type="pct"/>
            <w:vMerge w:val="restart"/>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 w:hRule="atLeast"/>
          <w:jc w:val="center"/>
        </w:trPr>
        <w:tc>
          <w:tcPr>
            <w:tcW w:w="574" w:type="pct"/>
            <w:vMerge w:val="continue"/>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p>
        </w:tc>
        <w:tc>
          <w:tcPr>
            <w:tcW w:w="2597" w:type="pct"/>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石岐街道岐江新城区域</w:t>
            </w:r>
          </w:p>
        </w:tc>
        <w:tc>
          <w:tcPr>
            <w:tcW w:w="938" w:type="pct"/>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ZXCQ-SQ-A</w:t>
            </w:r>
          </w:p>
        </w:tc>
        <w:tc>
          <w:tcPr>
            <w:tcW w:w="891" w:type="pct"/>
            <w:vMerge w:val="continue"/>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8" w:hRule="atLeast"/>
          <w:jc w:val="center"/>
        </w:trPr>
        <w:tc>
          <w:tcPr>
            <w:tcW w:w="574" w:type="pct"/>
            <w:vMerge w:val="restart"/>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核心目标单元</w:t>
            </w:r>
          </w:p>
        </w:tc>
        <w:tc>
          <w:tcPr>
            <w:tcW w:w="2597" w:type="pct"/>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石岐街道非岐江新城区域</w:t>
            </w:r>
          </w:p>
        </w:tc>
        <w:tc>
          <w:tcPr>
            <w:tcW w:w="938" w:type="pct"/>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ZXCQ-SQ-B</w:t>
            </w:r>
          </w:p>
        </w:tc>
        <w:tc>
          <w:tcPr>
            <w:tcW w:w="891" w:type="pct"/>
            <w:vMerge w:val="restart"/>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8" w:hRule="atLeast"/>
          <w:jc w:val="center"/>
        </w:trPr>
        <w:tc>
          <w:tcPr>
            <w:tcW w:w="574" w:type="pct"/>
            <w:vMerge w:val="continue"/>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p>
        </w:tc>
        <w:tc>
          <w:tcPr>
            <w:tcW w:w="2597" w:type="pct"/>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东区街道</w:t>
            </w:r>
          </w:p>
        </w:tc>
        <w:tc>
          <w:tcPr>
            <w:tcW w:w="938" w:type="pct"/>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ZXCQ-DQ</w:t>
            </w:r>
          </w:p>
        </w:tc>
        <w:tc>
          <w:tcPr>
            <w:tcW w:w="891" w:type="pct"/>
            <w:vMerge w:val="continue"/>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8" w:hRule="atLeast"/>
          <w:jc w:val="center"/>
        </w:trPr>
        <w:tc>
          <w:tcPr>
            <w:tcW w:w="574" w:type="pct"/>
            <w:vMerge w:val="restart"/>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基础目标单元</w:t>
            </w:r>
          </w:p>
        </w:tc>
        <w:tc>
          <w:tcPr>
            <w:tcW w:w="2597" w:type="pct"/>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五桂山街道</w:t>
            </w:r>
          </w:p>
        </w:tc>
        <w:tc>
          <w:tcPr>
            <w:tcW w:w="938" w:type="pct"/>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ZXCQ-WGS</w:t>
            </w:r>
          </w:p>
        </w:tc>
        <w:tc>
          <w:tcPr>
            <w:tcW w:w="891" w:type="pct"/>
            <w:vMerge w:val="restart"/>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8" w:hRule="atLeast"/>
          <w:jc w:val="center"/>
        </w:trPr>
        <w:tc>
          <w:tcPr>
            <w:tcW w:w="574" w:type="pct"/>
            <w:vMerge w:val="continue"/>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p>
        </w:tc>
        <w:tc>
          <w:tcPr>
            <w:tcW w:w="2597" w:type="pct"/>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南区街道</w:t>
            </w:r>
          </w:p>
        </w:tc>
        <w:tc>
          <w:tcPr>
            <w:tcW w:w="938" w:type="pct"/>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ZXCQ-NQ</w:t>
            </w:r>
          </w:p>
        </w:tc>
        <w:tc>
          <w:tcPr>
            <w:tcW w:w="891" w:type="pct"/>
            <w:vMerge w:val="continue"/>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宋体" w:cs="Times New Roman"/>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8" w:hRule="atLeast"/>
          <w:jc w:val="center"/>
        </w:trPr>
        <w:tc>
          <w:tcPr>
            <w:tcW w:w="574" w:type="pct"/>
            <w:vMerge w:val="continue"/>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p>
        </w:tc>
        <w:tc>
          <w:tcPr>
            <w:tcW w:w="2597" w:type="pct"/>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西区街道</w:t>
            </w:r>
          </w:p>
        </w:tc>
        <w:tc>
          <w:tcPr>
            <w:tcW w:w="938" w:type="pct"/>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ZXCQ-XQ</w:t>
            </w:r>
          </w:p>
        </w:tc>
        <w:tc>
          <w:tcPr>
            <w:tcW w:w="891" w:type="pct"/>
            <w:vMerge w:val="continue"/>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宋体" w:cs="Times New Roman"/>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8" w:hRule="atLeast"/>
          <w:jc w:val="center"/>
        </w:trPr>
        <w:tc>
          <w:tcPr>
            <w:tcW w:w="574" w:type="pct"/>
            <w:vMerge w:val="continue"/>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p>
        </w:tc>
        <w:tc>
          <w:tcPr>
            <w:tcW w:w="2597" w:type="pct"/>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港口镇非岐江新城区域</w:t>
            </w:r>
          </w:p>
        </w:tc>
        <w:tc>
          <w:tcPr>
            <w:tcW w:w="938" w:type="pct"/>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ZXCQ-GK-A</w:t>
            </w:r>
          </w:p>
        </w:tc>
        <w:tc>
          <w:tcPr>
            <w:tcW w:w="891" w:type="pct"/>
            <w:vMerge w:val="continue"/>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宋体" w:cs="Times New Roman"/>
                <w:b/>
                <w:bCs/>
                <w:kern w:val="0"/>
                <w:sz w:val="21"/>
                <w:szCs w:val="21"/>
              </w:rPr>
            </w:pPr>
          </w:p>
        </w:tc>
      </w:tr>
    </w:tbl>
    <w:p>
      <w:pPr>
        <w:pStyle w:val="2"/>
        <w:spacing w:before="156" w:after="93"/>
        <w:ind w:firstLine="480"/>
        <w:rPr>
          <w:rFonts w:hint="eastAsia" w:ascii="Times New Roman" w:hAnsi="Times New Roman" w:eastAsia="仿宋"/>
          <w:sz w:val="24"/>
        </w:rPr>
      </w:pPr>
    </w:p>
    <w:p>
      <w:pPr>
        <w:pStyle w:val="2"/>
        <w:spacing w:before="156" w:after="93"/>
        <w:ind w:firstLine="480"/>
        <w:rPr>
          <w:rFonts w:hint="eastAsia" w:ascii="Times New Roman" w:hAnsi="Times New Roman" w:eastAsia="仿宋"/>
          <w:sz w:val="24"/>
        </w:rPr>
      </w:pPr>
    </w:p>
    <w:p>
      <w:pPr>
        <w:pStyle w:val="2"/>
        <w:spacing w:before="156" w:after="93"/>
        <w:ind w:firstLine="480"/>
        <w:rPr>
          <w:rFonts w:hint="eastAsia" w:ascii="Times New Roman" w:hAnsi="Times New Roman" w:eastAsia="仿宋"/>
          <w:sz w:val="24"/>
        </w:rPr>
      </w:pPr>
    </w:p>
    <w:p>
      <w:pPr>
        <w:pStyle w:val="2"/>
        <w:spacing w:before="156" w:after="93"/>
        <w:ind w:firstLine="480"/>
        <w:rPr>
          <w:rFonts w:hint="eastAsia" w:ascii="Times New Roman" w:hAnsi="Times New Roman" w:eastAsia="仿宋"/>
          <w:sz w:val="24"/>
        </w:rPr>
      </w:pPr>
    </w:p>
    <w:p>
      <w:pPr>
        <w:pStyle w:val="2"/>
        <w:spacing w:before="156" w:after="93"/>
        <w:ind w:firstLine="480"/>
        <w:rPr>
          <w:rFonts w:ascii="Times New Roman" w:hAnsi="Times New Roman" w:eastAsia="仿宋"/>
          <w:sz w:val="24"/>
        </w:rPr>
      </w:pPr>
      <w:r>
        <w:rPr>
          <w:rFonts w:hint="eastAsia" w:ascii="Times New Roman" w:hAnsi="Times New Roman" w:eastAsia="仿宋"/>
          <w:sz w:val="24"/>
        </w:rPr>
        <w:t>（</w:t>
      </w:r>
      <w:r>
        <w:rPr>
          <w:rFonts w:ascii="Times New Roman" w:hAnsi="Times New Roman" w:eastAsia="仿宋"/>
          <w:sz w:val="24"/>
        </w:rPr>
        <w:t>2</w:t>
      </w:r>
      <w:r>
        <w:rPr>
          <w:rFonts w:hint="eastAsia" w:ascii="Times New Roman" w:hAnsi="Times New Roman" w:eastAsia="仿宋"/>
          <w:sz w:val="24"/>
        </w:rPr>
        <w:t>）翠亨新区发展组团目标单元</w:t>
      </w:r>
    </w:p>
    <w:p>
      <w:pPr>
        <w:pStyle w:val="2"/>
        <w:spacing w:before="156" w:after="93"/>
        <w:ind w:firstLine="480"/>
        <w:rPr>
          <w:rFonts w:ascii="Times New Roman" w:hAnsi="Times New Roman" w:eastAsia="仿宋"/>
          <w:sz w:val="24"/>
        </w:rPr>
      </w:pPr>
      <w:r>
        <w:rPr>
          <w:rFonts w:hint="eastAsia" w:ascii="Times New Roman" w:hAnsi="Times New Roman" w:eastAsia="仿宋"/>
          <w:sz w:val="24"/>
        </w:rPr>
        <w:t>在翠亨新区发展组团中划分出2个目标单元，其中：重点区域2个，核心目标单元0个，基础目标单元0个。</w:t>
      </w:r>
    </w:p>
    <w:p>
      <w:pPr>
        <w:pStyle w:val="2"/>
        <w:spacing w:before="156" w:after="93"/>
        <w:ind w:firstLine="0" w:firstLineChars="0"/>
        <w:jc w:val="center"/>
        <w:rPr>
          <w:rFonts w:ascii="仿宋" w:hAnsi="仿宋" w:eastAsia="仿宋"/>
          <w:b/>
          <w:bCs/>
          <w:sz w:val="21"/>
          <w:szCs w:val="21"/>
        </w:rPr>
      </w:pPr>
      <w:r>
        <w:rPr>
          <w:rFonts w:ascii="仿宋" w:hAnsi="仿宋" w:eastAsia="仿宋"/>
          <w:b/>
          <w:bCs/>
          <w:sz w:val="21"/>
          <w:szCs w:val="21"/>
        </w:rPr>
        <w:t>表</w:t>
      </w:r>
      <w:r>
        <w:rPr>
          <w:rFonts w:hint="eastAsia" w:ascii="仿宋" w:hAnsi="仿宋" w:eastAsia="仿宋"/>
          <w:b/>
          <w:bCs/>
          <w:sz w:val="21"/>
          <w:szCs w:val="21"/>
        </w:rPr>
        <w:t>6</w:t>
      </w:r>
      <w:r>
        <w:rPr>
          <w:rFonts w:ascii="仿宋" w:hAnsi="仿宋" w:eastAsia="仿宋"/>
          <w:b/>
          <w:bCs/>
          <w:sz w:val="21"/>
          <w:szCs w:val="21"/>
        </w:rPr>
        <w:t xml:space="preserve"> </w:t>
      </w:r>
      <w:r>
        <w:rPr>
          <w:rFonts w:hint="eastAsia" w:ascii="仿宋" w:hAnsi="仿宋" w:eastAsia="仿宋"/>
          <w:b/>
          <w:bCs/>
          <w:sz w:val="21"/>
          <w:szCs w:val="21"/>
        </w:rPr>
        <w:t>翠亨新区发展组团目标单元汇总表</w:t>
      </w:r>
    </w:p>
    <w:tbl>
      <w:tblPr>
        <w:tblStyle w:val="4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147"/>
        <w:gridCol w:w="2145"/>
        <w:gridCol w:w="2145"/>
        <w:gridCol w:w="2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 w:hRule="atLeast"/>
          <w:jc w:val="center"/>
        </w:trPr>
        <w:tc>
          <w:tcPr>
            <w:tcW w:w="1251" w:type="pct"/>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目标单元类别</w:t>
            </w:r>
          </w:p>
        </w:tc>
        <w:tc>
          <w:tcPr>
            <w:tcW w:w="1250" w:type="pct"/>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目标单元名称</w:t>
            </w:r>
          </w:p>
        </w:tc>
        <w:tc>
          <w:tcPr>
            <w:tcW w:w="1250" w:type="pct"/>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目标单元编号</w:t>
            </w:r>
          </w:p>
        </w:tc>
        <w:tc>
          <w:tcPr>
            <w:tcW w:w="1249" w:type="pct"/>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目标单元数量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8" w:hRule="atLeast"/>
          <w:jc w:val="center"/>
        </w:trPr>
        <w:tc>
          <w:tcPr>
            <w:tcW w:w="1251" w:type="pct"/>
            <w:vMerge w:val="restart"/>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重点区域</w:t>
            </w:r>
          </w:p>
        </w:tc>
        <w:tc>
          <w:tcPr>
            <w:tcW w:w="1250" w:type="pct"/>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南朗街道</w:t>
            </w:r>
          </w:p>
        </w:tc>
        <w:tc>
          <w:tcPr>
            <w:tcW w:w="1250" w:type="pct"/>
            <w:shd w:val="clear" w:color="auto" w:fill="auto"/>
            <w:tcMar>
              <w:top w:w="15" w:type="dxa"/>
              <w:left w:w="134" w:type="dxa"/>
              <w:bottom w:w="0" w:type="dxa"/>
              <w:right w:w="134" w:type="dxa"/>
            </w:tcMa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CHXQ-NL</w:t>
            </w:r>
          </w:p>
        </w:tc>
        <w:tc>
          <w:tcPr>
            <w:tcW w:w="1249" w:type="pct"/>
            <w:vMerge w:val="restart"/>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8" w:hRule="atLeast"/>
          <w:jc w:val="center"/>
        </w:trPr>
        <w:tc>
          <w:tcPr>
            <w:tcW w:w="1251" w:type="pct"/>
            <w:vMerge w:val="continue"/>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p>
        </w:tc>
        <w:tc>
          <w:tcPr>
            <w:tcW w:w="1250" w:type="pct"/>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翠亨新区</w:t>
            </w:r>
          </w:p>
        </w:tc>
        <w:tc>
          <w:tcPr>
            <w:tcW w:w="1250" w:type="pct"/>
            <w:shd w:val="clear" w:color="auto" w:fill="auto"/>
            <w:tcMar>
              <w:top w:w="15" w:type="dxa"/>
              <w:left w:w="134" w:type="dxa"/>
              <w:bottom w:w="0" w:type="dxa"/>
              <w:right w:w="134" w:type="dxa"/>
            </w:tcMa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CHXQ-CH</w:t>
            </w:r>
          </w:p>
        </w:tc>
        <w:tc>
          <w:tcPr>
            <w:tcW w:w="1249" w:type="pct"/>
            <w:vMerge w:val="continue"/>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宋体" w:cs="Times New Roman"/>
                <w:b/>
                <w:bCs/>
                <w:kern w:val="0"/>
                <w:sz w:val="21"/>
                <w:szCs w:val="21"/>
              </w:rPr>
            </w:pPr>
          </w:p>
        </w:tc>
      </w:tr>
    </w:tbl>
    <w:p>
      <w:pPr>
        <w:pStyle w:val="2"/>
        <w:spacing w:before="156" w:after="93"/>
        <w:ind w:firstLine="480"/>
        <w:rPr>
          <w:rFonts w:ascii="Times New Roman" w:hAnsi="Times New Roman" w:eastAsia="仿宋"/>
          <w:sz w:val="24"/>
        </w:rPr>
      </w:pPr>
      <w:r>
        <w:rPr>
          <w:rFonts w:hint="eastAsia" w:ascii="Times New Roman" w:hAnsi="Times New Roman" w:eastAsia="仿宋"/>
          <w:sz w:val="24"/>
        </w:rPr>
        <w:t>（</w:t>
      </w:r>
      <w:r>
        <w:rPr>
          <w:rFonts w:ascii="Times New Roman" w:hAnsi="Times New Roman" w:eastAsia="仿宋"/>
          <w:sz w:val="24"/>
        </w:rPr>
        <w:t>3</w:t>
      </w:r>
      <w:r>
        <w:rPr>
          <w:rFonts w:hint="eastAsia" w:ascii="Times New Roman" w:hAnsi="Times New Roman" w:eastAsia="仿宋"/>
          <w:sz w:val="24"/>
        </w:rPr>
        <w:t>）</w:t>
      </w:r>
      <w:r>
        <w:rPr>
          <w:rFonts w:hint="eastAsia" w:ascii="Times New Roman" w:hAnsi="Times New Roman" w:eastAsia="仿宋"/>
          <w:sz w:val="24"/>
          <w:lang w:eastAsia="zh-CN"/>
        </w:rPr>
        <w:t>火炬开发区</w:t>
      </w:r>
      <w:r>
        <w:rPr>
          <w:rFonts w:hint="eastAsia" w:ascii="Times New Roman" w:hAnsi="Times New Roman" w:eastAsia="仿宋"/>
          <w:sz w:val="24"/>
        </w:rPr>
        <w:t>发展组团目标单元</w:t>
      </w:r>
    </w:p>
    <w:p>
      <w:pPr>
        <w:pStyle w:val="2"/>
        <w:spacing w:before="156" w:after="93"/>
        <w:ind w:firstLine="480"/>
        <w:rPr>
          <w:rFonts w:ascii="Times New Roman" w:hAnsi="Times New Roman" w:eastAsia="仿宋"/>
          <w:sz w:val="24"/>
        </w:rPr>
      </w:pPr>
      <w:r>
        <w:rPr>
          <w:rFonts w:hint="eastAsia" w:ascii="Times New Roman" w:hAnsi="Times New Roman" w:eastAsia="仿宋"/>
          <w:sz w:val="24"/>
        </w:rPr>
        <w:t>在</w:t>
      </w:r>
      <w:r>
        <w:rPr>
          <w:rFonts w:hint="eastAsia" w:ascii="Times New Roman" w:hAnsi="Times New Roman" w:eastAsia="仿宋"/>
          <w:sz w:val="24"/>
          <w:lang w:eastAsia="zh-CN"/>
        </w:rPr>
        <w:t>火炬开发区</w:t>
      </w:r>
      <w:r>
        <w:rPr>
          <w:rFonts w:hint="eastAsia" w:ascii="Times New Roman" w:hAnsi="Times New Roman" w:eastAsia="仿宋"/>
          <w:sz w:val="24"/>
        </w:rPr>
        <w:t>发展组团中划分出2个目标单元，其中：重点区域2个，核心目标单元0个，基础目标单元0个。</w:t>
      </w:r>
    </w:p>
    <w:p>
      <w:pPr>
        <w:pStyle w:val="2"/>
        <w:spacing w:before="156" w:after="93"/>
        <w:ind w:firstLine="0" w:firstLineChars="0"/>
        <w:jc w:val="center"/>
        <w:rPr>
          <w:rFonts w:ascii="仿宋" w:hAnsi="仿宋" w:eastAsia="仿宋"/>
          <w:b/>
          <w:bCs/>
          <w:sz w:val="21"/>
          <w:szCs w:val="21"/>
        </w:rPr>
      </w:pPr>
      <w:r>
        <w:rPr>
          <w:rFonts w:ascii="仿宋" w:hAnsi="仿宋" w:eastAsia="仿宋"/>
          <w:b/>
          <w:bCs/>
          <w:sz w:val="21"/>
          <w:szCs w:val="21"/>
        </w:rPr>
        <w:t>表</w:t>
      </w:r>
      <w:r>
        <w:rPr>
          <w:rFonts w:hint="eastAsia" w:ascii="仿宋" w:hAnsi="仿宋" w:eastAsia="仿宋"/>
          <w:b/>
          <w:bCs/>
          <w:sz w:val="21"/>
          <w:szCs w:val="21"/>
        </w:rPr>
        <w:t>7</w:t>
      </w:r>
      <w:r>
        <w:rPr>
          <w:rFonts w:ascii="仿宋" w:hAnsi="仿宋" w:eastAsia="仿宋"/>
          <w:b/>
          <w:bCs/>
          <w:sz w:val="21"/>
          <w:szCs w:val="21"/>
        </w:rPr>
        <w:t xml:space="preserve"> </w:t>
      </w:r>
      <w:r>
        <w:rPr>
          <w:rFonts w:hint="eastAsia" w:ascii="仿宋" w:hAnsi="仿宋" w:eastAsia="仿宋"/>
          <w:b/>
          <w:bCs/>
          <w:sz w:val="21"/>
          <w:szCs w:val="21"/>
          <w:lang w:eastAsia="zh-CN"/>
        </w:rPr>
        <w:t>火炬开发区</w:t>
      </w:r>
      <w:r>
        <w:rPr>
          <w:rFonts w:hint="eastAsia" w:ascii="仿宋" w:hAnsi="仿宋" w:eastAsia="仿宋"/>
          <w:b/>
          <w:bCs/>
          <w:sz w:val="21"/>
          <w:szCs w:val="21"/>
        </w:rPr>
        <w:t>发展组团目标单元汇总表</w:t>
      </w:r>
    </w:p>
    <w:tbl>
      <w:tblPr>
        <w:tblStyle w:val="4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727"/>
        <w:gridCol w:w="2563"/>
        <w:gridCol w:w="2146"/>
        <w:gridCol w:w="2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 w:hRule="atLeast"/>
          <w:jc w:val="center"/>
        </w:trPr>
        <w:tc>
          <w:tcPr>
            <w:tcW w:w="1007" w:type="pct"/>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目标单元类别</w:t>
            </w:r>
          </w:p>
        </w:tc>
        <w:tc>
          <w:tcPr>
            <w:tcW w:w="1493" w:type="pct"/>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目标单元名称</w:t>
            </w:r>
          </w:p>
        </w:tc>
        <w:tc>
          <w:tcPr>
            <w:tcW w:w="1250" w:type="pct"/>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目标单元编号</w:t>
            </w:r>
          </w:p>
        </w:tc>
        <w:tc>
          <w:tcPr>
            <w:tcW w:w="1249" w:type="pct"/>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目标单元数量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8" w:hRule="atLeast"/>
          <w:jc w:val="center"/>
        </w:trPr>
        <w:tc>
          <w:tcPr>
            <w:tcW w:w="1007" w:type="pct"/>
            <w:vMerge w:val="restart"/>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重点区域</w:t>
            </w:r>
          </w:p>
        </w:tc>
        <w:tc>
          <w:tcPr>
            <w:tcW w:w="1493" w:type="pct"/>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中山港街道（火炬开发区）</w:t>
            </w:r>
          </w:p>
        </w:tc>
        <w:tc>
          <w:tcPr>
            <w:tcW w:w="1250" w:type="pct"/>
            <w:shd w:val="clear" w:color="auto" w:fill="auto"/>
            <w:tcMar>
              <w:top w:w="15" w:type="dxa"/>
              <w:left w:w="134" w:type="dxa"/>
              <w:bottom w:w="0" w:type="dxa"/>
              <w:right w:w="134" w:type="dxa"/>
            </w:tcMa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HJQ-ZSG</w:t>
            </w:r>
          </w:p>
        </w:tc>
        <w:tc>
          <w:tcPr>
            <w:tcW w:w="1249" w:type="pct"/>
            <w:vMerge w:val="restart"/>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8" w:hRule="atLeast"/>
          <w:jc w:val="center"/>
        </w:trPr>
        <w:tc>
          <w:tcPr>
            <w:tcW w:w="1007" w:type="pct"/>
            <w:vMerge w:val="continue"/>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p>
        </w:tc>
        <w:tc>
          <w:tcPr>
            <w:tcW w:w="1493" w:type="pct"/>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民众街道</w:t>
            </w:r>
          </w:p>
        </w:tc>
        <w:tc>
          <w:tcPr>
            <w:tcW w:w="1250" w:type="pct"/>
            <w:shd w:val="clear" w:color="auto" w:fill="auto"/>
            <w:tcMar>
              <w:top w:w="15" w:type="dxa"/>
              <w:left w:w="134" w:type="dxa"/>
              <w:bottom w:w="0" w:type="dxa"/>
              <w:right w:w="134" w:type="dxa"/>
            </w:tcMa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HJQ-MZ</w:t>
            </w:r>
          </w:p>
        </w:tc>
        <w:tc>
          <w:tcPr>
            <w:tcW w:w="1249" w:type="pct"/>
            <w:vMerge w:val="continue"/>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宋体" w:cs="Times New Roman"/>
                <w:b/>
                <w:bCs/>
                <w:kern w:val="0"/>
                <w:sz w:val="21"/>
                <w:szCs w:val="21"/>
              </w:rPr>
            </w:pPr>
          </w:p>
        </w:tc>
      </w:tr>
    </w:tbl>
    <w:p>
      <w:pPr>
        <w:tabs>
          <w:tab w:val="left" w:pos="1680"/>
        </w:tabs>
        <w:adjustRightInd w:val="0"/>
        <w:snapToGrid w:val="0"/>
        <w:spacing w:before="93" w:beforeLines="30" w:after="93" w:afterLines="30" w:line="360" w:lineRule="auto"/>
        <w:ind w:firstLine="480" w:firstLineChars="200"/>
        <w:rPr>
          <w:rFonts w:ascii="Times New Roman" w:hAnsi="Times New Roman" w:eastAsia="仿宋" w:cs="Times New Roman"/>
          <w:sz w:val="24"/>
        </w:rPr>
      </w:pPr>
      <w:r>
        <w:rPr>
          <w:rFonts w:hint="eastAsia" w:ascii="Times New Roman" w:hAnsi="Times New Roman" w:eastAsia="仿宋" w:cs="Times New Roman"/>
          <w:sz w:val="24"/>
        </w:rPr>
        <w:t>（4）西部发展组团目标单元</w:t>
      </w:r>
    </w:p>
    <w:p>
      <w:pPr>
        <w:tabs>
          <w:tab w:val="left" w:pos="1680"/>
        </w:tabs>
        <w:adjustRightInd w:val="0"/>
        <w:snapToGrid w:val="0"/>
        <w:spacing w:before="93" w:beforeLines="30" w:after="93" w:afterLines="30" w:line="360" w:lineRule="auto"/>
        <w:ind w:firstLine="480" w:firstLineChars="200"/>
        <w:rPr>
          <w:rFonts w:ascii="Times New Roman" w:hAnsi="Times New Roman" w:eastAsia="仿宋" w:cs="Times New Roman"/>
          <w:sz w:val="24"/>
        </w:rPr>
      </w:pPr>
      <w:r>
        <w:rPr>
          <w:rFonts w:hint="eastAsia" w:ascii="Times New Roman" w:hAnsi="Times New Roman" w:eastAsia="仿宋" w:cs="Times New Roman"/>
          <w:sz w:val="24"/>
        </w:rPr>
        <w:t>在西部发展组团中划分出5个目标单元，其中：重点区域0个，核心目标单元1个，基础目标单元4个。</w:t>
      </w:r>
    </w:p>
    <w:p>
      <w:pPr>
        <w:pStyle w:val="2"/>
        <w:spacing w:before="156" w:after="93"/>
        <w:ind w:firstLine="0" w:firstLineChars="0"/>
        <w:jc w:val="center"/>
        <w:rPr>
          <w:rFonts w:ascii="仿宋" w:hAnsi="仿宋" w:eastAsia="仿宋"/>
          <w:b/>
          <w:bCs/>
          <w:sz w:val="21"/>
          <w:szCs w:val="21"/>
        </w:rPr>
      </w:pPr>
      <w:r>
        <w:rPr>
          <w:rFonts w:ascii="仿宋" w:hAnsi="仿宋" w:eastAsia="仿宋"/>
          <w:b/>
          <w:bCs/>
          <w:sz w:val="21"/>
          <w:szCs w:val="21"/>
        </w:rPr>
        <w:t>表</w:t>
      </w:r>
      <w:r>
        <w:rPr>
          <w:rFonts w:hint="eastAsia" w:ascii="仿宋" w:hAnsi="仿宋" w:eastAsia="仿宋"/>
          <w:b/>
          <w:bCs/>
          <w:sz w:val="21"/>
          <w:szCs w:val="21"/>
        </w:rPr>
        <w:t>8西部发展组团目标单元汇总表</w:t>
      </w:r>
    </w:p>
    <w:tbl>
      <w:tblPr>
        <w:tblStyle w:val="4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147"/>
        <w:gridCol w:w="2145"/>
        <w:gridCol w:w="2145"/>
        <w:gridCol w:w="2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 w:hRule="atLeast"/>
          <w:jc w:val="center"/>
        </w:trPr>
        <w:tc>
          <w:tcPr>
            <w:tcW w:w="1251" w:type="pct"/>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目标单元类别</w:t>
            </w:r>
          </w:p>
        </w:tc>
        <w:tc>
          <w:tcPr>
            <w:tcW w:w="1250" w:type="pct"/>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目标单元名称</w:t>
            </w:r>
          </w:p>
        </w:tc>
        <w:tc>
          <w:tcPr>
            <w:tcW w:w="1250" w:type="pct"/>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目标单元编号</w:t>
            </w:r>
          </w:p>
        </w:tc>
        <w:tc>
          <w:tcPr>
            <w:tcW w:w="1249" w:type="pct"/>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目标单元数量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8" w:hRule="atLeast"/>
          <w:jc w:val="center"/>
        </w:trPr>
        <w:tc>
          <w:tcPr>
            <w:tcW w:w="1251" w:type="pct"/>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核心目标单元</w:t>
            </w:r>
          </w:p>
        </w:tc>
        <w:tc>
          <w:tcPr>
            <w:tcW w:w="1250" w:type="pct"/>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小榄镇</w:t>
            </w:r>
          </w:p>
        </w:tc>
        <w:tc>
          <w:tcPr>
            <w:tcW w:w="1250" w:type="pct"/>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XBZT-XL</w:t>
            </w:r>
          </w:p>
        </w:tc>
        <w:tc>
          <w:tcPr>
            <w:tcW w:w="1249" w:type="pct"/>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8" w:hRule="atLeast"/>
          <w:jc w:val="center"/>
        </w:trPr>
        <w:tc>
          <w:tcPr>
            <w:tcW w:w="1251" w:type="pct"/>
            <w:vMerge w:val="restart"/>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基础目标单元</w:t>
            </w:r>
          </w:p>
        </w:tc>
        <w:tc>
          <w:tcPr>
            <w:tcW w:w="1250" w:type="pct"/>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古镇镇</w:t>
            </w:r>
          </w:p>
        </w:tc>
        <w:tc>
          <w:tcPr>
            <w:tcW w:w="1250" w:type="pct"/>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XBZT-GZ</w:t>
            </w:r>
          </w:p>
        </w:tc>
        <w:tc>
          <w:tcPr>
            <w:tcW w:w="1249" w:type="pct"/>
            <w:vMerge w:val="restart"/>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8" w:hRule="atLeast"/>
          <w:jc w:val="center"/>
        </w:trPr>
        <w:tc>
          <w:tcPr>
            <w:tcW w:w="1251" w:type="pct"/>
            <w:vMerge w:val="continue"/>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p>
        </w:tc>
        <w:tc>
          <w:tcPr>
            <w:tcW w:w="1250" w:type="pct"/>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横栏镇</w:t>
            </w:r>
          </w:p>
        </w:tc>
        <w:tc>
          <w:tcPr>
            <w:tcW w:w="1250" w:type="pct"/>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XBZT-HL</w:t>
            </w:r>
          </w:p>
        </w:tc>
        <w:tc>
          <w:tcPr>
            <w:tcW w:w="1249" w:type="pct"/>
            <w:vMerge w:val="continue"/>
            <w:shd w:val="clear" w:color="auto" w:fill="auto"/>
            <w:tcMar>
              <w:top w:w="15" w:type="dxa"/>
              <w:left w:w="134" w:type="dxa"/>
              <w:bottom w:w="0" w:type="dxa"/>
              <w:right w:w="134" w:type="dxa"/>
            </w:tcMar>
            <w:vAlign w:val="center"/>
          </w:tcPr>
          <w:p>
            <w:pPr>
              <w:pStyle w:val="303"/>
              <w:rPr>
                <w:rFonts w:hint="default" w:ascii="Times New Roman" w:hAnsi="Times New Roman" w:cs="Times New Roman"/>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8" w:hRule="atLeast"/>
          <w:jc w:val="center"/>
        </w:trPr>
        <w:tc>
          <w:tcPr>
            <w:tcW w:w="1251" w:type="pct"/>
            <w:vMerge w:val="continue"/>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p>
        </w:tc>
        <w:tc>
          <w:tcPr>
            <w:tcW w:w="1250" w:type="pct"/>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大涌镇</w:t>
            </w:r>
          </w:p>
        </w:tc>
        <w:tc>
          <w:tcPr>
            <w:tcW w:w="1250" w:type="pct"/>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XBZT-DC</w:t>
            </w:r>
          </w:p>
        </w:tc>
        <w:tc>
          <w:tcPr>
            <w:tcW w:w="1249" w:type="pct"/>
            <w:vMerge w:val="continue"/>
            <w:shd w:val="clear" w:color="auto" w:fill="auto"/>
            <w:tcMar>
              <w:top w:w="15" w:type="dxa"/>
              <w:left w:w="134" w:type="dxa"/>
              <w:bottom w:w="0" w:type="dxa"/>
              <w:right w:w="134" w:type="dxa"/>
            </w:tcMar>
            <w:vAlign w:val="center"/>
          </w:tcPr>
          <w:p>
            <w:pPr>
              <w:pStyle w:val="303"/>
              <w:rPr>
                <w:rFonts w:hint="default" w:ascii="Times New Roman" w:hAnsi="Times New Roman" w:cs="Times New Roman"/>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8" w:hRule="atLeast"/>
          <w:jc w:val="center"/>
        </w:trPr>
        <w:tc>
          <w:tcPr>
            <w:tcW w:w="1251" w:type="pct"/>
            <w:vMerge w:val="continue"/>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p>
        </w:tc>
        <w:tc>
          <w:tcPr>
            <w:tcW w:w="1250" w:type="pct"/>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沙溪镇</w:t>
            </w:r>
          </w:p>
        </w:tc>
        <w:tc>
          <w:tcPr>
            <w:tcW w:w="1250" w:type="pct"/>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XBZT-SX</w:t>
            </w:r>
          </w:p>
        </w:tc>
        <w:tc>
          <w:tcPr>
            <w:tcW w:w="1249" w:type="pct"/>
            <w:vMerge w:val="continue"/>
            <w:shd w:val="clear" w:color="auto" w:fill="auto"/>
            <w:tcMar>
              <w:top w:w="15" w:type="dxa"/>
              <w:left w:w="134" w:type="dxa"/>
              <w:bottom w:w="0" w:type="dxa"/>
              <w:right w:w="134" w:type="dxa"/>
            </w:tcMar>
            <w:vAlign w:val="center"/>
          </w:tcPr>
          <w:p>
            <w:pPr>
              <w:pStyle w:val="303"/>
              <w:rPr>
                <w:rFonts w:hint="default" w:ascii="Times New Roman" w:hAnsi="Times New Roman" w:cs="Times New Roman"/>
                <w:bCs/>
                <w:kern w:val="0"/>
                <w:sz w:val="21"/>
                <w:szCs w:val="21"/>
              </w:rPr>
            </w:pPr>
          </w:p>
        </w:tc>
      </w:tr>
    </w:tbl>
    <w:p>
      <w:pPr>
        <w:tabs>
          <w:tab w:val="left" w:pos="1680"/>
        </w:tabs>
        <w:adjustRightInd w:val="0"/>
        <w:snapToGrid w:val="0"/>
        <w:spacing w:before="93" w:beforeLines="30" w:after="93" w:afterLines="30" w:line="360" w:lineRule="auto"/>
        <w:ind w:firstLine="480" w:firstLineChars="200"/>
        <w:rPr>
          <w:rFonts w:ascii="Times New Roman" w:hAnsi="Times New Roman" w:eastAsia="仿宋" w:cs="Times New Roman"/>
          <w:sz w:val="24"/>
        </w:rPr>
      </w:pPr>
    </w:p>
    <w:p>
      <w:pPr>
        <w:tabs>
          <w:tab w:val="left" w:pos="1680"/>
        </w:tabs>
        <w:adjustRightInd w:val="0"/>
        <w:snapToGrid w:val="0"/>
        <w:spacing w:before="93" w:beforeLines="30" w:after="93" w:afterLines="30" w:line="360" w:lineRule="auto"/>
        <w:ind w:firstLine="480" w:firstLineChars="200"/>
        <w:rPr>
          <w:rFonts w:ascii="Times New Roman" w:hAnsi="Times New Roman" w:eastAsia="仿宋" w:cs="Times New Roman"/>
          <w:sz w:val="24"/>
        </w:rPr>
      </w:pPr>
      <w:r>
        <w:rPr>
          <w:rFonts w:hint="eastAsia" w:ascii="Times New Roman" w:hAnsi="Times New Roman" w:eastAsia="仿宋" w:cs="Times New Roman"/>
          <w:sz w:val="24"/>
        </w:rPr>
        <w:t>（5）南部发展组团目标单元</w:t>
      </w:r>
    </w:p>
    <w:p>
      <w:pPr>
        <w:tabs>
          <w:tab w:val="left" w:pos="1680"/>
        </w:tabs>
        <w:adjustRightInd w:val="0"/>
        <w:snapToGrid w:val="0"/>
        <w:spacing w:before="93" w:beforeLines="30" w:after="93" w:afterLines="30" w:line="360" w:lineRule="auto"/>
        <w:ind w:firstLine="480" w:firstLineChars="200"/>
        <w:rPr>
          <w:rFonts w:ascii="Times New Roman" w:hAnsi="Times New Roman" w:eastAsia="仿宋" w:cs="Times New Roman"/>
          <w:sz w:val="24"/>
        </w:rPr>
      </w:pPr>
      <w:r>
        <w:rPr>
          <w:rFonts w:hint="eastAsia" w:ascii="Times New Roman" w:hAnsi="Times New Roman" w:eastAsia="仿宋" w:cs="Times New Roman"/>
          <w:sz w:val="24"/>
        </w:rPr>
        <w:t>在南部发展组团中划分出4个目标单元，其中：重点区域0个，核心目标单元2个，基础目标单元2个。</w:t>
      </w:r>
    </w:p>
    <w:p>
      <w:pPr>
        <w:pStyle w:val="2"/>
        <w:spacing w:before="156" w:after="93"/>
        <w:ind w:firstLine="0" w:firstLineChars="0"/>
        <w:jc w:val="center"/>
        <w:rPr>
          <w:rFonts w:ascii="仿宋" w:hAnsi="仿宋" w:eastAsia="仿宋"/>
          <w:b/>
          <w:bCs/>
          <w:sz w:val="21"/>
          <w:szCs w:val="21"/>
        </w:rPr>
      </w:pPr>
    </w:p>
    <w:p>
      <w:pPr>
        <w:pStyle w:val="2"/>
        <w:spacing w:before="156" w:after="93"/>
        <w:ind w:firstLine="0" w:firstLineChars="0"/>
        <w:jc w:val="center"/>
        <w:rPr>
          <w:rFonts w:ascii="仿宋" w:hAnsi="仿宋" w:eastAsia="仿宋"/>
          <w:b/>
          <w:bCs/>
          <w:sz w:val="21"/>
          <w:szCs w:val="21"/>
        </w:rPr>
      </w:pPr>
      <w:r>
        <w:rPr>
          <w:rFonts w:ascii="仿宋" w:hAnsi="仿宋" w:eastAsia="仿宋"/>
          <w:b/>
          <w:bCs/>
          <w:sz w:val="21"/>
          <w:szCs w:val="21"/>
        </w:rPr>
        <w:t>表</w:t>
      </w:r>
      <w:r>
        <w:rPr>
          <w:rFonts w:hint="eastAsia" w:ascii="仿宋" w:hAnsi="仿宋" w:eastAsia="仿宋"/>
          <w:b/>
          <w:bCs/>
          <w:sz w:val="21"/>
          <w:szCs w:val="21"/>
        </w:rPr>
        <w:t>9南部发展组团目标单元汇总表</w:t>
      </w:r>
    </w:p>
    <w:tbl>
      <w:tblPr>
        <w:tblStyle w:val="4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147"/>
        <w:gridCol w:w="2145"/>
        <w:gridCol w:w="2145"/>
        <w:gridCol w:w="2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 w:hRule="atLeast"/>
          <w:jc w:val="center"/>
        </w:trPr>
        <w:tc>
          <w:tcPr>
            <w:tcW w:w="1251" w:type="pct"/>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目标单元类别</w:t>
            </w:r>
          </w:p>
        </w:tc>
        <w:tc>
          <w:tcPr>
            <w:tcW w:w="1250" w:type="pct"/>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目标单元名称</w:t>
            </w:r>
          </w:p>
        </w:tc>
        <w:tc>
          <w:tcPr>
            <w:tcW w:w="1250" w:type="pct"/>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目标单元编号</w:t>
            </w:r>
          </w:p>
        </w:tc>
        <w:tc>
          <w:tcPr>
            <w:tcW w:w="1249" w:type="pct"/>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目标单元数量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8" w:hRule="atLeast"/>
          <w:jc w:val="center"/>
        </w:trPr>
        <w:tc>
          <w:tcPr>
            <w:tcW w:w="1251" w:type="pct"/>
            <w:vMerge w:val="restart"/>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核心目标单元</w:t>
            </w:r>
          </w:p>
        </w:tc>
        <w:tc>
          <w:tcPr>
            <w:tcW w:w="1250" w:type="pct"/>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三乡镇</w:t>
            </w:r>
          </w:p>
        </w:tc>
        <w:tc>
          <w:tcPr>
            <w:tcW w:w="1250" w:type="pct"/>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NBZT-SX</w:t>
            </w:r>
          </w:p>
        </w:tc>
        <w:tc>
          <w:tcPr>
            <w:tcW w:w="1249" w:type="pct"/>
            <w:vMerge w:val="restart"/>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8" w:hRule="atLeast"/>
          <w:jc w:val="center"/>
        </w:trPr>
        <w:tc>
          <w:tcPr>
            <w:tcW w:w="1251" w:type="pct"/>
            <w:vMerge w:val="continue"/>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p>
        </w:tc>
        <w:tc>
          <w:tcPr>
            <w:tcW w:w="1250" w:type="pct"/>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坦洲镇</w:t>
            </w:r>
          </w:p>
        </w:tc>
        <w:tc>
          <w:tcPr>
            <w:tcW w:w="1250" w:type="pct"/>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NBZT-TZ</w:t>
            </w:r>
          </w:p>
        </w:tc>
        <w:tc>
          <w:tcPr>
            <w:tcW w:w="1249" w:type="pct"/>
            <w:vMerge w:val="continue"/>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8" w:hRule="atLeast"/>
          <w:jc w:val="center"/>
        </w:trPr>
        <w:tc>
          <w:tcPr>
            <w:tcW w:w="1251" w:type="pct"/>
            <w:vMerge w:val="restart"/>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基础目标单元</w:t>
            </w:r>
          </w:p>
        </w:tc>
        <w:tc>
          <w:tcPr>
            <w:tcW w:w="1250" w:type="pct"/>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板芙镇</w:t>
            </w:r>
          </w:p>
        </w:tc>
        <w:tc>
          <w:tcPr>
            <w:tcW w:w="1250" w:type="pct"/>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NBZT-BF</w:t>
            </w:r>
          </w:p>
        </w:tc>
        <w:tc>
          <w:tcPr>
            <w:tcW w:w="1249" w:type="pct"/>
            <w:vMerge w:val="restart"/>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8" w:hRule="atLeast"/>
          <w:jc w:val="center"/>
        </w:trPr>
        <w:tc>
          <w:tcPr>
            <w:tcW w:w="1251" w:type="pct"/>
            <w:vMerge w:val="continue"/>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p>
        </w:tc>
        <w:tc>
          <w:tcPr>
            <w:tcW w:w="1250" w:type="pct"/>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神湾镇</w:t>
            </w:r>
          </w:p>
        </w:tc>
        <w:tc>
          <w:tcPr>
            <w:tcW w:w="1250" w:type="pct"/>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NBZT-SW</w:t>
            </w:r>
          </w:p>
        </w:tc>
        <w:tc>
          <w:tcPr>
            <w:tcW w:w="1249" w:type="pct"/>
            <w:vMerge w:val="continue"/>
            <w:shd w:val="clear" w:color="auto" w:fill="auto"/>
            <w:tcMar>
              <w:top w:w="15" w:type="dxa"/>
              <w:left w:w="134" w:type="dxa"/>
              <w:bottom w:w="0" w:type="dxa"/>
              <w:right w:w="134" w:type="dxa"/>
            </w:tcMar>
            <w:vAlign w:val="center"/>
          </w:tcPr>
          <w:p>
            <w:pPr>
              <w:pStyle w:val="303"/>
              <w:rPr>
                <w:rFonts w:hint="default" w:ascii="Times New Roman" w:hAnsi="Times New Roman" w:cs="Times New Roman"/>
                <w:bCs/>
                <w:kern w:val="0"/>
                <w:sz w:val="21"/>
                <w:szCs w:val="21"/>
              </w:rPr>
            </w:pPr>
          </w:p>
        </w:tc>
      </w:tr>
    </w:tbl>
    <w:p>
      <w:pPr>
        <w:tabs>
          <w:tab w:val="left" w:pos="1680"/>
        </w:tabs>
        <w:adjustRightInd w:val="0"/>
        <w:snapToGrid w:val="0"/>
        <w:spacing w:before="93" w:beforeLines="30" w:after="93" w:afterLines="30" w:line="360" w:lineRule="auto"/>
        <w:ind w:firstLine="480" w:firstLineChars="200"/>
        <w:rPr>
          <w:rFonts w:ascii="Times New Roman" w:hAnsi="Times New Roman" w:eastAsia="仿宋" w:cs="Times New Roman"/>
          <w:sz w:val="24"/>
        </w:rPr>
      </w:pPr>
      <w:r>
        <w:rPr>
          <w:rFonts w:hint="eastAsia" w:ascii="Times New Roman" w:hAnsi="Times New Roman" w:eastAsia="仿宋" w:cs="Times New Roman"/>
          <w:sz w:val="24"/>
        </w:rPr>
        <w:t>（6）北部发展组团目标单元</w:t>
      </w:r>
    </w:p>
    <w:p>
      <w:pPr>
        <w:tabs>
          <w:tab w:val="left" w:pos="1680"/>
        </w:tabs>
        <w:adjustRightInd w:val="0"/>
        <w:snapToGrid w:val="0"/>
        <w:spacing w:before="93" w:beforeLines="30" w:after="93" w:afterLines="30" w:line="360" w:lineRule="auto"/>
        <w:ind w:firstLine="480" w:firstLineChars="200"/>
        <w:rPr>
          <w:rFonts w:ascii="Times New Roman" w:hAnsi="Times New Roman" w:eastAsia="仿宋" w:cs="Times New Roman"/>
          <w:sz w:val="24"/>
        </w:rPr>
      </w:pPr>
      <w:r>
        <w:rPr>
          <w:rFonts w:hint="eastAsia" w:ascii="Times New Roman" w:hAnsi="Times New Roman" w:eastAsia="仿宋" w:cs="Times New Roman"/>
          <w:sz w:val="24"/>
        </w:rPr>
        <w:t>在北部发展组团中划分出5个目标单元，其中：重点区域0个，核心目标单元1个，基础目标单元4个。</w:t>
      </w:r>
    </w:p>
    <w:p>
      <w:pPr>
        <w:pStyle w:val="2"/>
        <w:spacing w:before="156" w:after="93"/>
        <w:ind w:firstLine="0" w:firstLineChars="0"/>
        <w:jc w:val="center"/>
        <w:rPr>
          <w:rFonts w:ascii="仿宋" w:hAnsi="仿宋" w:eastAsia="仿宋"/>
          <w:b/>
          <w:bCs/>
          <w:sz w:val="21"/>
          <w:szCs w:val="21"/>
        </w:rPr>
      </w:pPr>
      <w:r>
        <w:rPr>
          <w:rFonts w:ascii="仿宋" w:hAnsi="仿宋" w:eastAsia="仿宋"/>
          <w:b/>
          <w:bCs/>
          <w:sz w:val="21"/>
          <w:szCs w:val="21"/>
        </w:rPr>
        <w:t>表</w:t>
      </w:r>
      <w:r>
        <w:rPr>
          <w:rFonts w:hint="eastAsia" w:ascii="仿宋" w:hAnsi="仿宋" w:eastAsia="仿宋"/>
          <w:b/>
          <w:bCs/>
          <w:sz w:val="21"/>
          <w:szCs w:val="21"/>
        </w:rPr>
        <w:t>10北部发展组团目标单元汇总表</w:t>
      </w:r>
    </w:p>
    <w:tbl>
      <w:tblPr>
        <w:tblStyle w:val="4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147"/>
        <w:gridCol w:w="2145"/>
        <w:gridCol w:w="2145"/>
        <w:gridCol w:w="2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 w:hRule="atLeast"/>
          <w:jc w:val="center"/>
        </w:trPr>
        <w:tc>
          <w:tcPr>
            <w:tcW w:w="1251" w:type="pct"/>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目标单元类别</w:t>
            </w:r>
          </w:p>
        </w:tc>
        <w:tc>
          <w:tcPr>
            <w:tcW w:w="1250" w:type="pct"/>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目标单元名称</w:t>
            </w:r>
          </w:p>
        </w:tc>
        <w:tc>
          <w:tcPr>
            <w:tcW w:w="1250" w:type="pct"/>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目标单元编号</w:t>
            </w:r>
          </w:p>
        </w:tc>
        <w:tc>
          <w:tcPr>
            <w:tcW w:w="1249" w:type="pct"/>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目标单元数量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8" w:hRule="atLeast"/>
          <w:jc w:val="center"/>
        </w:trPr>
        <w:tc>
          <w:tcPr>
            <w:tcW w:w="1251" w:type="pct"/>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核心目标单元</w:t>
            </w:r>
          </w:p>
        </w:tc>
        <w:tc>
          <w:tcPr>
            <w:tcW w:w="1250" w:type="pct"/>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三角镇</w:t>
            </w:r>
          </w:p>
        </w:tc>
        <w:tc>
          <w:tcPr>
            <w:tcW w:w="1250" w:type="pct"/>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BBZT-SJ</w:t>
            </w:r>
          </w:p>
        </w:tc>
        <w:tc>
          <w:tcPr>
            <w:tcW w:w="1249" w:type="pct"/>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 w:hRule="atLeast"/>
          <w:jc w:val="center"/>
        </w:trPr>
        <w:tc>
          <w:tcPr>
            <w:tcW w:w="1251" w:type="pct"/>
            <w:vMerge w:val="restart"/>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基础目标单元</w:t>
            </w:r>
          </w:p>
        </w:tc>
        <w:tc>
          <w:tcPr>
            <w:tcW w:w="1250" w:type="pct"/>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东凤镇</w:t>
            </w:r>
          </w:p>
        </w:tc>
        <w:tc>
          <w:tcPr>
            <w:tcW w:w="1250" w:type="pct"/>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BBZT-DF</w:t>
            </w:r>
          </w:p>
        </w:tc>
        <w:tc>
          <w:tcPr>
            <w:tcW w:w="1249" w:type="pct"/>
            <w:vMerge w:val="restart"/>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 w:hRule="atLeast"/>
          <w:jc w:val="center"/>
        </w:trPr>
        <w:tc>
          <w:tcPr>
            <w:tcW w:w="1251" w:type="pct"/>
            <w:vMerge w:val="continue"/>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p>
        </w:tc>
        <w:tc>
          <w:tcPr>
            <w:tcW w:w="1250" w:type="pct"/>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南头镇</w:t>
            </w:r>
          </w:p>
        </w:tc>
        <w:tc>
          <w:tcPr>
            <w:tcW w:w="1250" w:type="pct"/>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BBZT-NT</w:t>
            </w:r>
          </w:p>
        </w:tc>
        <w:tc>
          <w:tcPr>
            <w:tcW w:w="1249" w:type="pct"/>
            <w:vMerge w:val="continue"/>
            <w:shd w:val="clear" w:color="auto" w:fill="auto"/>
            <w:tcMar>
              <w:top w:w="15" w:type="dxa"/>
              <w:left w:w="134" w:type="dxa"/>
              <w:bottom w:w="0" w:type="dxa"/>
              <w:right w:w="134" w:type="dxa"/>
            </w:tcMar>
            <w:vAlign w:val="center"/>
          </w:tcPr>
          <w:p>
            <w:pPr>
              <w:pStyle w:val="303"/>
              <w:rPr>
                <w:rFonts w:hint="default" w:ascii="Times New Roman" w:hAnsi="Times New Roman" w:cs="Times New Roman"/>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 w:hRule="atLeast"/>
          <w:jc w:val="center"/>
        </w:trPr>
        <w:tc>
          <w:tcPr>
            <w:tcW w:w="1251" w:type="pct"/>
            <w:vMerge w:val="continue"/>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p>
        </w:tc>
        <w:tc>
          <w:tcPr>
            <w:tcW w:w="1250" w:type="pct"/>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黄圃镇</w:t>
            </w:r>
          </w:p>
        </w:tc>
        <w:tc>
          <w:tcPr>
            <w:tcW w:w="1250" w:type="pct"/>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BBZT-HP</w:t>
            </w:r>
          </w:p>
        </w:tc>
        <w:tc>
          <w:tcPr>
            <w:tcW w:w="1249" w:type="pct"/>
            <w:vMerge w:val="continue"/>
            <w:shd w:val="clear" w:color="auto" w:fill="auto"/>
            <w:tcMar>
              <w:top w:w="15" w:type="dxa"/>
              <w:left w:w="134" w:type="dxa"/>
              <w:bottom w:w="0" w:type="dxa"/>
              <w:right w:w="134" w:type="dxa"/>
            </w:tcMar>
            <w:vAlign w:val="center"/>
          </w:tcPr>
          <w:p>
            <w:pPr>
              <w:pStyle w:val="303"/>
              <w:rPr>
                <w:rFonts w:hint="default" w:ascii="Times New Roman" w:hAnsi="Times New Roman" w:cs="Times New Roman"/>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 w:hRule="atLeast"/>
          <w:jc w:val="center"/>
        </w:trPr>
        <w:tc>
          <w:tcPr>
            <w:tcW w:w="1251" w:type="pct"/>
            <w:vMerge w:val="continue"/>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p>
        </w:tc>
        <w:tc>
          <w:tcPr>
            <w:tcW w:w="1250" w:type="pct"/>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阜沙镇</w:t>
            </w:r>
          </w:p>
        </w:tc>
        <w:tc>
          <w:tcPr>
            <w:tcW w:w="1250" w:type="pct"/>
            <w:shd w:val="clear" w:color="auto" w:fill="auto"/>
            <w:tcMar>
              <w:top w:w="15" w:type="dxa"/>
              <w:left w:w="134" w:type="dxa"/>
              <w:bottom w:w="0" w:type="dxa"/>
              <w:right w:w="134"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BBZT-FS</w:t>
            </w:r>
          </w:p>
        </w:tc>
        <w:tc>
          <w:tcPr>
            <w:tcW w:w="1249" w:type="pct"/>
            <w:vMerge w:val="continue"/>
            <w:shd w:val="clear" w:color="auto" w:fill="auto"/>
            <w:tcMar>
              <w:top w:w="15" w:type="dxa"/>
              <w:left w:w="134" w:type="dxa"/>
              <w:bottom w:w="0" w:type="dxa"/>
              <w:right w:w="134" w:type="dxa"/>
            </w:tcMar>
            <w:vAlign w:val="center"/>
          </w:tcPr>
          <w:p>
            <w:pPr>
              <w:pStyle w:val="303"/>
              <w:rPr>
                <w:rFonts w:hint="default" w:ascii="Times New Roman" w:hAnsi="Times New Roman" w:cs="Times New Roman"/>
                <w:bCs/>
                <w:kern w:val="0"/>
                <w:sz w:val="21"/>
                <w:szCs w:val="21"/>
              </w:rPr>
            </w:pPr>
          </w:p>
        </w:tc>
      </w:tr>
    </w:tbl>
    <w:p>
      <w:pPr>
        <w:tabs>
          <w:tab w:val="left" w:pos="1680"/>
        </w:tabs>
        <w:adjustRightInd w:val="0"/>
        <w:snapToGrid w:val="0"/>
        <w:spacing w:before="93" w:beforeLines="30" w:after="93" w:afterLines="30" w:line="360" w:lineRule="auto"/>
        <w:ind w:firstLine="480" w:firstLineChars="200"/>
        <w:rPr>
          <w:rFonts w:ascii="Times New Roman" w:hAnsi="Times New Roman" w:eastAsia="仿宋" w:cs="Times New Roman"/>
          <w:sz w:val="24"/>
        </w:rPr>
      </w:pPr>
      <w:r>
        <w:rPr>
          <w:rFonts w:hint="eastAsia" w:ascii="Times New Roman" w:hAnsi="Times New Roman" w:eastAsia="仿宋" w:cs="Times New Roman"/>
          <w:sz w:val="24"/>
        </w:rPr>
        <w:t>根据目标管理单元划分，中山市绿色建筑发展实行重点区域、核心单元和基础单元三级管理，并根据指标控制的方式设置约束性指标和预期性指标。</w:t>
      </w:r>
    </w:p>
    <w:p>
      <w:pPr>
        <w:tabs>
          <w:tab w:val="left" w:pos="1680"/>
        </w:tabs>
        <w:adjustRightInd w:val="0"/>
        <w:snapToGrid w:val="0"/>
        <w:spacing w:before="93" w:beforeLines="30" w:after="93" w:afterLines="30" w:line="360" w:lineRule="auto"/>
        <w:ind w:firstLine="480" w:firstLineChars="200"/>
        <w:rPr>
          <w:rFonts w:ascii="Times New Roman" w:hAnsi="Times New Roman" w:eastAsia="仿宋" w:cs="Times New Roman"/>
          <w:sz w:val="24"/>
        </w:rPr>
      </w:pPr>
      <w:r>
        <w:rPr>
          <w:rFonts w:hint="eastAsia" w:ascii="Times New Roman" w:hAnsi="Times New Roman" w:eastAsia="仿宋" w:cs="Times New Roman"/>
          <w:sz w:val="24"/>
        </w:rPr>
        <w:t>其中，约束性指标包括绿色建筑星级、能效水平提升比例，具体控制内容见表</w:t>
      </w:r>
      <w:r>
        <w:rPr>
          <w:rFonts w:ascii="Times New Roman" w:hAnsi="Times New Roman" w:eastAsia="仿宋" w:cs="Times New Roman"/>
          <w:sz w:val="24"/>
        </w:rPr>
        <w:t>11</w:t>
      </w:r>
      <w:r>
        <w:rPr>
          <w:rFonts w:hint="eastAsia" w:ascii="Times New Roman" w:hAnsi="Times New Roman" w:eastAsia="仿宋" w:cs="Times New Roman"/>
          <w:sz w:val="24"/>
        </w:rPr>
        <w:t>。</w:t>
      </w:r>
    </w:p>
    <w:p>
      <w:pPr>
        <w:tabs>
          <w:tab w:val="left" w:pos="1680"/>
        </w:tabs>
        <w:adjustRightInd w:val="0"/>
        <w:snapToGrid w:val="0"/>
        <w:spacing w:before="93" w:beforeLines="30" w:after="93" w:afterLines="30" w:line="360" w:lineRule="auto"/>
        <w:ind w:firstLine="480" w:firstLineChars="200"/>
        <w:rPr>
          <w:rFonts w:ascii="Times New Roman" w:hAnsi="Times New Roman" w:eastAsia="仿宋" w:cs="Times New Roman"/>
          <w:sz w:val="24"/>
        </w:rPr>
      </w:pPr>
      <w:r>
        <w:rPr>
          <w:rFonts w:hint="eastAsia" w:ascii="Times New Roman" w:hAnsi="Times New Roman" w:eastAsia="仿宋" w:cs="Times New Roman"/>
          <w:sz w:val="24"/>
        </w:rPr>
        <w:t>预期性指标包括绿色化改造、体育设施室外用地面积、场地声环境、充电设施安装（预留）比例等，具体内容见表</w:t>
      </w:r>
      <w:r>
        <w:rPr>
          <w:rFonts w:ascii="Times New Roman" w:hAnsi="Times New Roman" w:eastAsia="仿宋" w:cs="Times New Roman"/>
          <w:sz w:val="24"/>
        </w:rPr>
        <w:t>12</w:t>
      </w:r>
      <w:r>
        <w:rPr>
          <w:rFonts w:hint="eastAsia" w:ascii="Times New Roman" w:hAnsi="Times New Roman" w:eastAsia="仿宋" w:cs="Times New Roman"/>
          <w:sz w:val="24"/>
        </w:rPr>
        <w:t>。</w:t>
      </w:r>
    </w:p>
    <w:p>
      <w:pPr>
        <w:widowControl/>
        <w:jc w:val="left"/>
        <w:rPr>
          <w:rFonts w:cs="Calibri"/>
          <w:sz w:val="22"/>
        </w:rPr>
      </w:pPr>
      <w:r>
        <w:br w:type="page"/>
      </w:r>
    </w:p>
    <w:p>
      <w:pPr>
        <w:pStyle w:val="16"/>
        <w:spacing w:before="156" w:after="93"/>
        <w:ind w:firstLine="0" w:firstLineChars="0"/>
        <w:sectPr>
          <w:pgSz w:w="11906" w:h="16838"/>
          <w:pgMar w:top="1440" w:right="1797" w:bottom="1440" w:left="1797" w:header="851" w:footer="992" w:gutter="0"/>
          <w:cols w:space="425" w:num="1"/>
          <w:docGrid w:type="linesAndChars" w:linePitch="312" w:charSpace="0"/>
        </w:sectPr>
      </w:pPr>
    </w:p>
    <w:p>
      <w:pPr>
        <w:pStyle w:val="2"/>
        <w:spacing w:before="156" w:after="93"/>
        <w:ind w:firstLine="0" w:firstLineChars="0"/>
        <w:jc w:val="center"/>
        <w:rPr>
          <w:rFonts w:ascii="仿宋" w:hAnsi="仿宋" w:eastAsia="仿宋"/>
          <w:b/>
          <w:bCs/>
          <w:sz w:val="21"/>
          <w:szCs w:val="21"/>
        </w:rPr>
      </w:pPr>
      <w:r>
        <w:rPr>
          <w:rFonts w:hint="eastAsia" w:ascii="仿宋" w:hAnsi="仿宋" w:eastAsia="仿宋"/>
          <w:b/>
          <w:bCs/>
          <w:sz w:val="21"/>
          <w:szCs w:val="21"/>
        </w:rPr>
        <w:t>表</w:t>
      </w:r>
      <w:r>
        <w:rPr>
          <w:rFonts w:ascii="仿宋" w:hAnsi="仿宋" w:eastAsia="仿宋"/>
          <w:b/>
          <w:bCs/>
          <w:sz w:val="21"/>
          <w:szCs w:val="21"/>
        </w:rPr>
        <w:t xml:space="preserve">11 </w:t>
      </w:r>
      <w:r>
        <w:rPr>
          <w:rFonts w:hint="eastAsia" w:ascii="仿宋" w:hAnsi="仿宋" w:eastAsia="仿宋"/>
          <w:b/>
          <w:bCs/>
          <w:sz w:val="21"/>
          <w:szCs w:val="21"/>
        </w:rPr>
        <w:t>目标单元约束性指标控制表</w:t>
      </w:r>
    </w:p>
    <w:tbl>
      <w:tblPr>
        <w:tblStyle w:val="43"/>
        <w:tblW w:w="503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28"/>
        <w:gridCol w:w="1567"/>
        <w:gridCol w:w="1561"/>
        <w:gridCol w:w="1571"/>
        <w:gridCol w:w="1011"/>
        <w:gridCol w:w="2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exact"/>
        </w:trPr>
        <w:tc>
          <w:tcPr>
            <w:tcW w:w="5000" w:type="pct"/>
            <w:gridSpan w:val="6"/>
            <w:tcBorders>
              <w:top w:val="single" w:color="auto" w:sz="4" w:space="0"/>
              <w:left w:val="single" w:color="auto" w:sz="4" w:space="0"/>
              <w:bottom w:val="single" w:color="auto" w:sz="4" w:space="0"/>
              <w:right w:val="single" w:color="auto" w:sz="4" w:space="0"/>
            </w:tcBorders>
            <w:vAlign w:val="center"/>
          </w:tcPr>
          <w:p>
            <w:pPr>
              <w:pStyle w:val="303"/>
              <w:spacing w:before="120" w:after="72"/>
              <w:ind w:firstLine="442"/>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约束性指标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exact"/>
        </w:trPr>
        <w:tc>
          <w:tcPr>
            <w:tcW w:w="375" w:type="pct"/>
            <w:vMerge w:val="restart"/>
            <w:vAlign w:val="center"/>
          </w:tcPr>
          <w:p>
            <w:pPr>
              <w:pStyle w:val="302"/>
              <w:spacing w:after="0" w:line="240" w:lineRule="auto"/>
              <w:ind w:left="0" w:leftChars="0"/>
              <w:jc w:val="center"/>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重点区域</w:t>
            </w:r>
          </w:p>
        </w:tc>
        <w:tc>
          <w:tcPr>
            <w:tcW w:w="4624" w:type="pct"/>
            <w:gridSpan w:val="5"/>
            <w:shd w:val="clear" w:color="auto" w:fill="auto"/>
            <w:tcMar>
              <w:top w:w="15" w:type="dxa"/>
              <w:left w:w="15" w:type="dxa"/>
              <w:right w:w="15" w:type="dxa"/>
            </w:tcMar>
            <w:vAlign w:val="center"/>
          </w:tcPr>
          <w:p>
            <w:pPr>
              <w:pStyle w:val="302"/>
              <w:spacing w:after="0" w:line="240" w:lineRule="auto"/>
              <w:ind w:left="0" w:leftChars="0"/>
              <w:jc w:val="center"/>
              <w:rPr>
                <w:rFonts w:hint="default" w:ascii="Times New Roman" w:hAnsi="Times New Roman" w:eastAsia="仿宋" w:cs="Times New Roman"/>
                <w:b/>
                <w:sz w:val="21"/>
                <w:szCs w:val="21"/>
              </w:rPr>
            </w:pPr>
            <w:r>
              <w:rPr>
                <w:rFonts w:hint="default" w:ascii="Times New Roman" w:hAnsi="Times New Roman" w:cs="Times New Roman"/>
                <w:kern w:val="0"/>
                <w:sz w:val="21"/>
                <w:szCs w:val="21"/>
              </w:rPr>
              <w:t>新建民用建筑绿色建筑等级不低于</w:t>
            </w:r>
            <w:r>
              <w:rPr>
                <w:rFonts w:hint="default" w:ascii="Times New Roman" w:hAnsi="Times New Roman" w:cs="Times New Roman"/>
                <w:b/>
                <w:bCs/>
                <w:kern w:val="0"/>
                <w:sz w:val="21"/>
                <w:szCs w:val="21"/>
              </w:rPr>
              <w:t>二星级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exact"/>
        </w:trPr>
        <w:tc>
          <w:tcPr>
            <w:tcW w:w="375" w:type="pct"/>
            <w:vMerge w:val="continue"/>
            <w:vAlign w:val="center"/>
          </w:tcPr>
          <w:p>
            <w:pPr>
              <w:pStyle w:val="303"/>
              <w:rPr>
                <w:rFonts w:hint="default" w:ascii="Times New Roman" w:hAnsi="Times New Roman" w:cs="Times New Roman"/>
                <w:bCs/>
                <w:kern w:val="0"/>
                <w:sz w:val="21"/>
                <w:szCs w:val="21"/>
              </w:rPr>
            </w:pPr>
          </w:p>
        </w:tc>
        <w:tc>
          <w:tcPr>
            <w:tcW w:w="4624" w:type="pct"/>
            <w:gridSpan w:val="5"/>
            <w:shd w:val="clear" w:color="auto" w:fill="auto"/>
            <w:tcMar>
              <w:top w:w="15" w:type="dxa"/>
              <w:left w:w="15" w:type="dxa"/>
              <w:right w:w="15" w:type="dxa"/>
            </w:tcMar>
            <w:vAlign w:val="center"/>
          </w:tcPr>
          <w:p>
            <w:pPr>
              <w:pStyle w:val="303"/>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新建建筑类型对应要求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exact"/>
        </w:trPr>
        <w:tc>
          <w:tcPr>
            <w:tcW w:w="375" w:type="pct"/>
            <w:vMerge w:val="continue"/>
            <w:vAlign w:val="center"/>
          </w:tcPr>
          <w:p>
            <w:pPr>
              <w:pStyle w:val="303"/>
              <w:rPr>
                <w:rFonts w:hint="default" w:ascii="Times New Roman" w:hAnsi="Times New Roman" w:cs="Times New Roman"/>
                <w:bCs/>
                <w:kern w:val="0"/>
                <w:sz w:val="21"/>
                <w:szCs w:val="21"/>
              </w:rPr>
            </w:pPr>
          </w:p>
        </w:tc>
        <w:tc>
          <w:tcPr>
            <w:tcW w:w="935" w:type="pct"/>
            <w:shd w:val="clear" w:color="auto" w:fill="auto"/>
            <w:tcMar>
              <w:top w:w="15" w:type="dxa"/>
              <w:left w:w="15" w:type="dxa"/>
              <w:right w:w="15" w:type="dxa"/>
            </w:tcMar>
            <w:vAlign w:val="center"/>
          </w:tcPr>
          <w:p>
            <w:pPr>
              <w:pStyle w:val="303"/>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建筑类型</w:t>
            </w:r>
          </w:p>
        </w:tc>
        <w:tc>
          <w:tcPr>
            <w:tcW w:w="931" w:type="pc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建筑高度</w:t>
            </w:r>
          </w:p>
        </w:tc>
        <w:tc>
          <w:tcPr>
            <w:tcW w:w="937" w:type="pc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建筑面积</w:t>
            </w:r>
          </w:p>
        </w:tc>
        <w:tc>
          <w:tcPr>
            <w:tcW w:w="603"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192" w:lineRule="auto"/>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绿色建筑等级要求</w:t>
            </w:r>
          </w:p>
        </w:tc>
        <w:tc>
          <w:tcPr>
            <w:tcW w:w="1217" w:type="pc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能效水平提升比例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exact"/>
        </w:trPr>
        <w:tc>
          <w:tcPr>
            <w:tcW w:w="375" w:type="pct"/>
            <w:vMerge w:val="continue"/>
            <w:vAlign w:val="center"/>
          </w:tcPr>
          <w:p>
            <w:pPr>
              <w:pStyle w:val="303"/>
              <w:rPr>
                <w:rFonts w:hint="default" w:ascii="Times New Roman" w:hAnsi="Times New Roman" w:cs="Times New Roman"/>
                <w:bCs/>
                <w:kern w:val="0"/>
                <w:sz w:val="21"/>
                <w:szCs w:val="21"/>
              </w:rPr>
            </w:pPr>
          </w:p>
        </w:tc>
        <w:tc>
          <w:tcPr>
            <w:tcW w:w="935" w:type="pct"/>
            <w:vMerge w:val="restart"/>
            <w:shd w:val="clear" w:color="auto" w:fill="auto"/>
            <w:tcMar>
              <w:top w:w="15" w:type="dxa"/>
              <w:left w:w="15" w:type="dxa"/>
              <w:right w:w="15" w:type="dxa"/>
            </w:tcMar>
            <w:vAlign w:val="center"/>
          </w:tcPr>
          <w:p>
            <w:pPr>
              <w:pStyle w:val="303"/>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居住建筑</w:t>
            </w:r>
          </w:p>
          <w:p>
            <w:pPr>
              <w:pStyle w:val="303"/>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（包括工业用地范围内用于居住功能的建筑）</w:t>
            </w:r>
          </w:p>
        </w:tc>
        <w:tc>
          <w:tcPr>
            <w:tcW w:w="931" w:type="pc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bCs/>
                <w:sz w:val="21"/>
                <w:szCs w:val="21"/>
              </w:rPr>
              <w:t>超高层建筑</w:t>
            </w:r>
          </w:p>
        </w:tc>
        <w:tc>
          <w:tcPr>
            <w:tcW w:w="937" w:type="pc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bCs/>
                <w:sz w:val="21"/>
                <w:szCs w:val="21"/>
              </w:rPr>
              <w:t>——</w:t>
            </w:r>
          </w:p>
        </w:tc>
        <w:tc>
          <w:tcPr>
            <w:tcW w:w="603" w:type="pc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三星级</w:t>
            </w:r>
          </w:p>
        </w:tc>
        <w:tc>
          <w:tcPr>
            <w:tcW w:w="1217" w:type="pct"/>
            <w:vMerge w:val="restar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城镇新建居住建筑能效水平提升比例≥30%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exact"/>
        </w:trPr>
        <w:tc>
          <w:tcPr>
            <w:tcW w:w="375" w:type="pct"/>
            <w:vMerge w:val="continue"/>
            <w:vAlign w:val="center"/>
          </w:tcPr>
          <w:p>
            <w:pPr>
              <w:pStyle w:val="303"/>
              <w:rPr>
                <w:rFonts w:hint="default" w:ascii="Times New Roman" w:hAnsi="Times New Roman" w:cs="Times New Roman"/>
                <w:bCs/>
                <w:kern w:val="0"/>
                <w:sz w:val="21"/>
                <w:szCs w:val="21"/>
              </w:rPr>
            </w:pPr>
          </w:p>
        </w:tc>
        <w:tc>
          <w:tcPr>
            <w:tcW w:w="935" w:type="pct"/>
            <w:vMerge w:val="continue"/>
            <w:shd w:val="clear" w:color="auto" w:fill="auto"/>
            <w:tcMar>
              <w:top w:w="15" w:type="dxa"/>
              <w:left w:w="15" w:type="dxa"/>
              <w:right w:w="15" w:type="dxa"/>
            </w:tcMar>
            <w:vAlign w:val="center"/>
          </w:tcPr>
          <w:p>
            <w:pPr>
              <w:pStyle w:val="303"/>
              <w:rPr>
                <w:rFonts w:hint="default" w:ascii="Times New Roman" w:hAnsi="Times New Roman" w:cs="Times New Roman"/>
                <w:bCs/>
                <w:kern w:val="0"/>
                <w:sz w:val="21"/>
                <w:szCs w:val="21"/>
              </w:rPr>
            </w:pPr>
          </w:p>
        </w:tc>
        <w:tc>
          <w:tcPr>
            <w:tcW w:w="931" w:type="pct"/>
            <w:vMerge w:val="restar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bCs/>
                <w:sz w:val="21"/>
                <w:szCs w:val="21"/>
              </w:rPr>
              <w:t>非超高层建筑</w:t>
            </w:r>
          </w:p>
        </w:tc>
        <w:tc>
          <w:tcPr>
            <w:tcW w:w="937"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192" w:lineRule="auto"/>
              <w:jc w:val="center"/>
              <w:textAlignment w:val="center"/>
              <w:rPr>
                <w:rFonts w:hint="default" w:ascii="Times New Roman" w:hAnsi="Times New Roman" w:eastAsia="仿宋" w:cs="Times New Roman"/>
                <w:bCs/>
                <w:sz w:val="21"/>
                <w:szCs w:val="21"/>
              </w:rPr>
            </w:pPr>
            <w:r>
              <w:rPr>
                <w:rFonts w:hint="default" w:ascii="Times New Roman" w:hAnsi="Times New Roman" w:eastAsia="仿宋" w:cs="Times New Roman"/>
                <w:bCs/>
                <w:sz w:val="21"/>
                <w:szCs w:val="21"/>
              </w:rPr>
              <w:t>计容建筑面积</w:t>
            </w:r>
          </w:p>
          <w:p>
            <w:pPr>
              <w:keepNext w:val="0"/>
              <w:keepLines w:val="0"/>
              <w:pageBreakBefore w:val="0"/>
              <w:widowControl/>
              <w:kinsoku/>
              <w:wordWrap/>
              <w:overflowPunct/>
              <w:topLinePunct w:val="0"/>
              <w:autoSpaceDE/>
              <w:autoSpaceDN/>
              <w:bidi w:val="0"/>
              <w:adjustRightInd/>
              <w:snapToGrid w:val="0"/>
              <w:spacing w:line="192" w:lineRule="auto"/>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bCs/>
                <w:sz w:val="21"/>
                <w:szCs w:val="21"/>
              </w:rPr>
              <w:t>＞10万平方米</w:t>
            </w:r>
          </w:p>
        </w:tc>
        <w:tc>
          <w:tcPr>
            <w:tcW w:w="603" w:type="pc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三星级</w:t>
            </w:r>
          </w:p>
        </w:tc>
        <w:tc>
          <w:tcPr>
            <w:tcW w:w="1217" w:type="pct"/>
            <w:vMerge w:val="continue"/>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exact"/>
        </w:trPr>
        <w:tc>
          <w:tcPr>
            <w:tcW w:w="375" w:type="pct"/>
            <w:vMerge w:val="continue"/>
            <w:vAlign w:val="center"/>
          </w:tcPr>
          <w:p>
            <w:pPr>
              <w:pStyle w:val="303"/>
              <w:rPr>
                <w:rFonts w:hint="default" w:ascii="Times New Roman" w:hAnsi="Times New Roman" w:cs="Times New Roman"/>
                <w:bCs/>
                <w:kern w:val="0"/>
                <w:sz w:val="21"/>
                <w:szCs w:val="21"/>
              </w:rPr>
            </w:pPr>
          </w:p>
        </w:tc>
        <w:tc>
          <w:tcPr>
            <w:tcW w:w="935" w:type="pct"/>
            <w:vMerge w:val="continue"/>
            <w:shd w:val="clear" w:color="auto" w:fill="auto"/>
            <w:tcMar>
              <w:top w:w="15" w:type="dxa"/>
              <w:left w:w="15" w:type="dxa"/>
              <w:right w:w="15" w:type="dxa"/>
            </w:tcMar>
            <w:vAlign w:val="center"/>
          </w:tcPr>
          <w:p>
            <w:pPr>
              <w:pStyle w:val="303"/>
              <w:rPr>
                <w:rFonts w:hint="default" w:ascii="Times New Roman" w:hAnsi="Times New Roman" w:cs="Times New Roman"/>
                <w:bCs/>
                <w:kern w:val="0"/>
                <w:sz w:val="21"/>
                <w:szCs w:val="21"/>
              </w:rPr>
            </w:pPr>
          </w:p>
        </w:tc>
        <w:tc>
          <w:tcPr>
            <w:tcW w:w="931" w:type="pct"/>
            <w:vMerge w:val="continue"/>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p>
        </w:tc>
        <w:tc>
          <w:tcPr>
            <w:tcW w:w="937"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192" w:lineRule="auto"/>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bCs/>
                <w:sz w:val="21"/>
                <w:szCs w:val="21"/>
              </w:rPr>
              <w:t>计容建筑面积≤10万平方米</w:t>
            </w:r>
          </w:p>
        </w:tc>
        <w:tc>
          <w:tcPr>
            <w:tcW w:w="603" w:type="pc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二星级</w:t>
            </w:r>
          </w:p>
        </w:tc>
        <w:tc>
          <w:tcPr>
            <w:tcW w:w="1217" w:type="pct"/>
            <w:vMerge w:val="continue"/>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exact"/>
        </w:trPr>
        <w:tc>
          <w:tcPr>
            <w:tcW w:w="375" w:type="pct"/>
            <w:vMerge w:val="continue"/>
            <w:vAlign w:val="center"/>
          </w:tcPr>
          <w:p>
            <w:pPr>
              <w:pStyle w:val="303"/>
              <w:rPr>
                <w:rFonts w:hint="default" w:ascii="Times New Roman" w:hAnsi="Times New Roman" w:cs="Times New Roman"/>
                <w:bCs/>
                <w:kern w:val="0"/>
                <w:sz w:val="21"/>
                <w:szCs w:val="21"/>
              </w:rPr>
            </w:pPr>
          </w:p>
        </w:tc>
        <w:tc>
          <w:tcPr>
            <w:tcW w:w="935" w:type="pct"/>
            <w:vMerge w:val="restart"/>
            <w:shd w:val="clear" w:color="auto" w:fill="auto"/>
            <w:tcMar>
              <w:top w:w="15" w:type="dxa"/>
              <w:left w:w="15" w:type="dxa"/>
              <w:right w:w="15" w:type="dxa"/>
            </w:tcMar>
            <w:vAlign w:val="center"/>
          </w:tcPr>
          <w:p>
            <w:pPr>
              <w:pStyle w:val="303"/>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公共建筑</w:t>
            </w:r>
          </w:p>
          <w:p>
            <w:pPr>
              <w:pStyle w:val="303"/>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（包括工业用地范围内用于办公功能的建筑）</w:t>
            </w:r>
          </w:p>
        </w:tc>
        <w:tc>
          <w:tcPr>
            <w:tcW w:w="931" w:type="pc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bCs/>
                <w:sz w:val="21"/>
                <w:szCs w:val="21"/>
              </w:rPr>
              <w:t>超高层建筑</w:t>
            </w:r>
          </w:p>
        </w:tc>
        <w:tc>
          <w:tcPr>
            <w:tcW w:w="937"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192" w:lineRule="auto"/>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bCs/>
                <w:sz w:val="21"/>
                <w:szCs w:val="21"/>
              </w:rPr>
              <w:t>——</w:t>
            </w:r>
          </w:p>
        </w:tc>
        <w:tc>
          <w:tcPr>
            <w:tcW w:w="603" w:type="pc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bCs/>
                <w:sz w:val="21"/>
                <w:szCs w:val="21"/>
              </w:rPr>
              <w:t>三星级</w:t>
            </w:r>
          </w:p>
        </w:tc>
        <w:tc>
          <w:tcPr>
            <w:tcW w:w="1217" w:type="pct"/>
            <w:vMerge w:val="restar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城镇新建公共建筑能效水平提升比例≥20%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exact"/>
        </w:trPr>
        <w:tc>
          <w:tcPr>
            <w:tcW w:w="375" w:type="pct"/>
            <w:vMerge w:val="continue"/>
            <w:vAlign w:val="center"/>
          </w:tcPr>
          <w:p>
            <w:pPr>
              <w:pStyle w:val="303"/>
              <w:spacing w:before="156" w:after="93"/>
              <w:rPr>
                <w:rFonts w:hint="default" w:ascii="Times New Roman" w:hAnsi="Times New Roman" w:eastAsia="仿宋" w:cs="Times New Roman"/>
                <w:bCs/>
                <w:sz w:val="21"/>
                <w:szCs w:val="21"/>
              </w:rPr>
            </w:pPr>
          </w:p>
        </w:tc>
        <w:tc>
          <w:tcPr>
            <w:tcW w:w="935" w:type="pct"/>
            <w:vMerge w:val="continue"/>
            <w:shd w:val="clear" w:color="auto" w:fill="auto"/>
            <w:tcMar>
              <w:top w:w="15" w:type="dxa"/>
              <w:left w:w="15" w:type="dxa"/>
              <w:right w:w="15" w:type="dxa"/>
            </w:tcMar>
            <w:vAlign w:val="center"/>
          </w:tcPr>
          <w:p>
            <w:pPr>
              <w:pStyle w:val="303"/>
              <w:spacing w:before="156" w:after="93"/>
              <w:rPr>
                <w:rFonts w:hint="default" w:ascii="Times New Roman" w:hAnsi="Times New Roman" w:eastAsia="仿宋" w:cs="Times New Roman"/>
                <w:bCs/>
                <w:sz w:val="21"/>
                <w:szCs w:val="21"/>
              </w:rPr>
            </w:pPr>
          </w:p>
        </w:tc>
        <w:tc>
          <w:tcPr>
            <w:tcW w:w="931" w:type="pct"/>
            <w:vMerge w:val="restar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bCs/>
                <w:sz w:val="21"/>
                <w:szCs w:val="21"/>
              </w:rPr>
              <w:t>非超高层建筑</w:t>
            </w:r>
          </w:p>
        </w:tc>
        <w:tc>
          <w:tcPr>
            <w:tcW w:w="937"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192" w:lineRule="auto"/>
              <w:jc w:val="center"/>
              <w:textAlignment w:val="center"/>
              <w:rPr>
                <w:rFonts w:hint="default" w:ascii="Times New Roman" w:hAnsi="Times New Roman" w:eastAsia="仿宋" w:cs="Times New Roman"/>
                <w:kern w:val="0"/>
                <w:sz w:val="21"/>
                <w:szCs w:val="21"/>
              </w:rPr>
            </w:pPr>
            <w:r>
              <w:rPr>
                <w:rFonts w:hint="eastAsia" w:ascii="Times New Roman" w:hAnsi="Times New Roman" w:eastAsia="仿宋" w:cs="Times New Roman"/>
                <w:bCs/>
                <w:sz w:val="21"/>
                <w:szCs w:val="21"/>
                <w:lang w:val="en-US" w:eastAsia="zh-CN"/>
              </w:rPr>
              <w:t>地上</w:t>
            </w:r>
            <w:r>
              <w:rPr>
                <w:rFonts w:hint="default" w:ascii="Times New Roman" w:hAnsi="Times New Roman" w:eastAsia="仿宋" w:cs="Times New Roman"/>
                <w:bCs/>
                <w:sz w:val="21"/>
                <w:szCs w:val="21"/>
              </w:rPr>
              <w:t>单体建筑面积＞2万平方米</w:t>
            </w:r>
          </w:p>
        </w:tc>
        <w:tc>
          <w:tcPr>
            <w:tcW w:w="603" w:type="pc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bCs/>
                <w:sz w:val="21"/>
                <w:szCs w:val="21"/>
              </w:rPr>
              <w:t>三星级</w:t>
            </w:r>
          </w:p>
        </w:tc>
        <w:tc>
          <w:tcPr>
            <w:tcW w:w="1217" w:type="pct"/>
            <w:vMerge w:val="continue"/>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exact"/>
        </w:trPr>
        <w:tc>
          <w:tcPr>
            <w:tcW w:w="375" w:type="pct"/>
            <w:vMerge w:val="continue"/>
            <w:vAlign w:val="center"/>
          </w:tcPr>
          <w:p>
            <w:pPr>
              <w:pStyle w:val="303"/>
              <w:spacing w:before="156" w:after="93"/>
              <w:rPr>
                <w:rFonts w:hint="default" w:ascii="Times New Roman" w:hAnsi="Times New Roman" w:eastAsia="仿宋" w:cs="Times New Roman"/>
                <w:bCs/>
                <w:sz w:val="21"/>
                <w:szCs w:val="21"/>
              </w:rPr>
            </w:pPr>
          </w:p>
        </w:tc>
        <w:tc>
          <w:tcPr>
            <w:tcW w:w="935" w:type="pct"/>
            <w:vMerge w:val="continue"/>
            <w:shd w:val="clear" w:color="auto" w:fill="auto"/>
            <w:tcMar>
              <w:top w:w="15" w:type="dxa"/>
              <w:left w:w="15" w:type="dxa"/>
              <w:right w:w="15" w:type="dxa"/>
            </w:tcMar>
            <w:vAlign w:val="center"/>
          </w:tcPr>
          <w:p>
            <w:pPr>
              <w:pStyle w:val="303"/>
              <w:spacing w:before="156" w:after="93"/>
              <w:rPr>
                <w:rFonts w:hint="default" w:ascii="Times New Roman" w:hAnsi="Times New Roman" w:eastAsia="仿宋" w:cs="Times New Roman"/>
                <w:bCs/>
                <w:sz w:val="21"/>
                <w:szCs w:val="21"/>
              </w:rPr>
            </w:pPr>
          </w:p>
        </w:tc>
        <w:tc>
          <w:tcPr>
            <w:tcW w:w="931" w:type="pct"/>
            <w:vMerge w:val="continue"/>
            <w:shd w:val="clear" w:color="auto" w:fill="auto"/>
            <w:tcMar>
              <w:top w:w="15" w:type="dxa"/>
              <w:left w:w="15" w:type="dxa"/>
              <w:right w:w="15" w:type="dxa"/>
            </w:tcMar>
            <w:vAlign w:val="center"/>
          </w:tcPr>
          <w:p>
            <w:pPr>
              <w:pStyle w:val="303"/>
              <w:spacing w:before="156" w:after="93"/>
              <w:rPr>
                <w:rFonts w:hint="default" w:ascii="Times New Roman" w:hAnsi="Times New Roman" w:eastAsia="仿宋" w:cs="Times New Roman"/>
                <w:b w:val="0"/>
                <w:bCs/>
                <w:sz w:val="21"/>
                <w:szCs w:val="21"/>
              </w:rPr>
            </w:pPr>
          </w:p>
        </w:tc>
        <w:tc>
          <w:tcPr>
            <w:tcW w:w="937" w:type="pct"/>
            <w:shd w:val="clear" w:color="auto" w:fill="auto"/>
            <w:tcMar>
              <w:top w:w="15" w:type="dxa"/>
              <w:left w:w="15" w:type="dxa"/>
              <w:right w:w="15" w:type="dxa"/>
            </w:tcMar>
            <w:vAlign w:val="center"/>
          </w:tcPr>
          <w:p>
            <w:pPr>
              <w:pStyle w:val="303"/>
              <w:keepNext w:val="0"/>
              <w:keepLines w:val="0"/>
              <w:pageBreakBefore w:val="0"/>
              <w:kinsoku/>
              <w:wordWrap/>
              <w:overflowPunct/>
              <w:topLinePunct w:val="0"/>
              <w:autoSpaceDE/>
              <w:autoSpaceDN/>
              <w:bidi w:val="0"/>
              <w:adjustRightInd/>
              <w:snapToGrid w:val="0"/>
              <w:spacing w:line="192" w:lineRule="auto"/>
              <w:rPr>
                <w:rFonts w:hint="default" w:ascii="Times New Roman" w:hAnsi="Times New Roman" w:eastAsia="仿宋" w:cs="Times New Roman"/>
                <w:b w:val="0"/>
                <w:bCs/>
                <w:sz w:val="21"/>
                <w:szCs w:val="21"/>
              </w:rPr>
            </w:pPr>
            <w:r>
              <w:rPr>
                <w:rFonts w:hint="eastAsia" w:ascii="Times New Roman" w:hAnsi="Times New Roman" w:eastAsia="仿宋" w:cs="Times New Roman"/>
                <w:b w:val="0"/>
                <w:bCs/>
                <w:sz w:val="21"/>
                <w:szCs w:val="21"/>
                <w:lang w:val="en-US" w:eastAsia="zh-CN"/>
              </w:rPr>
              <w:t>地上</w:t>
            </w:r>
            <w:r>
              <w:rPr>
                <w:rFonts w:hint="default" w:ascii="Times New Roman" w:hAnsi="Times New Roman" w:eastAsia="仿宋" w:cs="Times New Roman"/>
                <w:b w:val="0"/>
                <w:bCs/>
                <w:sz w:val="21"/>
                <w:szCs w:val="21"/>
              </w:rPr>
              <w:t>单体建筑面积≤2万平方米</w:t>
            </w:r>
          </w:p>
        </w:tc>
        <w:tc>
          <w:tcPr>
            <w:tcW w:w="603" w:type="pct"/>
            <w:shd w:val="clear" w:color="auto" w:fill="auto"/>
            <w:tcMar>
              <w:top w:w="15" w:type="dxa"/>
              <w:left w:w="15" w:type="dxa"/>
              <w:right w:w="15" w:type="dxa"/>
            </w:tcMar>
            <w:vAlign w:val="center"/>
          </w:tcPr>
          <w:p>
            <w:pPr>
              <w:pStyle w:val="303"/>
              <w:rPr>
                <w:rFonts w:hint="default" w:ascii="Times New Roman" w:hAnsi="Times New Roman" w:eastAsia="仿宋" w:cs="Times New Roman"/>
                <w:b w:val="0"/>
                <w:bCs/>
                <w:sz w:val="21"/>
                <w:szCs w:val="21"/>
              </w:rPr>
            </w:pPr>
            <w:r>
              <w:rPr>
                <w:rFonts w:hint="default" w:ascii="Times New Roman" w:hAnsi="Times New Roman" w:eastAsia="仿宋" w:cs="Times New Roman"/>
                <w:b w:val="0"/>
                <w:bCs/>
                <w:sz w:val="21"/>
                <w:szCs w:val="21"/>
              </w:rPr>
              <w:t>二星级</w:t>
            </w:r>
          </w:p>
        </w:tc>
        <w:tc>
          <w:tcPr>
            <w:tcW w:w="1217" w:type="pct"/>
            <w:vMerge w:val="continue"/>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exact"/>
        </w:trPr>
        <w:tc>
          <w:tcPr>
            <w:tcW w:w="375" w:type="pct"/>
            <w:vMerge w:val="restart"/>
            <w:vAlign w:val="center"/>
          </w:tcPr>
          <w:p>
            <w:pPr>
              <w:pStyle w:val="302"/>
              <w:spacing w:after="0" w:line="240" w:lineRule="auto"/>
              <w:ind w:left="0" w:leftChars="0"/>
              <w:jc w:val="center"/>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核心目标单元</w:t>
            </w:r>
          </w:p>
        </w:tc>
        <w:tc>
          <w:tcPr>
            <w:tcW w:w="4624" w:type="pct"/>
            <w:gridSpan w:val="5"/>
            <w:shd w:val="clear" w:color="auto" w:fill="auto"/>
            <w:tcMar>
              <w:top w:w="15" w:type="dxa"/>
              <w:left w:w="15" w:type="dxa"/>
              <w:right w:w="15" w:type="dxa"/>
            </w:tcMar>
            <w:vAlign w:val="center"/>
          </w:tcPr>
          <w:p>
            <w:pPr>
              <w:pStyle w:val="302"/>
              <w:spacing w:after="0" w:line="240" w:lineRule="auto"/>
              <w:ind w:left="0" w:leftChars="0"/>
              <w:jc w:val="center"/>
              <w:rPr>
                <w:rFonts w:hint="default" w:ascii="Times New Roman" w:hAnsi="Times New Roman" w:eastAsia="仿宋" w:cs="Times New Roman"/>
                <w:b/>
                <w:sz w:val="21"/>
                <w:szCs w:val="21"/>
              </w:rPr>
            </w:pPr>
            <w:r>
              <w:rPr>
                <w:rFonts w:hint="default" w:ascii="Times New Roman" w:hAnsi="Times New Roman" w:cs="Times New Roman"/>
                <w:kern w:val="0"/>
                <w:sz w:val="21"/>
                <w:szCs w:val="21"/>
              </w:rPr>
              <w:t>新建民用建筑绿色建筑等级不低于</w:t>
            </w:r>
            <w:r>
              <w:rPr>
                <w:rFonts w:hint="default" w:ascii="Times New Roman" w:hAnsi="Times New Roman" w:cs="Times New Roman"/>
                <w:b/>
                <w:bCs/>
                <w:kern w:val="0"/>
                <w:sz w:val="21"/>
                <w:szCs w:val="21"/>
              </w:rPr>
              <w:t>一星级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exact"/>
        </w:trPr>
        <w:tc>
          <w:tcPr>
            <w:tcW w:w="375" w:type="pct"/>
            <w:vMerge w:val="continue"/>
            <w:vAlign w:val="center"/>
          </w:tcPr>
          <w:p>
            <w:pPr>
              <w:pStyle w:val="303"/>
              <w:rPr>
                <w:rFonts w:hint="default" w:ascii="Times New Roman" w:hAnsi="Times New Roman" w:cs="Times New Roman"/>
                <w:bCs/>
                <w:kern w:val="0"/>
                <w:sz w:val="21"/>
                <w:szCs w:val="21"/>
              </w:rPr>
            </w:pPr>
          </w:p>
        </w:tc>
        <w:tc>
          <w:tcPr>
            <w:tcW w:w="4624" w:type="pct"/>
            <w:gridSpan w:val="5"/>
            <w:shd w:val="clear" w:color="auto" w:fill="auto"/>
            <w:tcMar>
              <w:top w:w="15" w:type="dxa"/>
              <w:left w:w="15" w:type="dxa"/>
              <w:right w:w="15" w:type="dxa"/>
            </w:tcMar>
            <w:vAlign w:val="center"/>
          </w:tcPr>
          <w:p>
            <w:pPr>
              <w:pStyle w:val="303"/>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新建建筑类型对应要求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exact"/>
        </w:trPr>
        <w:tc>
          <w:tcPr>
            <w:tcW w:w="375" w:type="pct"/>
            <w:vMerge w:val="continue"/>
            <w:vAlign w:val="center"/>
          </w:tcPr>
          <w:p>
            <w:pPr>
              <w:pStyle w:val="303"/>
              <w:rPr>
                <w:rFonts w:hint="default" w:ascii="Times New Roman" w:hAnsi="Times New Roman" w:cs="Times New Roman"/>
                <w:bCs/>
                <w:kern w:val="0"/>
                <w:sz w:val="21"/>
                <w:szCs w:val="21"/>
              </w:rPr>
            </w:pPr>
          </w:p>
        </w:tc>
        <w:tc>
          <w:tcPr>
            <w:tcW w:w="935" w:type="pct"/>
            <w:shd w:val="clear" w:color="auto" w:fill="auto"/>
            <w:tcMar>
              <w:top w:w="15" w:type="dxa"/>
              <w:left w:w="15" w:type="dxa"/>
              <w:right w:w="15" w:type="dxa"/>
            </w:tcMar>
            <w:vAlign w:val="center"/>
          </w:tcPr>
          <w:p>
            <w:pPr>
              <w:pStyle w:val="303"/>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建筑类型</w:t>
            </w:r>
          </w:p>
        </w:tc>
        <w:tc>
          <w:tcPr>
            <w:tcW w:w="931" w:type="pc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投资方式</w:t>
            </w:r>
          </w:p>
        </w:tc>
        <w:tc>
          <w:tcPr>
            <w:tcW w:w="937" w:type="pc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建筑面积</w:t>
            </w:r>
          </w:p>
        </w:tc>
        <w:tc>
          <w:tcPr>
            <w:tcW w:w="603"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192" w:lineRule="auto"/>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绿色建筑等级要求</w:t>
            </w:r>
          </w:p>
        </w:tc>
        <w:tc>
          <w:tcPr>
            <w:tcW w:w="1217" w:type="pc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能效水平提升比例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exact"/>
        </w:trPr>
        <w:tc>
          <w:tcPr>
            <w:tcW w:w="375" w:type="pct"/>
            <w:vMerge w:val="continue"/>
            <w:vAlign w:val="center"/>
          </w:tcPr>
          <w:p>
            <w:pPr>
              <w:pStyle w:val="303"/>
              <w:rPr>
                <w:rFonts w:hint="default" w:ascii="Times New Roman" w:hAnsi="Times New Roman" w:cs="Times New Roman"/>
                <w:bCs/>
                <w:kern w:val="0"/>
                <w:sz w:val="21"/>
                <w:szCs w:val="21"/>
              </w:rPr>
            </w:pPr>
          </w:p>
        </w:tc>
        <w:tc>
          <w:tcPr>
            <w:tcW w:w="935" w:type="pct"/>
            <w:vMerge w:val="restart"/>
            <w:shd w:val="clear" w:color="auto" w:fill="auto"/>
            <w:tcMar>
              <w:top w:w="15" w:type="dxa"/>
              <w:left w:w="15" w:type="dxa"/>
              <w:right w:w="15" w:type="dxa"/>
            </w:tcMar>
            <w:vAlign w:val="center"/>
          </w:tcPr>
          <w:p>
            <w:pPr>
              <w:pStyle w:val="303"/>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居住建筑</w:t>
            </w:r>
          </w:p>
          <w:p>
            <w:pPr>
              <w:pStyle w:val="303"/>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（包括工业用地范围内用于居住功能的建筑）</w:t>
            </w:r>
          </w:p>
        </w:tc>
        <w:tc>
          <w:tcPr>
            <w:tcW w:w="931"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192" w:lineRule="auto"/>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财政投资或国有资金参与投资</w:t>
            </w:r>
          </w:p>
        </w:tc>
        <w:tc>
          <w:tcPr>
            <w:tcW w:w="937"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192" w:lineRule="auto"/>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w:t>
            </w:r>
          </w:p>
        </w:tc>
        <w:tc>
          <w:tcPr>
            <w:tcW w:w="603" w:type="pc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二星级</w:t>
            </w:r>
          </w:p>
        </w:tc>
        <w:tc>
          <w:tcPr>
            <w:tcW w:w="1217" w:type="pct"/>
            <w:vMerge w:val="restar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城镇新建居住建筑能效水平提升比例≥30%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exact"/>
        </w:trPr>
        <w:tc>
          <w:tcPr>
            <w:tcW w:w="375" w:type="pct"/>
            <w:vMerge w:val="continue"/>
            <w:vAlign w:val="center"/>
          </w:tcPr>
          <w:p>
            <w:pPr>
              <w:pStyle w:val="303"/>
              <w:rPr>
                <w:rFonts w:hint="default" w:ascii="Times New Roman" w:hAnsi="Times New Roman" w:cs="Times New Roman"/>
                <w:bCs/>
                <w:kern w:val="0"/>
                <w:sz w:val="21"/>
                <w:szCs w:val="21"/>
              </w:rPr>
            </w:pPr>
          </w:p>
        </w:tc>
        <w:tc>
          <w:tcPr>
            <w:tcW w:w="935" w:type="pct"/>
            <w:vMerge w:val="continue"/>
            <w:shd w:val="clear" w:color="auto" w:fill="auto"/>
            <w:tcMar>
              <w:top w:w="15" w:type="dxa"/>
              <w:left w:w="15" w:type="dxa"/>
              <w:right w:w="15" w:type="dxa"/>
            </w:tcMar>
            <w:vAlign w:val="center"/>
          </w:tcPr>
          <w:p>
            <w:pPr>
              <w:pStyle w:val="303"/>
              <w:rPr>
                <w:rFonts w:hint="default" w:ascii="Times New Roman" w:hAnsi="Times New Roman" w:cs="Times New Roman"/>
                <w:bCs/>
                <w:kern w:val="0"/>
                <w:sz w:val="21"/>
                <w:szCs w:val="21"/>
              </w:rPr>
            </w:pPr>
          </w:p>
        </w:tc>
        <w:tc>
          <w:tcPr>
            <w:tcW w:w="931" w:type="pct"/>
            <w:vMerge w:val="restar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192" w:lineRule="auto"/>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其他</w:t>
            </w:r>
          </w:p>
        </w:tc>
        <w:tc>
          <w:tcPr>
            <w:tcW w:w="937"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192" w:lineRule="auto"/>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bCs/>
                <w:sz w:val="21"/>
                <w:szCs w:val="21"/>
              </w:rPr>
              <w:t>计容</w:t>
            </w:r>
            <w:r>
              <w:rPr>
                <w:rFonts w:hint="default" w:ascii="Times New Roman" w:hAnsi="Times New Roman" w:eastAsia="仿宋" w:cs="Times New Roman"/>
                <w:kern w:val="0"/>
                <w:sz w:val="21"/>
                <w:szCs w:val="21"/>
              </w:rPr>
              <w:t>建筑面积</w:t>
            </w:r>
          </w:p>
          <w:p>
            <w:pPr>
              <w:keepNext w:val="0"/>
              <w:keepLines w:val="0"/>
              <w:pageBreakBefore w:val="0"/>
              <w:widowControl/>
              <w:kinsoku/>
              <w:wordWrap/>
              <w:overflowPunct/>
              <w:topLinePunct w:val="0"/>
              <w:autoSpaceDE/>
              <w:autoSpaceDN/>
              <w:bidi w:val="0"/>
              <w:adjustRightInd/>
              <w:snapToGrid w:val="0"/>
              <w:spacing w:line="192" w:lineRule="auto"/>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＞10万平方米</w:t>
            </w:r>
          </w:p>
        </w:tc>
        <w:tc>
          <w:tcPr>
            <w:tcW w:w="603" w:type="pc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二星级</w:t>
            </w:r>
          </w:p>
        </w:tc>
        <w:tc>
          <w:tcPr>
            <w:tcW w:w="1217" w:type="pct"/>
            <w:vMerge w:val="continue"/>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exact"/>
        </w:trPr>
        <w:tc>
          <w:tcPr>
            <w:tcW w:w="375" w:type="pct"/>
            <w:vMerge w:val="continue"/>
            <w:vAlign w:val="center"/>
          </w:tcPr>
          <w:p>
            <w:pPr>
              <w:pStyle w:val="303"/>
              <w:rPr>
                <w:rFonts w:hint="default" w:ascii="Times New Roman" w:hAnsi="Times New Roman" w:cs="Times New Roman"/>
                <w:bCs/>
                <w:kern w:val="0"/>
                <w:sz w:val="21"/>
                <w:szCs w:val="21"/>
              </w:rPr>
            </w:pPr>
          </w:p>
        </w:tc>
        <w:tc>
          <w:tcPr>
            <w:tcW w:w="935" w:type="pct"/>
            <w:vMerge w:val="continue"/>
            <w:shd w:val="clear" w:color="auto" w:fill="auto"/>
            <w:tcMar>
              <w:top w:w="15" w:type="dxa"/>
              <w:left w:w="15" w:type="dxa"/>
              <w:right w:w="15" w:type="dxa"/>
            </w:tcMar>
            <w:vAlign w:val="center"/>
          </w:tcPr>
          <w:p>
            <w:pPr>
              <w:pStyle w:val="303"/>
              <w:rPr>
                <w:rFonts w:hint="default" w:ascii="Times New Roman" w:hAnsi="Times New Roman" w:cs="Times New Roman"/>
                <w:bCs/>
                <w:kern w:val="0"/>
                <w:sz w:val="21"/>
                <w:szCs w:val="21"/>
              </w:rPr>
            </w:pPr>
          </w:p>
        </w:tc>
        <w:tc>
          <w:tcPr>
            <w:tcW w:w="931"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192" w:lineRule="auto"/>
              <w:jc w:val="center"/>
              <w:textAlignment w:val="center"/>
              <w:rPr>
                <w:rFonts w:hint="default" w:ascii="Times New Roman" w:hAnsi="Times New Roman" w:eastAsia="仿宋" w:cs="Times New Roman"/>
                <w:kern w:val="0"/>
                <w:sz w:val="21"/>
                <w:szCs w:val="21"/>
              </w:rPr>
            </w:pPr>
          </w:p>
        </w:tc>
        <w:tc>
          <w:tcPr>
            <w:tcW w:w="937"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192" w:lineRule="auto"/>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bCs/>
                <w:sz w:val="21"/>
                <w:szCs w:val="21"/>
              </w:rPr>
              <w:t>计容</w:t>
            </w:r>
            <w:r>
              <w:rPr>
                <w:rFonts w:hint="default" w:ascii="Times New Roman" w:hAnsi="Times New Roman" w:eastAsia="仿宋" w:cs="Times New Roman"/>
                <w:kern w:val="0"/>
                <w:sz w:val="21"/>
                <w:szCs w:val="21"/>
              </w:rPr>
              <w:t>建筑面积≤10万平方米</w:t>
            </w:r>
          </w:p>
        </w:tc>
        <w:tc>
          <w:tcPr>
            <w:tcW w:w="603" w:type="pc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一星级</w:t>
            </w:r>
          </w:p>
        </w:tc>
        <w:tc>
          <w:tcPr>
            <w:tcW w:w="1217" w:type="pct"/>
            <w:vMerge w:val="continue"/>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exact"/>
        </w:trPr>
        <w:tc>
          <w:tcPr>
            <w:tcW w:w="375" w:type="pct"/>
            <w:vMerge w:val="continue"/>
            <w:vAlign w:val="center"/>
          </w:tcPr>
          <w:p>
            <w:pPr>
              <w:pStyle w:val="303"/>
              <w:rPr>
                <w:rFonts w:hint="default" w:ascii="Times New Roman" w:hAnsi="Times New Roman" w:cs="Times New Roman"/>
                <w:bCs/>
                <w:kern w:val="0"/>
                <w:sz w:val="21"/>
                <w:szCs w:val="21"/>
              </w:rPr>
            </w:pPr>
          </w:p>
        </w:tc>
        <w:tc>
          <w:tcPr>
            <w:tcW w:w="935" w:type="pct"/>
            <w:vMerge w:val="restart"/>
            <w:shd w:val="clear" w:color="auto" w:fill="auto"/>
            <w:tcMar>
              <w:top w:w="15" w:type="dxa"/>
              <w:left w:w="15" w:type="dxa"/>
              <w:right w:w="15" w:type="dxa"/>
            </w:tcMar>
            <w:vAlign w:val="center"/>
          </w:tcPr>
          <w:p>
            <w:pPr>
              <w:pStyle w:val="303"/>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公共建筑</w:t>
            </w:r>
          </w:p>
          <w:p>
            <w:pPr>
              <w:pStyle w:val="303"/>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（包括工业用地范围内用于办公功能的建筑）</w:t>
            </w:r>
          </w:p>
        </w:tc>
        <w:tc>
          <w:tcPr>
            <w:tcW w:w="931"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192" w:lineRule="auto"/>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财政投资或国有资金参与投资</w:t>
            </w:r>
          </w:p>
        </w:tc>
        <w:tc>
          <w:tcPr>
            <w:tcW w:w="937"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192" w:lineRule="auto"/>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w:t>
            </w:r>
          </w:p>
        </w:tc>
        <w:tc>
          <w:tcPr>
            <w:tcW w:w="603" w:type="pc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二星级</w:t>
            </w:r>
          </w:p>
        </w:tc>
        <w:tc>
          <w:tcPr>
            <w:tcW w:w="1217" w:type="pct"/>
            <w:vMerge w:val="restar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城镇新建公共建筑能效水平提升比例≥20%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exact"/>
        </w:trPr>
        <w:tc>
          <w:tcPr>
            <w:tcW w:w="375" w:type="pct"/>
            <w:vMerge w:val="continue"/>
            <w:vAlign w:val="center"/>
          </w:tcPr>
          <w:p>
            <w:pPr>
              <w:pStyle w:val="303"/>
              <w:spacing w:before="156" w:after="93"/>
              <w:rPr>
                <w:rFonts w:hint="default" w:ascii="Times New Roman" w:hAnsi="Times New Roman" w:eastAsia="仿宋" w:cs="Times New Roman"/>
                <w:bCs/>
                <w:sz w:val="21"/>
                <w:szCs w:val="21"/>
              </w:rPr>
            </w:pPr>
          </w:p>
        </w:tc>
        <w:tc>
          <w:tcPr>
            <w:tcW w:w="935" w:type="pct"/>
            <w:vMerge w:val="continue"/>
            <w:shd w:val="clear" w:color="auto" w:fill="auto"/>
            <w:tcMar>
              <w:top w:w="15" w:type="dxa"/>
              <w:left w:w="15" w:type="dxa"/>
              <w:right w:w="15" w:type="dxa"/>
            </w:tcMar>
            <w:vAlign w:val="center"/>
          </w:tcPr>
          <w:p>
            <w:pPr>
              <w:pStyle w:val="303"/>
              <w:spacing w:before="156" w:after="93"/>
              <w:rPr>
                <w:rFonts w:hint="default" w:ascii="Times New Roman" w:hAnsi="Times New Roman" w:eastAsia="仿宋" w:cs="Times New Roman"/>
                <w:bCs/>
                <w:sz w:val="21"/>
                <w:szCs w:val="21"/>
              </w:rPr>
            </w:pPr>
          </w:p>
        </w:tc>
        <w:tc>
          <w:tcPr>
            <w:tcW w:w="931" w:type="pct"/>
            <w:vMerge w:val="restar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其它</w:t>
            </w:r>
          </w:p>
        </w:tc>
        <w:tc>
          <w:tcPr>
            <w:tcW w:w="937"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192" w:lineRule="auto"/>
              <w:jc w:val="center"/>
              <w:textAlignment w:val="center"/>
              <w:rPr>
                <w:rFonts w:hint="default" w:ascii="Times New Roman" w:hAnsi="Times New Roman" w:eastAsia="仿宋" w:cs="Times New Roman"/>
                <w:kern w:val="0"/>
                <w:sz w:val="21"/>
                <w:szCs w:val="21"/>
              </w:rPr>
            </w:pPr>
            <w:r>
              <w:rPr>
                <w:rFonts w:hint="eastAsia" w:ascii="Times New Roman" w:hAnsi="Times New Roman" w:eastAsia="仿宋" w:cs="Times New Roman"/>
                <w:kern w:val="0"/>
                <w:sz w:val="21"/>
                <w:szCs w:val="21"/>
                <w:lang w:val="en-US" w:eastAsia="zh-CN"/>
              </w:rPr>
              <w:t>地上</w:t>
            </w:r>
            <w:r>
              <w:rPr>
                <w:rFonts w:hint="default" w:ascii="Times New Roman" w:hAnsi="Times New Roman" w:eastAsia="仿宋" w:cs="Times New Roman"/>
                <w:kern w:val="0"/>
                <w:sz w:val="21"/>
                <w:szCs w:val="21"/>
              </w:rPr>
              <w:t>单体建筑面积＞2万平方米</w:t>
            </w:r>
          </w:p>
        </w:tc>
        <w:tc>
          <w:tcPr>
            <w:tcW w:w="603" w:type="pc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二星级</w:t>
            </w:r>
          </w:p>
        </w:tc>
        <w:tc>
          <w:tcPr>
            <w:tcW w:w="1217" w:type="pct"/>
            <w:vMerge w:val="continue"/>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exact"/>
        </w:trPr>
        <w:tc>
          <w:tcPr>
            <w:tcW w:w="375" w:type="pct"/>
            <w:vMerge w:val="continue"/>
            <w:vAlign w:val="center"/>
          </w:tcPr>
          <w:p>
            <w:pPr>
              <w:pStyle w:val="303"/>
              <w:spacing w:before="156" w:after="93"/>
              <w:rPr>
                <w:rFonts w:hint="default" w:ascii="Times New Roman" w:hAnsi="Times New Roman" w:eastAsia="仿宋" w:cs="Times New Roman"/>
                <w:bCs/>
                <w:sz w:val="21"/>
                <w:szCs w:val="21"/>
              </w:rPr>
            </w:pPr>
          </w:p>
        </w:tc>
        <w:tc>
          <w:tcPr>
            <w:tcW w:w="935" w:type="pct"/>
            <w:vMerge w:val="continue"/>
            <w:shd w:val="clear" w:color="auto" w:fill="auto"/>
            <w:tcMar>
              <w:top w:w="15" w:type="dxa"/>
              <w:left w:w="15" w:type="dxa"/>
              <w:right w:w="15" w:type="dxa"/>
            </w:tcMar>
            <w:vAlign w:val="center"/>
          </w:tcPr>
          <w:p>
            <w:pPr>
              <w:pStyle w:val="303"/>
              <w:spacing w:before="156" w:after="93"/>
              <w:rPr>
                <w:rFonts w:hint="default" w:ascii="Times New Roman" w:hAnsi="Times New Roman" w:eastAsia="仿宋" w:cs="Times New Roman"/>
                <w:bCs/>
                <w:sz w:val="21"/>
                <w:szCs w:val="21"/>
              </w:rPr>
            </w:pPr>
          </w:p>
        </w:tc>
        <w:tc>
          <w:tcPr>
            <w:tcW w:w="931" w:type="pct"/>
            <w:vMerge w:val="continue"/>
            <w:shd w:val="clear" w:color="auto" w:fill="auto"/>
            <w:tcMar>
              <w:top w:w="15" w:type="dxa"/>
              <w:left w:w="15" w:type="dxa"/>
              <w:right w:w="15" w:type="dxa"/>
            </w:tcMar>
            <w:vAlign w:val="center"/>
          </w:tcPr>
          <w:p>
            <w:pPr>
              <w:pStyle w:val="303"/>
              <w:spacing w:before="156" w:after="93"/>
              <w:rPr>
                <w:rFonts w:hint="default" w:ascii="Times New Roman" w:hAnsi="Times New Roman" w:eastAsia="仿宋" w:cs="Times New Roman"/>
                <w:b w:val="0"/>
                <w:bCs/>
                <w:sz w:val="21"/>
                <w:szCs w:val="21"/>
              </w:rPr>
            </w:pPr>
          </w:p>
        </w:tc>
        <w:tc>
          <w:tcPr>
            <w:tcW w:w="937" w:type="pct"/>
            <w:shd w:val="clear" w:color="auto" w:fill="auto"/>
            <w:tcMar>
              <w:top w:w="15" w:type="dxa"/>
              <w:left w:w="15" w:type="dxa"/>
              <w:right w:w="15" w:type="dxa"/>
            </w:tcMar>
            <w:vAlign w:val="center"/>
          </w:tcPr>
          <w:p>
            <w:pPr>
              <w:pStyle w:val="303"/>
              <w:keepNext w:val="0"/>
              <w:keepLines w:val="0"/>
              <w:pageBreakBefore w:val="0"/>
              <w:kinsoku/>
              <w:wordWrap/>
              <w:overflowPunct/>
              <w:topLinePunct w:val="0"/>
              <w:autoSpaceDE/>
              <w:autoSpaceDN/>
              <w:bidi w:val="0"/>
              <w:adjustRightInd/>
              <w:snapToGrid w:val="0"/>
              <w:spacing w:line="192" w:lineRule="auto"/>
              <w:rPr>
                <w:rFonts w:hint="default" w:ascii="Times New Roman" w:hAnsi="Times New Roman" w:eastAsia="仿宋" w:cs="Times New Roman"/>
                <w:b w:val="0"/>
                <w:bCs/>
                <w:sz w:val="21"/>
                <w:szCs w:val="21"/>
              </w:rPr>
            </w:pPr>
            <w:r>
              <w:rPr>
                <w:rFonts w:hint="eastAsia" w:ascii="Times New Roman" w:hAnsi="Times New Roman" w:eastAsia="仿宋" w:cs="Times New Roman"/>
                <w:b w:val="0"/>
                <w:bCs/>
                <w:sz w:val="21"/>
                <w:szCs w:val="21"/>
                <w:lang w:val="en-US" w:eastAsia="zh-CN"/>
              </w:rPr>
              <w:t>地上</w:t>
            </w:r>
            <w:r>
              <w:rPr>
                <w:rFonts w:hint="default" w:ascii="Times New Roman" w:hAnsi="Times New Roman" w:eastAsia="仿宋" w:cs="Times New Roman"/>
                <w:b w:val="0"/>
                <w:bCs/>
                <w:sz w:val="21"/>
                <w:szCs w:val="21"/>
              </w:rPr>
              <w:t>单体建筑面积≤2万平方米</w:t>
            </w:r>
          </w:p>
        </w:tc>
        <w:tc>
          <w:tcPr>
            <w:tcW w:w="603" w:type="pct"/>
            <w:shd w:val="clear" w:color="auto" w:fill="auto"/>
            <w:tcMar>
              <w:top w:w="15" w:type="dxa"/>
              <w:left w:w="15" w:type="dxa"/>
              <w:right w:w="15" w:type="dxa"/>
            </w:tcMar>
            <w:vAlign w:val="center"/>
          </w:tcPr>
          <w:p>
            <w:pPr>
              <w:pStyle w:val="303"/>
              <w:rPr>
                <w:rFonts w:hint="default" w:ascii="Times New Roman" w:hAnsi="Times New Roman" w:eastAsia="仿宋" w:cs="Times New Roman"/>
                <w:b w:val="0"/>
                <w:bCs/>
                <w:sz w:val="21"/>
                <w:szCs w:val="21"/>
              </w:rPr>
            </w:pPr>
            <w:r>
              <w:rPr>
                <w:rFonts w:hint="default" w:ascii="Times New Roman" w:hAnsi="Times New Roman" w:eastAsia="仿宋" w:cs="Times New Roman"/>
                <w:b w:val="0"/>
                <w:bCs/>
                <w:sz w:val="21"/>
                <w:szCs w:val="21"/>
              </w:rPr>
              <w:t>一星级</w:t>
            </w:r>
          </w:p>
        </w:tc>
        <w:tc>
          <w:tcPr>
            <w:tcW w:w="1217" w:type="pct"/>
            <w:vMerge w:val="continue"/>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4" w:hRule="exact"/>
        </w:trPr>
        <w:tc>
          <w:tcPr>
            <w:tcW w:w="375" w:type="pct"/>
            <w:vMerge w:val="continue"/>
            <w:vAlign w:val="center"/>
          </w:tcPr>
          <w:p>
            <w:pPr>
              <w:pStyle w:val="303"/>
              <w:rPr>
                <w:rFonts w:hint="default" w:ascii="Times New Roman" w:hAnsi="Times New Roman" w:cs="Times New Roman"/>
                <w:bCs/>
                <w:kern w:val="0"/>
                <w:sz w:val="21"/>
                <w:szCs w:val="21"/>
              </w:rPr>
            </w:pPr>
          </w:p>
        </w:tc>
        <w:tc>
          <w:tcPr>
            <w:tcW w:w="935" w:type="pct"/>
            <w:shd w:val="clear" w:color="auto" w:fill="auto"/>
            <w:tcMar>
              <w:top w:w="15" w:type="dxa"/>
              <w:left w:w="15" w:type="dxa"/>
              <w:right w:w="15" w:type="dxa"/>
            </w:tcMar>
            <w:vAlign w:val="center"/>
          </w:tcPr>
          <w:p>
            <w:pPr>
              <w:pStyle w:val="303"/>
              <w:rPr>
                <w:rFonts w:hint="default" w:ascii="Times New Roman" w:hAnsi="Times New Roman" w:eastAsia="仿宋" w:cs="Times New Roman"/>
                <w:bCs/>
                <w:sz w:val="21"/>
                <w:szCs w:val="21"/>
              </w:rPr>
            </w:pPr>
            <w:r>
              <w:rPr>
                <w:rFonts w:hint="default" w:ascii="Times New Roman" w:hAnsi="Times New Roman" w:cs="Times New Roman"/>
                <w:bCs/>
                <w:kern w:val="0"/>
                <w:sz w:val="21"/>
                <w:szCs w:val="21"/>
              </w:rPr>
              <w:t>超高层建筑</w:t>
            </w:r>
          </w:p>
        </w:tc>
        <w:tc>
          <w:tcPr>
            <w:tcW w:w="931" w:type="pc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w:t>
            </w:r>
          </w:p>
        </w:tc>
        <w:tc>
          <w:tcPr>
            <w:tcW w:w="937" w:type="pc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w:t>
            </w:r>
          </w:p>
        </w:tc>
        <w:tc>
          <w:tcPr>
            <w:tcW w:w="603" w:type="pc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三星级</w:t>
            </w:r>
          </w:p>
        </w:tc>
        <w:tc>
          <w:tcPr>
            <w:tcW w:w="1217" w:type="pc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按项目实际情况，参照居住或公共建筑执行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exact"/>
        </w:trPr>
        <w:tc>
          <w:tcPr>
            <w:tcW w:w="375" w:type="pct"/>
            <w:vMerge w:val="restart"/>
            <w:vAlign w:val="center"/>
          </w:tcPr>
          <w:p>
            <w:pPr>
              <w:pStyle w:val="302"/>
              <w:spacing w:after="0" w:line="240" w:lineRule="auto"/>
              <w:ind w:left="0" w:leftChars="0"/>
              <w:jc w:val="center"/>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基础目标单元</w:t>
            </w:r>
          </w:p>
        </w:tc>
        <w:tc>
          <w:tcPr>
            <w:tcW w:w="4624" w:type="pct"/>
            <w:gridSpan w:val="5"/>
            <w:shd w:val="clear" w:color="auto" w:fill="auto"/>
            <w:tcMar>
              <w:top w:w="15" w:type="dxa"/>
              <w:left w:w="15" w:type="dxa"/>
              <w:right w:w="15" w:type="dxa"/>
            </w:tcMar>
            <w:vAlign w:val="center"/>
          </w:tcPr>
          <w:p>
            <w:pPr>
              <w:pStyle w:val="302"/>
              <w:spacing w:after="0" w:line="240" w:lineRule="auto"/>
              <w:ind w:left="0" w:leftChars="0"/>
              <w:jc w:val="center"/>
              <w:rPr>
                <w:rFonts w:hint="default" w:ascii="Times New Roman" w:hAnsi="Times New Roman" w:eastAsia="仿宋" w:cs="Times New Roman"/>
                <w:b/>
                <w:sz w:val="21"/>
                <w:szCs w:val="21"/>
              </w:rPr>
            </w:pPr>
            <w:r>
              <w:rPr>
                <w:rFonts w:hint="default" w:ascii="Times New Roman" w:hAnsi="Times New Roman" w:cs="Times New Roman"/>
                <w:kern w:val="0"/>
                <w:sz w:val="21"/>
                <w:szCs w:val="21"/>
              </w:rPr>
              <w:t>新建民用建筑绿色建筑等级不低于</w:t>
            </w:r>
            <w:r>
              <w:rPr>
                <w:rFonts w:hint="default" w:ascii="Times New Roman" w:hAnsi="Times New Roman" w:cs="Times New Roman"/>
                <w:b/>
                <w:bCs/>
                <w:kern w:val="0"/>
                <w:sz w:val="21"/>
                <w:szCs w:val="21"/>
              </w:rPr>
              <w:t>基本级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exact"/>
        </w:trPr>
        <w:tc>
          <w:tcPr>
            <w:tcW w:w="375" w:type="pct"/>
            <w:vMerge w:val="continue"/>
            <w:vAlign w:val="center"/>
          </w:tcPr>
          <w:p>
            <w:pPr>
              <w:pStyle w:val="303"/>
              <w:rPr>
                <w:rFonts w:hint="default" w:ascii="Times New Roman" w:hAnsi="Times New Roman" w:cs="Times New Roman"/>
                <w:bCs/>
                <w:kern w:val="0"/>
                <w:sz w:val="21"/>
                <w:szCs w:val="21"/>
              </w:rPr>
            </w:pPr>
          </w:p>
        </w:tc>
        <w:tc>
          <w:tcPr>
            <w:tcW w:w="935" w:type="pct"/>
            <w:vMerge w:val="restart"/>
            <w:shd w:val="clear" w:color="auto" w:fill="auto"/>
            <w:tcMar>
              <w:top w:w="15" w:type="dxa"/>
              <w:left w:w="15" w:type="dxa"/>
              <w:right w:w="15" w:type="dxa"/>
            </w:tcMar>
            <w:vAlign w:val="center"/>
          </w:tcPr>
          <w:p>
            <w:pPr>
              <w:pStyle w:val="303"/>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居住建筑</w:t>
            </w:r>
          </w:p>
          <w:p>
            <w:pPr>
              <w:pStyle w:val="303"/>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（包括工业用地范围内用于居住功能的建筑）</w:t>
            </w:r>
          </w:p>
        </w:tc>
        <w:tc>
          <w:tcPr>
            <w:tcW w:w="931"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192" w:lineRule="auto"/>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财政投资或国有资金参与投资</w:t>
            </w:r>
          </w:p>
        </w:tc>
        <w:tc>
          <w:tcPr>
            <w:tcW w:w="937"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192" w:lineRule="auto"/>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w:t>
            </w:r>
          </w:p>
        </w:tc>
        <w:tc>
          <w:tcPr>
            <w:tcW w:w="603" w:type="pc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一星级</w:t>
            </w:r>
          </w:p>
        </w:tc>
        <w:tc>
          <w:tcPr>
            <w:tcW w:w="1217" w:type="pct"/>
            <w:vMerge w:val="restar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城镇新建居住建筑能效水平提升比例≥30%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exact"/>
        </w:trPr>
        <w:tc>
          <w:tcPr>
            <w:tcW w:w="375" w:type="pct"/>
            <w:vMerge w:val="continue"/>
            <w:vAlign w:val="center"/>
          </w:tcPr>
          <w:p>
            <w:pPr>
              <w:pStyle w:val="303"/>
              <w:rPr>
                <w:rFonts w:hint="default" w:ascii="Times New Roman" w:hAnsi="Times New Roman" w:cs="Times New Roman"/>
                <w:bCs/>
                <w:kern w:val="0"/>
                <w:sz w:val="21"/>
                <w:szCs w:val="21"/>
              </w:rPr>
            </w:pPr>
          </w:p>
        </w:tc>
        <w:tc>
          <w:tcPr>
            <w:tcW w:w="935" w:type="pct"/>
            <w:vMerge w:val="continue"/>
            <w:shd w:val="clear" w:color="auto" w:fill="auto"/>
            <w:tcMar>
              <w:top w:w="15" w:type="dxa"/>
              <w:left w:w="15" w:type="dxa"/>
              <w:right w:w="15" w:type="dxa"/>
            </w:tcMar>
            <w:vAlign w:val="center"/>
          </w:tcPr>
          <w:p>
            <w:pPr>
              <w:pStyle w:val="303"/>
              <w:rPr>
                <w:rFonts w:hint="default" w:ascii="Times New Roman" w:hAnsi="Times New Roman" w:cs="Times New Roman"/>
                <w:bCs/>
                <w:kern w:val="0"/>
                <w:sz w:val="21"/>
                <w:szCs w:val="21"/>
              </w:rPr>
            </w:pPr>
          </w:p>
        </w:tc>
        <w:tc>
          <w:tcPr>
            <w:tcW w:w="931" w:type="pct"/>
            <w:vMerge w:val="restar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192" w:lineRule="auto"/>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其他</w:t>
            </w:r>
          </w:p>
        </w:tc>
        <w:tc>
          <w:tcPr>
            <w:tcW w:w="937"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192" w:lineRule="auto"/>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bCs/>
                <w:sz w:val="21"/>
                <w:szCs w:val="21"/>
              </w:rPr>
              <w:t>计容</w:t>
            </w:r>
            <w:r>
              <w:rPr>
                <w:rFonts w:hint="default" w:ascii="Times New Roman" w:hAnsi="Times New Roman" w:eastAsia="仿宋" w:cs="Times New Roman"/>
                <w:kern w:val="0"/>
                <w:sz w:val="21"/>
                <w:szCs w:val="21"/>
              </w:rPr>
              <w:t>建筑面积</w:t>
            </w:r>
          </w:p>
          <w:p>
            <w:pPr>
              <w:keepNext w:val="0"/>
              <w:keepLines w:val="0"/>
              <w:pageBreakBefore w:val="0"/>
              <w:widowControl/>
              <w:kinsoku/>
              <w:wordWrap/>
              <w:overflowPunct/>
              <w:topLinePunct w:val="0"/>
              <w:autoSpaceDE/>
              <w:autoSpaceDN/>
              <w:bidi w:val="0"/>
              <w:adjustRightInd/>
              <w:snapToGrid w:val="0"/>
              <w:spacing w:line="192" w:lineRule="auto"/>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＞10万平方米</w:t>
            </w:r>
          </w:p>
        </w:tc>
        <w:tc>
          <w:tcPr>
            <w:tcW w:w="603" w:type="pc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一星级</w:t>
            </w:r>
          </w:p>
        </w:tc>
        <w:tc>
          <w:tcPr>
            <w:tcW w:w="1217" w:type="pct"/>
            <w:vMerge w:val="continue"/>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exact"/>
        </w:trPr>
        <w:tc>
          <w:tcPr>
            <w:tcW w:w="375" w:type="pct"/>
            <w:vMerge w:val="continue"/>
            <w:vAlign w:val="center"/>
          </w:tcPr>
          <w:p>
            <w:pPr>
              <w:pStyle w:val="303"/>
              <w:rPr>
                <w:rFonts w:hint="default" w:ascii="Times New Roman" w:hAnsi="Times New Roman" w:cs="Times New Roman"/>
                <w:bCs/>
                <w:kern w:val="0"/>
                <w:sz w:val="21"/>
                <w:szCs w:val="21"/>
              </w:rPr>
            </w:pPr>
          </w:p>
        </w:tc>
        <w:tc>
          <w:tcPr>
            <w:tcW w:w="935" w:type="pct"/>
            <w:vMerge w:val="continue"/>
            <w:shd w:val="clear" w:color="auto" w:fill="auto"/>
            <w:tcMar>
              <w:top w:w="15" w:type="dxa"/>
              <w:left w:w="15" w:type="dxa"/>
              <w:right w:w="15" w:type="dxa"/>
            </w:tcMar>
            <w:vAlign w:val="center"/>
          </w:tcPr>
          <w:p>
            <w:pPr>
              <w:pStyle w:val="303"/>
              <w:rPr>
                <w:rFonts w:hint="default" w:ascii="Times New Roman" w:hAnsi="Times New Roman" w:cs="Times New Roman"/>
                <w:bCs/>
                <w:kern w:val="0"/>
                <w:sz w:val="21"/>
                <w:szCs w:val="21"/>
              </w:rPr>
            </w:pPr>
          </w:p>
        </w:tc>
        <w:tc>
          <w:tcPr>
            <w:tcW w:w="931" w:type="pct"/>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192" w:lineRule="auto"/>
              <w:jc w:val="center"/>
              <w:textAlignment w:val="center"/>
              <w:rPr>
                <w:rFonts w:hint="default" w:ascii="Times New Roman" w:hAnsi="Times New Roman" w:eastAsia="仿宋" w:cs="Times New Roman"/>
                <w:kern w:val="0"/>
                <w:sz w:val="21"/>
                <w:szCs w:val="21"/>
              </w:rPr>
            </w:pPr>
          </w:p>
        </w:tc>
        <w:tc>
          <w:tcPr>
            <w:tcW w:w="937"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192" w:lineRule="auto"/>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bCs/>
                <w:sz w:val="21"/>
                <w:szCs w:val="21"/>
              </w:rPr>
              <w:t>计容</w:t>
            </w:r>
            <w:r>
              <w:rPr>
                <w:rFonts w:hint="default" w:ascii="Times New Roman" w:hAnsi="Times New Roman" w:eastAsia="仿宋" w:cs="Times New Roman"/>
                <w:kern w:val="0"/>
                <w:sz w:val="21"/>
                <w:szCs w:val="21"/>
              </w:rPr>
              <w:t>建筑面积≤10万平方米</w:t>
            </w:r>
          </w:p>
        </w:tc>
        <w:tc>
          <w:tcPr>
            <w:tcW w:w="603" w:type="pc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基本级</w:t>
            </w:r>
          </w:p>
        </w:tc>
        <w:tc>
          <w:tcPr>
            <w:tcW w:w="1217" w:type="pct"/>
            <w:vMerge w:val="continue"/>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exact"/>
        </w:trPr>
        <w:tc>
          <w:tcPr>
            <w:tcW w:w="375" w:type="pct"/>
            <w:vMerge w:val="continue"/>
            <w:vAlign w:val="center"/>
          </w:tcPr>
          <w:p>
            <w:pPr>
              <w:pStyle w:val="303"/>
              <w:rPr>
                <w:rFonts w:hint="default" w:ascii="Times New Roman" w:hAnsi="Times New Roman" w:cs="Times New Roman"/>
                <w:bCs/>
                <w:kern w:val="0"/>
                <w:sz w:val="21"/>
                <w:szCs w:val="21"/>
              </w:rPr>
            </w:pPr>
          </w:p>
        </w:tc>
        <w:tc>
          <w:tcPr>
            <w:tcW w:w="935" w:type="pct"/>
            <w:vMerge w:val="restart"/>
            <w:shd w:val="clear" w:color="auto" w:fill="auto"/>
            <w:tcMar>
              <w:top w:w="15" w:type="dxa"/>
              <w:left w:w="15" w:type="dxa"/>
              <w:right w:w="15" w:type="dxa"/>
            </w:tcMar>
            <w:vAlign w:val="center"/>
          </w:tcPr>
          <w:p>
            <w:pPr>
              <w:pStyle w:val="303"/>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公共建筑</w:t>
            </w:r>
          </w:p>
          <w:p>
            <w:pPr>
              <w:pStyle w:val="303"/>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（包括工业用地范围内用于办公功能的建筑）</w:t>
            </w:r>
          </w:p>
        </w:tc>
        <w:tc>
          <w:tcPr>
            <w:tcW w:w="931"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192" w:lineRule="auto"/>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财政投资或国有资金参与投资</w:t>
            </w:r>
          </w:p>
        </w:tc>
        <w:tc>
          <w:tcPr>
            <w:tcW w:w="937"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192" w:lineRule="auto"/>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w:t>
            </w:r>
          </w:p>
        </w:tc>
        <w:tc>
          <w:tcPr>
            <w:tcW w:w="603" w:type="pc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一星级</w:t>
            </w:r>
          </w:p>
        </w:tc>
        <w:tc>
          <w:tcPr>
            <w:tcW w:w="1217" w:type="pct"/>
            <w:vMerge w:val="restar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城镇新建公共建筑能效水平提升比例≥20%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exact"/>
        </w:trPr>
        <w:tc>
          <w:tcPr>
            <w:tcW w:w="375" w:type="pct"/>
            <w:vMerge w:val="continue"/>
            <w:vAlign w:val="center"/>
          </w:tcPr>
          <w:p>
            <w:pPr>
              <w:pStyle w:val="303"/>
              <w:spacing w:before="156" w:after="93"/>
              <w:rPr>
                <w:rFonts w:hint="default" w:ascii="Times New Roman" w:hAnsi="Times New Roman" w:eastAsia="仿宋" w:cs="Times New Roman"/>
                <w:bCs/>
                <w:sz w:val="21"/>
                <w:szCs w:val="21"/>
              </w:rPr>
            </w:pPr>
          </w:p>
        </w:tc>
        <w:tc>
          <w:tcPr>
            <w:tcW w:w="935" w:type="pct"/>
            <w:vMerge w:val="continue"/>
            <w:shd w:val="clear" w:color="auto" w:fill="auto"/>
            <w:tcMar>
              <w:top w:w="15" w:type="dxa"/>
              <w:left w:w="15" w:type="dxa"/>
              <w:right w:w="15" w:type="dxa"/>
            </w:tcMar>
            <w:vAlign w:val="center"/>
          </w:tcPr>
          <w:p>
            <w:pPr>
              <w:pStyle w:val="303"/>
              <w:spacing w:before="156" w:after="93"/>
              <w:rPr>
                <w:rFonts w:hint="default" w:ascii="Times New Roman" w:hAnsi="Times New Roman" w:eastAsia="仿宋" w:cs="Times New Roman"/>
                <w:bCs/>
                <w:sz w:val="21"/>
                <w:szCs w:val="21"/>
              </w:rPr>
            </w:pPr>
          </w:p>
        </w:tc>
        <w:tc>
          <w:tcPr>
            <w:tcW w:w="931" w:type="pct"/>
            <w:vMerge w:val="restar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192" w:lineRule="auto"/>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其它</w:t>
            </w:r>
          </w:p>
        </w:tc>
        <w:tc>
          <w:tcPr>
            <w:tcW w:w="937"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192" w:lineRule="auto"/>
              <w:jc w:val="center"/>
              <w:textAlignment w:val="center"/>
              <w:rPr>
                <w:rFonts w:hint="default" w:ascii="Times New Roman" w:hAnsi="Times New Roman" w:eastAsia="仿宋" w:cs="Times New Roman"/>
                <w:kern w:val="0"/>
                <w:sz w:val="21"/>
                <w:szCs w:val="21"/>
              </w:rPr>
            </w:pPr>
            <w:r>
              <w:rPr>
                <w:rFonts w:hint="eastAsia" w:ascii="Times New Roman" w:hAnsi="Times New Roman" w:eastAsia="仿宋" w:cs="Times New Roman"/>
                <w:kern w:val="0"/>
                <w:sz w:val="21"/>
                <w:szCs w:val="21"/>
                <w:lang w:val="en-US" w:eastAsia="zh-CN"/>
              </w:rPr>
              <w:t>地上</w:t>
            </w:r>
            <w:r>
              <w:rPr>
                <w:rFonts w:hint="default" w:ascii="Times New Roman" w:hAnsi="Times New Roman" w:eastAsia="仿宋" w:cs="Times New Roman"/>
                <w:kern w:val="0"/>
                <w:sz w:val="21"/>
                <w:szCs w:val="21"/>
              </w:rPr>
              <w:t>单体建筑面积＞2万平方米</w:t>
            </w:r>
          </w:p>
        </w:tc>
        <w:tc>
          <w:tcPr>
            <w:tcW w:w="603" w:type="pc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一星级</w:t>
            </w:r>
          </w:p>
        </w:tc>
        <w:tc>
          <w:tcPr>
            <w:tcW w:w="1217" w:type="pct"/>
            <w:vMerge w:val="continue"/>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exact"/>
        </w:trPr>
        <w:tc>
          <w:tcPr>
            <w:tcW w:w="375" w:type="pct"/>
            <w:vMerge w:val="continue"/>
            <w:vAlign w:val="center"/>
          </w:tcPr>
          <w:p>
            <w:pPr>
              <w:pStyle w:val="303"/>
              <w:spacing w:before="156" w:after="93"/>
              <w:rPr>
                <w:rFonts w:hint="default" w:ascii="Times New Roman" w:hAnsi="Times New Roman" w:eastAsia="仿宋" w:cs="Times New Roman"/>
                <w:bCs/>
                <w:sz w:val="21"/>
                <w:szCs w:val="21"/>
              </w:rPr>
            </w:pPr>
          </w:p>
        </w:tc>
        <w:tc>
          <w:tcPr>
            <w:tcW w:w="935" w:type="pct"/>
            <w:vMerge w:val="continue"/>
            <w:shd w:val="clear" w:color="auto" w:fill="auto"/>
            <w:tcMar>
              <w:top w:w="15" w:type="dxa"/>
              <w:left w:w="15" w:type="dxa"/>
              <w:right w:w="15" w:type="dxa"/>
            </w:tcMar>
            <w:vAlign w:val="center"/>
          </w:tcPr>
          <w:p>
            <w:pPr>
              <w:pStyle w:val="303"/>
              <w:spacing w:before="156" w:after="93"/>
              <w:rPr>
                <w:rFonts w:hint="default" w:ascii="Times New Roman" w:hAnsi="Times New Roman" w:eastAsia="仿宋" w:cs="Times New Roman"/>
                <w:bCs/>
                <w:sz w:val="21"/>
                <w:szCs w:val="21"/>
              </w:rPr>
            </w:pPr>
          </w:p>
        </w:tc>
        <w:tc>
          <w:tcPr>
            <w:tcW w:w="931" w:type="pct"/>
            <w:vMerge w:val="continue"/>
            <w:shd w:val="clear" w:color="auto" w:fill="auto"/>
            <w:tcMar>
              <w:top w:w="15" w:type="dxa"/>
              <w:left w:w="15" w:type="dxa"/>
              <w:right w:w="15" w:type="dxa"/>
            </w:tcMar>
            <w:vAlign w:val="center"/>
          </w:tcPr>
          <w:p>
            <w:pPr>
              <w:pStyle w:val="303"/>
              <w:keepNext w:val="0"/>
              <w:keepLines w:val="0"/>
              <w:pageBreakBefore w:val="0"/>
              <w:kinsoku/>
              <w:wordWrap/>
              <w:overflowPunct/>
              <w:topLinePunct w:val="0"/>
              <w:autoSpaceDE/>
              <w:autoSpaceDN/>
              <w:bidi w:val="0"/>
              <w:adjustRightInd/>
              <w:snapToGrid w:val="0"/>
              <w:spacing w:before="156" w:after="93" w:line="192" w:lineRule="auto"/>
              <w:rPr>
                <w:rFonts w:hint="default" w:ascii="Times New Roman" w:hAnsi="Times New Roman" w:eastAsia="仿宋" w:cs="Times New Roman"/>
                <w:b w:val="0"/>
                <w:bCs/>
                <w:sz w:val="21"/>
                <w:szCs w:val="21"/>
              </w:rPr>
            </w:pPr>
          </w:p>
        </w:tc>
        <w:tc>
          <w:tcPr>
            <w:tcW w:w="937" w:type="pct"/>
            <w:shd w:val="clear" w:color="auto" w:fill="auto"/>
            <w:tcMar>
              <w:top w:w="15" w:type="dxa"/>
              <w:left w:w="15" w:type="dxa"/>
              <w:right w:w="15" w:type="dxa"/>
            </w:tcMar>
            <w:vAlign w:val="center"/>
          </w:tcPr>
          <w:p>
            <w:pPr>
              <w:pStyle w:val="303"/>
              <w:keepNext w:val="0"/>
              <w:keepLines w:val="0"/>
              <w:pageBreakBefore w:val="0"/>
              <w:kinsoku/>
              <w:wordWrap/>
              <w:overflowPunct/>
              <w:topLinePunct w:val="0"/>
              <w:autoSpaceDE/>
              <w:autoSpaceDN/>
              <w:bidi w:val="0"/>
              <w:adjustRightInd/>
              <w:snapToGrid w:val="0"/>
              <w:spacing w:line="192" w:lineRule="auto"/>
              <w:rPr>
                <w:rFonts w:hint="default" w:ascii="Times New Roman" w:hAnsi="Times New Roman" w:eastAsia="仿宋" w:cs="Times New Roman"/>
                <w:b w:val="0"/>
                <w:bCs/>
                <w:sz w:val="21"/>
                <w:szCs w:val="21"/>
              </w:rPr>
            </w:pPr>
            <w:r>
              <w:rPr>
                <w:rFonts w:hint="eastAsia" w:ascii="Times New Roman" w:hAnsi="Times New Roman" w:eastAsia="仿宋" w:cs="Times New Roman"/>
                <w:b w:val="0"/>
                <w:bCs/>
                <w:sz w:val="21"/>
                <w:szCs w:val="21"/>
                <w:lang w:val="en-US" w:eastAsia="zh-CN"/>
              </w:rPr>
              <w:t>地上</w:t>
            </w:r>
            <w:r>
              <w:rPr>
                <w:rFonts w:hint="default" w:ascii="Times New Roman" w:hAnsi="Times New Roman" w:eastAsia="仿宋" w:cs="Times New Roman"/>
                <w:b w:val="0"/>
                <w:bCs/>
                <w:sz w:val="21"/>
                <w:szCs w:val="21"/>
              </w:rPr>
              <w:t>单体建筑面积≤2万平方米</w:t>
            </w:r>
          </w:p>
        </w:tc>
        <w:tc>
          <w:tcPr>
            <w:tcW w:w="603" w:type="pct"/>
            <w:shd w:val="clear" w:color="auto" w:fill="auto"/>
            <w:tcMar>
              <w:top w:w="15" w:type="dxa"/>
              <w:left w:w="15" w:type="dxa"/>
              <w:right w:w="15" w:type="dxa"/>
            </w:tcMar>
            <w:vAlign w:val="center"/>
          </w:tcPr>
          <w:p>
            <w:pPr>
              <w:pStyle w:val="303"/>
              <w:rPr>
                <w:rFonts w:hint="default" w:ascii="Times New Roman" w:hAnsi="Times New Roman" w:eastAsia="仿宋" w:cs="Times New Roman"/>
                <w:b w:val="0"/>
                <w:bCs/>
                <w:sz w:val="21"/>
                <w:szCs w:val="21"/>
              </w:rPr>
            </w:pPr>
            <w:r>
              <w:rPr>
                <w:rFonts w:hint="default" w:ascii="Times New Roman" w:hAnsi="Times New Roman" w:eastAsia="仿宋" w:cs="Times New Roman"/>
                <w:b w:val="0"/>
                <w:bCs/>
                <w:sz w:val="21"/>
                <w:szCs w:val="21"/>
              </w:rPr>
              <w:t>基本级</w:t>
            </w:r>
          </w:p>
        </w:tc>
        <w:tc>
          <w:tcPr>
            <w:tcW w:w="1217" w:type="pct"/>
            <w:vMerge w:val="continue"/>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3" w:hRule="exact"/>
        </w:trPr>
        <w:tc>
          <w:tcPr>
            <w:tcW w:w="375" w:type="pct"/>
            <w:vMerge w:val="continue"/>
            <w:vAlign w:val="center"/>
          </w:tcPr>
          <w:p>
            <w:pPr>
              <w:pStyle w:val="303"/>
              <w:rPr>
                <w:rFonts w:hint="default" w:ascii="Times New Roman" w:hAnsi="Times New Roman" w:cs="Times New Roman"/>
                <w:bCs/>
                <w:kern w:val="0"/>
                <w:sz w:val="21"/>
                <w:szCs w:val="21"/>
              </w:rPr>
            </w:pPr>
          </w:p>
        </w:tc>
        <w:tc>
          <w:tcPr>
            <w:tcW w:w="935" w:type="pct"/>
            <w:shd w:val="clear" w:color="auto" w:fill="auto"/>
            <w:tcMar>
              <w:top w:w="15" w:type="dxa"/>
              <w:left w:w="15" w:type="dxa"/>
              <w:right w:w="15" w:type="dxa"/>
            </w:tcMar>
            <w:vAlign w:val="center"/>
          </w:tcPr>
          <w:p>
            <w:pPr>
              <w:pStyle w:val="303"/>
              <w:rPr>
                <w:rFonts w:hint="default" w:ascii="Times New Roman" w:hAnsi="Times New Roman" w:eastAsia="仿宋" w:cs="Times New Roman"/>
                <w:bCs/>
                <w:sz w:val="21"/>
                <w:szCs w:val="21"/>
              </w:rPr>
            </w:pPr>
            <w:r>
              <w:rPr>
                <w:rFonts w:hint="default" w:ascii="Times New Roman" w:hAnsi="Times New Roman" w:cs="Times New Roman"/>
                <w:bCs/>
                <w:kern w:val="0"/>
                <w:sz w:val="21"/>
                <w:szCs w:val="21"/>
              </w:rPr>
              <w:t>超高层建筑</w:t>
            </w:r>
          </w:p>
        </w:tc>
        <w:tc>
          <w:tcPr>
            <w:tcW w:w="931"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192" w:lineRule="auto"/>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w:t>
            </w:r>
          </w:p>
        </w:tc>
        <w:tc>
          <w:tcPr>
            <w:tcW w:w="937" w:type="pc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192" w:lineRule="auto"/>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w:t>
            </w:r>
          </w:p>
        </w:tc>
        <w:tc>
          <w:tcPr>
            <w:tcW w:w="603" w:type="pc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三星级</w:t>
            </w:r>
          </w:p>
        </w:tc>
        <w:tc>
          <w:tcPr>
            <w:tcW w:w="1217" w:type="pc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按项目实际情况，参照居住或公共建筑执行</w:t>
            </w:r>
          </w:p>
        </w:tc>
      </w:tr>
    </w:tbl>
    <w:p>
      <w:pPr>
        <w:widowControl/>
        <w:jc w:val="left"/>
        <w:rPr>
          <w:rFonts w:ascii="仿宋" w:hAnsi="仿宋" w:eastAsia="仿宋"/>
          <w:bCs/>
        </w:rPr>
        <w:sectPr>
          <w:type w:val="continuous"/>
          <w:pgSz w:w="11906" w:h="16838"/>
          <w:pgMar w:top="1440" w:right="1797" w:bottom="1440" w:left="1797" w:header="851" w:footer="992" w:gutter="0"/>
          <w:cols w:space="1260" w:num="1"/>
          <w:docGrid w:type="linesAndChars" w:linePitch="312" w:charSpace="0"/>
        </w:sectPr>
      </w:pPr>
    </w:p>
    <w:p>
      <w:pPr>
        <w:pStyle w:val="2"/>
        <w:spacing w:before="156" w:after="93"/>
        <w:ind w:firstLine="0" w:firstLineChars="0"/>
        <w:jc w:val="center"/>
        <w:rPr>
          <w:rFonts w:ascii="仿宋" w:hAnsi="仿宋" w:eastAsia="仿宋"/>
          <w:b/>
          <w:bCs/>
          <w:sz w:val="21"/>
          <w:szCs w:val="21"/>
        </w:rPr>
      </w:pPr>
      <w:r>
        <w:rPr>
          <w:rFonts w:ascii="仿宋" w:hAnsi="仿宋" w:eastAsia="仿宋"/>
          <w:b/>
          <w:bCs/>
          <w:sz w:val="21"/>
          <w:szCs w:val="21"/>
        </w:rPr>
        <w:t>表12 目标单元</w:t>
      </w:r>
      <w:r>
        <w:rPr>
          <w:rFonts w:hint="eastAsia" w:ascii="仿宋" w:hAnsi="仿宋" w:eastAsia="仿宋"/>
          <w:b/>
          <w:bCs/>
          <w:sz w:val="21"/>
          <w:szCs w:val="21"/>
        </w:rPr>
        <w:t>预期性</w:t>
      </w:r>
      <w:r>
        <w:rPr>
          <w:rFonts w:ascii="仿宋" w:hAnsi="仿宋" w:eastAsia="仿宋"/>
          <w:b/>
          <w:bCs/>
          <w:sz w:val="21"/>
          <w:szCs w:val="21"/>
        </w:rPr>
        <w:t>指标控制表</w:t>
      </w:r>
    </w:p>
    <w:tbl>
      <w:tblPr>
        <w:tblStyle w:val="4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313"/>
        <w:gridCol w:w="416"/>
        <w:gridCol w:w="1764"/>
        <w:gridCol w:w="4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trPr>
        <w:tc>
          <w:tcPr>
            <w:tcW w:w="5000" w:type="pct"/>
            <w:gridSpan w:val="4"/>
            <w:vAlign w:val="center"/>
          </w:tcPr>
          <w:p>
            <w:pPr>
              <w:pStyle w:val="302"/>
              <w:spacing w:after="0" w:line="240" w:lineRule="auto"/>
              <w:ind w:left="0" w:leftChars="0"/>
              <w:jc w:val="center"/>
              <w:rPr>
                <w:rFonts w:hint="default" w:ascii="Times New Roman" w:hAnsi="Times New Roman" w:eastAsia="仿宋" w:cs="Times New Roman"/>
                <w:kern w:val="0"/>
                <w:sz w:val="21"/>
                <w:szCs w:val="21"/>
              </w:rPr>
            </w:pPr>
            <w:r>
              <w:rPr>
                <w:rFonts w:hint="default" w:ascii="Times New Roman" w:hAnsi="Times New Roman" w:cs="Times New Roman"/>
                <w:b/>
                <w:bCs/>
                <w:kern w:val="0"/>
                <w:sz w:val="21"/>
                <w:szCs w:val="21"/>
              </w:rPr>
              <w:t>预期性指标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trPr>
        <w:tc>
          <w:tcPr>
            <w:tcW w:w="789" w:type="pct"/>
            <w:vMerge w:val="restart"/>
            <w:vAlign w:val="center"/>
          </w:tcPr>
          <w:p>
            <w:pPr>
              <w:pStyle w:val="302"/>
              <w:spacing w:after="0" w:line="240" w:lineRule="auto"/>
              <w:ind w:left="0" w:leftChars="0"/>
              <w:jc w:val="center"/>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重点区域</w:t>
            </w:r>
          </w:p>
        </w:tc>
        <w:tc>
          <w:tcPr>
            <w:tcW w:w="250" w:type="pct"/>
            <w:vAlign w:val="center"/>
          </w:tcPr>
          <w:p>
            <w:pPr>
              <w:pStyle w:val="302"/>
              <w:spacing w:after="0" w:line="240" w:lineRule="auto"/>
              <w:ind w:left="0" w:leftChars="0"/>
              <w:jc w:val="center"/>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指标类型</w:t>
            </w:r>
          </w:p>
        </w:tc>
        <w:tc>
          <w:tcPr>
            <w:tcW w:w="1060" w:type="pct"/>
            <w:vAlign w:val="center"/>
          </w:tcPr>
          <w:p>
            <w:pPr>
              <w:pStyle w:val="302"/>
              <w:spacing w:after="0" w:line="240" w:lineRule="auto"/>
              <w:ind w:left="0" w:leftChars="0"/>
              <w:jc w:val="center"/>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指标名称</w:t>
            </w:r>
          </w:p>
        </w:tc>
        <w:tc>
          <w:tcPr>
            <w:tcW w:w="2901" w:type="pct"/>
            <w:vAlign w:val="center"/>
          </w:tcPr>
          <w:p>
            <w:pPr>
              <w:pStyle w:val="302"/>
              <w:spacing w:after="0" w:line="240" w:lineRule="auto"/>
              <w:ind w:left="0" w:leftChars="0"/>
              <w:jc w:val="center"/>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trPr>
        <w:tc>
          <w:tcPr>
            <w:tcW w:w="789" w:type="pct"/>
            <w:vMerge w:val="continue"/>
            <w:vAlign w:val="center"/>
          </w:tcPr>
          <w:p>
            <w:pPr>
              <w:pStyle w:val="302"/>
              <w:spacing w:after="0" w:line="240" w:lineRule="auto"/>
              <w:ind w:left="0" w:leftChars="0"/>
              <w:jc w:val="center"/>
              <w:rPr>
                <w:rFonts w:hint="default" w:ascii="Times New Roman" w:hAnsi="Times New Roman" w:cs="Times New Roman"/>
                <w:b/>
                <w:bCs/>
                <w:kern w:val="0"/>
                <w:sz w:val="21"/>
                <w:szCs w:val="21"/>
              </w:rPr>
            </w:pPr>
          </w:p>
        </w:tc>
        <w:tc>
          <w:tcPr>
            <w:tcW w:w="250" w:type="pct"/>
            <w:vMerge w:val="restart"/>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土地利用</w:t>
            </w:r>
          </w:p>
        </w:tc>
        <w:tc>
          <w:tcPr>
            <w:tcW w:w="1060" w:type="pct"/>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拥有混合用地功能的街坊数量比例</w:t>
            </w:r>
          </w:p>
        </w:tc>
        <w:tc>
          <w:tcPr>
            <w:tcW w:w="2901" w:type="pct"/>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trPr>
        <w:tc>
          <w:tcPr>
            <w:tcW w:w="789" w:type="pct"/>
            <w:vMerge w:val="continue"/>
            <w:vAlign w:val="center"/>
          </w:tcPr>
          <w:p>
            <w:pPr>
              <w:pStyle w:val="302"/>
              <w:spacing w:after="0" w:line="240" w:lineRule="auto"/>
              <w:ind w:left="0" w:leftChars="0"/>
              <w:jc w:val="center"/>
              <w:rPr>
                <w:rFonts w:hint="default" w:ascii="Times New Roman" w:hAnsi="Times New Roman" w:cs="Times New Roman"/>
                <w:b/>
                <w:bCs/>
                <w:kern w:val="0"/>
                <w:sz w:val="21"/>
                <w:szCs w:val="21"/>
              </w:rPr>
            </w:pPr>
          </w:p>
        </w:tc>
        <w:tc>
          <w:tcPr>
            <w:tcW w:w="250" w:type="pct"/>
            <w:vMerge w:val="continue"/>
            <w:vAlign w:val="center"/>
          </w:tcPr>
          <w:p>
            <w:pPr>
              <w:widowControl/>
              <w:jc w:val="center"/>
              <w:textAlignment w:val="center"/>
              <w:rPr>
                <w:rFonts w:hint="default" w:ascii="Times New Roman" w:hAnsi="Times New Roman" w:eastAsia="仿宋" w:cs="Times New Roman"/>
                <w:kern w:val="0"/>
                <w:sz w:val="21"/>
                <w:szCs w:val="21"/>
              </w:rPr>
            </w:pPr>
          </w:p>
        </w:tc>
        <w:tc>
          <w:tcPr>
            <w:tcW w:w="1060" w:type="pct"/>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公共服务设施覆盖率</w:t>
            </w:r>
          </w:p>
        </w:tc>
        <w:tc>
          <w:tcPr>
            <w:tcW w:w="2901" w:type="pct"/>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trPr>
        <w:tc>
          <w:tcPr>
            <w:tcW w:w="789" w:type="pct"/>
            <w:vMerge w:val="continue"/>
            <w:vAlign w:val="center"/>
          </w:tcPr>
          <w:p>
            <w:pPr>
              <w:pStyle w:val="302"/>
              <w:spacing w:after="0" w:line="240" w:lineRule="auto"/>
              <w:ind w:left="0" w:leftChars="0"/>
              <w:jc w:val="center"/>
              <w:rPr>
                <w:rFonts w:hint="default" w:ascii="Times New Roman" w:hAnsi="Times New Roman" w:cs="Times New Roman"/>
                <w:b/>
                <w:bCs/>
                <w:kern w:val="0"/>
                <w:sz w:val="21"/>
                <w:szCs w:val="21"/>
              </w:rPr>
            </w:pPr>
          </w:p>
        </w:tc>
        <w:tc>
          <w:tcPr>
            <w:tcW w:w="250" w:type="pct"/>
            <w:vMerge w:val="continue"/>
            <w:vAlign w:val="center"/>
          </w:tcPr>
          <w:p>
            <w:pPr>
              <w:widowControl/>
              <w:jc w:val="center"/>
              <w:textAlignment w:val="center"/>
              <w:rPr>
                <w:rFonts w:hint="default" w:ascii="Times New Roman" w:hAnsi="Times New Roman" w:eastAsia="仿宋" w:cs="Times New Roman"/>
                <w:kern w:val="0"/>
                <w:sz w:val="21"/>
                <w:szCs w:val="21"/>
              </w:rPr>
            </w:pPr>
          </w:p>
        </w:tc>
        <w:tc>
          <w:tcPr>
            <w:tcW w:w="1060" w:type="pct"/>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开放空间500m覆盖率</w:t>
            </w:r>
          </w:p>
        </w:tc>
        <w:tc>
          <w:tcPr>
            <w:tcW w:w="2901" w:type="pct"/>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trPr>
        <w:tc>
          <w:tcPr>
            <w:tcW w:w="789" w:type="pct"/>
            <w:vMerge w:val="continue"/>
            <w:vAlign w:val="center"/>
          </w:tcPr>
          <w:p>
            <w:pPr>
              <w:pStyle w:val="302"/>
              <w:spacing w:after="0" w:line="240" w:lineRule="auto"/>
              <w:ind w:left="0" w:leftChars="0"/>
              <w:jc w:val="center"/>
              <w:rPr>
                <w:rFonts w:hint="default" w:ascii="Times New Roman" w:hAnsi="Times New Roman" w:cs="Times New Roman"/>
                <w:b/>
                <w:bCs/>
                <w:kern w:val="0"/>
                <w:sz w:val="21"/>
                <w:szCs w:val="21"/>
              </w:rPr>
            </w:pPr>
          </w:p>
        </w:tc>
        <w:tc>
          <w:tcPr>
            <w:tcW w:w="250" w:type="pct"/>
            <w:vMerge w:val="continue"/>
            <w:vAlign w:val="center"/>
          </w:tcPr>
          <w:p>
            <w:pPr>
              <w:pStyle w:val="302"/>
              <w:spacing w:after="0" w:line="240" w:lineRule="auto"/>
              <w:ind w:left="0" w:leftChars="0"/>
              <w:jc w:val="center"/>
              <w:rPr>
                <w:rFonts w:hint="default" w:ascii="Times New Roman" w:hAnsi="Times New Roman" w:cs="Times New Roman"/>
                <w:b/>
                <w:bCs/>
                <w:kern w:val="0"/>
                <w:sz w:val="21"/>
                <w:szCs w:val="21"/>
              </w:rPr>
            </w:pPr>
          </w:p>
        </w:tc>
        <w:tc>
          <w:tcPr>
            <w:tcW w:w="1060" w:type="pct"/>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地下空间开发利用率</w:t>
            </w:r>
          </w:p>
        </w:tc>
        <w:tc>
          <w:tcPr>
            <w:tcW w:w="2901" w:type="pct"/>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trPr>
        <w:tc>
          <w:tcPr>
            <w:tcW w:w="789" w:type="pct"/>
            <w:vMerge w:val="continue"/>
            <w:vAlign w:val="center"/>
          </w:tcPr>
          <w:p>
            <w:pPr>
              <w:pStyle w:val="302"/>
              <w:spacing w:after="0" w:line="240" w:lineRule="auto"/>
              <w:ind w:left="0" w:leftChars="0"/>
              <w:jc w:val="center"/>
              <w:rPr>
                <w:rFonts w:hint="default" w:ascii="Times New Roman" w:hAnsi="Times New Roman" w:cs="Times New Roman"/>
                <w:b/>
                <w:bCs/>
                <w:kern w:val="0"/>
                <w:sz w:val="21"/>
                <w:szCs w:val="21"/>
              </w:rPr>
            </w:pPr>
          </w:p>
        </w:tc>
        <w:tc>
          <w:tcPr>
            <w:tcW w:w="250" w:type="pct"/>
            <w:vMerge w:val="continue"/>
            <w:vAlign w:val="center"/>
          </w:tcPr>
          <w:p>
            <w:pPr>
              <w:pStyle w:val="302"/>
              <w:spacing w:after="0" w:line="240" w:lineRule="auto"/>
              <w:ind w:left="0" w:leftChars="0"/>
              <w:jc w:val="center"/>
              <w:rPr>
                <w:rFonts w:hint="default" w:ascii="Times New Roman" w:hAnsi="Times New Roman" w:cs="Times New Roman"/>
                <w:b/>
                <w:bCs/>
                <w:kern w:val="0"/>
                <w:sz w:val="21"/>
                <w:szCs w:val="21"/>
              </w:rPr>
            </w:pPr>
          </w:p>
        </w:tc>
        <w:tc>
          <w:tcPr>
            <w:tcW w:w="1060" w:type="pct"/>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通风架空率</w:t>
            </w:r>
          </w:p>
        </w:tc>
        <w:tc>
          <w:tcPr>
            <w:tcW w:w="2901" w:type="pct"/>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trPr>
        <w:tc>
          <w:tcPr>
            <w:tcW w:w="789" w:type="pct"/>
            <w:vMerge w:val="continue"/>
            <w:vAlign w:val="center"/>
          </w:tcPr>
          <w:p>
            <w:pPr>
              <w:pStyle w:val="302"/>
              <w:spacing w:after="0" w:line="240" w:lineRule="auto"/>
              <w:ind w:left="0" w:leftChars="0"/>
              <w:jc w:val="center"/>
              <w:rPr>
                <w:rFonts w:hint="default" w:ascii="Times New Roman" w:hAnsi="Times New Roman" w:cs="Times New Roman"/>
                <w:b/>
                <w:bCs/>
                <w:kern w:val="0"/>
                <w:sz w:val="21"/>
                <w:szCs w:val="21"/>
              </w:rPr>
            </w:pPr>
          </w:p>
        </w:tc>
        <w:tc>
          <w:tcPr>
            <w:tcW w:w="250" w:type="pct"/>
            <w:vMerge w:val="restart"/>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交通组织</w:t>
            </w:r>
          </w:p>
        </w:tc>
        <w:tc>
          <w:tcPr>
            <w:tcW w:w="1060" w:type="pct"/>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路网密度</w:t>
            </w:r>
          </w:p>
        </w:tc>
        <w:tc>
          <w:tcPr>
            <w:tcW w:w="2901" w:type="pct"/>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≥8km/km²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trPr>
        <w:tc>
          <w:tcPr>
            <w:tcW w:w="789" w:type="pct"/>
            <w:vMerge w:val="continue"/>
            <w:vAlign w:val="center"/>
          </w:tcPr>
          <w:p>
            <w:pPr>
              <w:pStyle w:val="302"/>
              <w:spacing w:after="0" w:line="240" w:lineRule="auto"/>
              <w:ind w:left="0" w:leftChars="0"/>
              <w:jc w:val="center"/>
              <w:rPr>
                <w:rFonts w:hint="default" w:ascii="Times New Roman" w:hAnsi="Times New Roman" w:cs="Times New Roman"/>
                <w:b/>
                <w:bCs/>
                <w:kern w:val="0"/>
                <w:sz w:val="21"/>
                <w:szCs w:val="21"/>
              </w:rPr>
            </w:pPr>
          </w:p>
        </w:tc>
        <w:tc>
          <w:tcPr>
            <w:tcW w:w="250" w:type="pct"/>
            <w:vMerge w:val="continue"/>
            <w:vAlign w:val="center"/>
          </w:tcPr>
          <w:p>
            <w:pPr>
              <w:widowControl/>
              <w:jc w:val="center"/>
              <w:textAlignment w:val="center"/>
              <w:rPr>
                <w:rFonts w:hint="default" w:ascii="Times New Roman" w:hAnsi="Times New Roman" w:eastAsia="仿宋" w:cs="Times New Roman"/>
                <w:kern w:val="0"/>
                <w:sz w:val="21"/>
                <w:szCs w:val="21"/>
              </w:rPr>
            </w:pPr>
          </w:p>
        </w:tc>
        <w:tc>
          <w:tcPr>
            <w:tcW w:w="1060" w:type="pct"/>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绿色交通出行率</w:t>
            </w:r>
          </w:p>
        </w:tc>
        <w:tc>
          <w:tcPr>
            <w:tcW w:w="2901" w:type="pct"/>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trPr>
        <w:tc>
          <w:tcPr>
            <w:tcW w:w="789" w:type="pct"/>
            <w:vMerge w:val="continue"/>
            <w:vAlign w:val="center"/>
          </w:tcPr>
          <w:p>
            <w:pPr>
              <w:pStyle w:val="302"/>
              <w:spacing w:after="0" w:line="240" w:lineRule="auto"/>
              <w:ind w:left="0" w:leftChars="0"/>
              <w:jc w:val="center"/>
              <w:rPr>
                <w:rFonts w:hint="default" w:ascii="Times New Roman" w:hAnsi="Times New Roman" w:cs="Times New Roman"/>
                <w:b/>
                <w:bCs/>
                <w:kern w:val="0"/>
                <w:sz w:val="21"/>
                <w:szCs w:val="21"/>
              </w:rPr>
            </w:pPr>
          </w:p>
        </w:tc>
        <w:tc>
          <w:tcPr>
            <w:tcW w:w="250" w:type="pct"/>
            <w:vMerge w:val="continue"/>
            <w:vAlign w:val="center"/>
          </w:tcPr>
          <w:p>
            <w:pPr>
              <w:widowControl/>
              <w:jc w:val="center"/>
              <w:textAlignment w:val="center"/>
              <w:rPr>
                <w:rFonts w:hint="default" w:ascii="Times New Roman" w:hAnsi="Times New Roman" w:eastAsia="仿宋" w:cs="Times New Roman"/>
                <w:kern w:val="0"/>
                <w:sz w:val="21"/>
                <w:szCs w:val="21"/>
              </w:rPr>
            </w:pPr>
          </w:p>
        </w:tc>
        <w:tc>
          <w:tcPr>
            <w:tcW w:w="1060" w:type="pct"/>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轨道交通站点800m覆盖率</w:t>
            </w:r>
          </w:p>
        </w:tc>
        <w:tc>
          <w:tcPr>
            <w:tcW w:w="2901" w:type="pct"/>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trPr>
        <w:tc>
          <w:tcPr>
            <w:tcW w:w="789" w:type="pct"/>
            <w:vMerge w:val="continue"/>
            <w:vAlign w:val="center"/>
          </w:tcPr>
          <w:p>
            <w:pPr>
              <w:pStyle w:val="302"/>
              <w:spacing w:after="0" w:line="240" w:lineRule="auto"/>
              <w:ind w:left="0" w:leftChars="0"/>
              <w:jc w:val="center"/>
              <w:rPr>
                <w:rFonts w:hint="default" w:ascii="Times New Roman" w:hAnsi="Times New Roman" w:cs="Times New Roman"/>
                <w:b/>
                <w:bCs/>
                <w:kern w:val="0"/>
                <w:sz w:val="21"/>
                <w:szCs w:val="21"/>
              </w:rPr>
            </w:pPr>
          </w:p>
        </w:tc>
        <w:tc>
          <w:tcPr>
            <w:tcW w:w="250" w:type="pct"/>
            <w:vMerge w:val="continue"/>
            <w:vAlign w:val="center"/>
          </w:tcPr>
          <w:p>
            <w:pPr>
              <w:widowControl/>
              <w:jc w:val="center"/>
              <w:textAlignment w:val="center"/>
              <w:rPr>
                <w:rFonts w:hint="default" w:ascii="Times New Roman" w:hAnsi="Times New Roman" w:eastAsia="仿宋" w:cs="Times New Roman"/>
                <w:kern w:val="0"/>
                <w:sz w:val="21"/>
                <w:szCs w:val="21"/>
              </w:rPr>
            </w:pPr>
          </w:p>
        </w:tc>
        <w:tc>
          <w:tcPr>
            <w:tcW w:w="1060" w:type="pct"/>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公共交通站点500m覆盖率</w:t>
            </w:r>
          </w:p>
        </w:tc>
        <w:tc>
          <w:tcPr>
            <w:tcW w:w="2901" w:type="pct"/>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trPr>
        <w:tc>
          <w:tcPr>
            <w:tcW w:w="789" w:type="pct"/>
            <w:vMerge w:val="continue"/>
            <w:vAlign w:val="center"/>
          </w:tcPr>
          <w:p>
            <w:pPr>
              <w:pStyle w:val="302"/>
              <w:spacing w:after="0" w:line="240" w:lineRule="auto"/>
              <w:ind w:left="0" w:leftChars="0"/>
              <w:jc w:val="center"/>
              <w:rPr>
                <w:rFonts w:hint="default" w:ascii="Times New Roman" w:hAnsi="Times New Roman" w:cs="Times New Roman"/>
                <w:b/>
                <w:bCs/>
                <w:kern w:val="0"/>
                <w:sz w:val="21"/>
                <w:szCs w:val="21"/>
              </w:rPr>
            </w:pPr>
          </w:p>
        </w:tc>
        <w:tc>
          <w:tcPr>
            <w:tcW w:w="250" w:type="pct"/>
            <w:vMerge w:val="restart"/>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资源利用</w:t>
            </w:r>
          </w:p>
        </w:tc>
        <w:tc>
          <w:tcPr>
            <w:tcW w:w="1060" w:type="pct"/>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可再生能源利用率</w:t>
            </w:r>
          </w:p>
        </w:tc>
        <w:tc>
          <w:tcPr>
            <w:tcW w:w="2901" w:type="pct"/>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trPr>
        <w:tc>
          <w:tcPr>
            <w:tcW w:w="789" w:type="pct"/>
            <w:vMerge w:val="continue"/>
            <w:vAlign w:val="center"/>
          </w:tcPr>
          <w:p>
            <w:pPr>
              <w:pStyle w:val="302"/>
              <w:spacing w:after="0" w:line="240" w:lineRule="auto"/>
              <w:ind w:left="0" w:leftChars="0"/>
              <w:jc w:val="center"/>
              <w:rPr>
                <w:rFonts w:hint="default" w:ascii="Times New Roman" w:hAnsi="Times New Roman" w:cs="Times New Roman"/>
                <w:b/>
                <w:bCs/>
                <w:kern w:val="0"/>
                <w:sz w:val="21"/>
                <w:szCs w:val="21"/>
              </w:rPr>
            </w:pPr>
          </w:p>
        </w:tc>
        <w:tc>
          <w:tcPr>
            <w:tcW w:w="250" w:type="pct"/>
            <w:vMerge w:val="continue"/>
            <w:vAlign w:val="center"/>
          </w:tcPr>
          <w:p>
            <w:pPr>
              <w:widowControl/>
              <w:jc w:val="center"/>
              <w:textAlignment w:val="center"/>
              <w:rPr>
                <w:rFonts w:hint="default" w:ascii="Times New Roman" w:hAnsi="Times New Roman" w:eastAsia="仿宋" w:cs="Times New Roman"/>
                <w:kern w:val="0"/>
                <w:sz w:val="21"/>
                <w:szCs w:val="21"/>
              </w:rPr>
            </w:pPr>
          </w:p>
        </w:tc>
        <w:tc>
          <w:tcPr>
            <w:tcW w:w="1060" w:type="pct"/>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雨水资源替代率</w:t>
            </w:r>
          </w:p>
        </w:tc>
        <w:tc>
          <w:tcPr>
            <w:tcW w:w="2901" w:type="pct"/>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trPr>
        <w:tc>
          <w:tcPr>
            <w:tcW w:w="789" w:type="pct"/>
            <w:vMerge w:val="continue"/>
            <w:vAlign w:val="center"/>
          </w:tcPr>
          <w:p>
            <w:pPr>
              <w:pStyle w:val="302"/>
              <w:spacing w:after="0" w:line="240" w:lineRule="auto"/>
              <w:ind w:left="0" w:leftChars="0"/>
              <w:jc w:val="center"/>
              <w:rPr>
                <w:rFonts w:hint="default" w:ascii="Times New Roman" w:hAnsi="Times New Roman" w:cs="Times New Roman"/>
                <w:b/>
                <w:bCs/>
                <w:kern w:val="0"/>
                <w:sz w:val="21"/>
                <w:szCs w:val="21"/>
              </w:rPr>
            </w:pPr>
          </w:p>
        </w:tc>
        <w:tc>
          <w:tcPr>
            <w:tcW w:w="250" w:type="pct"/>
            <w:vMerge w:val="continue"/>
            <w:vAlign w:val="center"/>
          </w:tcPr>
          <w:p>
            <w:pPr>
              <w:widowControl/>
              <w:jc w:val="center"/>
              <w:textAlignment w:val="center"/>
              <w:rPr>
                <w:rFonts w:hint="default" w:ascii="Times New Roman" w:hAnsi="Times New Roman" w:eastAsia="仿宋" w:cs="Times New Roman"/>
                <w:kern w:val="0"/>
                <w:sz w:val="21"/>
                <w:szCs w:val="21"/>
              </w:rPr>
            </w:pPr>
          </w:p>
        </w:tc>
        <w:tc>
          <w:tcPr>
            <w:tcW w:w="1060" w:type="pct"/>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生活垃圾分类收集率</w:t>
            </w:r>
          </w:p>
        </w:tc>
        <w:tc>
          <w:tcPr>
            <w:tcW w:w="2901" w:type="pct"/>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trPr>
        <w:tc>
          <w:tcPr>
            <w:tcW w:w="789" w:type="pct"/>
            <w:vMerge w:val="continue"/>
            <w:vAlign w:val="center"/>
          </w:tcPr>
          <w:p>
            <w:pPr>
              <w:pStyle w:val="302"/>
              <w:spacing w:after="0" w:line="240" w:lineRule="auto"/>
              <w:ind w:left="0" w:leftChars="0"/>
              <w:jc w:val="center"/>
              <w:rPr>
                <w:rFonts w:hint="default" w:ascii="Times New Roman" w:hAnsi="Times New Roman" w:cs="Times New Roman"/>
                <w:b/>
                <w:bCs/>
                <w:kern w:val="0"/>
                <w:sz w:val="21"/>
                <w:szCs w:val="21"/>
              </w:rPr>
            </w:pPr>
          </w:p>
        </w:tc>
        <w:tc>
          <w:tcPr>
            <w:tcW w:w="250" w:type="pct"/>
            <w:vMerge w:val="restart"/>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生态环境</w:t>
            </w:r>
          </w:p>
        </w:tc>
        <w:tc>
          <w:tcPr>
            <w:tcW w:w="1060" w:type="pct"/>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年径流总量控制率</w:t>
            </w:r>
          </w:p>
        </w:tc>
        <w:tc>
          <w:tcPr>
            <w:tcW w:w="2901" w:type="pct"/>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trPr>
        <w:tc>
          <w:tcPr>
            <w:tcW w:w="789" w:type="pct"/>
            <w:vMerge w:val="continue"/>
            <w:vAlign w:val="center"/>
          </w:tcPr>
          <w:p>
            <w:pPr>
              <w:pStyle w:val="302"/>
              <w:spacing w:after="0" w:line="240" w:lineRule="auto"/>
              <w:ind w:left="0" w:leftChars="0"/>
              <w:jc w:val="center"/>
              <w:rPr>
                <w:rFonts w:hint="default" w:ascii="Times New Roman" w:hAnsi="Times New Roman" w:cs="Times New Roman"/>
                <w:b/>
                <w:bCs/>
                <w:kern w:val="0"/>
                <w:sz w:val="21"/>
                <w:szCs w:val="21"/>
              </w:rPr>
            </w:pPr>
          </w:p>
        </w:tc>
        <w:tc>
          <w:tcPr>
            <w:tcW w:w="250" w:type="pct"/>
            <w:vMerge w:val="continue"/>
            <w:vAlign w:val="center"/>
          </w:tcPr>
          <w:p>
            <w:pPr>
              <w:pStyle w:val="302"/>
              <w:spacing w:after="0" w:line="240" w:lineRule="auto"/>
              <w:ind w:left="0" w:leftChars="0"/>
              <w:jc w:val="center"/>
              <w:rPr>
                <w:rFonts w:hint="default" w:ascii="Times New Roman" w:hAnsi="Times New Roman" w:cs="Times New Roman"/>
                <w:b/>
                <w:bCs/>
                <w:kern w:val="0"/>
                <w:sz w:val="21"/>
                <w:szCs w:val="21"/>
              </w:rPr>
            </w:pPr>
          </w:p>
        </w:tc>
        <w:tc>
          <w:tcPr>
            <w:tcW w:w="1060" w:type="pct"/>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公共空间300m覆盖率</w:t>
            </w:r>
          </w:p>
        </w:tc>
        <w:tc>
          <w:tcPr>
            <w:tcW w:w="2901" w:type="pct"/>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trPr>
        <w:tc>
          <w:tcPr>
            <w:tcW w:w="789" w:type="pct"/>
            <w:vMerge w:val="continue"/>
            <w:vAlign w:val="center"/>
          </w:tcPr>
          <w:p>
            <w:pPr>
              <w:pStyle w:val="302"/>
              <w:spacing w:after="0" w:line="240" w:lineRule="auto"/>
              <w:ind w:left="0" w:leftChars="0"/>
              <w:jc w:val="center"/>
              <w:rPr>
                <w:rFonts w:hint="default" w:ascii="Times New Roman" w:hAnsi="Times New Roman" w:cs="Times New Roman"/>
                <w:b/>
                <w:bCs/>
                <w:kern w:val="0"/>
                <w:sz w:val="21"/>
                <w:szCs w:val="21"/>
              </w:rPr>
            </w:pPr>
          </w:p>
        </w:tc>
        <w:tc>
          <w:tcPr>
            <w:tcW w:w="250" w:type="pct"/>
            <w:vMerge w:val="continue"/>
            <w:vAlign w:val="center"/>
          </w:tcPr>
          <w:p>
            <w:pPr>
              <w:pStyle w:val="302"/>
              <w:spacing w:after="0" w:line="240" w:lineRule="auto"/>
              <w:ind w:left="0" w:leftChars="0"/>
              <w:jc w:val="center"/>
              <w:rPr>
                <w:rFonts w:hint="default" w:ascii="Times New Roman" w:hAnsi="Times New Roman" w:cs="Times New Roman"/>
                <w:b/>
                <w:bCs/>
                <w:kern w:val="0"/>
                <w:sz w:val="21"/>
                <w:szCs w:val="21"/>
              </w:rPr>
            </w:pPr>
          </w:p>
        </w:tc>
        <w:tc>
          <w:tcPr>
            <w:tcW w:w="1060" w:type="pct"/>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环境空气质量优良天气</w:t>
            </w:r>
          </w:p>
        </w:tc>
        <w:tc>
          <w:tcPr>
            <w:tcW w:w="2901" w:type="pct"/>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≥310天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trPr>
        <w:tc>
          <w:tcPr>
            <w:tcW w:w="789" w:type="pct"/>
            <w:vMerge w:val="continue"/>
            <w:vAlign w:val="center"/>
          </w:tcPr>
          <w:p>
            <w:pPr>
              <w:pStyle w:val="302"/>
              <w:spacing w:after="0" w:line="240" w:lineRule="auto"/>
              <w:ind w:left="0" w:leftChars="0"/>
              <w:jc w:val="center"/>
              <w:rPr>
                <w:rFonts w:hint="default" w:ascii="Times New Roman" w:hAnsi="Times New Roman" w:cs="Times New Roman"/>
                <w:b/>
                <w:bCs/>
                <w:kern w:val="0"/>
                <w:sz w:val="21"/>
                <w:szCs w:val="21"/>
              </w:rPr>
            </w:pPr>
          </w:p>
        </w:tc>
        <w:tc>
          <w:tcPr>
            <w:tcW w:w="250" w:type="pct"/>
            <w:vMerge w:val="continue"/>
            <w:vAlign w:val="center"/>
          </w:tcPr>
          <w:p>
            <w:pPr>
              <w:pStyle w:val="302"/>
              <w:spacing w:after="0" w:line="240" w:lineRule="auto"/>
              <w:ind w:left="0" w:leftChars="0"/>
              <w:jc w:val="center"/>
              <w:rPr>
                <w:rFonts w:hint="default" w:ascii="Times New Roman" w:hAnsi="Times New Roman" w:cs="Times New Roman"/>
                <w:b/>
                <w:bCs/>
                <w:kern w:val="0"/>
                <w:sz w:val="21"/>
                <w:szCs w:val="21"/>
              </w:rPr>
            </w:pPr>
          </w:p>
        </w:tc>
        <w:tc>
          <w:tcPr>
            <w:tcW w:w="1060" w:type="pct"/>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通风廊道控制</w:t>
            </w:r>
          </w:p>
        </w:tc>
        <w:tc>
          <w:tcPr>
            <w:tcW w:w="2901" w:type="pct"/>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利用河流、湿地、绿地、街道等形成连续的开敞空间打造通风廊道，廊道宽度不小于50m，长度不小于1000m</w:t>
            </w:r>
          </w:p>
        </w:tc>
      </w:tr>
    </w:tbl>
    <w:p>
      <w:pPr>
        <w:jc w:val="center"/>
      </w:pPr>
    </w:p>
    <w:p>
      <w:pPr>
        <w:pStyle w:val="2"/>
        <w:spacing w:before="156" w:after="93"/>
        <w:ind w:firstLine="400"/>
      </w:pPr>
    </w:p>
    <w:p>
      <w:pPr>
        <w:pStyle w:val="3"/>
      </w:pPr>
    </w:p>
    <w:p/>
    <w:p>
      <w:pPr>
        <w:pStyle w:val="2"/>
        <w:spacing w:before="156" w:after="93"/>
        <w:ind w:left="0" w:leftChars="0" w:firstLine="0" w:firstLineChars="0"/>
      </w:pPr>
    </w:p>
    <w:p>
      <w:pPr>
        <w:pStyle w:val="2"/>
        <w:spacing w:before="156" w:after="93"/>
        <w:ind w:firstLine="0" w:firstLineChars="0"/>
        <w:jc w:val="center"/>
        <w:rPr>
          <w:rFonts w:ascii="仿宋" w:hAnsi="仿宋" w:eastAsia="仿宋"/>
          <w:b/>
          <w:bCs/>
          <w:sz w:val="21"/>
          <w:szCs w:val="21"/>
        </w:rPr>
      </w:pPr>
      <w:r>
        <w:rPr>
          <w:rFonts w:hint="eastAsia" w:ascii="仿宋" w:hAnsi="仿宋" w:eastAsia="仿宋"/>
          <w:b/>
          <w:bCs/>
          <w:sz w:val="21"/>
          <w:szCs w:val="21"/>
        </w:rPr>
        <w:t>续表1</w:t>
      </w:r>
      <w:r>
        <w:rPr>
          <w:rFonts w:ascii="仿宋" w:hAnsi="仿宋" w:eastAsia="仿宋"/>
          <w:b/>
          <w:bCs/>
          <w:sz w:val="21"/>
          <w:szCs w:val="21"/>
        </w:rPr>
        <w:t>2</w:t>
      </w:r>
    </w:p>
    <w:tbl>
      <w:tblPr>
        <w:tblStyle w:val="4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315"/>
        <w:gridCol w:w="417"/>
        <w:gridCol w:w="1767"/>
        <w:gridCol w:w="4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trPr>
        <w:tc>
          <w:tcPr>
            <w:tcW w:w="789" w:type="pct"/>
            <w:vMerge w:val="restart"/>
            <w:vAlign w:val="center"/>
          </w:tcPr>
          <w:p>
            <w:pPr>
              <w:pStyle w:val="303"/>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核心目标单元和基础目标单元</w:t>
            </w:r>
          </w:p>
        </w:tc>
        <w:tc>
          <w:tcPr>
            <w:tcW w:w="250" w:type="pct"/>
            <w:shd w:val="clear" w:color="auto" w:fill="auto"/>
            <w:tcMar>
              <w:top w:w="15" w:type="dxa"/>
              <w:left w:w="15" w:type="dxa"/>
              <w:right w:w="15" w:type="dxa"/>
            </w:tcMar>
            <w:vAlign w:val="center"/>
          </w:tcPr>
          <w:p>
            <w:pPr>
              <w:pStyle w:val="303"/>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建筑类型</w:t>
            </w:r>
          </w:p>
        </w:tc>
        <w:tc>
          <w:tcPr>
            <w:tcW w:w="1060" w:type="pct"/>
            <w:shd w:val="clear" w:color="auto" w:fill="auto"/>
            <w:tcMar>
              <w:top w:w="15" w:type="dxa"/>
              <w:left w:w="15" w:type="dxa"/>
              <w:right w:w="15" w:type="dxa"/>
            </w:tcMar>
            <w:vAlign w:val="center"/>
          </w:tcPr>
          <w:p>
            <w:pPr>
              <w:pStyle w:val="303"/>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指标名称</w:t>
            </w:r>
          </w:p>
        </w:tc>
        <w:tc>
          <w:tcPr>
            <w:tcW w:w="2899" w:type="pct"/>
            <w:shd w:val="clear" w:color="auto" w:fill="auto"/>
            <w:tcMar>
              <w:top w:w="15" w:type="dxa"/>
              <w:left w:w="15" w:type="dxa"/>
              <w:right w:w="15" w:type="dxa"/>
            </w:tcMar>
            <w:vAlign w:val="center"/>
          </w:tcPr>
          <w:p>
            <w:pPr>
              <w:pStyle w:val="303"/>
              <w:rPr>
                <w:rFonts w:hint="default" w:ascii="Times New Roman" w:hAnsi="Times New Roman" w:cs="Times New Roman"/>
                <w:bCs/>
                <w:kern w:val="0"/>
                <w:sz w:val="21"/>
                <w:szCs w:val="21"/>
              </w:rPr>
            </w:pPr>
            <w:r>
              <w:rPr>
                <w:rFonts w:hint="default" w:ascii="Times New Roman" w:hAnsi="Times New Roman" w:cs="Times New Roman"/>
                <w:bCs/>
                <w:kern w:val="0"/>
                <w:sz w:val="21"/>
                <w:szCs w:val="21"/>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trPr>
        <w:tc>
          <w:tcPr>
            <w:tcW w:w="789" w:type="pct"/>
            <w:vMerge w:val="continue"/>
            <w:vAlign w:val="center"/>
          </w:tcPr>
          <w:p>
            <w:pPr>
              <w:pStyle w:val="303"/>
              <w:rPr>
                <w:rFonts w:hint="default" w:ascii="Times New Roman" w:hAnsi="Times New Roman" w:cs="Times New Roman"/>
                <w:bCs/>
                <w:kern w:val="0"/>
                <w:sz w:val="21"/>
                <w:szCs w:val="21"/>
              </w:rPr>
            </w:pPr>
          </w:p>
        </w:tc>
        <w:tc>
          <w:tcPr>
            <w:tcW w:w="250" w:type="pct"/>
            <w:vMerge w:val="restar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居住建筑</w:t>
            </w:r>
          </w:p>
        </w:tc>
        <w:tc>
          <w:tcPr>
            <w:tcW w:w="1060" w:type="pc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绿色化改造</w:t>
            </w:r>
          </w:p>
        </w:tc>
        <w:tc>
          <w:tcPr>
            <w:tcW w:w="2899" w:type="pc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建筑改造鼓励采用节能绿色化技术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trPr>
        <w:tc>
          <w:tcPr>
            <w:tcW w:w="789" w:type="pct"/>
            <w:vMerge w:val="continue"/>
            <w:vAlign w:val="center"/>
          </w:tcPr>
          <w:p>
            <w:pPr>
              <w:pStyle w:val="303"/>
              <w:rPr>
                <w:rFonts w:hint="default" w:ascii="Times New Roman" w:hAnsi="Times New Roman" w:cs="Times New Roman"/>
                <w:bCs/>
                <w:kern w:val="0"/>
                <w:sz w:val="21"/>
                <w:szCs w:val="21"/>
              </w:rPr>
            </w:pPr>
          </w:p>
        </w:tc>
        <w:tc>
          <w:tcPr>
            <w:tcW w:w="250" w:type="pct"/>
            <w:vMerge w:val="continue"/>
            <w:shd w:val="clear" w:color="auto" w:fill="auto"/>
            <w:tcMar>
              <w:top w:w="15" w:type="dxa"/>
              <w:left w:w="15" w:type="dxa"/>
              <w:right w:w="15" w:type="dxa"/>
            </w:tcMar>
            <w:vAlign w:val="center"/>
          </w:tcPr>
          <w:p>
            <w:pPr>
              <w:pStyle w:val="303"/>
              <w:rPr>
                <w:rFonts w:hint="default" w:ascii="Times New Roman" w:hAnsi="Times New Roman" w:cs="Times New Roman"/>
                <w:bCs/>
                <w:kern w:val="0"/>
                <w:sz w:val="21"/>
                <w:szCs w:val="21"/>
              </w:rPr>
            </w:pPr>
          </w:p>
        </w:tc>
        <w:tc>
          <w:tcPr>
            <w:tcW w:w="1060" w:type="pc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体育设施室外用地面积</w:t>
            </w:r>
          </w:p>
        </w:tc>
        <w:tc>
          <w:tcPr>
            <w:tcW w:w="2899" w:type="pc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≥0.3㎡/人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trPr>
        <w:tc>
          <w:tcPr>
            <w:tcW w:w="789" w:type="pct"/>
            <w:vMerge w:val="continue"/>
            <w:vAlign w:val="center"/>
          </w:tcPr>
          <w:p>
            <w:pPr>
              <w:pStyle w:val="303"/>
              <w:rPr>
                <w:rFonts w:hint="default" w:ascii="Times New Roman" w:hAnsi="Times New Roman" w:cs="Times New Roman"/>
                <w:bCs/>
                <w:kern w:val="0"/>
                <w:sz w:val="21"/>
                <w:szCs w:val="21"/>
              </w:rPr>
            </w:pPr>
          </w:p>
        </w:tc>
        <w:tc>
          <w:tcPr>
            <w:tcW w:w="250" w:type="pct"/>
            <w:vMerge w:val="continue"/>
            <w:shd w:val="clear" w:color="auto" w:fill="auto"/>
            <w:tcMar>
              <w:top w:w="15" w:type="dxa"/>
              <w:left w:w="15" w:type="dxa"/>
              <w:right w:w="15" w:type="dxa"/>
            </w:tcMar>
            <w:vAlign w:val="center"/>
          </w:tcPr>
          <w:p>
            <w:pPr>
              <w:pStyle w:val="303"/>
              <w:rPr>
                <w:rFonts w:hint="default" w:ascii="Times New Roman" w:hAnsi="Times New Roman" w:cs="Times New Roman"/>
                <w:bCs/>
                <w:kern w:val="0"/>
                <w:sz w:val="21"/>
                <w:szCs w:val="21"/>
              </w:rPr>
            </w:pPr>
          </w:p>
        </w:tc>
        <w:tc>
          <w:tcPr>
            <w:tcW w:w="1060" w:type="pc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场地声环境质量</w:t>
            </w:r>
          </w:p>
        </w:tc>
        <w:tc>
          <w:tcPr>
            <w:tcW w:w="2899" w:type="pc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2类及以上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trPr>
        <w:tc>
          <w:tcPr>
            <w:tcW w:w="789" w:type="pct"/>
            <w:vMerge w:val="continue"/>
            <w:vAlign w:val="center"/>
          </w:tcPr>
          <w:p>
            <w:pPr>
              <w:pStyle w:val="303"/>
              <w:rPr>
                <w:rFonts w:hint="default" w:ascii="Times New Roman" w:hAnsi="Times New Roman" w:cs="Times New Roman"/>
                <w:bCs/>
                <w:kern w:val="0"/>
                <w:sz w:val="21"/>
                <w:szCs w:val="21"/>
              </w:rPr>
            </w:pPr>
          </w:p>
        </w:tc>
        <w:tc>
          <w:tcPr>
            <w:tcW w:w="250" w:type="pct"/>
            <w:vMerge w:val="continue"/>
            <w:shd w:val="clear" w:color="auto" w:fill="auto"/>
            <w:tcMar>
              <w:top w:w="15" w:type="dxa"/>
              <w:left w:w="15" w:type="dxa"/>
              <w:right w:w="15" w:type="dxa"/>
            </w:tcMar>
            <w:vAlign w:val="center"/>
          </w:tcPr>
          <w:p>
            <w:pPr>
              <w:pStyle w:val="303"/>
              <w:rPr>
                <w:rFonts w:hint="default" w:ascii="Times New Roman" w:hAnsi="Times New Roman" w:cs="Times New Roman"/>
                <w:bCs/>
                <w:kern w:val="0"/>
                <w:sz w:val="21"/>
                <w:szCs w:val="21"/>
              </w:rPr>
            </w:pPr>
          </w:p>
        </w:tc>
        <w:tc>
          <w:tcPr>
            <w:tcW w:w="1060" w:type="pc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电动汽车充电设施安装（预留）比例</w:t>
            </w:r>
          </w:p>
        </w:tc>
        <w:tc>
          <w:tcPr>
            <w:tcW w:w="2899" w:type="pc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trPr>
        <w:tc>
          <w:tcPr>
            <w:tcW w:w="789" w:type="pct"/>
            <w:vMerge w:val="continue"/>
            <w:vAlign w:val="center"/>
          </w:tcPr>
          <w:p>
            <w:pPr>
              <w:pStyle w:val="303"/>
              <w:rPr>
                <w:rFonts w:hint="default" w:ascii="Times New Roman" w:hAnsi="Times New Roman" w:cs="Times New Roman"/>
                <w:bCs/>
                <w:kern w:val="0"/>
                <w:sz w:val="21"/>
                <w:szCs w:val="21"/>
              </w:rPr>
            </w:pPr>
          </w:p>
        </w:tc>
        <w:tc>
          <w:tcPr>
            <w:tcW w:w="250" w:type="pct"/>
            <w:vMerge w:val="continue"/>
            <w:shd w:val="clear" w:color="auto" w:fill="auto"/>
            <w:tcMar>
              <w:top w:w="15" w:type="dxa"/>
              <w:left w:w="15" w:type="dxa"/>
              <w:right w:w="15" w:type="dxa"/>
            </w:tcMar>
            <w:vAlign w:val="center"/>
          </w:tcPr>
          <w:p>
            <w:pPr>
              <w:pStyle w:val="303"/>
              <w:rPr>
                <w:rFonts w:hint="default" w:ascii="Times New Roman" w:hAnsi="Times New Roman" w:cs="Times New Roman"/>
                <w:bCs/>
                <w:kern w:val="0"/>
                <w:sz w:val="21"/>
                <w:szCs w:val="21"/>
              </w:rPr>
            </w:pPr>
          </w:p>
        </w:tc>
        <w:tc>
          <w:tcPr>
            <w:tcW w:w="1060" w:type="pc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节水器具普及率</w:t>
            </w:r>
          </w:p>
        </w:tc>
        <w:tc>
          <w:tcPr>
            <w:tcW w:w="2899" w:type="pc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trPr>
        <w:tc>
          <w:tcPr>
            <w:tcW w:w="789" w:type="pct"/>
            <w:vMerge w:val="continue"/>
            <w:vAlign w:val="center"/>
          </w:tcPr>
          <w:p>
            <w:pPr>
              <w:pStyle w:val="303"/>
              <w:rPr>
                <w:rFonts w:hint="default" w:ascii="Times New Roman" w:hAnsi="Times New Roman" w:cs="Times New Roman"/>
                <w:bCs/>
                <w:kern w:val="0"/>
                <w:sz w:val="21"/>
                <w:szCs w:val="21"/>
              </w:rPr>
            </w:pPr>
          </w:p>
        </w:tc>
        <w:tc>
          <w:tcPr>
            <w:tcW w:w="250" w:type="pct"/>
            <w:vMerge w:val="continue"/>
            <w:shd w:val="clear" w:color="auto" w:fill="auto"/>
            <w:tcMar>
              <w:top w:w="15" w:type="dxa"/>
              <w:left w:w="15" w:type="dxa"/>
              <w:right w:w="15" w:type="dxa"/>
            </w:tcMar>
            <w:vAlign w:val="center"/>
          </w:tcPr>
          <w:p>
            <w:pPr>
              <w:pStyle w:val="303"/>
              <w:rPr>
                <w:rFonts w:hint="default" w:ascii="Times New Roman" w:hAnsi="Times New Roman" w:cs="Times New Roman"/>
                <w:bCs/>
                <w:kern w:val="0"/>
                <w:sz w:val="21"/>
                <w:szCs w:val="21"/>
              </w:rPr>
            </w:pPr>
          </w:p>
        </w:tc>
        <w:tc>
          <w:tcPr>
            <w:tcW w:w="1060" w:type="pc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建筑外门窗可开启比例</w:t>
            </w:r>
          </w:p>
        </w:tc>
        <w:tc>
          <w:tcPr>
            <w:tcW w:w="2899" w:type="pc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trPr>
        <w:tc>
          <w:tcPr>
            <w:tcW w:w="789" w:type="pct"/>
            <w:vMerge w:val="continue"/>
            <w:vAlign w:val="center"/>
          </w:tcPr>
          <w:p>
            <w:pPr>
              <w:pStyle w:val="303"/>
              <w:rPr>
                <w:rFonts w:hint="default" w:ascii="Times New Roman" w:hAnsi="Times New Roman" w:cs="Times New Roman"/>
                <w:bCs/>
                <w:kern w:val="0"/>
                <w:sz w:val="21"/>
                <w:szCs w:val="21"/>
              </w:rPr>
            </w:pPr>
          </w:p>
        </w:tc>
        <w:tc>
          <w:tcPr>
            <w:tcW w:w="250" w:type="pct"/>
            <w:vMerge w:val="continue"/>
            <w:shd w:val="clear" w:color="auto" w:fill="auto"/>
            <w:tcMar>
              <w:top w:w="15" w:type="dxa"/>
              <w:left w:w="15" w:type="dxa"/>
              <w:right w:w="15" w:type="dxa"/>
            </w:tcMar>
            <w:vAlign w:val="center"/>
          </w:tcPr>
          <w:p>
            <w:pPr>
              <w:pStyle w:val="303"/>
              <w:rPr>
                <w:rFonts w:hint="default" w:ascii="Times New Roman" w:hAnsi="Times New Roman" w:cs="Times New Roman"/>
                <w:bCs/>
                <w:kern w:val="0"/>
                <w:sz w:val="21"/>
                <w:szCs w:val="21"/>
              </w:rPr>
            </w:pPr>
          </w:p>
        </w:tc>
        <w:tc>
          <w:tcPr>
            <w:tcW w:w="1060" w:type="pc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玻璃幕墙可开启比例</w:t>
            </w:r>
          </w:p>
        </w:tc>
        <w:tc>
          <w:tcPr>
            <w:tcW w:w="2899" w:type="pc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trPr>
        <w:tc>
          <w:tcPr>
            <w:tcW w:w="789" w:type="pct"/>
            <w:vMerge w:val="continue"/>
            <w:vAlign w:val="center"/>
          </w:tcPr>
          <w:p>
            <w:pPr>
              <w:pStyle w:val="303"/>
              <w:rPr>
                <w:rFonts w:hint="default" w:ascii="Times New Roman" w:hAnsi="Times New Roman" w:cs="Times New Roman"/>
                <w:bCs/>
                <w:kern w:val="0"/>
                <w:sz w:val="21"/>
                <w:szCs w:val="21"/>
              </w:rPr>
            </w:pPr>
          </w:p>
        </w:tc>
        <w:tc>
          <w:tcPr>
            <w:tcW w:w="250" w:type="pct"/>
            <w:vMerge w:val="continue"/>
            <w:shd w:val="clear" w:color="auto" w:fill="auto"/>
            <w:tcMar>
              <w:top w:w="15" w:type="dxa"/>
              <w:left w:w="15" w:type="dxa"/>
              <w:right w:w="15" w:type="dxa"/>
            </w:tcMar>
            <w:vAlign w:val="center"/>
          </w:tcPr>
          <w:p>
            <w:pPr>
              <w:pStyle w:val="303"/>
              <w:rPr>
                <w:rFonts w:hint="default" w:ascii="Times New Roman" w:hAnsi="Times New Roman" w:cs="Times New Roman"/>
                <w:bCs/>
                <w:kern w:val="0"/>
                <w:sz w:val="21"/>
                <w:szCs w:val="21"/>
              </w:rPr>
            </w:pPr>
          </w:p>
        </w:tc>
        <w:tc>
          <w:tcPr>
            <w:tcW w:w="1060" w:type="pc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地面停车位</w:t>
            </w:r>
          </w:p>
        </w:tc>
        <w:tc>
          <w:tcPr>
            <w:tcW w:w="2899" w:type="pc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地面停车位数量与住宅总套数的比率＜10%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trPr>
        <w:tc>
          <w:tcPr>
            <w:tcW w:w="789" w:type="pct"/>
            <w:vMerge w:val="continue"/>
            <w:vAlign w:val="center"/>
          </w:tcPr>
          <w:p>
            <w:pPr>
              <w:pStyle w:val="303"/>
              <w:rPr>
                <w:rFonts w:hint="default" w:ascii="Times New Roman" w:hAnsi="Times New Roman" w:cs="Times New Roman"/>
                <w:bCs/>
                <w:kern w:val="0"/>
                <w:sz w:val="21"/>
                <w:szCs w:val="21"/>
              </w:rPr>
            </w:pPr>
          </w:p>
        </w:tc>
        <w:tc>
          <w:tcPr>
            <w:tcW w:w="250" w:type="pct"/>
            <w:vMerge w:val="restar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公共建筑</w:t>
            </w:r>
          </w:p>
        </w:tc>
        <w:tc>
          <w:tcPr>
            <w:tcW w:w="1060" w:type="pc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绿色化改造</w:t>
            </w:r>
          </w:p>
        </w:tc>
        <w:tc>
          <w:tcPr>
            <w:tcW w:w="2899" w:type="pc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建筑改造鼓励采用节能绿色化技术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trPr>
        <w:tc>
          <w:tcPr>
            <w:tcW w:w="789" w:type="pct"/>
            <w:vMerge w:val="continue"/>
            <w:vAlign w:val="center"/>
          </w:tcPr>
          <w:p>
            <w:pPr>
              <w:pStyle w:val="303"/>
              <w:rPr>
                <w:rFonts w:hint="default" w:ascii="Times New Roman" w:hAnsi="Times New Roman" w:cs="Times New Roman"/>
                <w:bCs/>
                <w:kern w:val="0"/>
                <w:sz w:val="21"/>
                <w:szCs w:val="21"/>
              </w:rPr>
            </w:pPr>
          </w:p>
        </w:tc>
        <w:tc>
          <w:tcPr>
            <w:tcW w:w="250" w:type="pct"/>
            <w:vMerge w:val="continue"/>
            <w:shd w:val="clear" w:color="auto" w:fill="auto"/>
            <w:tcMar>
              <w:top w:w="15" w:type="dxa"/>
              <w:left w:w="15" w:type="dxa"/>
              <w:right w:w="15" w:type="dxa"/>
            </w:tcMar>
            <w:vAlign w:val="center"/>
          </w:tcPr>
          <w:p>
            <w:pPr>
              <w:pStyle w:val="303"/>
              <w:rPr>
                <w:rFonts w:hint="default" w:ascii="Times New Roman" w:hAnsi="Times New Roman" w:cs="Times New Roman"/>
                <w:bCs/>
                <w:kern w:val="0"/>
                <w:sz w:val="21"/>
                <w:szCs w:val="21"/>
              </w:rPr>
            </w:pPr>
          </w:p>
        </w:tc>
        <w:tc>
          <w:tcPr>
            <w:tcW w:w="1060" w:type="pc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场地声环境质量</w:t>
            </w:r>
          </w:p>
        </w:tc>
        <w:tc>
          <w:tcPr>
            <w:tcW w:w="2899" w:type="pc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2类及以上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trPr>
        <w:tc>
          <w:tcPr>
            <w:tcW w:w="789" w:type="pct"/>
            <w:vMerge w:val="continue"/>
            <w:vAlign w:val="center"/>
          </w:tcPr>
          <w:p>
            <w:pPr>
              <w:pStyle w:val="303"/>
              <w:rPr>
                <w:rFonts w:hint="default" w:ascii="Times New Roman" w:hAnsi="Times New Roman" w:cs="Times New Roman"/>
                <w:bCs/>
                <w:kern w:val="0"/>
                <w:sz w:val="21"/>
                <w:szCs w:val="21"/>
              </w:rPr>
            </w:pPr>
          </w:p>
        </w:tc>
        <w:tc>
          <w:tcPr>
            <w:tcW w:w="250" w:type="pct"/>
            <w:vMerge w:val="continue"/>
            <w:shd w:val="clear" w:color="auto" w:fill="auto"/>
            <w:tcMar>
              <w:top w:w="15" w:type="dxa"/>
              <w:left w:w="15" w:type="dxa"/>
              <w:right w:w="15" w:type="dxa"/>
            </w:tcMar>
            <w:vAlign w:val="center"/>
          </w:tcPr>
          <w:p>
            <w:pPr>
              <w:pStyle w:val="303"/>
              <w:rPr>
                <w:rFonts w:hint="default" w:ascii="Times New Roman" w:hAnsi="Times New Roman" w:cs="Times New Roman"/>
                <w:bCs/>
                <w:kern w:val="0"/>
                <w:sz w:val="21"/>
                <w:szCs w:val="21"/>
              </w:rPr>
            </w:pPr>
          </w:p>
        </w:tc>
        <w:tc>
          <w:tcPr>
            <w:tcW w:w="1060" w:type="pc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电动汽车充电设施安装（预留）比例</w:t>
            </w:r>
          </w:p>
        </w:tc>
        <w:tc>
          <w:tcPr>
            <w:tcW w:w="2899" w:type="pc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trPr>
        <w:tc>
          <w:tcPr>
            <w:tcW w:w="789" w:type="pct"/>
            <w:vMerge w:val="continue"/>
            <w:vAlign w:val="center"/>
          </w:tcPr>
          <w:p>
            <w:pPr>
              <w:pStyle w:val="303"/>
              <w:rPr>
                <w:rFonts w:hint="default" w:ascii="Times New Roman" w:hAnsi="Times New Roman" w:cs="Times New Roman"/>
                <w:bCs/>
                <w:kern w:val="0"/>
                <w:sz w:val="21"/>
                <w:szCs w:val="21"/>
              </w:rPr>
            </w:pPr>
          </w:p>
        </w:tc>
        <w:tc>
          <w:tcPr>
            <w:tcW w:w="250" w:type="pct"/>
            <w:vMerge w:val="continue"/>
            <w:shd w:val="clear" w:color="auto" w:fill="auto"/>
            <w:tcMar>
              <w:top w:w="15" w:type="dxa"/>
              <w:left w:w="15" w:type="dxa"/>
              <w:right w:w="15" w:type="dxa"/>
            </w:tcMar>
            <w:vAlign w:val="center"/>
          </w:tcPr>
          <w:p>
            <w:pPr>
              <w:pStyle w:val="303"/>
              <w:rPr>
                <w:rFonts w:hint="default" w:ascii="Times New Roman" w:hAnsi="Times New Roman" w:cs="Times New Roman"/>
                <w:bCs/>
                <w:kern w:val="0"/>
                <w:sz w:val="21"/>
                <w:szCs w:val="21"/>
              </w:rPr>
            </w:pPr>
          </w:p>
        </w:tc>
        <w:tc>
          <w:tcPr>
            <w:tcW w:w="1060" w:type="pc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能耗监测覆盖率</w:t>
            </w:r>
          </w:p>
        </w:tc>
        <w:tc>
          <w:tcPr>
            <w:tcW w:w="2899" w:type="pc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trPr>
        <w:tc>
          <w:tcPr>
            <w:tcW w:w="789" w:type="pct"/>
            <w:vMerge w:val="continue"/>
            <w:vAlign w:val="center"/>
          </w:tcPr>
          <w:p>
            <w:pPr>
              <w:pStyle w:val="303"/>
              <w:rPr>
                <w:rFonts w:hint="default" w:ascii="Times New Roman" w:hAnsi="Times New Roman" w:cs="Times New Roman"/>
                <w:bCs/>
                <w:kern w:val="0"/>
                <w:sz w:val="21"/>
                <w:szCs w:val="21"/>
              </w:rPr>
            </w:pPr>
          </w:p>
        </w:tc>
        <w:tc>
          <w:tcPr>
            <w:tcW w:w="250" w:type="pct"/>
            <w:vMerge w:val="continue"/>
            <w:shd w:val="clear" w:color="auto" w:fill="auto"/>
            <w:tcMar>
              <w:top w:w="15" w:type="dxa"/>
              <w:left w:w="15" w:type="dxa"/>
              <w:right w:w="15" w:type="dxa"/>
            </w:tcMar>
            <w:vAlign w:val="center"/>
          </w:tcPr>
          <w:p>
            <w:pPr>
              <w:pStyle w:val="303"/>
              <w:rPr>
                <w:rFonts w:hint="default" w:ascii="Times New Roman" w:hAnsi="Times New Roman" w:cs="Times New Roman"/>
                <w:bCs/>
                <w:kern w:val="0"/>
                <w:sz w:val="21"/>
                <w:szCs w:val="21"/>
              </w:rPr>
            </w:pPr>
          </w:p>
        </w:tc>
        <w:tc>
          <w:tcPr>
            <w:tcW w:w="1060" w:type="pc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建筑外门窗可开启比例</w:t>
            </w:r>
          </w:p>
        </w:tc>
        <w:tc>
          <w:tcPr>
            <w:tcW w:w="2899" w:type="pc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trPr>
        <w:tc>
          <w:tcPr>
            <w:tcW w:w="789" w:type="pct"/>
            <w:vMerge w:val="continue"/>
            <w:vAlign w:val="center"/>
          </w:tcPr>
          <w:p>
            <w:pPr>
              <w:pStyle w:val="303"/>
              <w:rPr>
                <w:rFonts w:hint="default" w:ascii="Times New Roman" w:hAnsi="Times New Roman" w:cs="Times New Roman"/>
                <w:bCs/>
                <w:kern w:val="0"/>
                <w:sz w:val="21"/>
                <w:szCs w:val="21"/>
              </w:rPr>
            </w:pPr>
          </w:p>
        </w:tc>
        <w:tc>
          <w:tcPr>
            <w:tcW w:w="250" w:type="pct"/>
            <w:vMerge w:val="continue"/>
            <w:shd w:val="clear" w:color="auto" w:fill="auto"/>
            <w:tcMar>
              <w:top w:w="15" w:type="dxa"/>
              <w:left w:w="15" w:type="dxa"/>
              <w:right w:w="15" w:type="dxa"/>
            </w:tcMar>
            <w:vAlign w:val="center"/>
          </w:tcPr>
          <w:p>
            <w:pPr>
              <w:pStyle w:val="303"/>
              <w:rPr>
                <w:rFonts w:hint="default" w:ascii="Times New Roman" w:hAnsi="Times New Roman" w:cs="Times New Roman"/>
                <w:bCs/>
                <w:kern w:val="0"/>
                <w:sz w:val="21"/>
                <w:szCs w:val="21"/>
              </w:rPr>
            </w:pPr>
          </w:p>
        </w:tc>
        <w:tc>
          <w:tcPr>
            <w:tcW w:w="1060" w:type="pc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玻璃幕墙可开启比例</w:t>
            </w:r>
          </w:p>
        </w:tc>
        <w:tc>
          <w:tcPr>
            <w:tcW w:w="2899" w:type="pc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trPr>
        <w:tc>
          <w:tcPr>
            <w:tcW w:w="789" w:type="pct"/>
            <w:vMerge w:val="continue"/>
            <w:vAlign w:val="center"/>
          </w:tcPr>
          <w:p>
            <w:pPr>
              <w:pStyle w:val="303"/>
              <w:rPr>
                <w:rFonts w:hint="default" w:ascii="Times New Roman" w:hAnsi="Times New Roman" w:cs="Times New Roman"/>
                <w:bCs/>
                <w:kern w:val="0"/>
                <w:sz w:val="21"/>
                <w:szCs w:val="21"/>
              </w:rPr>
            </w:pPr>
          </w:p>
        </w:tc>
        <w:tc>
          <w:tcPr>
            <w:tcW w:w="250" w:type="pct"/>
            <w:vMerge w:val="continue"/>
            <w:shd w:val="clear" w:color="auto" w:fill="auto"/>
            <w:tcMar>
              <w:top w:w="15" w:type="dxa"/>
              <w:left w:w="15" w:type="dxa"/>
              <w:right w:w="15" w:type="dxa"/>
            </w:tcMar>
            <w:vAlign w:val="center"/>
          </w:tcPr>
          <w:p>
            <w:pPr>
              <w:pStyle w:val="303"/>
              <w:rPr>
                <w:rFonts w:hint="default" w:ascii="Times New Roman" w:hAnsi="Times New Roman" w:cs="Times New Roman"/>
                <w:bCs/>
                <w:kern w:val="0"/>
                <w:sz w:val="21"/>
                <w:szCs w:val="21"/>
              </w:rPr>
            </w:pPr>
          </w:p>
        </w:tc>
        <w:tc>
          <w:tcPr>
            <w:tcW w:w="1060" w:type="pc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地面停车位</w:t>
            </w:r>
          </w:p>
        </w:tc>
        <w:tc>
          <w:tcPr>
            <w:tcW w:w="2899" w:type="pc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地面停车占地面积与其总建设用地面积的比率＜8%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trPr>
        <w:tc>
          <w:tcPr>
            <w:tcW w:w="789" w:type="pct"/>
            <w:vMerge w:val="continue"/>
            <w:vAlign w:val="center"/>
          </w:tcPr>
          <w:p>
            <w:pPr>
              <w:pStyle w:val="303"/>
              <w:rPr>
                <w:rFonts w:hint="default" w:ascii="Times New Roman" w:hAnsi="Times New Roman" w:cs="Times New Roman"/>
                <w:bCs/>
                <w:kern w:val="0"/>
                <w:sz w:val="21"/>
                <w:szCs w:val="21"/>
              </w:rPr>
            </w:pPr>
          </w:p>
        </w:tc>
        <w:tc>
          <w:tcPr>
            <w:tcW w:w="250" w:type="pct"/>
            <w:vMerge w:val="restar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工业建筑</w:t>
            </w:r>
          </w:p>
        </w:tc>
        <w:tc>
          <w:tcPr>
            <w:tcW w:w="1060" w:type="pc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屋顶面积大于2000平方米的光伏覆盖率</w:t>
            </w:r>
          </w:p>
        </w:tc>
        <w:tc>
          <w:tcPr>
            <w:tcW w:w="2899" w:type="pc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trPr>
        <w:tc>
          <w:tcPr>
            <w:tcW w:w="789" w:type="pct"/>
            <w:vMerge w:val="continue"/>
            <w:vAlign w:val="center"/>
          </w:tcPr>
          <w:p>
            <w:pPr>
              <w:pStyle w:val="303"/>
              <w:rPr>
                <w:rFonts w:hint="default" w:ascii="Times New Roman" w:hAnsi="Times New Roman" w:cs="Times New Roman"/>
                <w:bCs/>
                <w:kern w:val="0"/>
                <w:sz w:val="21"/>
                <w:szCs w:val="21"/>
              </w:rPr>
            </w:pPr>
          </w:p>
        </w:tc>
        <w:tc>
          <w:tcPr>
            <w:tcW w:w="250" w:type="pct"/>
            <w:vMerge w:val="continue"/>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p>
        </w:tc>
        <w:tc>
          <w:tcPr>
            <w:tcW w:w="1060" w:type="pc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电动汽车充电设施安装（预留）比例</w:t>
            </w:r>
          </w:p>
        </w:tc>
        <w:tc>
          <w:tcPr>
            <w:tcW w:w="2899" w:type="pct"/>
            <w:shd w:val="clear" w:color="auto" w:fill="auto"/>
            <w:tcMar>
              <w:top w:w="15" w:type="dxa"/>
              <w:left w:w="15" w:type="dxa"/>
              <w:right w:w="15"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≥10%</w:t>
            </w:r>
          </w:p>
        </w:tc>
      </w:tr>
    </w:tbl>
    <w:p>
      <w:pPr>
        <w:pStyle w:val="2"/>
        <w:spacing w:before="156" w:after="93"/>
        <w:ind w:firstLine="400"/>
      </w:pPr>
    </w:p>
    <w:p/>
    <w:p>
      <w:pPr>
        <w:pStyle w:val="5"/>
        <w:rPr>
          <w:rFonts w:ascii="Times New Roman" w:hAnsi="Times New Roman" w:eastAsia="仿宋" w:cs="Times New Roman"/>
          <w:sz w:val="30"/>
          <w:szCs w:val="30"/>
        </w:rPr>
        <w:sectPr>
          <w:pgSz w:w="11906" w:h="16838"/>
          <w:pgMar w:top="1440" w:right="1797" w:bottom="1440" w:left="1797" w:header="851" w:footer="992" w:gutter="0"/>
          <w:cols w:space="425" w:num="1"/>
          <w:docGrid w:type="linesAndChars" w:linePitch="312" w:charSpace="0"/>
        </w:sectPr>
      </w:pPr>
    </w:p>
    <w:p>
      <w:pPr>
        <w:pStyle w:val="5"/>
        <w:rPr>
          <w:rFonts w:ascii="Times New Roman" w:hAnsi="Times New Roman" w:eastAsia="仿宋" w:cs="Times New Roman"/>
          <w:sz w:val="30"/>
          <w:szCs w:val="30"/>
        </w:rPr>
      </w:pPr>
      <w:bookmarkStart w:id="96" w:name="_Toc124321384"/>
      <w:r>
        <w:rPr>
          <w:rFonts w:hint="eastAsia" w:ascii="Times New Roman" w:hAnsi="Times New Roman" w:eastAsia="仿宋" w:cs="Times New Roman"/>
          <w:sz w:val="30"/>
          <w:szCs w:val="30"/>
        </w:rPr>
        <w:t>第</w:t>
      </w:r>
      <w:r>
        <w:rPr>
          <w:rFonts w:ascii="Times New Roman" w:hAnsi="Times New Roman" w:eastAsia="仿宋" w:cs="Times New Roman"/>
          <w:sz w:val="30"/>
          <w:szCs w:val="30"/>
        </w:rPr>
        <w:t>1</w:t>
      </w:r>
      <w:r>
        <w:rPr>
          <w:rFonts w:hint="eastAsia" w:ascii="Times New Roman" w:hAnsi="Times New Roman" w:eastAsia="仿宋" w:cs="Times New Roman"/>
          <w:sz w:val="30"/>
          <w:szCs w:val="30"/>
        </w:rPr>
        <w:t>8条</w:t>
      </w:r>
      <w:r>
        <w:rPr>
          <w:rFonts w:ascii="Times New Roman" w:hAnsi="Times New Roman" w:eastAsia="仿宋" w:cs="Times New Roman"/>
          <w:sz w:val="30"/>
          <w:szCs w:val="30"/>
        </w:rPr>
        <w:t xml:space="preserve"> </w:t>
      </w:r>
      <w:r>
        <w:rPr>
          <w:rFonts w:hint="eastAsia" w:ascii="Times New Roman" w:hAnsi="Times New Roman" w:eastAsia="仿宋" w:cs="Times New Roman"/>
          <w:sz w:val="30"/>
          <w:szCs w:val="30"/>
        </w:rPr>
        <w:t>重点发展区域</w:t>
      </w:r>
      <w:bookmarkEnd w:id="96"/>
    </w:p>
    <w:p>
      <w:pPr>
        <w:pStyle w:val="2"/>
        <w:spacing w:before="156" w:after="93"/>
        <w:ind w:firstLine="480"/>
        <w:rPr>
          <w:rFonts w:ascii="Times New Roman" w:hAnsi="Times New Roman" w:eastAsia="仿宋"/>
          <w:sz w:val="24"/>
        </w:rPr>
      </w:pPr>
      <w:r>
        <w:rPr>
          <w:rFonts w:hint="eastAsia" w:ascii="Times New Roman" w:hAnsi="Times New Roman" w:eastAsia="仿宋"/>
          <w:sz w:val="24"/>
        </w:rPr>
        <w:t>对接中山市国土空间规划内容以及</w:t>
      </w:r>
      <w:r>
        <w:rPr>
          <w:rFonts w:hint="eastAsia" w:ascii="Times New Roman" w:hAnsi="Times New Roman" w:eastAsia="仿宋"/>
          <w:sz w:val="24"/>
          <w:lang w:val="en-US" w:eastAsia="zh-CN"/>
        </w:rPr>
        <w:t>根据</w:t>
      </w:r>
      <w:r>
        <w:rPr>
          <w:rFonts w:hint="eastAsia" w:ascii="Times New Roman" w:hAnsi="Times New Roman" w:eastAsia="仿宋"/>
          <w:sz w:val="24"/>
        </w:rPr>
        <w:t>绿色建筑发展潜力分析结果，选择翠亨新区、火炬开发区和岐江新城作为中山市绿色建筑的重点发展区域。绿色建筑发展重点发展区域内新建建筑项目应按照二星级绿色建筑标准或以上进行建设。</w:t>
      </w:r>
    </w:p>
    <w:p>
      <w:pPr>
        <w:pStyle w:val="2"/>
        <w:spacing w:before="156" w:after="93"/>
        <w:ind w:firstLine="0" w:firstLineChars="0"/>
        <w:jc w:val="center"/>
        <w:rPr>
          <w:rFonts w:ascii="仿宋" w:hAnsi="仿宋" w:eastAsia="仿宋"/>
          <w:b/>
          <w:bCs/>
          <w:sz w:val="21"/>
          <w:szCs w:val="21"/>
        </w:rPr>
      </w:pPr>
      <w:r>
        <w:rPr>
          <w:rFonts w:hint="eastAsia" w:ascii="仿宋" w:hAnsi="仿宋" w:eastAsia="仿宋"/>
          <w:b/>
          <w:bCs/>
          <w:sz w:val="21"/>
          <w:szCs w:val="21"/>
        </w:rPr>
        <w:t>表</w:t>
      </w:r>
      <w:r>
        <w:rPr>
          <w:rFonts w:hint="eastAsia" w:ascii="仿宋" w:hAnsi="仿宋" w:eastAsia="仿宋"/>
          <w:b/>
          <w:bCs/>
          <w:sz w:val="21"/>
          <w:szCs w:val="21"/>
          <w:lang w:val="en-US" w:eastAsia="zh-CN"/>
        </w:rPr>
        <w:t>13</w:t>
      </w:r>
      <w:r>
        <w:rPr>
          <w:rFonts w:ascii="仿宋" w:hAnsi="仿宋" w:eastAsia="仿宋"/>
          <w:b/>
          <w:bCs/>
          <w:sz w:val="21"/>
          <w:szCs w:val="21"/>
        </w:rPr>
        <w:t xml:space="preserve"> </w:t>
      </w:r>
      <w:r>
        <w:rPr>
          <w:rFonts w:hint="eastAsia" w:ascii="仿宋" w:hAnsi="仿宋" w:eastAsia="仿宋"/>
          <w:b/>
          <w:bCs/>
          <w:sz w:val="21"/>
          <w:szCs w:val="21"/>
        </w:rPr>
        <w:t>中山市重点发展区域绿色建筑发展目标表</w:t>
      </w:r>
    </w:p>
    <w:tbl>
      <w:tblPr>
        <w:tblStyle w:val="4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94"/>
        <w:gridCol w:w="1402"/>
        <w:gridCol w:w="2219"/>
        <w:gridCol w:w="2331"/>
        <w:gridCol w:w="1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6" w:hRule="atLeast"/>
          <w:tblHeader/>
          <w:jc w:val="center"/>
        </w:trPr>
        <w:tc>
          <w:tcPr>
            <w:tcW w:w="350" w:type="pct"/>
            <w:shd w:val="clear" w:color="auto" w:fill="auto"/>
            <w:tcMar>
              <w:top w:w="15" w:type="dxa"/>
              <w:left w:w="86" w:type="dxa"/>
              <w:bottom w:w="0" w:type="dxa"/>
              <w:right w:w="86"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序号</w:t>
            </w:r>
          </w:p>
        </w:tc>
        <w:tc>
          <w:tcPr>
            <w:tcW w:w="826" w:type="pct"/>
            <w:shd w:val="clear" w:color="auto" w:fill="auto"/>
            <w:tcMar>
              <w:top w:w="15" w:type="dxa"/>
              <w:left w:w="86" w:type="dxa"/>
              <w:bottom w:w="0" w:type="dxa"/>
              <w:right w:w="86"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重点区域名称</w:t>
            </w:r>
          </w:p>
        </w:tc>
        <w:tc>
          <w:tcPr>
            <w:tcW w:w="1307" w:type="pct"/>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目标单元编号</w:t>
            </w:r>
          </w:p>
        </w:tc>
        <w:tc>
          <w:tcPr>
            <w:tcW w:w="1373" w:type="pct"/>
            <w:shd w:val="clear" w:color="auto" w:fill="auto"/>
            <w:tcMar>
              <w:top w:w="15" w:type="dxa"/>
              <w:left w:w="86" w:type="dxa"/>
              <w:bottom w:w="0" w:type="dxa"/>
              <w:right w:w="86"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二星级及以上绿色建筑占比</w:t>
            </w:r>
          </w:p>
        </w:tc>
        <w:tc>
          <w:tcPr>
            <w:tcW w:w="1141" w:type="pct"/>
            <w:shd w:val="clear" w:color="auto" w:fill="auto"/>
            <w:tcMar>
              <w:top w:w="15" w:type="dxa"/>
              <w:left w:w="86" w:type="dxa"/>
              <w:bottom w:w="0" w:type="dxa"/>
              <w:right w:w="86"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9" w:hRule="atLeast"/>
          <w:tblHeader/>
          <w:jc w:val="center"/>
        </w:trPr>
        <w:tc>
          <w:tcPr>
            <w:tcW w:w="350" w:type="pct"/>
            <w:vMerge w:val="restart"/>
            <w:shd w:val="clear" w:color="auto" w:fill="auto"/>
            <w:tcMar>
              <w:top w:w="15" w:type="dxa"/>
              <w:left w:w="86" w:type="dxa"/>
              <w:bottom w:w="0" w:type="dxa"/>
              <w:right w:w="86"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1</w:t>
            </w:r>
          </w:p>
        </w:tc>
        <w:tc>
          <w:tcPr>
            <w:tcW w:w="826" w:type="pct"/>
            <w:vMerge w:val="restart"/>
            <w:shd w:val="clear" w:color="auto" w:fill="auto"/>
            <w:tcMar>
              <w:top w:w="15" w:type="dxa"/>
              <w:left w:w="86" w:type="dxa"/>
              <w:bottom w:w="0" w:type="dxa"/>
              <w:right w:w="86"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翠亨新区</w:t>
            </w:r>
          </w:p>
        </w:tc>
        <w:tc>
          <w:tcPr>
            <w:tcW w:w="1307" w:type="pct"/>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CHXQ-NL</w:t>
            </w:r>
          </w:p>
        </w:tc>
        <w:tc>
          <w:tcPr>
            <w:tcW w:w="1373" w:type="pct"/>
            <w:vMerge w:val="restart"/>
            <w:shd w:val="clear" w:color="auto" w:fill="auto"/>
            <w:tcMar>
              <w:top w:w="15" w:type="dxa"/>
              <w:left w:w="86" w:type="dxa"/>
              <w:bottom w:w="0" w:type="dxa"/>
              <w:right w:w="86"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100%</w:t>
            </w:r>
          </w:p>
        </w:tc>
        <w:tc>
          <w:tcPr>
            <w:tcW w:w="1141" w:type="pct"/>
            <w:vMerge w:val="restart"/>
            <w:shd w:val="clear" w:color="auto" w:fill="auto"/>
            <w:tcMar>
              <w:top w:w="15" w:type="dxa"/>
              <w:left w:w="86" w:type="dxa"/>
              <w:bottom w:w="0" w:type="dxa"/>
              <w:right w:w="86"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限民用建筑，包括工业用地范围内用于办公、居住等民用建筑功能的建筑。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9" w:hRule="atLeast"/>
          <w:tblHeader/>
          <w:jc w:val="center"/>
        </w:trPr>
        <w:tc>
          <w:tcPr>
            <w:tcW w:w="350" w:type="pct"/>
            <w:vMerge w:val="continue"/>
            <w:shd w:val="clear" w:color="auto" w:fill="auto"/>
            <w:tcMar>
              <w:top w:w="15" w:type="dxa"/>
              <w:left w:w="86" w:type="dxa"/>
              <w:bottom w:w="0" w:type="dxa"/>
              <w:right w:w="86" w:type="dxa"/>
            </w:tcMar>
            <w:vAlign w:val="center"/>
          </w:tcPr>
          <w:p>
            <w:pPr>
              <w:widowControl/>
              <w:jc w:val="center"/>
              <w:textAlignment w:val="center"/>
              <w:rPr>
                <w:rFonts w:hint="default" w:ascii="Times New Roman" w:hAnsi="Times New Roman" w:eastAsia="仿宋" w:cs="Times New Roman"/>
                <w:kern w:val="0"/>
                <w:sz w:val="21"/>
                <w:szCs w:val="21"/>
              </w:rPr>
            </w:pPr>
          </w:p>
        </w:tc>
        <w:tc>
          <w:tcPr>
            <w:tcW w:w="826" w:type="pct"/>
            <w:vMerge w:val="continue"/>
            <w:shd w:val="clear" w:color="auto" w:fill="auto"/>
            <w:tcMar>
              <w:top w:w="15" w:type="dxa"/>
              <w:left w:w="86" w:type="dxa"/>
              <w:bottom w:w="0" w:type="dxa"/>
              <w:right w:w="86" w:type="dxa"/>
            </w:tcMar>
            <w:vAlign w:val="center"/>
          </w:tcPr>
          <w:p>
            <w:pPr>
              <w:widowControl/>
              <w:jc w:val="center"/>
              <w:textAlignment w:val="center"/>
              <w:rPr>
                <w:rFonts w:hint="default" w:ascii="Times New Roman" w:hAnsi="Times New Roman" w:eastAsia="仿宋" w:cs="Times New Roman"/>
                <w:kern w:val="0"/>
                <w:sz w:val="21"/>
                <w:szCs w:val="21"/>
              </w:rPr>
            </w:pPr>
          </w:p>
        </w:tc>
        <w:tc>
          <w:tcPr>
            <w:tcW w:w="1307" w:type="pct"/>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CHXQ-CH</w:t>
            </w:r>
          </w:p>
        </w:tc>
        <w:tc>
          <w:tcPr>
            <w:tcW w:w="1373" w:type="pct"/>
            <w:vMerge w:val="continue"/>
            <w:shd w:val="clear" w:color="auto" w:fill="auto"/>
            <w:tcMar>
              <w:top w:w="15" w:type="dxa"/>
              <w:left w:w="86" w:type="dxa"/>
              <w:bottom w:w="0" w:type="dxa"/>
              <w:right w:w="86" w:type="dxa"/>
            </w:tcMar>
            <w:vAlign w:val="center"/>
          </w:tcPr>
          <w:p>
            <w:pPr>
              <w:widowControl/>
              <w:jc w:val="center"/>
              <w:textAlignment w:val="center"/>
              <w:rPr>
                <w:rFonts w:hint="default" w:ascii="Times New Roman" w:hAnsi="Times New Roman" w:eastAsia="仿宋" w:cs="Times New Roman"/>
                <w:kern w:val="0"/>
                <w:sz w:val="21"/>
                <w:szCs w:val="21"/>
              </w:rPr>
            </w:pPr>
          </w:p>
        </w:tc>
        <w:tc>
          <w:tcPr>
            <w:tcW w:w="1141" w:type="pct"/>
            <w:vMerge w:val="continue"/>
            <w:shd w:val="clear" w:color="auto" w:fill="auto"/>
            <w:tcMar>
              <w:top w:w="15" w:type="dxa"/>
              <w:left w:w="86" w:type="dxa"/>
              <w:bottom w:w="0" w:type="dxa"/>
              <w:right w:w="86" w:type="dxa"/>
            </w:tcMar>
            <w:vAlign w:val="center"/>
          </w:tcPr>
          <w:p>
            <w:pPr>
              <w:widowControl/>
              <w:jc w:val="center"/>
              <w:textAlignment w:val="center"/>
              <w:rPr>
                <w:rFonts w:hint="default" w:ascii="Times New Roman" w:hAnsi="Times New Roman" w:eastAsia="仿宋"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9" w:hRule="atLeast"/>
          <w:tblHeader/>
          <w:jc w:val="center"/>
        </w:trPr>
        <w:tc>
          <w:tcPr>
            <w:tcW w:w="350" w:type="pct"/>
            <w:vMerge w:val="restart"/>
            <w:shd w:val="clear" w:color="auto" w:fill="auto"/>
            <w:tcMar>
              <w:top w:w="15" w:type="dxa"/>
              <w:left w:w="86" w:type="dxa"/>
              <w:bottom w:w="0" w:type="dxa"/>
              <w:right w:w="86"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2</w:t>
            </w:r>
          </w:p>
        </w:tc>
        <w:tc>
          <w:tcPr>
            <w:tcW w:w="826" w:type="pct"/>
            <w:vMerge w:val="restart"/>
            <w:shd w:val="clear" w:color="auto" w:fill="auto"/>
            <w:tcMar>
              <w:top w:w="15" w:type="dxa"/>
              <w:left w:w="86" w:type="dxa"/>
              <w:bottom w:w="0" w:type="dxa"/>
              <w:right w:w="86"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火炬开发区</w:t>
            </w:r>
          </w:p>
        </w:tc>
        <w:tc>
          <w:tcPr>
            <w:tcW w:w="1307" w:type="pct"/>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HJQ-MZ</w:t>
            </w:r>
          </w:p>
        </w:tc>
        <w:tc>
          <w:tcPr>
            <w:tcW w:w="1373" w:type="pct"/>
            <w:vMerge w:val="restart"/>
            <w:shd w:val="clear" w:color="auto" w:fill="auto"/>
            <w:tcMar>
              <w:top w:w="15" w:type="dxa"/>
              <w:left w:w="86" w:type="dxa"/>
              <w:bottom w:w="0" w:type="dxa"/>
              <w:right w:w="86"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100%</w:t>
            </w:r>
          </w:p>
        </w:tc>
        <w:tc>
          <w:tcPr>
            <w:tcW w:w="1141" w:type="pct"/>
            <w:vMerge w:val="continue"/>
            <w:shd w:val="clear" w:color="auto" w:fill="auto"/>
            <w:tcMar>
              <w:top w:w="15" w:type="dxa"/>
              <w:left w:w="86" w:type="dxa"/>
              <w:bottom w:w="0" w:type="dxa"/>
              <w:right w:w="86" w:type="dxa"/>
            </w:tcMar>
            <w:vAlign w:val="center"/>
          </w:tcPr>
          <w:p>
            <w:pPr>
              <w:widowControl/>
              <w:jc w:val="center"/>
              <w:textAlignment w:val="center"/>
              <w:rPr>
                <w:rFonts w:hint="default" w:ascii="Times New Roman" w:hAnsi="Times New Roman"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9" w:hRule="atLeast"/>
          <w:tblHeader/>
          <w:jc w:val="center"/>
        </w:trPr>
        <w:tc>
          <w:tcPr>
            <w:tcW w:w="350" w:type="pct"/>
            <w:vMerge w:val="continue"/>
            <w:shd w:val="clear" w:color="auto" w:fill="auto"/>
            <w:tcMar>
              <w:top w:w="15" w:type="dxa"/>
              <w:left w:w="86" w:type="dxa"/>
              <w:bottom w:w="0" w:type="dxa"/>
              <w:right w:w="86" w:type="dxa"/>
            </w:tcMar>
            <w:vAlign w:val="center"/>
          </w:tcPr>
          <w:p>
            <w:pPr>
              <w:widowControl/>
              <w:jc w:val="center"/>
              <w:textAlignment w:val="center"/>
              <w:rPr>
                <w:rFonts w:hint="default" w:ascii="Times New Roman" w:hAnsi="Times New Roman" w:eastAsia="仿宋" w:cs="Times New Roman"/>
                <w:kern w:val="0"/>
                <w:sz w:val="21"/>
                <w:szCs w:val="21"/>
              </w:rPr>
            </w:pPr>
          </w:p>
        </w:tc>
        <w:tc>
          <w:tcPr>
            <w:tcW w:w="826" w:type="pct"/>
            <w:vMerge w:val="continue"/>
            <w:shd w:val="clear" w:color="auto" w:fill="auto"/>
            <w:tcMar>
              <w:top w:w="15" w:type="dxa"/>
              <w:left w:w="86" w:type="dxa"/>
              <w:bottom w:w="0" w:type="dxa"/>
              <w:right w:w="86" w:type="dxa"/>
            </w:tcMar>
            <w:vAlign w:val="center"/>
          </w:tcPr>
          <w:p>
            <w:pPr>
              <w:widowControl/>
              <w:jc w:val="center"/>
              <w:textAlignment w:val="center"/>
              <w:rPr>
                <w:rFonts w:hint="default" w:ascii="Times New Roman" w:hAnsi="Times New Roman" w:eastAsia="仿宋" w:cs="Times New Roman"/>
                <w:kern w:val="0"/>
                <w:sz w:val="21"/>
                <w:szCs w:val="21"/>
              </w:rPr>
            </w:pPr>
          </w:p>
        </w:tc>
        <w:tc>
          <w:tcPr>
            <w:tcW w:w="1307" w:type="pct"/>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HJQ-ZSG</w:t>
            </w:r>
          </w:p>
        </w:tc>
        <w:tc>
          <w:tcPr>
            <w:tcW w:w="1373" w:type="pct"/>
            <w:vMerge w:val="continue"/>
            <w:shd w:val="clear" w:color="auto" w:fill="auto"/>
            <w:tcMar>
              <w:top w:w="15" w:type="dxa"/>
              <w:left w:w="86" w:type="dxa"/>
              <w:bottom w:w="0" w:type="dxa"/>
              <w:right w:w="86" w:type="dxa"/>
            </w:tcMar>
            <w:vAlign w:val="center"/>
          </w:tcPr>
          <w:p>
            <w:pPr>
              <w:widowControl/>
              <w:jc w:val="center"/>
              <w:textAlignment w:val="center"/>
              <w:rPr>
                <w:rFonts w:hint="default" w:ascii="Times New Roman" w:hAnsi="Times New Roman" w:eastAsia="仿宋" w:cs="Times New Roman"/>
                <w:kern w:val="0"/>
                <w:sz w:val="21"/>
                <w:szCs w:val="21"/>
              </w:rPr>
            </w:pPr>
          </w:p>
        </w:tc>
        <w:tc>
          <w:tcPr>
            <w:tcW w:w="1141" w:type="pct"/>
            <w:vMerge w:val="continue"/>
            <w:shd w:val="clear" w:color="auto" w:fill="auto"/>
            <w:tcMar>
              <w:top w:w="15" w:type="dxa"/>
              <w:left w:w="86" w:type="dxa"/>
              <w:bottom w:w="0" w:type="dxa"/>
              <w:right w:w="86" w:type="dxa"/>
            </w:tcMar>
            <w:vAlign w:val="center"/>
          </w:tcPr>
          <w:p>
            <w:pPr>
              <w:widowControl/>
              <w:jc w:val="center"/>
              <w:textAlignment w:val="center"/>
              <w:rPr>
                <w:rFonts w:hint="default" w:ascii="Times New Roman" w:hAnsi="Times New Roman"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6" w:hRule="atLeast"/>
          <w:tblHeader/>
          <w:jc w:val="center"/>
        </w:trPr>
        <w:tc>
          <w:tcPr>
            <w:tcW w:w="350" w:type="pct"/>
            <w:vMerge w:val="restart"/>
            <w:shd w:val="clear" w:color="auto" w:fill="auto"/>
            <w:tcMar>
              <w:top w:w="15" w:type="dxa"/>
              <w:left w:w="86" w:type="dxa"/>
              <w:bottom w:w="0" w:type="dxa"/>
              <w:right w:w="86"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3</w:t>
            </w:r>
          </w:p>
        </w:tc>
        <w:tc>
          <w:tcPr>
            <w:tcW w:w="826" w:type="pct"/>
            <w:vMerge w:val="restart"/>
            <w:shd w:val="clear" w:color="auto" w:fill="auto"/>
            <w:tcMar>
              <w:top w:w="15" w:type="dxa"/>
              <w:left w:w="86" w:type="dxa"/>
              <w:bottom w:w="0" w:type="dxa"/>
              <w:right w:w="86"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岐江新城</w:t>
            </w:r>
          </w:p>
        </w:tc>
        <w:tc>
          <w:tcPr>
            <w:tcW w:w="1307" w:type="pct"/>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ZXCQ-GK-B</w:t>
            </w:r>
          </w:p>
        </w:tc>
        <w:tc>
          <w:tcPr>
            <w:tcW w:w="1373" w:type="pct"/>
            <w:vMerge w:val="restart"/>
            <w:shd w:val="clear" w:color="auto" w:fill="auto"/>
            <w:tcMar>
              <w:top w:w="15" w:type="dxa"/>
              <w:left w:w="86" w:type="dxa"/>
              <w:bottom w:w="0" w:type="dxa"/>
              <w:right w:w="86" w:type="dxa"/>
            </w:tcMar>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100%</w:t>
            </w:r>
          </w:p>
        </w:tc>
        <w:tc>
          <w:tcPr>
            <w:tcW w:w="1141" w:type="pct"/>
            <w:vMerge w:val="continue"/>
            <w:shd w:val="clear" w:color="auto" w:fill="auto"/>
            <w:tcMar>
              <w:top w:w="15" w:type="dxa"/>
              <w:left w:w="86" w:type="dxa"/>
              <w:bottom w:w="0" w:type="dxa"/>
              <w:right w:w="86" w:type="dxa"/>
            </w:tcMar>
            <w:vAlign w:val="center"/>
          </w:tcPr>
          <w:p>
            <w:pPr>
              <w:widowControl/>
              <w:jc w:val="center"/>
              <w:textAlignment w:val="center"/>
              <w:rPr>
                <w:rFonts w:hint="default" w:ascii="Times New Roman" w:hAnsi="Times New Roman" w:eastAsia="仿宋"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6" w:hRule="atLeast"/>
          <w:tblHeader/>
          <w:jc w:val="center"/>
        </w:trPr>
        <w:tc>
          <w:tcPr>
            <w:tcW w:w="350" w:type="pct"/>
            <w:vMerge w:val="continue"/>
            <w:shd w:val="clear" w:color="auto" w:fill="auto"/>
            <w:tcMar>
              <w:top w:w="15" w:type="dxa"/>
              <w:left w:w="86" w:type="dxa"/>
              <w:bottom w:w="0" w:type="dxa"/>
              <w:right w:w="86" w:type="dxa"/>
            </w:tcMar>
            <w:vAlign w:val="center"/>
          </w:tcPr>
          <w:p>
            <w:pPr>
              <w:widowControl/>
              <w:jc w:val="center"/>
              <w:textAlignment w:val="center"/>
              <w:rPr>
                <w:rFonts w:hint="default" w:ascii="Times New Roman" w:hAnsi="Times New Roman" w:eastAsia="仿宋" w:cs="Times New Roman"/>
                <w:kern w:val="0"/>
                <w:sz w:val="21"/>
                <w:szCs w:val="21"/>
              </w:rPr>
            </w:pPr>
          </w:p>
        </w:tc>
        <w:tc>
          <w:tcPr>
            <w:tcW w:w="826" w:type="pct"/>
            <w:vMerge w:val="continue"/>
            <w:shd w:val="clear" w:color="auto" w:fill="auto"/>
            <w:tcMar>
              <w:top w:w="15" w:type="dxa"/>
              <w:left w:w="86" w:type="dxa"/>
              <w:bottom w:w="0" w:type="dxa"/>
              <w:right w:w="86" w:type="dxa"/>
            </w:tcMar>
            <w:vAlign w:val="center"/>
          </w:tcPr>
          <w:p>
            <w:pPr>
              <w:widowControl/>
              <w:jc w:val="center"/>
              <w:textAlignment w:val="center"/>
              <w:rPr>
                <w:rFonts w:hint="default" w:ascii="Times New Roman" w:hAnsi="Times New Roman" w:eastAsia="仿宋" w:cs="Times New Roman"/>
                <w:kern w:val="0"/>
                <w:sz w:val="21"/>
                <w:szCs w:val="21"/>
              </w:rPr>
            </w:pPr>
          </w:p>
        </w:tc>
        <w:tc>
          <w:tcPr>
            <w:tcW w:w="1307" w:type="pct"/>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ZXCQ-SQ-A</w:t>
            </w:r>
          </w:p>
        </w:tc>
        <w:tc>
          <w:tcPr>
            <w:tcW w:w="1373" w:type="pct"/>
            <w:vMerge w:val="continue"/>
            <w:shd w:val="clear" w:color="auto" w:fill="auto"/>
            <w:tcMar>
              <w:top w:w="15" w:type="dxa"/>
              <w:left w:w="86" w:type="dxa"/>
              <w:bottom w:w="0" w:type="dxa"/>
              <w:right w:w="86" w:type="dxa"/>
            </w:tcMar>
            <w:vAlign w:val="center"/>
          </w:tcPr>
          <w:p>
            <w:pPr>
              <w:widowControl/>
              <w:jc w:val="center"/>
              <w:textAlignment w:val="center"/>
              <w:rPr>
                <w:rFonts w:hint="default" w:ascii="Times New Roman" w:hAnsi="Times New Roman" w:eastAsia="仿宋" w:cs="Times New Roman"/>
                <w:kern w:val="0"/>
                <w:sz w:val="21"/>
                <w:szCs w:val="21"/>
              </w:rPr>
            </w:pPr>
          </w:p>
        </w:tc>
        <w:tc>
          <w:tcPr>
            <w:tcW w:w="1141" w:type="pct"/>
            <w:vMerge w:val="continue"/>
            <w:shd w:val="clear" w:color="auto" w:fill="auto"/>
            <w:tcMar>
              <w:top w:w="15" w:type="dxa"/>
              <w:left w:w="86" w:type="dxa"/>
              <w:bottom w:w="0" w:type="dxa"/>
              <w:right w:w="86" w:type="dxa"/>
            </w:tcMar>
            <w:vAlign w:val="center"/>
          </w:tcPr>
          <w:p>
            <w:pPr>
              <w:widowControl/>
              <w:jc w:val="center"/>
              <w:textAlignment w:val="center"/>
              <w:rPr>
                <w:rFonts w:hint="default" w:ascii="Times New Roman" w:hAnsi="Times New Roman" w:eastAsia="仿宋" w:cs="Times New Roman"/>
                <w:kern w:val="0"/>
                <w:sz w:val="21"/>
                <w:szCs w:val="21"/>
              </w:rPr>
            </w:pPr>
          </w:p>
        </w:tc>
      </w:tr>
      <w:bookmarkEnd w:id="90"/>
      <w:bookmarkEnd w:id="91"/>
      <w:bookmarkEnd w:id="92"/>
      <w:bookmarkEnd w:id="93"/>
      <w:bookmarkEnd w:id="94"/>
    </w:tbl>
    <w:p>
      <w:pPr>
        <w:pStyle w:val="2"/>
        <w:spacing w:before="156" w:after="93"/>
        <w:ind w:firstLine="480"/>
        <w:rPr>
          <w:rFonts w:ascii="Times New Roman" w:hAnsi="Times New Roman" w:eastAsia="仿宋"/>
          <w:sz w:val="24"/>
        </w:rPr>
      </w:pPr>
      <w:bookmarkStart w:id="97" w:name="_Toc525718523"/>
      <w:bookmarkStart w:id="98" w:name="_Toc501619270"/>
      <w:r>
        <w:rPr>
          <w:rFonts w:hint="eastAsia" w:ascii="Times New Roman" w:hAnsi="Times New Roman" w:eastAsia="仿宋"/>
          <w:sz w:val="24"/>
        </w:rPr>
        <w:t>重点区域管控要求如上表</w:t>
      </w:r>
      <w:r>
        <w:rPr>
          <w:rFonts w:ascii="Times New Roman" w:hAnsi="Times New Roman" w:eastAsia="仿宋"/>
          <w:sz w:val="24"/>
        </w:rPr>
        <w:t>11</w:t>
      </w:r>
      <w:r>
        <w:rPr>
          <w:rFonts w:hint="eastAsia" w:ascii="Times New Roman" w:hAnsi="Times New Roman" w:eastAsia="仿宋"/>
          <w:sz w:val="24"/>
        </w:rPr>
        <w:t>和表</w:t>
      </w:r>
      <w:r>
        <w:rPr>
          <w:rFonts w:ascii="Times New Roman" w:hAnsi="Times New Roman" w:eastAsia="仿宋"/>
          <w:sz w:val="24"/>
        </w:rPr>
        <w:t>12</w:t>
      </w:r>
      <w:r>
        <w:rPr>
          <w:rFonts w:hint="eastAsia" w:ascii="Times New Roman" w:hAnsi="Times New Roman" w:eastAsia="仿宋"/>
          <w:sz w:val="24"/>
        </w:rPr>
        <w:t>所示，分为约束性指标和预期性指标两大类。</w:t>
      </w:r>
    </w:p>
    <w:p>
      <w:pPr>
        <w:pStyle w:val="3"/>
        <w:rPr>
          <w:rFonts w:ascii="Times New Roman" w:hAnsi="Times New Roman" w:eastAsia="仿宋"/>
          <w:sz w:val="24"/>
        </w:rPr>
      </w:pPr>
    </w:p>
    <w:p>
      <w:pPr>
        <w:rPr>
          <w:rFonts w:ascii="Times New Roman" w:hAnsi="Times New Roman" w:eastAsia="仿宋"/>
          <w:sz w:val="24"/>
        </w:rPr>
      </w:pPr>
    </w:p>
    <w:p>
      <w:pPr>
        <w:pStyle w:val="54"/>
        <w:spacing w:before="156" w:after="93"/>
        <w:ind w:firstLine="480"/>
        <w:rPr>
          <w:rFonts w:eastAsia="仿宋"/>
        </w:rPr>
      </w:pPr>
    </w:p>
    <w:p/>
    <w:p>
      <w:pPr>
        <w:rPr>
          <w:rFonts w:ascii="Times New Roman" w:hAnsi="Times New Roman" w:eastAsia="黑体" w:cs="Times New Roman"/>
          <w:sz w:val="36"/>
          <w:szCs w:val="36"/>
        </w:rPr>
      </w:pPr>
    </w:p>
    <w:p>
      <w:pPr>
        <w:rPr>
          <w:rFonts w:ascii="Times New Roman" w:hAnsi="Times New Roman" w:eastAsia="黑体" w:cs="Times New Roman"/>
          <w:sz w:val="36"/>
          <w:szCs w:val="36"/>
        </w:rPr>
      </w:pPr>
      <w:r>
        <w:rPr>
          <w:rFonts w:hint="eastAsia" w:ascii="Times New Roman" w:hAnsi="Times New Roman" w:eastAsia="黑体" w:cs="Times New Roman"/>
          <w:sz w:val="36"/>
          <w:szCs w:val="36"/>
        </w:rPr>
        <w:br w:type="page"/>
      </w:r>
    </w:p>
    <w:p>
      <w:pPr>
        <w:pStyle w:val="4"/>
        <w:jc w:val="center"/>
        <w:rPr>
          <w:rFonts w:ascii="Times New Roman" w:hAnsi="Times New Roman" w:eastAsia="黑体" w:cs="Times New Roman"/>
          <w:sz w:val="36"/>
          <w:szCs w:val="36"/>
        </w:rPr>
      </w:pPr>
      <w:bookmarkStart w:id="99" w:name="_Toc124321385"/>
      <w:r>
        <w:rPr>
          <w:rFonts w:hint="eastAsia" w:ascii="Times New Roman" w:hAnsi="Times New Roman" w:eastAsia="黑体" w:cs="Times New Roman"/>
          <w:sz w:val="36"/>
          <w:szCs w:val="36"/>
        </w:rPr>
        <w:t xml:space="preserve">第五章 </w:t>
      </w:r>
      <w:bookmarkEnd w:id="97"/>
      <w:bookmarkEnd w:id="98"/>
      <w:r>
        <w:rPr>
          <w:rFonts w:hint="eastAsia" w:ascii="Times New Roman" w:hAnsi="Times New Roman" w:eastAsia="黑体" w:cs="Times New Roman"/>
          <w:sz w:val="36"/>
          <w:szCs w:val="36"/>
        </w:rPr>
        <w:t>实施保障</w:t>
      </w:r>
      <w:bookmarkEnd w:id="99"/>
    </w:p>
    <w:bookmarkEnd w:id="95"/>
    <w:p>
      <w:pPr>
        <w:pStyle w:val="5"/>
        <w:rPr>
          <w:rFonts w:ascii="Times New Roman" w:hAnsi="Times New Roman" w:eastAsia="仿宋" w:cs="Times New Roman"/>
          <w:sz w:val="30"/>
          <w:szCs w:val="30"/>
        </w:rPr>
      </w:pPr>
      <w:bookmarkStart w:id="100" w:name="_Toc500944311"/>
      <w:bookmarkStart w:id="101" w:name="_Toc525718524"/>
      <w:bookmarkStart w:id="102" w:name="_Toc124321386"/>
      <w:r>
        <w:rPr>
          <w:rFonts w:hint="eastAsia" w:ascii="Times New Roman" w:hAnsi="Times New Roman" w:eastAsia="仿宋" w:cs="Times New Roman"/>
          <w:sz w:val="30"/>
          <w:szCs w:val="30"/>
        </w:rPr>
        <w:t>第19条</w:t>
      </w:r>
      <w:r>
        <w:rPr>
          <w:rFonts w:ascii="Times New Roman" w:hAnsi="Times New Roman" w:eastAsia="仿宋" w:cs="Times New Roman"/>
          <w:sz w:val="30"/>
          <w:szCs w:val="30"/>
        </w:rPr>
        <w:t xml:space="preserve"> </w:t>
      </w:r>
      <w:bookmarkEnd w:id="100"/>
      <w:bookmarkEnd w:id="101"/>
      <w:r>
        <w:rPr>
          <w:rFonts w:hint="eastAsia" w:ascii="Times New Roman" w:hAnsi="Times New Roman" w:eastAsia="仿宋" w:cs="Times New Roman"/>
          <w:sz w:val="30"/>
          <w:szCs w:val="30"/>
        </w:rPr>
        <w:t>组织实施</w:t>
      </w:r>
      <w:bookmarkEnd w:id="102"/>
    </w:p>
    <w:p>
      <w:pPr>
        <w:pStyle w:val="6"/>
        <w:spacing w:before="93" w:after="93"/>
        <w:ind w:firstLine="480" w:firstLineChars="200"/>
        <w:rPr>
          <w:rFonts w:ascii="Times New Roman" w:hAnsi="Times New Roman" w:eastAsia="仿宋" w:cs="Times New Roman"/>
          <w:bCs w:val="0"/>
          <w:sz w:val="24"/>
          <w:szCs w:val="24"/>
        </w:rPr>
      </w:pPr>
      <w:bookmarkStart w:id="103" w:name="_Toc500944312"/>
      <w:bookmarkStart w:id="104" w:name="_Hlk103242200"/>
      <w:r>
        <w:rPr>
          <w:rFonts w:ascii="Times New Roman" w:hAnsi="Times New Roman" w:eastAsia="仿宋" w:cs="Times New Roman"/>
          <w:bCs w:val="0"/>
          <w:sz w:val="24"/>
          <w:szCs w:val="24"/>
        </w:rPr>
        <w:t>1</w:t>
      </w:r>
      <w:bookmarkEnd w:id="103"/>
      <w:r>
        <w:rPr>
          <w:rFonts w:hint="eastAsia" w:ascii="Times New Roman" w:hAnsi="Times New Roman" w:eastAsia="仿宋" w:cs="Times New Roman"/>
          <w:bCs w:val="0"/>
          <w:sz w:val="24"/>
          <w:szCs w:val="24"/>
          <w:lang w:val="en-US" w:eastAsia="zh-CN"/>
        </w:rPr>
        <w:t>.</w:t>
      </w:r>
      <w:r>
        <w:rPr>
          <w:rFonts w:hint="eastAsia" w:ascii="Times New Roman" w:hAnsi="Times New Roman" w:eastAsia="仿宋" w:cs="Times New Roman"/>
          <w:bCs w:val="0"/>
          <w:sz w:val="24"/>
          <w:szCs w:val="24"/>
        </w:rPr>
        <w:t>加强组织领导</w:t>
      </w:r>
    </w:p>
    <w:p>
      <w:pPr>
        <w:adjustRightInd w:val="0"/>
        <w:snapToGrid w:val="0"/>
        <w:spacing w:before="93" w:beforeLines="30" w:after="93" w:afterLines="30" w:line="360" w:lineRule="auto"/>
        <w:ind w:firstLine="480" w:firstLineChars="200"/>
        <w:jc w:val="left"/>
        <w:rPr>
          <w:rFonts w:ascii="Times New Roman" w:hAnsi="Times New Roman" w:eastAsia="仿宋" w:cs="Times New Roman"/>
          <w:sz w:val="24"/>
        </w:rPr>
      </w:pPr>
      <w:r>
        <w:rPr>
          <w:rFonts w:hint="eastAsia" w:ascii="Times New Roman" w:hAnsi="Times New Roman" w:eastAsia="仿宋" w:cs="Times New Roman"/>
          <w:sz w:val="24"/>
        </w:rPr>
        <w:t>中山市住房和城乡建设局会同发展改革、自然资源、财政局等主管部门，出台配套支持政策，推动建立中山市建筑节能与绿色建筑发展工作领导小组，密切协作配合，形成工作合力，共同推动城乡建设领域绿色低碳发展。同时，住房城乡建设主管部门要加强组织领导，依托中山地区散装水泥主管机构、墙材革新与建筑节能机构和工程质量安全监督机构等相关部门，建立跨部门间的工作协调联动机制，强化工作责任，加强监督管理，推行签订协商契约和承诺制，建立健全以信用为基础的新型监管机制，公布实行承诺制的工程建设项目审批事项清单及具体要求，对未履行承诺的申请人进行相应处罚，促进事中事后监管，推动各项工作的落实，推进中山市绿色建筑高质量发展。</w:t>
      </w:r>
    </w:p>
    <w:p>
      <w:pPr>
        <w:pStyle w:val="2"/>
        <w:spacing w:before="156" w:after="93"/>
        <w:ind w:firstLine="0" w:firstLineChars="0"/>
        <w:jc w:val="center"/>
        <w:rPr>
          <w:rFonts w:ascii="仿宋" w:hAnsi="仿宋" w:eastAsia="仿宋"/>
          <w:b/>
          <w:bCs/>
          <w:sz w:val="21"/>
          <w:szCs w:val="21"/>
        </w:rPr>
      </w:pPr>
      <w:r>
        <w:rPr>
          <w:rFonts w:hint="eastAsia" w:ascii="仿宋" w:hAnsi="仿宋" w:eastAsia="仿宋"/>
          <w:b/>
          <w:bCs/>
          <w:sz w:val="21"/>
          <w:szCs w:val="21"/>
        </w:rPr>
        <w:t>表</w:t>
      </w:r>
      <w:r>
        <w:rPr>
          <w:rFonts w:ascii="仿宋" w:hAnsi="仿宋" w:eastAsia="仿宋"/>
          <w:b/>
          <w:bCs/>
          <w:sz w:val="21"/>
          <w:szCs w:val="21"/>
        </w:rPr>
        <w:t>1</w:t>
      </w:r>
      <w:r>
        <w:rPr>
          <w:rFonts w:hint="eastAsia" w:ascii="仿宋" w:hAnsi="仿宋" w:eastAsia="仿宋"/>
          <w:b/>
          <w:bCs/>
          <w:sz w:val="21"/>
          <w:szCs w:val="21"/>
          <w:lang w:val="en-US" w:eastAsia="zh-CN"/>
        </w:rPr>
        <w:t>4</w:t>
      </w:r>
      <w:r>
        <w:rPr>
          <w:rFonts w:ascii="仿宋" w:hAnsi="仿宋" w:eastAsia="仿宋"/>
          <w:b/>
          <w:bCs/>
          <w:sz w:val="21"/>
          <w:szCs w:val="21"/>
        </w:rPr>
        <w:t xml:space="preserve"> 新建建筑绿色发展</w:t>
      </w:r>
    </w:p>
    <w:tbl>
      <w:tblPr>
        <w:tblStyle w:val="4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10"/>
        <w:gridCol w:w="1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 w:hRule="atLeast"/>
          <w:tblHeader/>
        </w:trPr>
        <w:tc>
          <w:tcPr>
            <w:tcW w:w="4228" w:type="pct"/>
            <w:shd w:val="clear" w:color="auto" w:fill="auto"/>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主要管理工作内容</w:t>
            </w:r>
          </w:p>
        </w:tc>
        <w:tc>
          <w:tcPr>
            <w:tcW w:w="771" w:type="pct"/>
            <w:shd w:val="clear" w:color="auto" w:fill="auto"/>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政府职能部门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4228" w:type="pct"/>
            <w:shd w:val="clear" w:color="auto" w:fill="auto"/>
            <w:vAlign w:val="center"/>
          </w:tcPr>
          <w:p>
            <w:pPr>
              <w:widowControl/>
              <w:jc w:val="left"/>
              <w:textAlignment w:val="center"/>
              <w:rPr>
                <w:rFonts w:hint="default" w:ascii="Times New Roman" w:hAnsi="Times New Roman" w:eastAsia="仿宋" w:cs="Times New Roman"/>
                <w:b/>
                <w:bCs/>
                <w:kern w:val="0"/>
                <w:sz w:val="21"/>
                <w:szCs w:val="21"/>
              </w:rPr>
            </w:pPr>
            <w:r>
              <w:rPr>
                <w:rFonts w:hint="default" w:ascii="Times New Roman" w:hAnsi="Times New Roman" w:eastAsia="仿宋" w:cs="Times New Roman"/>
                <w:b/>
                <w:bCs/>
                <w:kern w:val="0"/>
                <w:sz w:val="21"/>
                <w:szCs w:val="21"/>
                <w:lang w:val="en-US" w:eastAsia="zh-CN"/>
              </w:rPr>
              <w:t>可行性研究</w:t>
            </w:r>
            <w:r>
              <w:rPr>
                <w:rFonts w:hint="default" w:ascii="Times New Roman" w:hAnsi="Times New Roman" w:eastAsia="仿宋" w:cs="Times New Roman"/>
                <w:b/>
                <w:bCs/>
                <w:kern w:val="0"/>
                <w:sz w:val="21"/>
                <w:szCs w:val="21"/>
              </w:rPr>
              <w:t>或核准阶段：</w:t>
            </w:r>
          </w:p>
          <w:p>
            <w:pPr>
              <w:widowControl/>
              <w:jc w:val="left"/>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1、对于绿色建筑项目，要求项目可行性研究报告中包含绿色建筑相关内容，明确绿色建筑等级、技术以及节能减排等内容，并将绿色建筑的相关费用纳入工程投资概预算；对拟采用的绿色建筑技术进行可行性分析。进行可行性研究报告审查时，组织专家对绿色建筑专项内容中的绿色建筑技术进行论证，不具备可行性或者未按要求执行绿色建筑标准的，不得审批或核准。</w:t>
            </w:r>
          </w:p>
          <w:p>
            <w:pPr>
              <w:widowControl/>
              <w:jc w:val="left"/>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2、按规定需进行节能评估的项目，节能评估应严格按绿色建筑星级标准把关，在节能评估意见中明确应达到的绿色建筑星级标准。</w:t>
            </w:r>
          </w:p>
        </w:tc>
        <w:tc>
          <w:tcPr>
            <w:tcW w:w="771" w:type="pct"/>
            <w:shd w:val="clear" w:color="auto" w:fill="auto"/>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市发展改革局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4228" w:type="pct"/>
            <w:shd w:val="clear" w:color="auto" w:fill="auto"/>
            <w:vAlign w:val="center"/>
          </w:tcPr>
          <w:p>
            <w:pPr>
              <w:widowControl/>
              <w:jc w:val="left"/>
              <w:textAlignment w:val="center"/>
              <w:rPr>
                <w:rFonts w:hint="default" w:ascii="Times New Roman" w:hAnsi="Times New Roman" w:eastAsia="仿宋" w:cs="Times New Roman"/>
                <w:b/>
                <w:bCs/>
                <w:kern w:val="0"/>
                <w:sz w:val="21"/>
                <w:szCs w:val="21"/>
              </w:rPr>
            </w:pPr>
            <w:r>
              <w:rPr>
                <w:rFonts w:hint="default" w:ascii="Times New Roman" w:hAnsi="Times New Roman" w:eastAsia="仿宋" w:cs="Times New Roman"/>
                <w:b/>
                <w:bCs/>
                <w:kern w:val="0"/>
                <w:sz w:val="21"/>
                <w:szCs w:val="21"/>
              </w:rPr>
              <w:t>规划阶段：</w:t>
            </w:r>
          </w:p>
          <w:p>
            <w:pPr>
              <w:widowControl/>
              <w:jc w:val="left"/>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sz w:val="21"/>
                <w:szCs w:val="21"/>
              </w:rPr>
              <w:t>将绿色建筑发展专项规划相关指标内容纳入国土空间规划；将《中山市绿色建筑发展专项规划》相关要求纳入控制性详细规划</w:t>
            </w:r>
            <w:r>
              <w:rPr>
                <w:rFonts w:hint="default" w:ascii="Times New Roman" w:hAnsi="Times New Roman" w:eastAsia="仿宋" w:cs="Times New Roman"/>
                <w:sz w:val="21"/>
                <w:szCs w:val="21"/>
                <w:lang w:eastAsia="zh-CN"/>
              </w:rPr>
              <w:t>；</w:t>
            </w:r>
            <w:r>
              <w:rPr>
                <w:rFonts w:hint="default" w:ascii="Times New Roman" w:hAnsi="Times New Roman" w:eastAsia="仿宋" w:cs="Times New Roman"/>
                <w:sz w:val="21"/>
                <w:szCs w:val="21"/>
              </w:rPr>
              <w:t>在建设用地规划条件中明确</w:t>
            </w:r>
            <w:r>
              <w:rPr>
                <w:rFonts w:hint="default" w:ascii="Times New Roman" w:hAnsi="Times New Roman" w:eastAsia="仿宋" w:cs="Times New Roman"/>
                <w:sz w:val="21"/>
                <w:szCs w:val="21"/>
                <w:lang w:eastAsia="zh-CN"/>
              </w:rPr>
              <w:t>“</w:t>
            </w:r>
            <w:r>
              <w:rPr>
                <w:rFonts w:hint="default" w:ascii="Times New Roman" w:hAnsi="Times New Roman" w:eastAsia="仿宋" w:cs="Times New Roman"/>
                <w:sz w:val="21"/>
                <w:szCs w:val="21"/>
              </w:rPr>
              <w:t>项目绿色建筑等级应按《中山市绿色建筑发展专项规划》要求执行</w:t>
            </w:r>
            <w:r>
              <w:rPr>
                <w:rFonts w:hint="default" w:ascii="Times New Roman" w:hAnsi="Times New Roman" w:eastAsia="仿宋" w:cs="Times New Roman"/>
                <w:sz w:val="21"/>
                <w:szCs w:val="21"/>
                <w:lang w:eastAsia="zh-CN"/>
              </w:rPr>
              <w:t>”</w:t>
            </w:r>
            <w:r>
              <w:rPr>
                <w:rFonts w:hint="default" w:ascii="Times New Roman" w:hAnsi="Times New Roman" w:eastAsia="仿宋" w:cs="Times New Roman"/>
                <w:sz w:val="21"/>
                <w:szCs w:val="21"/>
              </w:rPr>
              <w:t>，并落实装配式建筑相关要求。</w:t>
            </w:r>
          </w:p>
          <w:p>
            <w:pPr>
              <w:widowControl/>
              <w:jc w:val="left"/>
              <w:textAlignment w:val="center"/>
              <w:rPr>
                <w:rFonts w:hint="default" w:ascii="Times New Roman" w:hAnsi="Times New Roman" w:eastAsia="仿宋" w:cs="Times New Roman"/>
                <w:b/>
                <w:bCs/>
                <w:kern w:val="0"/>
                <w:sz w:val="21"/>
                <w:szCs w:val="21"/>
              </w:rPr>
            </w:pPr>
            <w:r>
              <w:rPr>
                <w:rFonts w:hint="default" w:ascii="Times New Roman" w:hAnsi="Times New Roman" w:eastAsia="仿宋" w:cs="Times New Roman"/>
                <w:b/>
                <w:bCs/>
                <w:kern w:val="0"/>
                <w:sz w:val="21"/>
                <w:szCs w:val="21"/>
              </w:rPr>
              <w:t>土地划拨、出让阶段：</w:t>
            </w:r>
          </w:p>
          <w:p>
            <w:pPr>
              <w:widowControl/>
              <w:jc w:val="left"/>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将规划决策的绿色建筑星级、绿地率、年径流总量控制率指标列为土地出让的基本条件并作为土地使用权出让合同的组成部分，并在国有建设用地使用权出让合同或者国有建设用地使用权划拨决定书中注明，可考虑可再生能源应用量、非传统水源利用率、用地用电、建筑材料回用率等其它绿色建筑指标。</w:t>
            </w:r>
          </w:p>
        </w:tc>
        <w:tc>
          <w:tcPr>
            <w:tcW w:w="771" w:type="pct"/>
            <w:shd w:val="clear" w:color="auto" w:fill="auto"/>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市自然资源局、</w:t>
            </w:r>
            <w:r>
              <w:rPr>
                <w:rFonts w:hint="default" w:ascii="Times New Roman" w:hAnsi="Times New Roman" w:eastAsia="仿宋" w:cs="Times New Roman"/>
                <w:sz w:val="21"/>
                <w:szCs w:val="21"/>
              </w:rPr>
              <w:t>各镇街自然资源分局和规划部门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4228" w:type="pct"/>
            <w:shd w:val="clear" w:color="auto" w:fill="auto"/>
            <w:vAlign w:val="center"/>
          </w:tcPr>
          <w:p>
            <w:pPr>
              <w:widowControl/>
              <w:jc w:val="left"/>
              <w:textAlignment w:val="center"/>
              <w:rPr>
                <w:rFonts w:hint="default" w:ascii="Times New Roman" w:hAnsi="Times New Roman" w:eastAsia="仿宋" w:cs="Times New Roman"/>
                <w:b/>
                <w:bCs/>
                <w:kern w:val="0"/>
                <w:sz w:val="21"/>
                <w:szCs w:val="21"/>
              </w:rPr>
            </w:pPr>
            <w:r>
              <w:rPr>
                <w:rFonts w:hint="default" w:ascii="Times New Roman" w:hAnsi="Times New Roman" w:eastAsia="仿宋" w:cs="Times New Roman"/>
                <w:b/>
                <w:bCs/>
                <w:kern w:val="0"/>
                <w:sz w:val="21"/>
                <w:szCs w:val="21"/>
              </w:rPr>
              <w:t>设计审查阶段：</w:t>
            </w:r>
          </w:p>
          <w:p>
            <w:pPr>
              <w:widowControl/>
              <w:jc w:val="left"/>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1、依法招标的项目应将绿色建筑内容作为评标的重要内容；</w:t>
            </w:r>
          </w:p>
          <w:p>
            <w:pPr>
              <w:widowControl/>
              <w:jc w:val="left"/>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2、在方案设计、初步设计审查中增加绿色建筑星级及相关指标审查；</w:t>
            </w:r>
          </w:p>
          <w:p>
            <w:pPr>
              <w:widowControl/>
              <w:jc w:val="left"/>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3、在施工图审查中要求审查机构按相关要求出具审查意见，不符合绿色建筑等级标准的，不予颁发</w:t>
            </w:r>
            <w:r>
              <w:rPr>
                <w:rFonts w:hint="default" w:ascii="Times New Roman" w:hAnsi="Times New Roman" w:eastAsia="仿宋" w:cs="Times New Roman"/>
                <w:kern w:val="0"/>
                <w:sz w:val="21"/>
                <w:szCs w:val="21"/>
                <w:lang w:val="en-US" w:eastAsia="zh-CN"/>
              </w:rPr>
              <w:t>建设工程</w:t>
            </w:r>
            <w:r>
              <w:rPr>
                <w:rFonts w:hint="default" w:ascii="Times New Roman" w:hAnsi="Times New Roman" w:eastAsia="仿宋" w:cs="Times New Roman"/>
                <w:kern w:val="0"/>
                <w:sz w:val="21"/>
                <w:szCs w:val="21"/>
              </w:rPr>
              <w:t>施工许可证。</w:t>
            </w:r>
            <w:r>
              <w:rPr>
                <w:rFonts w:hint="default" w:ascii="Times New Roman" w:hAnsi="Times New Roman" w:eastAsia="仿宋" w:cs="Times New Roman"/>
                <w:sz w:val="21"/>
                <w:szCs w:val="21"/>
              </w:rPr>
              <w:t>加强对施工图审查机构的审查监管及定期抽查。</w:t>
            </w:r>
          </w:p>
          <w:p>
            <w:pPr>
              <w:widowControl/>
              <w:jc w:val="left"/>
              <w:textAlignment w:val="center"/>
              <w:rPr>
                <w:rFonts w:hint="default" w:ascii="Times New Roman" w:hAnsi="Times New Roman" w:eastAsia="仿宋" w:cs="Times New Roman"/>
                <w:b/>
                <w:bCs/>
                <w:kern w:val="0"/>
                <w:sz w:val="21"/>
                <w:szCs w:val="21"/>
              </w:rPr>
            </w:pPr>
            <w:r>
              <w:rPr>
                <w:rFonts w:hint="default" w:ascii="Times New Roman" w:hAnsi="Times New Roman" w:eastAsia="仿宋" w:cs="Times New Roman"/>
                <w:b/>
                <w:bCs/>
                <w:kern w:val="0"/>
                <w:sz w:val="21"/>
                <w:szCs w:val="21"/>
              </w:rPr>
              <w:t>施工及竣工验收阶段：</w:t>
            </w:r>
          </w:p>
          <w:p>
            <w:pPr>
              <w:widowControl/>
              <w:jc w:val="left"/>
              <w:textAlignment w:val="center"/>
              <w:rPr>
                <w:rFonts w:hint="default" w:ascii="Times New Roman" w:hAnsi="Times New Roman" w:eastAsia="仿宋" w:cs="Times New Roman"/>
                <w:kern w:val="0"/>
                <w:sz w:val="21"/>
                <w:szCs w:val="21"/>
                <w:lang w:eastAsia="zh-CN"/>
              </w:rPr>
            </w:pPr>
            <w:r>
              <w:rPr>
                <w:rFonts w:hint="default" w:ascii="Times New Roman" w:hAnsi="Times New Roman" w:eastAsia="仿宋" w:cs="Times New Roman"/>
                <w:kern w:val="0"/>
                <w:sz w:val="21"/>
                <w:szCs w:val="21"/>
              </w:rPr>
              <w:t>1、绿色建筑项目施工招标时，在招标文件中应要求投标人编制绿色施工专篇，并将其作为技术标评审条件</w:t>
            </w:r>
            <w:r>
              <w:rPr>
                <w:rFonts w:hint="default" w:ascii="Times New Roman" w:hAnsi="Times New Roman" w:eastAsia="仿宋" w:cs="Times New Roman"/>
                <w:kern w:val="0"/>
                <w:sz w:val="21"/>
                <w:szCs w:val="21"/>
                <w:lang w:eastAsia="zh-CN"/>
              </w:rPr>
              <w:t>；</w:t>
            </w:r>
          </w:p>
          <w:p>
            <w:pPr>
              <w:widowControl/>
              <w:jc w:val="left"/>
              <w:textAlignment w:val="center"/>
              <w:rPr>
                <w:rFonts w:hint="default" w:ascii="Times New Roman" w:hAnsi="Times New Roman" w:eastAsia="仿宋" w:cs="Times New Roman"/>
                <w:kern w:val="0"/>
                <w:sz w:val="21"/>
                <w:szCs w:val="21"/>
                <w:lang w:eastAsia="zh-CN"/>
              </w:rPr>
            </w:pPr>
            <w:r>
              <w:rPr>
                <w:rFonts w:hint="default" w:ascii="Times New Roman" w:hAnsi="Times New Roman" w:eastAsia="仿宋" w:cs="Times New Roman"/>
                <w:kern w:val="0"/>
                <w:sz w:val="21"/>
                <w:szCs w:val="21"/>
              </w:rPr>
              <w:t>2、建议要求施工单位在工程开工前根据绿色建筑相关标准、规范在施工组织设计中制定详细的专项施工方案，确定施工控制流程，并报监理单位审批后执行</w:t>
            </w:r>
            <w:r>
              <w:rPr>
                <w:rFonts w:hint="default" w:ascii="Times New Roman" w:hAnsi="Times New Roman" w:eastAsia="仿宋" w:cs="Times New Roman"/>
                <w:kern w:val="0"/>
                <w:sz w:val="21"/>
                <w:szCs w:val="21"/>
                <w:lang w:eastAsia="zh-CN"/>
              </w:rPr>
              <w:t>；</w:t>
            </w:r>
          </w:p>
          <w:p>
            <w:pPr>
              <w:widowControl/>
              <w:jc w:val="left"/>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3、组织编制绿色建筑验收管理办法、竣工验收导则及相关验收文件，并要求建设单位提交绿色建筑相关资料，建筑节能专项验收应与竣工验收同步进行。对未按照绿色建筑标准、施工图设计文件和绿色施工专篇施工的项目，不得通过节能专项验收。</w:t>
            </w:r>
          </w:p>
          <w:p>
            <w:pPr>
              <w:widowControl/>
              <w:jc w:val="left"/>
              <w:textAlignment w:val="center"/>
              <w:rPr>
                <w:rFonts w:hint="default" w:ascii="Times New Roman" w:hAnsi="Times New Roman" w:eastAsia="仿宋" w:cs="Times New Roman"/>
                <w:b/>
                <w:bCs/>
                <w:kern w:val="0"/>
                <w:sz w:val="21"/>
                <w:szCs w:val="21"/>
              </w:rPr>
            </w:pPr>
            <w:r>
              <w:rPr>
                <w:rFonts w:hint="default" w:ascii="Times New Roman" w:hAnsi="Times New Roman" w:eastAsia="仿宋" w:cs="Times New Roman"/>
                <w:b/>
                <w:bCs/>
                <w:kern w:val="0"/>
                <w:sz w:val="21"/>
                <w:szCs w:val="21"/>
              </w:rPr>
              <w:t>销售和运行管理阶段：</w:t>
            </w:r>
          </w:p>
          <w:p>
            <w:pPr>
              <w:widowControl/>
              <w:jc w:val="left"/>
              <w:textAlignment w:val="center"/>
              <w:rPr>
                <w:rFonts w:hint="default" w:ascii="Times New Roman" w:hAnsi="Times New Roman" w:eastAsia="仿宋" w:cs="Times New Roman"/>
                <w:kern w:val="0"/>
                <w:sz w:val="21"/>
                <w:szCs w:val="21"/>
                <w:lang w:eastAsia="zh-CN"/>
              </w:rPr>
            </w:pPr>
            <w:r>
              <w:rPr>
                <w:rFonts w:hint="default" w:ascii="Times New Roman" w:hAnsi="Times New Roman" w:eastAsia="仿宋" w:cs="Times New Roman"/>
                <w:kern w:val="0"/>
                <w:sz w:val="21"/>
                <w:szCs w:val="21"/>
              </w:rPr>
              <w:t>1、要求房地产开发企业明示所售房屋建筑节能设计和绿建要求，按国家要求在商品房买卖合同和住宅质量保证书、住宅使用说明书中载明</w:t>
            </w:r>
            <w:r>
              <w:rPr>
                <w:rFonts w:hint="default" w:ascii="Times New Roman" w:hAnsi="Times New Roman" w:eastAsia="仿宋" w:cs="Times New Roman"/>
                <w:kern w:val="0"/>
                <w:sz w:val="21"/>
                <w:szCs w:val="21"/>
                <w:lang w:eastAsia="zh-CN"/>
              </w:rPr>
              <w:t>；</w:t>
            </w:r>
          </w:p>
          <w:p>
            <w:pPr>
              <w:widowControl/>
              <w:jc w:val="left"/>
              <w:textAlignment w:val="center"/>
              <w:rPr>
                <w:rFonts w:hint="default" w:ascii="Times New Roman" w:hAnsi="Times New Roman" w:cs="Times New Roman"/>
                <w:sz w:val="21"/>
                <w:szCs w:val="21"/>
              </w:rPr>
            </w:pPr>
            <w:r>
              <w:rPr>
                <w:rFonts w:hint="default" w:ascii="Times New Roman" w:hAnsi="Times New Roman" w:eastAsia="仿宋" w:cs="Times New Roman"/>
                <w:kern w:val="0"/>
                <w:sz w:val="21"/>
                <w:szCs w:val="21"/>
              </w:rPr>
              <w:t>2、要求物业管理部门上报能耗数据，建设主管部门按建设单位申报材料不定期抽查，对超过规划制定的用地用电指标上限的建筑，由建设主管部门会同电力部门进行评定、处理，并要求如期改正。</w:t>
            </w:r>
          </w:p>
        </w:tc>
        <w:tc>
          <w:tcPr>
            <w:tcW w:w="771" w:type="pct"/>
            <w:shd w:val="clear" w:color="auto" w:fill="auto"/>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市住房城乡建设局、市城管和执法局</w:t>
            </w:r>
          </w:p>
        </w:tc>
      </w:tr>
    </w:tbl>
    <w:p>
      <w:pPr>
        <w:ind w:firstLine="562"/>
        <w:jc w:val="center"/>
        <w:rPr>
          <w:rFonts w:ascii="仿宋" w:hAnsi="仿宋" w:eastAsia="仿宋"/>
          <w:b/>
          <w:bCs/>
        </w:rPr>
      </w:pPr>
    </w:p>
    <w:p>
      <w:pPr>
        <w:pStyle w:val="2"/>
        <w:spacing w:before="156" w:after="93"/>
        <w:ind w:firstLine="0" w:firstLineChars="0"/>
        <w:jc w:val="center"/>
        <w:rPr>
          <w:rFonts w:ascii="仿宋" w:hAnsi="仿宋" w:eastAsia="仿宋"/>
          <w:b/>
          <w:bCs/>
          <w:sz w:val="21"/>
          <w:szCs w:val="21"/>
        </w:rPr>
      </w:pPr>
      <w:r>
        <w:rPr>
          <w:rFonts w:hint="eastAsia" w:ascii="仿宋" w:hAnsi="仿宋" w:eastAsia="仿宋"/>
          <w:b/>
          <w:bCs/>
          <w:sz w:val="21"/>
          <w:szCs w:val="21"/>
        </w:rPr>
        <w:t>表</w:t>
      </w:r>
      <w:r>
        <w:rPr>
          <w:rFonts w:ascii="仿宋" w:hAnsi="仿宋" w:eastAsia="仿宋"/>
          <w:b/>
          <w:bCs/>
          <w:sz w:val="21"/>
          <w:szCs w:val="21"/>
        </w:rPr>
        <w:t xml:space="preserve"> 1</w:t>
      </w:r>
      <w:r>
        <w:rPr>
          <w:rFonts w:hint="eastAsia" w:ascii="仿宋" w:hAnsi="仿宋" w:eastAsia="仿宋"/>
          <w:b/>
          <w:bCs/>
          <w:sz w:val="21"/>
          <w:szCs w:val="21"/>
          <w:lang w:val="en-US" w:eastAsia="zh-CN"/>
        </w:rPr>
        <w:t>5</w:t>
      </w:r>
      <w:r>
        <w:rPr>
          <w:rFonts w:ascii="仿宋" w:hAnsi="仿宋" w:eastAsia="仿宋"/>
          <w:b/>
          <w:bCs/>
          <w:sz w:val="21"/>
          <w:szCs w:val="21"/>
        </w:rPr>
        <w:t xml:space="preserve"> 既有建筑节能绿色化改造</w:t>
      </w:r>
    </w:p>
    <w:tbl>
      <w:tblPr>
        <w:tblStyle w:val="44"/>
        <w:tblW w:w="4999" w:type="pct"/>
        <w:tblInd w:w="0" w:type="dxa"/>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6461"/>
        <w:gridCol w:w="2065"/>
      </w:tblGrid>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65" w:hRule="atLeast"/>
          <w:tblHeader/>
        </w:trPr>
        <w:tc>
          <w:tcPr>
            <w:tcW w:w="3789" w:type="pc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主要管理工作内容</w:t>
            </w:r>
          </w:p>
        </w:tc>
        <w:tc>
          <w:tcPr>
            <w:tcW w:w="1211" w:type="pc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政府职能部门</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37" w:hRule="atLeast"/>
        </w:trPr>
        <w:tc>
          <w:tcPr>
            <w:tcW w:w="3789" w:type="pct"/>
            <w:tcBorders>
              <w:left w:val="single" w:color="auto" w:sz="4" w:space="0"/>
              <w:right w:val="single" w:color="auto" w:sz="4" w:space="0"/>
            </w:tcBorders>
            <w:vAlign w:val="center"/>
          </w:tcPr>
          <w:p>
            <w:pPr>
              <w:widowControl/>
              <w:jc w:val="left"/>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编制并推广既有建筑节能改造、绿色化改造相关技术规范标准。</w:t>
            </w:r>
          </w:p>
        </w:tc>
        <w:tc>
          <w:tcPr>
            <w:tcW w:w="1211" w:type="pct"/>
            <w:tcBorders>
              <w:left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市住房城乡建设局</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110" w:hRule="atLeast"/>
        </w:trPr>
        <w:tc>
          <w:tcPr>
            <w:tcW w:w="3789" w:type="pct"/>
            <w:tcBorders>
              <w:left w:val="single" w:color="auto" w:sz="4" w:space="0"/>
              <w:right w:val="single" w:color="auto" w:sz="4" w:space="0"/>
            </w:tcBorders>
            <w:vAlign w:val="center"/>
          </w:tcPr>
          <w:p>
            <w:pPr>
              <w:widowControl/>
              <w:jc w:val="left"/>
              <w:textAlignment w:val="center"/>
              <w:rPr>
                <w:rFonts w:hint="default" w:ascii="Times New Roman" w:hAnsi="Times New Roman" w:eastAsia="仿宋" w:cs="Times New Roman"/>
                <w:kern w:val="0"/>
                <w:sz w:val="21"/>
                <w:szCs w:val="21"/>
                <w:lang w:eastAsia="zh-CN"/>
              </w:rPr>
            </w:pPr>
            <w:r>
              <w:rPr>
                <w:rFonts w:hint="default" w:ascii="Times New Roman" w:hAnsi="Times New Roman" w:eastAsia="仿宋" w:cs="Times New Roman"/>
                <w:kern w:val="0"/>
                <w:sz w:val="21"/>
                <w:szCs w:val="21"/>
              </w:rPr>
              <w:t>1、开展全市既有建筑现状调查，制订既有建筑节能绿色化改造工作目标与实施方案；</w:t>
            </w:r>
            <w:r>
              <w:rPr>
                <w:rFonts w:hint="default" w:ascii="Times New Roman" w:hAnsi="Times New Roman" w:eastAsia="仿宋" w:cs="Times New Roman"/>
                <w:kern w:val="0"/>
                <w:sz w:val="21"/>
                <w:szCs w:val="21"/>
                <w:lang w:val="en-US" w:eastAsia="zh-CN"/>
              </w:rPr>
              <w:t>2、</w:t>
            </w:r>
            <w:r>
              <w:rPr>
                <w:rFonts w:hint="default" w:ascii="Times New Roman" w:hAnsi="Times New Roman" w:eastAsia="仿宋" w:cs="Times New Roman"/>
                <w:kern w:val="0"/>
                <w:sz w:val="21"/>
                <w:szCs w:val="21"/>
              </w:rPr>
              <w:t>结合建筑能耗统计情况，依托三旧改造、老旧小区改造、城市更新工作计划，推广应用</w:t>
            </w:r>
            <w:r>
              <w:rPr>
                <w:rFonts w:hint="eastAsia" w:ascii="Times New Roman" w:hAnsi="Times New Roman" w:eastAsia="仿宋" w:cs="Times New Roman"/>
                <w:kern w:val="0"/>
                <w:sz w:val="21"/>
                <w:szCs w:val="21"/>
                <w:lang w:eastAsia="zh-CN"/>
              </w:rPr>
              <w:t>节能绿色化改造</w:t>
            </w:r>
            <w:r>
              <w:rPr>
                <w:rFonts w:hint="default" w:ascii="Times New Roman" w:hAnsi="Times New Roman" w:eastAsia="仿宋" w:cs="Times New Roman"/>
                <w:kern w:val="0"/>
                <w:sz w:val="21"/>
                <w:szCs w:val="21"/>
              </w:rPr>
              <w:t>，对于改造潜力较大的国家机关办公建筑、以政府投资为主的建筑、大型公共建筑，优先纳入改造计划</w:t>
            </w:r>
            <w:r>
              <w:rPr>
                <w:rFonts w:hint="default" w:ascii="Times New Roman" w:hAnsi="Times New Roman" w:eastAsia="仿宋" w:cs="Times New Roman"/>
                <w:kern w:val="0"/>
                <w:sz w:val="21"/>
                <w:szCs w:val="21"/>
                <w:lang w:eastAsia="zh-CN"/>
              </w:rPr>
              <w:t>；</w:t>
            </w:r>
          </w:p>
          <w:p>
            <w:pPr>
              <w:widowControl/>
              <w:jc w:val="left"/>
              <w:textAlignment w:val="center"/>
              <w:rPr>
                <w:rFonts w:hint="default" w:ascii="Times New Roman" w:hAnsi="Times New Roman" w:eastAsia="仿宋" w:cs="Times New Roman"/>
                <w:kern w:val="0"/>
                <w:sz w:val="21"/>
                <w:szCs w:val="21"/>
                <w:lang w:eastAsia="zh-CN"/>
              </w:rPr>
            </w:pPr>
            <w:r>
              <w:rPr>
                <w:rFonts w:hint="default" w:ascii="Times New Roman" w:hAnsi="Times New Roman" w:eastAsia="仿宋" w:cs="Times New Roman"/>
                <w:kern w:val="0"/>
                <w:sz w:val="21"/>
                <w:szCs w:val="21"/>
              </w:rPr>
              <w:t>2、开展党政机关集中办公区、学校、医院、场馆等进行试点改造</w:t>
            </w:r>
            <w:r>
              <w:rPr>
                <w:rFonts w:hint="default" w:ascii="Times New Roman" w:hAnsi="Times New Roman" w:eastAsia="仿宋" w:cs="Times New Roman"/>
                <w:kern w:val="0"/>
                <w:sz w:val="21"/>
                <w:szCs w:val="21"/>
                <w:lang w:eastAsia="zh-CN"/>
              </w:rPr>
              <w:t>。</w:t>
            </w:r>
          </w:p>
        </w:tc>
        <w:tc>
          <w:tcPr>
            <w:tcW w:w="1211" w:type="pct"/>
            <w:tcBorders>
              <w:left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市发展改革局、市住房城乡建设局</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627" w:hRule="atLeast"/>
        </w:trPr>
        <w:tc>
          <w:tcPr>
            <w:tcW w:w="3789" w:type="pct"/>
            <w:tcBorders>
              <w:left w:val="single" w:color="auto" w:sz="4" w:space="0"/>
              <w:bottom w:val="single" w:color="auto" w:sz="4" w:space="0"/>
              <w:right w:val="single" w:color="auto" w:sz="4" w:space="0"/>
            </w:tcBorders>
            <w:vAlign w:val="center"/>
          </w:tcPr>
          <w:p>
            <w:pPr>
              <w:widowControl/>
              <w:jc w:val="left"/>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1、推进政府既有公共建筑节能、绿色化改造工作；</w:t>
            </w:r>
          </w:p>
          <w:p>
            <w:pPr>
              <w:widowControl/>
              <w:jc w:val="left"/>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2、落实大型政府公共建筑能耗监测。</w:t>
            </w:r>
          </w:p>
        </w:tc>
        <w:tc>
          <w:tcPr>
            <w:tcW w:w="1211" w:type="pct"/>
            <w:tcBorders>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市发展改革局、市住房城乡建设局</w:t>
            </w:r>
          </w:p>
        </w:tc>
      </w:tr>
    </w:tbl>
    <w:p>
      <w:pPr>
        <w:pStyle w:val="6"/>
        <w:spacing w:before="93" w:after="93"/>
        <w:ind w:firstLine="480" w:firstLineChars="200"/>
        <w:rPr>
          <w:rFonts w:ascii="Times New Roman" w:hAnsi="Times New Roman" w:eastAsia="仿宋" w:cs="Times New Roman"/>
          <w:bCs w:val="0"/>
          <w:sz w:val="24"/>
          <w:szCs w:val="24"/>
        </w:rPr>
      </w:pPr>
      <w:r>
        <w:rPr>
          <w:rFonts w:hint="eastAsia" w:ascii="Times New Roman" w:hAnsi="Times New Roman" w:eastAsia="仿宋" w:cs="Times New Roman"/>
          <w:bCs w:val="0"/>
          <w:sz w:val="24"/>
          <w:szCs w:val="24"/>
        </w:rPr>
        <w:t>2</w:t>
      </w:r>
      <w:r>
        <w:rPr>
          <w:rFonts w:hint="eastAsia" w:ascii="Times New Roman" w:hAnsi="Times New Roman" w:eastAsia="仿宋" w:cs="Times New Roman"/>
          <w:bCs w:val="0"/>
          <w:sz w:val="24"/>
          <w:szCs w:val="24"/>
          <w:lang w:val="en-US" w:eastAsia="zh-CN"/>
        </w:rPr>
        <w:t>.</w:t>
      </w:r>
      <w:r>
        <w:rPr>
          <w:rFonts w:hint="eastAsia" w:ascii="Times New Roman" w:hAnsi="Times New Roman" w:eastAsia="仿宋" w:cs="Times New Roman"/>
          <w:bCs w:val="0"/>
          <w:sz w:val="24"/>
          <w:szCs w:val="24"/>
        </w:rPr>
        <w:t>强化规划衔接</w:t>
      </w:r>
    </w:p>
    <w:p>
      <w:pPr>
        <w:adjustRightInd w:val="0"/>
        <w:snapToGrid w:val="0"/>
        <w:spacing w:before="93" w:beforeLines="30" w:after="93" w:afterLines="30" w:line="360" w:lineRule="auto"/>
        <w:ind w:firstLine="480" w:firstLineChars="200"/>
        <w:jc w:val="left"/>
        <w:rPr>
          <w:rFonts w:ascii="Times New Roman" w:hAnsi="Times New Roman" w:eastAsia="仿宋" w:cs="Times New Roman"/>
          <w:sz w:val="24"/>
        </w:rPr>
      </w:pPr>
      <w:r>
        <w:rPr>
          <w:rFonts w:hint="eastAsia" w:ascii="Times New Roman" w:hAnsi="Times New Roman" w:eastAsia="仿宋" w:cs="Times New Roman"/>
          <w:sz w:val="24"/>
        </w:rPr>
        <w:t>按照中山市控制性详细规划编制情况，分以下三种情况在规划阶段落实本规划的绿色建筑相关要求。本规划发布后：</w:t>
      </w:r>
    </w:p>
    <w:p>
      <w:pPr>
        <w:adjustRightInd w:val="0"/>
        <w:snapToGrid w:val="0"/>
        <w:spacing w:before="93" w:beforeLines="30" w:after="93" w:afterLines="30" w:line="360" w:lineRule="auto"/>
        <w:ind w:firstLine="480" w:firstLineChars="200"/>
        <w:jc w:val="left"/>
        <w:rPr>
          <w:rFonts w:ascii="Times New Roman" w:hAnsi="Times New Roman" w:eastAsia="仿宋" w:cs="Times New Roman"/>
          <w:sz w:val="24"/>
        </w:rPr>
      </w:pPr>
      <w:r>
        <w:rPr>
          <w:rFonts w:hint="eastAsia" w:ascii="Times New Roman" w:hAnsi="Times New Roman" w:eastAsia="仿宋" w:cs="Times New Roman"/>
          <w:sz w:val="24"/>
          <w:lang w:eastAsia="zh-CN"/>
        </w:rPr>
        <w:t>（</w:t>
      </w:r>
      <w:r>
        <w:rPr>
          <w:rFonts w:hint="eastAsia" w:ascii="Times New Roman" w:hAnsi="Times New Roman" w:eastAsia="仿宋" w:cs="Times New Roman"/>
          <w:sz w:val="24"/>
          <w:lang w:val="en-US" w:eastAsia="zh-CN"/>
        </w:rPr>
        <w:t>1</w:t>
      </w:r>
      <w:r>
        <w:rPr>
          <w:rFonts w:hint="eastAsia" w:ascii="Times New Roman" w:hAnsi="Times New Roman" w:eastAsia="仿宋" w:cs="Times New Roman"/>
          <w:sz w:val="24"/>
          <w:lang w:eastAsia="zh-CN"/>
        </w:rPr>
        <w:t>）</w:t>
      </w:r>
      <w:r>
        <w:rPr>
          <w:rFonts w:hint="eastAsia" w:ascii="Times New Roman" w:hAnsi="Times New Roman" w:eastAsia="仿宋" w:cs="Times New Roman"/>
          <w:sz w:val="24"/>
        </w:rPr>
        <w:t>在编或正在修编的控制性详细规划片区，在法定图则或管理图则中明确绿色建筑要求，绿色建筑要求按照本规划对应的目标单元指标要求执行；</w:t>
      </w:r>
    </w:p>
    <w:p>
      <w:pPr>
        <w:adjustRightInd w:val="0"/>
        <w:snapToGrid w:val="0"/>
        <w:spacing w:before="93" w:beforeLines="30" w:after="93" w:afterLines="30" w:line="360" w:lineRule="auto"/>
        <w:ind w:firstLine="480" w:firstLineChars="200"/>
        <w:jc w:val="left"/>
        <w:rPr>
          <w:rFonts w:ascii="Times New Roman" w:hAnsi="Times New Roman" w:eastAsia="仿宋" w:cs="Times New Roman"/>
          <w:sz w:val="24"/>
        </w:rPr>
      </w:pPr>
      <w:r>
        <w:rPr>
          <w:rFonts w:hint="eastAsia" w:ascii="Times New Roman" w:hAnsi="Times New Roman" w:eastAsia="仿宋" w:cs="Times New Roman"/>
          <w:sz w:val="24"/>
          <w:lang w:eastAsia="zh-CN"/>
        </w:rPr>
        <w:t>（</w:t>
      </w:r>
      <w:r>
        <w:rPr>
          <w:rFonts w:hint="eastAsia" w:ascii="Times New Roman" w:hAnsi="Times New Roman" w:eastAsia="仿宋" w:cs="Times New Roman"/>
          <w:sz w:val="24"/>
          <w:lang w:val="en-US" w:eastAsia="zh-CN"/>
        </w:rPr>
        <w:t>2</w:t>
      </w:r>
      <w:r>
        <w:rPr>
          <w:rFonts w:hint="eastAsia" w:ascii="Times New Roman" w:hAnsi="Times New Roman" w:eastAsia="仿宋" w:cs="Times New Roman"/>
          <w:sz w:val="24"/>
          <w:lang w:eastAsia="zh-CN"/>
        </w:rPr>
        <w:t>）</w:t>
      </w:r>
      <w:r>
        <w:rPr>
          <w:rFonts w:hint="eastAsia" w:ascii="Times New Roman" w:hAnsi="Times New Roman" w:eastAsia="仿宋" w:cs="Times New Roman"/>
          <w:sz w:val="24"/>
        </w:rPr>
        <w:t>已编控制性详细规划暂未计划修编的，在控规技术规范或规划用地条件中明确绿色建筑要求，绿色建筑要求按照本规划对应的目标单元指标要求执行；</w:t>
      </w:r>
    </w:p>
    <w:p>
      <w:pPr>
        <w:adjustRightInd w:val="0"/>
        <w:snapToGrid w:val="0"/>
        <w:spacing w:before="93" w:beforeLines="30" w:after="93" w:afterLines="30" w:line="360" w:lineRule="auto"/>
        <w:ind w:firstLine="480" w:firstLineChars="200"/>
        <w:jc w:val="left"/>
        <w:rPr>
          <w:rFonts w:ascii="Times New Roman" w:hAnsi="Times New Roman" w:eastAsia="仿宋" w:cs="Times New Roman"/>
          <w:sz w:val="24"/>
        </w:rPr>
      </w:pPr>
      <w:r>
        <w:rPr>
          <w:rFonts w:hint="eastAsia" w:ascii="Times New Roman" w:hAnsi="Times New Roman" w:eastAsia="仿宋" w:cs="Times New Roman"/>
          <w:sz w:val="24"/>
          <w:lang w:eastAsia="zh-CN"/>
        </w:rPr>
        <w:t>（</w:t>
      </w:r>
      <w:r>
        <w:rPr>
          <w:rFonts w:hint="eastAsia" w:ascii="Times New Roman" w:hAnsi="Times New Roman" w:eastAsia="仿宋" w:cs="Times New Roman"/>
          <w:sz w:val="24"/>
          <w:lang w:val="en-US" w:eastAsia="zh-CN"/>
        </w:rPr>
        <w:t>3</w:t>
      </w:r>
      <w:r>
        <w:rPr>
          <w:rFonts w:hint="eastAsia" w:ascii="Times New Roman" w:hAnsi="Times New Roman" w:eastAsia="仿宋" w:cs="Times New Roman"/>
          <w:sz w:val="24"/>
          <w:lang w:eastAsia="zh-CN"/>
        </w:rPr>
        <w:t>）</w:t>
      </w:r>
      <w:r>
        <w:rPr>
          <w:rFonts w:hint="eastAsia" w:ascii="Times New Roman" w:hAnsi="Times New Roman" w:eastAsia="仿宋" w:cs="Times New Roman"/>
          <w:sz w:val="24"/>
        </w:rPr>
        <w:t>未开展编制控制性详细规划的，在规划用地条件中明确绿色建筑要求，绿色建筑要求按照本规划对应的目标单元指标要求执行。</w:t>
      </w:r>
    </w:p>
    <w:p>
      <w:pPr>
        <w:pStyle w:val="6"/>
        <w:spacing w:before="93" w:after="93"/>
        <w:ind w:firstLine="480" w:firstLineChars="200"/>
        <w:rPr>
          <w:rFonts w:ascii="Times New Roman" w:hAnsi="Times New Roman" w:eastAsia="仿宋" w:cs="Times New Roman"/>
          <w:bCs w:val="0"/>
          <w:sz w:val="24"/>
          <w:szCs w:val="24"/>
        </w:rPr>
      </w:pPr>
      <w:r>
        <w:rPr>
          <w:rFonts w:hint="eastAsia" w:ascii="Times New Roman" w:hAnsi="Times New Roman" w:eastAsia="仿宋" w:cs="Times New Roman"/>
          <w:bCs w:val="0"/>
          <w:sz w:val="24"/>
          <w:szCs w:val="24"/>
        </w:rPr>
        <w:t>3</w:t>
      </w:r>
      <w:r>
        <w:rPr>
          <w:rFonts w:hint="eastAsia" w:ascii="Times New Roman" w:hAnsi="Times New Roman" w:eastAsia="仿宋" w:cs="Times New Roman"/>
          <w:bCs w:val="0"/>
          <w:sz w:val="24"/>
          <w:szCs w:val="24"/>
          <w:lang w:val="en-US" w:eastAsia="zh-CN"/>
        </w:rPr>
        <w:t>.</w:t>
      </w:r>
      <w:r>
        <w:rPr>
          <w:rFonts w:hint="eastAsia" w:ascii="Times New Roman" w:hAnsi="Times New Roman" w:eastAsia="仿宋" w:cs="Times New Roman"/>
          <w:bCs w:val="0"/>
          <w:sz w:val="24"/>
          <w:szCs w:val="24"/>
        </w:rPr>
        <w:t>完善考核机制</w:t>
      </w:r>
    </w:p>
    <w:p>
      <w:pPr>
        <w:adjustRightInd w:val="0"/>
        <w:snapToGrid w:val="0"/>
        <w:spacing w:before="93" w:beforeLines="30" w:after="93" w:afterLines="30" w:line="360" w:lineRule="auto"/>
        <w:ind w:firstLine="480" w:firstLineChars="200"/>
        <w:jc w:val="left"/>
        <w:rPr>
          <w:rFonts w:ascii="Times New Roman" w:hAnsi="Times New Roman" w:eastAsia="仿宋" w:cs="Times New Roman"/>
          <w:sz w:val="24"/>
        </w:rPr>
      </w:pPr>
      <w:r>
        <w:rPr>
          <w:rFonts w:hint="eastAsia" w:ascii="Times New Roman" w:hAnsi="Times New Roman" w:eastAsia="仿宋" w:cs="Times New Roman"/>
          <w:sz w:val="24"/>
        </w:rPr>
        <w:t>中山市住房和城乡建设局会同有关部门加强对本专项规划落实情况的指导监督，将相关工作完成情况纳入市人民政府节能目标责任评价考核范围。各镇街积极配合住房城乡建设主管部门推进绿色建筑发展的相关工作，健全工作反馈机制，分解落实年度目标，将绿色建筑发展任务和计划执行情况纳入镇街考核体系，合理设置分值权重，按年度对各镇街进行考核评价，考评结果纳入各镇街节能目标责任评价的重要内容。</w:t>
      </w:r>
    </w:p>
    <w:p>
      <w:pPr>
        <w:pStyle w:val="5"/>
        <w:rPr>
          <w:rFonts w:ascii="Times New Roman" w:hAnsi="Times New Roman" w:eastAsia="仿宋" w:cs="Times New Roman"/>
          <w:sz w:val="30"/>
          <w:szCs w:val="30"/>
        </w:rPr>
      </w:pPr>
      <w:bookmarkStart w:id="105" w:name="_Toc124321387"/>
      <w:r>
        <w:rPr>
          <w:rFonts w:hint="eastAsia" w:ascii="Times New Roman" w:hAnsi="Times New Roman" w:eastAsia="仿宋" w:cs="Times New Roman"/>
          <w:sz w:val="30"/>
          <w:szCs w:val="30"/>
        </w:rPr>
        <w:t>第20条 保障措施</w:t>
      </w:r>
      <w:bookmarkEnd w:id="105"/>
    </w:p>
    <w:p>
      <w:pPr>
        <w:pStyle w:val="6"/>
        <w:spacing w:before="93" w:after="93"/>
        <w:ind w:firstLine="480" w:firstLineChars="200"/>
        <w:rPr>
          <w:rFonts w:ascii="Times New Roman" w:hAnsi="Times New Roman" w:eastAsia="仿宋" w:cs="Times New Roman"/>
          <w:bCs w:val="0"/>
          <w:sz w:val="24"/>
          <w:szCs w:val="24"/>
        </w:rPr>
      </w:pPr>
      <w:r>
        <w:rPr>
          <w:rFonts w:hint="eastAsia" w:ascii="Times New Roman" w:hAnsi="Times New Roman" w:eastAsia="仿宋" w:cs="Times New Roman"/>
          <w:bCs w:val="0"/>
          <w:sz w:val="24"/>
          <w:szCs w:val="24"/>
        </w:rPr>
        <w:t>1</w:t>
      </w:r>
      <w:r>
        <w:rPr>
          <w:rFonts w:hint="eastAsia" w:ascii="Times New Roman" w:hAnsi="Times New Roman" w:eastAsia="仿宋" w:cs="Times New Roman"/>
          <w:bCs w:val="0"/>
          <w:sz w:val="24"/>
          <w:szCs w:val="24"/>
          <w:lang w:val="en-US" w:eastAsia="zh-CN"/>
        </w:rPr>
        <w:t>.</w:t>
      </w:r>
      <w:r>
        <w:rPr>
          <w:rFonts w:hint="eastAsia" w:ascii="Times New Roman" w:hAnsi="Times New Roman" w:eastAsia="仿宋" w:cs="Times New Roman"/>
          <w:bCs w:val="0"/>
          <w:sz w:val="24"/>
          <w:szCs w:val="24"/>
        </w:rPr>
        <w:t>制定激励政策</w:t>
      </w:r>
    </w:p>
    <w:p>
      <w:pPr>
        <w:adjustRightInd w:val="0"/>
        <w:snapToGrid w:val="0"/>
        <w:spacing w:before="93" w:beforeLines="30" w:after="93" w:afterLines="30" w:line="360" w:lineRule="auto"/>
        <w:ind w:firstLine="480" w:firstLineChars="200"/>
        <w:jc w:val="left"/>
        <w:rPr>
          <w:rFonts w:ascii="Times New Roman" w:hAnsi="Times New Roman" w:eastAsia="仿宋" w:cs="Times New Roman"/>
          <w:sz w:val="24"/>
        </w:rPr>
      </w:pPr>
      <w:r>
        <w:rPr>
          <w:rFonts w:hint="eastAsia" w:ascii="Times New Roman" w:hAnsi="Times New Roman" w:eastAsia="仿宋" w:cs="Times New Roman"/>
          <w:sz w:val="24"/>
        </w:rPr>
        <w:t>按规定因采取绿色建筑技术措施增加的建筑面积不计入容积率核算。使用住房公积金贷款购买星级绿色建筑自住房的，贷款额度可以按照不超过百分之二十的比例上浮。积极创造条件开展绿色金融试点，通过绿色信贷、绿色保险、绿色债券等多种方式为绿色建筑、既有建筑节能改造提供绿色金融服务。采用最高等级标准建设项目，在各类建筑工程奖项评审中可以优先推荐。</w:t>
      </w:r>
    </w:p>
    <w:p>
      <w:pPr>
        <w:pStyle w:val="2"/>
        <w:spacing w:before="156" w:after="93"/>
        <w:ind w:firstLine="0" w:firstLineChars="0"/>
        <w:jc w:val="center"/>
        <w:rPr>
          <w:rFonts w:ascii="仿宋" w:hAnsi="仿宋" w:eastAsia="仿宋"/>
          <w:b/>
          <w:bCs/>
          <w:sz w:val="21"/>
          <w:szCs w:val="21"/>
        </w:rPr>
      </w:pPr>
      <w:r>
        <w:rPr>
          <w:rFonts w:hint="eastAsia" w:ascii="仿宋" w:hAnsi="仿宋" w:eastAsia="仿宋"/>
          <w:b/>
          <w:bCs/>
          <w:sz w:val="21"/>
          <w:szCs w:val="21"/>
        </w:rPr>
        <w:t>表</w:t>
      </w:r>
      <w:r>
        <w:rPr>
          <w:rFonts w:hint="eastAsia" w:ascii="仿宋" w:hAnsi="仿宋" w:eastAsia="仿宋"/>
          <w:b/>
          <w:bCs/>
          <w:sz w:val="21"/>
          <w:szCs w:val="21"/>
          <w:lang w:val="en-US" w:eastAsia="zh-CN"/>
        </w:rPr>
        <w:t>16</w:t>
      </w:r>
      <w:r>
        <w:rPr>
          <w:rFonts w:hint="eastAsia" w:ascii="仿宋" w:hAnsi="仿宋" w:eastAsia="仿宋"/>
          <w:b/>
          <w:bCs/>
          <w:sz w:val="21"/>
          <w:szCs w:val="21"/>
        </w:rPr>
        <w:t xml:space="preserve"> 中山市可考虑采取的绿色建筑激励政策</w:t>
      </w:r>
    </w:p>
    <w:tbl>
      <w:tblPr>
        <w:tblStyle w:val="44"/>
        <w:tblW w:w="5000" w:type="pct"/>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669"/>
        <w:gridCol w:w="1291"/>
        <w:gridCol w:w="6568"/>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71" w:hRule="atLeast"/>
          <w:jc w:val="center"/>
        </w:trPr>
        <w:tc>
          <w:tcPr>
            <w:tcW w:w="39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序号</w:t>
            </w:r>
          </w:p>
        </w:tc>
        <w:tc>
          <w:tcPr>
            <w:tcW w:w="75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政策类别</w:t>
            </w:r>
          </w:p>
        </w:tc>
        <w:tc>
          <w:tcPr>
            <w:tcW w:w="38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主要内容</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57" w:hRule="atLeast"/>
          <w:jc w:val="center"/>
        </w:trPr>
        <w:tc>
          <w:tcPr>
            <w:tcW w:w="392" w:type="pc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1</w:t>
            </w:r>
          </w:p>
        </w:tc>
        <w:tc>
          <w:tcPr>
            <w:tcW w:w="757" w:type="pct"/>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容积率奖励</w:t>
            </w:r>
          </w:p>
        </w:tc>
        <w:tc>
          <w:tcPr>
            <w:tcW w:w="3850" w:type="pct"/>
            <w:tcBorders>
              <w:top w:val="single" w:color="auto" w:sz="4" w:space="0"/>
              <w:left w:val="single" w:color="auto" w:sz="4" w:space="0"/>
              <w:right w:val="single" w:color="auto" w:sz="4" w:space="0"/>
            </w:tcBorders>
            <w:shd w:val="clear" w:color="auto" w:fill="auto"/>
            <w:vAlign w:val="center"/>
          </w:tcPr>
          <w:p>
            <w:pPr>
              <w:widowControl/>
              <w:jc w:val="left"/>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建议对因实施高星级绿色建筑相关技术而增加的建筑面积（不超过3%）予以不计容。</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57" w:hRule="atLeast"/>
          <w:jc w:val="center"/>
        </w:trPr>
        <w:tc>
          <w:tcPr>
            <w:tcW w:w="392" w:type="pct"/>
            <w:tcBorders>
              <w:left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2</w:t>
            </w:r>
          </w:p>
        </w:tc>
        <w:tc>
          <w:tcPr>
            <w:tcW w:w="757" w:type="pct"/>
            <w:tcBorders>
              <w:left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公积金贷款比例提升</w:t>
            </w:r>
          </w:p>
        </w:tc>
        <w:tc>
          <w:tcPr>
            <w:tcW w:w="3850" w:type="pct"/>
            <w:tcBorders>
              <w:left w:val="single" w:color="auto" w:sz="4" w:space="0"/>
              <w:right w:val="single" w:color="auto" w:sz="4" w:space="0"/>
            </w:tcBorders>
            <w:shd w:val="clear" w:color="auto" w:fill="auto"/>
            <w:vAlign w:val="center"/>
          </w:tcPr>
          <w:p>
            <w:pPr>
              <w:widowControl/>
              <w:jc w:val="left"/>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建议使用住房公积金贷款购买星级绿色建筑自住房，贷款额度可以按照不超过百分之二十的比例上浮。</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57" w:hRule="atLeast"/>
          <w:jc w:val="center"/>
        </w:trPr>
        <w:tc>
          <w:tcPr>
            <w:tcW w:w="392" w:type="pct"/>
            <w:tcBorders>
              <w:left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3</w:t>
            </w:r>
          </w:p>
        </w:tc>
        <w:tc>
          <w:tcPr>
            <w:tcW w:w="757" w:type="pct"/>
            <w:tcBorders>
              <w:left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绿色金融激励</w:t>
            </w:r>
          </w:p>
        </w:tc>
        <w:tc>
          <w:tcPr>
            <w:tcW w:w="3850" w:type="pct"/>
            <w:tcBorders>
              <w:left w:val="single" w:color="auto" w:sz="4" w:space="0"/>
              <w:right w:val="single" w:color="auto" w:sz="4" w:space="0"/>
            </w:tcBorders>
            <w:shd w:val="clear" w:color="auto" w:fill="auto"/>
            <w:vAlign w:val="center"/>
          </w:tcPr>
          <w:p>
            <w:pPr>
              <w:widowControl/>
              <w:jc w:val="left"/>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积极创造条件开展绿色金融试点，通过绿色信贷、绿色保险、绿色债券等多种方式为绿色建筑、既有建筑节能改造提供绿色金融服务。</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57" w:hRule="atLeast"/>
          <w:jc w:val="center"/>
        </w:trPr>
        <w:tc>
          <w:tcPr>
            <w:tcW w:w="392" w:type="pct"/>
            <w:tcBorders>
              <w:left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4</w:t>
            </w:r>
          </w:p>
        </w:tc>
        <w:tc>
          <w:tcPr>
            <w:tcW w:w="757" w:type="pct"/>
            <w:tcBorders>
              <w:left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评奖优先</w:t>
            </w:r>
          </w:p>
        </w:tc>
        <w:tc>
          <w:tcPr>
            <w:tcW w:w="3850" w:type="pct"/>
            <w:tcBorders>
              <w:left w:val="single" w:color="auto" w:sz="4" w:space="0"/>
              <w:right w:val="single" w:color="auto" w:sz="4" w:space="0"/>
            </w:tcBorders>
            <w:shd w:val="clear" w:color="auto" w:fill="auto"/>
            <w:vAlign w:val="center"/>
          </w:tcPr>
          <w:p>
            <w:pPr>
              <w:widowControl/>
              <w:jc w:val="left"/>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建议将实施绿色建筑的项目在“华夏奖”“全国绿色建筑创新奖”等评优评奖活动具有优先推荐权；开展绿色建筑设计专项评奖，表彰优秀的绿色建筑设计作品和设计团队。</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57" w:hRule="atLeast"/>
          <w:jc w:val="center"/>
        </w:trPr>
        <w:tc>
          <w:tcPr>
            <w:tcW w:w="392" w:type="pct"/>
            <w:tcBorders>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5</w:t>
            </w:r>
          </w:p>
        </w:tc>
        <w:tc>
          <w:tcPr>
            <w:tcW w:w="757" w:type="pct"/>
            <w:tcBorders>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配套设施费用优惠</w:t>
            </w:r>
          </w:p>
        </w:tc>
        <w:tc>
          <w:tcPr>
            <w:tcW w:w="3850" w:type="pct"/>
            <w:tcBorders>
              <w:left w:val="single" w:color="auto" w:sz="4" w:space="0"/>
              <w:bottom w:val="single" w:color="auto" w:sz="4" w:space="0"/>
              <w:right w:val="single" w:color="auto" w:sz="4" w:space="0"/>
            </w:tcBorders>
            <w:shd w:val="clear" w:color="auto" w:fill="auto"/>
            <w:vAlign w:val="center"/>
          </w:tcPr>
          <w:p>
            <w:pPr>
              <w:widowControl/>
              <w:jc w:val="left"/>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建议对满足绿色建筑星级要求的住宅项目，减免建设单位应缴纳的城市基础设施配套费用。</w:t>
            </w:r>
          </w:p>
        </w:tc>
      </w:tr>
    </w:tbl>
    <w:p>
      <w:pPr>
        <w:pStyle w:val="6"/>
        <w:spacing w:before="93" w:after="93"/>
        <w:ind w:firstLine="480" w:firstLineChars="200"/>
        <w:rPr>
          <w:rFonts w:ascii="Times New Roman" w:hAnsi="Times New Roman" w:eastAsia="仿宋" w:cs="Times New Roman"/>
          <w:bCs w:val="0"/>
          <w:sz w:val="24"/>
          <w:szCs w:val="24"/>
        </w:rPr>
      </w:pPr>
      <w:r>
        <w:rPr>
          <w:rFonts w:hint="eastAsia" w:ascii="Times New Roman" w:hAnsi="Times New Roman" w:eastAsia="仿宋" w:cs="Times New Roman"/>
          <w:bCs w:val="0"/>
          <w:sz w:val="24"/>
          <w:szCs w:val="24"/>
        </w:rPr>
        <w:t>2</w:t>
      </w:r>
      <w:r>
        <w:rPr>
          <w:rFonts w:hint="eastAsia" w:ascii="Times New Roman" w:hAnsi="Times New Roman" w:eastAsia="仿宋" w:cs="Times New Roman"/>
          <w:bCs w:val="0"/>
          <w:sz w:val="24"/>
          <w:szCs w:val="24"/>
          <w:lang w:val="en-US" w:eastAsia="zh-CN"/>
        </w:rPr>
        <w:t>.</w:t>
      </w:r>
      <w:r>
        <w:rPr>
          <w:rFonts w:hint="eastAsia" w:ascii="Times New Roman" w:hAnsi="Times New Roman" w:eastAsia="仿宋" w:cs="Times New Roman"/>
          <w:bCs w:val="0"/>
          <w:sz w:val="24"/>
          <w:szCs w:val="24"/>
        </w:rPr>
        <w:t>强化宣传培训</w:t>
      </w:r>
    </w:p>
    <w:p>
      <w:pPr>
        <w:adjustRightInd w:val="0"/>
        <w:snapToGrid w:val="0"/>
        <w:spacing w:before="93" w:beforeLines="30" w:after="93" w:afterLines="30" w:line="360" w:lineRule="auto"/>
        <w:ind w:firstLine="480" w:firstLineChars="200"/>
        <w:jc w:val="left"/>
        <w:rPr>
          <w:rFonts w:ascii="Times New Roman" w:hAnsi="Times New Roman" w:eastAsia="仿宋" w:cs="Times New Roman"/>
          <w:sz w:val="24"/>
        </w:rPr>
      </w:pPr>
      <w:r>
        <w:rPr>
          <w:rFonts w:hint="eastAsia" w:ascii="Times New Roman" w:hAnsi="Times New Roman" w:eastAsia="仿宋" w:cs="Times New Roman"/>
          <w:sz w:val="24"/>
        </w:rPr>
        <w:t>结合“全国节能宣传周”“全民节能行动”“节能宣传月”“世界环境日”等活动，通过“线上+线下”“传媒+新媒”等多种方式构建立体化宣传体系，向企业和社会公众普及绿色建筑知识，广泛宣传建筑节能、绿色建筑等政策措施和技术标准，充分展示中山市绿色建筑建设成果，大力推广中山市示范性成功经验，对高星级绿色建筑开放参观试点，让居民感受绿色建筑技术的效果，身临其境地体会绿色建筑的魅力，引导社会公众绿色生产生活方式，助力拓展绿色建筑供需市场。积极探索绿色社区建设模式，充分发挥镇街、社区等基层组织作用，积极组织群众参与共谋共建共管共评共享，营造有利于绿色低碳发展的社会氛围。</w:t>
      </w:r>
    </w:p>
    <w:p>
      <w:pPr>
        <w:adjustRightInd w:val="0"/>
        <w:snapToGrid w:val="0"/>
        <w:spacing w:before="93" w:beforeLines="30" w:after="93" w:afterLines="30" w:line="360" w:lineRule="auto"/>
        <w:ind w:firstLine="480" w:firstLineChars="200"/>
        <w:jc w:val="left"/>
        <w:rPr>
          <w:rFonts w:ascii="Times New Roman" w:hAnsi="Times New Roman" w:eastAsia="仿宋" w:cs="Times New Roman"/>
          <w:sz w:val="24"/>
        </w:rPr>
      </w:pPr>
      <w:r>
        <w:rPr>
          <w:rFonts w:hint="eastAsia" w:ascii="Times New Roman" w:hAnsi="Times New Roman" w:eastAsia="仿宋" w:cs="Times New Roman"/>
          <w:sz w:val="24"/>
        </w:rPr>
        <w:t>施工单位应在施工现场公示建筑项目采取的主要绿色建筑技术、绿色建筑星级等信息；房地产开发企业销售商品房时，应当按照国家规定在商品房买卖合同和住宅质量保证书、住宅使用说明书中载明所销售房屋的能源消耗指标、节能措施、保温隔热工程保修期、节水措施等信息，并在销售现场显著位置予以公布，切实发挥好公众对推行绿色建筑的监督作用。</w:t>
      </w:r>
    </w:p>
    <w:p>
      <w:pPr>
        <w:adjustRightInd w:val="0"/>
        <w:snapToGrid w:val="0"/>
        <w:spacing w:before="93" w:beforeLines="30" w:after="93" w:afterLines="30" w:line="360" w:lineRule="auto"/>
        <w:ind w:firstLine="480" w:firstLineChars="200"/>
        <w:jc w:val="left"/>
      </w:pPr>
      <w:r>
        <w:rPr>
          <w:rFonts w:hint="eastAsia" w:ascii="Times New Roman" w:hAnsi="Times New Roman" w:eastAsia="仿宋" w:cs="Times New Roman"/>
          <w:sz w:val="24"/>
        </w:rPr>
        <w:t>大力推动绿色建筑技术与装配式、智能建造技术深度融合发展，积极推动中山市与国内外先进科研机构、高等院校、龙头企业及行业协会等交流合作，推进产学研联合模式与机制，建立重点领域技术创新联合体，开展关键技术、新型材料设备的科研攻关和研发。推进全方位、多层次、宽领域的国际合作，学习借鉴国际先进经验，建立适合本地的绿色建筑、装配式建筑和超低能耗建筑的技术发展模式。加强绿色建筑人才培养，创建绿色建筑全过程从业人员、管理人员专业培训基地，定期开展绿色建筑相关技术、技能的宣贯和培训，提高规划、设计、施工、管理、评价、运行等人员的技术水平，优化强化中山市绿色建筑发展人才队伍建设。</w:t>
      </w:r>
    </w:p>
    <w:bookmarkEnd w:id="104"/>
    <w:p>
      <w:pPr>
        <w:pStyle w:val="2"/>
        <w:spacing w:before="156" w:after="93"/>
        <w:ind w:firstLine="400"/>
        <w:sectPr>
          <w:pgSz w:w="11906" w:h="16838"/>
          <w:pgMar w:top="1440" w:right="1797" w:bottom="1440" w:left="1797" w:header="851" w:footer="992" w:gutter="0"/>
          <w:cols w:space="425" w:num="1"/>
          <w:docGrid w:type="linesAndChars" w:linePitch="312" w:charSpace="0"/>
        </w:sectPr>
      </w:pPr>
      <w:bookmarkStart w:id="106" w:name="_Toc500944314"/>
    </w:p>
    <w:bookmarkEnd w:id="106"/>
    <w:p>
      <w:pPr>
        <w:pStyle w:val="4"/>
        <w:jc w:val="center"/>
        <w:rPr>
          <w:rFonts w:ascii="Times New Roman" w:hAnsi="Times New Roman" w:eastAsia="黑体" w:cs="Times New Roman"/>
          <w:sz w:val="36"/>
          <w:szCs w:val="36"/>
        </w:rPr>
      </w:pPr>
      <w:bookmarkStart w:id="107" w:name="_Toc124321388"/>
      <w:bookmarkStart w:id="108" w:name="_Toc525718528"/>
      <w:bookmarkStart w:id="109" w:name="_Toc500944317"/>
      <w:r>
        <w:rPr>
          <w:rFonts w:hint="eastAsia" w:ascii="Times New Roman" w:hAnsi="Times New Roman" w:eastAsia="黑体" w:cs="Times New Roman"/>
          <w:sz w:val="36"/>
          <w:szCs w:val="36"/>
        </w:rPr>
        <w:t>第六章</w:t>
      </w:r>
      <w:r>
        <w:rPr>
          <w:rFonts w:ascii="Times New Roman" w:hAnsi="Times New Roman" w:eastAsia="黑体" w:cs="Times New Roman"/>
          <w:sz w:val="36"/>
          <w:szCs w:val="36"/>
        </w:rPr>
        <w:t xml:space="preserve"> </w:t>
      </w:r>
      <w:r>
        <w:rPr>
          <w:rFonts w:hint="eastAsia" w:ascii="Times New Roman" w:hAnsi="Times New Roman" w:eastAsia="黑体" w:cs="Times New Roman"/>
          <w:sz w:val="36"/>
          <w:szCs w:val="36"/>
        </w:rPr>
        <w:t>近期主要工作</w:t>
      </w:r>
      <w:bookmarkEnd w:id="107"/>
      <w:bookmarkEnd w:id="108"/>
      <w:bookmarkEnd w:id="109"/>
    </w:p>
    <w:p>
      <w:pPr>
        <w:pStyle w:val="5"/>
        <w:rPr>
          <w:rFonts w:ascii="Times New Roman" w:hAnsi="Times New Roman" w:eastAsia="仿宋" w:cs="Times New Roman"/>
          <w:sz w:val="30"/>
          <w:szCs w:val="30"/>
        </w:rPr>
      </w:pPr>
      <w:bookmarkStart w:id="110" w:name="_Toc124321389"/>
      <w:r>
        <w:rPr>
          <w:rFonts w:hint="eastAsia" w:ascii="Times New Roman" w:hAnsi="Times New Roman" w:eastAsia="仿宋" w:cs="Times New Roman"/>
          <w:sz w:val="30"/>
          <w:szCs w:val="30"/>
        </w:rPr>
        <w:t>第21条</w:t>
      </w:r>
      <w:r>
        <w:rPr>
          <w:rFonts w:ascii="Times New Roman" w:hAnsi="Times New Roman" w:eastAsia="仿宋" w:cs="Times New Roman"/>
          <w:sz w:val="30"/>
          <w:szCs w:val="30"/>
        </w:rPr>
        <w:t xml:space="preserve"> </w:t>
      </w:r>
      <w:bookmarkStart w:id="111" w:name="_Hlk103245235"/>
      <w:r>
        <w:rPr>
          <w:rFonts w:hint="eastAsia" w:ascii="Times New Roman" w:hAnsi="Times New Roman" w:eastAsia="仿宋" w:cs="Times New Roman"/>
          <w:sz w:val="30"/>
          <w:szCs w:val="30"/>
        </w:rPr>
        <w:t>近期重点工作</w:t>
      </w:r>
      <w:bookmarkEnd w:id="110"/>
      <w:bookmarkEnd w:id="111"/>
    </w:p>
    <w:p>
      <w:pPr>
        <w:adjustRightInd w:val="0"/>
        <w:snapToGrid w:val="0"/>
        <w:spacing w:before="93" w:beforeLines="30" w:after="93" w:afterLines="30" w:line="360" w:lineRule="auto"/>
        <w:ind w:firstLine="480" w:firstLineChars="200"/>
        <w:jc w:val="left"/>
        <w:rPr>
          <w:rFonts w:ascii="Times New Roman" w:hAnsi="Times New Roman" w:eastAsia="仿宋" w:cs="Times New Roman"/>
          <w:sz w:val="24"/>
        </w:rPr>
      </w:pPr>
      <w:r>
        <w:rPr>
          <w:rFonts w:hint="eastAsia" w:ascii="Times New Roman" w:hAnsi="Times New Roman" w:eastAsia="仿宋" w:cs="Times New Roman"/>
          <w:sz w:val="24"/>
        </w:rPr>
        <w:t>为更好的推动中山市绿色建筑健康发展，市住建局应协同各部门，在近期开展以下四个方面的重点工作。</w:t>
      </w:r>
    </w:p>
    <w:p>
      <w:pPr>
        <w:pStyle w:val="2"/>
        <w:spacing w:before="156" w:after="93"/>
        <w:ind w:firstLine="0" w:firstLineChars="0"/>
        <w:jc w:val="center"/>
        <w:rPr>
          <w:rFonts w:ascii="仿宋" w:hAnsi="仿宋" w:eastAsia="仿宋"/>
          <w:b/>
          <w:bCs/>
          <w:sz w:val="21"/>
          <w:szCs w:val="21"/>
        </w:rPr>
      </w:pPr>
      <w:r>
        <w:rPr>
          <w:rFonts w:hint="eastAsia" w:ascii="仿宋" w:hAnsi="仿宋" w:eastAsia="仿宋"/>
          <w:b/>
          <w:bCs/>
          <w:sz w:val="21"/>
          <w:szCs w:val="21"/>
        </w:rPr>
        <w:t>表</w:t>
      </w:r>
      <w:r>
        <w:rPr>
          <w:rFonts w:hint="eastAsia" w:ascii="仿宋" w:hAnsi="仿宋" w:eastAsia="仿宋"/>
          <w:b/>
          <w:bCs/>
          <w:sz w:val="21"/>
          <w:szCs w:val="21"/>
          <w:lang w:val="en-US" w:eastAsia="zh-CN"/>
        </w:rPr>
        <w:t>17</w:t>
      </w:r>
      <w:r>
        <w:rPr>
          <w:rFonts w:ascii="仿宋" w:hAnsi="仿宋" w:eastAsia="仿宋"/>
          <w:b/>
          <w:bCs/>
          <w:sz w:val="21"/>
          <w:szCs w:val="21"/>
        </w:rPr>
        <w:t xml:space="preserve"> </w:t>
      </w:r>
      <w:r>
        <w:rPr>
          <w:rFonts w:hint="eastAsia" w:ascii="仿宋" w:hAnsi="仿宋" w:eastAsia="仿宋"/>
          <w:b/>
          <w:bCs/>
          <w:sz w:val="21"/>
          <w:szCs w:val="21"/>
        </w:rPr>
        <w:t>近期重点工作列表</w:t>
      </w:r>
    </w:p>
    <w:tbl>
      <w:tblPr>
        <w:tblStyle w:val="287"/>
        <w:tblW w:w="5074" w:type="pct"/>
        <w:jc w:val="center"/>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Layout w:type="autofit"/>
        <w:tblCellMar>
          <w:top w:w="0" w:type="dxa"/>
          <w:left w:w="108" w:type="dxa"/>
          <w:bottom w:w="0" w:type="dxa"/>
          <w:right w:w="108" w:type="dxa"/>
        </w:tblCellMar>
      </w:tblPr>
      <w:tblGrid>
        <w:gridCol w:w="427"/>
        <w:gridCol w:w="1482"/>
        <w:gridCol w:w="935"/>
        <w:gridCol w:w="3298"/>
        <w:gridCol w:w="2512"/>
      </w:tblGrid>
      <w:tr>
        <w:tblPrEx>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CellMar>
            <w:top w:w="0" w:type="dxa"/>
            <w:left w:w="108" w:type="dxa"/>
            <w:bottom w:w="0" w:type="dxa"/>
            <w:right w:w="108" w:type="dxa"/>
          </w:tblCellMar>
        </w:tblPrEx>
        <w:trPr>
          <w:jc w:val="center"/>
        </w:trPr>
        <w:tc>
          <w:tcPr>
            <w:tcW w:w="246" w:type="pct"/>
            <w:tcBorders>
              <w:top w:val="single" w:color="auto" w:sz="12" w:space="0"/>
              <w:bottom w:val="single" w:color="666666" w:sz="4" w:space="0"/>
            </w:tcBorders>
            <w:shd w:val="clear" w:color="auto" w:fill="auto"/>
            <w:vAlign w:val="center"/>
          </w:tcPr>
          <w:p>
            <w:pPr>
              <w:widowControl/>
              <w:jc w:val="center"/>
              <w:textAlignment w:val="center"/>
              <w:rPr>
                <w:rFonts w:hint="default" w:ascii="Times New Roman" w:hAnsi="Times New Roman" w:eastAsia="仿宋" w:cs="Times New Roman"/>
                <w:b w:val="0"/>
                <w:bCs w:val="0"/>
                <w:kern w:val="0"/>
                <w:sz w:val="21"/>
                <w:szCs w:val="21"/>
              </w:rPr>
            </w:pPr>
            <w:bookmarkStart w:id="112" w:name="_Hlk103243468"/>
          </w:p>
        </w:tc>
        <w:tc>
          <w:tcPr>
            <w:tcW w:w="855" w:type="pct"/>
            <w:tcBorders>
              <w:top w:val="single" w:color="auto" w:sz="12" w:space="0"/>
              <w:bottom w:val="single" w:color="666666" w:sz="4" w:space="0"/>
            </w:tcBorders>
            <w:shd w:val="clear" w:color="auto" w:fill="auto"/>
            <w:vAlign w:val="center"/>
          </w:tcPr>
          <w:p>
            <w:pPr>
              <w:widowControl/>
              <w:jc w:val="center"/>
              <w:textAlignment w:val="center"/>
              <w:rPr>
                <w:rFonts w:hint="default" w:ascii="Times New Roman" w:hAnsi="Times New Roman" w:eastAsia="仿宋" w:cs="Times New Roman"/>
                <w:b w:val="0"/>
                <w:bCs w:val="0"/>
                <w:kern w:val="0"/>
                <w:sz w:val="21"/>
                <w:szCs w:val="21"/>
              </w:rPr>
            </w:pPr>
          </w:p>
        </w:tc>
        <w:tc>
          <w:tcPr>
            <w:tcW w:w="540" w:type="pct"/>
            <w:tcBorders>
              <w:top w:val="single" w:color="auto" w:sz="12" w:space="0"/>
              <w:bottom w:val="single" w:color="666666" w:sz="4" w:space="0"/>
            </w:tcBorders>
            <w:shd w:val="clear" w:color="auto" w:fill="auto"/>
            <w:vAlign w:val="center"/>
          </w:tcPr>
          <w:p>
            <w:pPr>
              <w:widowControl/>
              <w:jc w:val="center"/>
              <w:textAlignment w:val="center"/>
              <w:rPr>
                <w:rFonts w:hint="default" w:ascii="Times New Roman" w:hAnsi="Times New Roman" w:eastAsia="仿宋" w:cs="Times New Roman"/>
                <w:b/>
                <w:bCs/>
                <w:kern w:val="0"/>
                <w:sz w:val="21"/>
                <w:szCs w:val="21"/>
              </w:rPr>
            </w:pPr>
            <w:r>
              <w:rPr>
                <w:rFonts w:hint="default" w:ascii="Times New Roman" w:hAnsi="Times New Roman" w:eastAsia="仿宋" w:cs="Times New Roman"/>
                <w:b/>
                <w:bCs/>
                <w:kern w:val="0"/>
                <w:sz w:val="21"/>
                <w:szCs w:val="21"/>
              </w:rPr>
              <w:t>完成时间</w:t>
            </w:r>
          </w:p>
        </w:tc>
        <w:tc>
          <w:tcPr>
            <w:tcW w:w="1905" w:type="pct"/>
            <w:tcBorders>
              <w:top w:val="single" w:color="auto" w:sz="12" w:space="0"/>
              <w:bottom w:val="single" w:color="666666" w:sz="4" w:space="0"/>
            </w:tcBorders>
            <w:shd w:val="clear" w:color="auto" w:fill="auto"/>
            <w:vAlign w:val="center"/>
          </w:tcPr>
          <w:p>
            <w:pPr>
              <w:widowControl/>
              <w:jc w:val="center"/>
              <w:textAlignment w:val="center"/>
              <w:rPr>
                <w:rFonts w:hint="default" w:ascii="Times New Roman" w:hAnsi="Times New Roman" w:eastAsia="仿宋" w:cs="Times New Roman"/>
                <w:b/>
                <w:bCs/>
                <w:kern w:val="0"/>
                <w:sz w:val="21"/>
                <w:szCs w:val="21"/>
              </w:rPr>
            </w:pPr>
            <w:r>
              <w:rPr>
                <w:rFonts w:hint="default" w:ascii="Times New Roman" w:hAnsi="Times New Roman" w:eastAsia="仿宋" w:cs="Times New Roman"/>
                <w:b/>
                <w:bCs/>
                <w:kern w:val="0"/>
                <w:sz w:val="21"/>
                <w:szCs w:val="21"/>
              </w:rPr>
              <w:t>工作内容</w:t>
            </w:r>
          </w:p>
        </w:tc>
        <w:tc>
          <w:tcPr>
            <w:tcW w:w="1451" w:type="pct"/>
            <w:tcBorders>
              <w:top w:val="single" w:color="auto" w:sz="12" w:space="0"/>
              <w:bottom w:val="single" w:color="666666" w:sz="4" w:space="0"/>
            </w:tcBorders>
            <w:shd w:val="clear" w:color="auto" w:fill="auto"/>
            <w:vAlign w:val="center"/>
          </w:tcPr>
          <w:p>
            <w:pPr>
              <w:widowControl/>
              <w:jc w:val="center"/>
              <w:textAlignment w:val="center"/>
              <w:rPr>
                <w:rFonts w:hint="default" w:ascii="Times New Roman" w:hAnsi="Times New Roman" w:eastAsia="仿宋" w:cs="Times New Roman"/>
                <w:b/>
                <w:bCs/>
                <w:kern w:val="0"/>
                <w:sz w:val="21"/>
                <w:szCs w:val="21"/>
              </w:rPr>
            </w:pPr>
            <w:r>
              <w:rPr>
                <w:rFonts w:hint="default" w:ascii="Times New Roman" w:hAnsi="Times New Roman" w:eastAsia="仿宋" w:cs="Times New Roman"/>
                <w:b/>
                <w:bCs/>
                <w:kern w:val="0"/>
                <w:sz w:val="21"/>
                <w:szCs w:val="21"/>
              </w:rPr>
              <w:t>实施部门</w:t>
            </w:r>
          </w:p>
        </w:tc>
      </w:tr>
      <w:tr>
        <w:tblPrEx>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CellMar>
            <w:top w:w="0" w:type="dxa"/>
            <w:left w:w="108" w:type="dxa"/>
            <w:bottom w:w="0" w:type="dxa"/>
            <w:right w:w="108" w:type="dxa"/>
          </w:tblCellMar>
        </w:tblPrEx>
        <w:trPr>
          <w:jc w:val="center"/>
        </w:trPr>
        <w:tc>
          <w:tcPr>
            <w:tcW w:w="246" w:type="pct"/>
            <w:vMerge w:val="restart"/>
            <w:shd w:val="clear" w:color="auto" w:fill="auto"/>
            <w:vAlign w:val="center"/>
          </w:tcPr>
          <w:p>
            <w:pPr>
              <w:widowControl/>
              <w:jc w:val="center"/>
              <w:textAlignment w:val="center"/>
              <w:rPr>
                <w:rFonts w:hint="default" w:ascii="Times New Roman" w:hAnsi="Times New Roman" w:eastAsia="仿宋" w:cs="Times New Roman"/>
                <w:b w:val="0"/>
                <w:bCs w:val="0"/>
                <w:kern w:val="0"/>
                <w:sz w:val="21"/>
                <w:szCs w:val="21"/>
              </w:rPr>
            </w:pPr>
            <w:r>
              <w:rPr>
                <w:rFonts w:hint="default" w:ascii="Times New Roman" w:hAnsi="Times New Roman" w:eastAsia="仿宋" w:cs="Times New Roman"/>
                <w:b/>
                <w:bCs/>
                <w:kern w:val="0"/>
                <w:sz w:val="21"/>
                <w:szCs w:val="21"/>
              </w:rPr>
              <w:t>绿色建筑高品质发展</w:t>
            </w:r>
          </w:p>
        </w:tc>
        <w:tc>
          <w:tcPr>
            <w:tcW w:w="855" w:type="pct"/>
            <w:shd w:val="clear" w:color="auto" w:fill="auto"/>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“一轴三核四平台”发展格局建立</w:t>
            </w:r>
          </w:p>
        </w:tc>
        <w:tc>
          <w:tcPr>
            <w:tcW w:w="540" w:type="pct"/>
            <w:shd w:val="clear" w:color="auto" w:fill="auto"/>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202</w:t>
            </w:r>
            <w:r>
              <w:rPr>
                <w:rFonts w:hint="default" w:ascii="Times New Roman" w:hAnsi="Times New Roman" w:eastAsia="仿宋" w:cs="Times New Roman"/>
                <w:kern w:val="0"/>
                <w:sz w:val="21"/>
                <w:szCs w:val="21"/>
                <w:lang w:val="en-US" w:eastAsia="zh-CN"/>
              </w:rPr>
              <w:t>3</w:t>
            </w:r>
          </w:p>
        </w:tc>
        <w:tc>
          <w:tcPr>
            <w:tcW w:w="1905" w:type="pct"/>
            <w:shd w:val="clear" w:color="auto" w:fill="auto"/>
            <w:vAlign w:val="center"/>
          </w:tcPr>
          <w:p>
            <w:pPr>
              <w:widowControl/>
              <w:jc w:val="center"/>
              <w:textAlignment w:val="center"/>
              <w:rPr>
                <w:rFonts w:hint="default" w:ascii="Times New Roman" w:hAnsi="Times New Roman" w:eastAsia="仿宋" w:cs="Times New Roman"/>
                <w:kern w:val="0"/>
                <w:sz w:val="21"/>
                <w:szCs w:val="21"/>
                <w:lang w:eastAsia="zh-CN"/>
              </w:rPr>
            </w:pPr>
            <w:r>
              <w:rPr>
                <w:rFonts w:hint="default" w:ascii="Times New Roman" w:hAnsi="Times New Roman" w:eastAsia="仿宋" w:cs="Times New Roman"/>
                <w:kern w:val="0"/>
                <w:sz w:val="21"/>
                <w:szCs w:val="21"/>
              </w:rPr>
              <w:t>发布本专项规划或相关实施意见</w:t>
            </w:r>
          </w:p>
        </w:tc>
        <w:tc>
          <w:tcPr>
            <w:tcW w:w="1451" w:type="pct"/>
            <w:shd w:val="clear" w:color="auto" w:fill="auto"/>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市人民政府办公室、市住房城乡建设局</w:t>
            </w:r>
          </w:p>
        </w:tc>
      </w:tr>
      <w:tr>
        <w:tblPrEx>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CellMar>
            <w:top w:w="0" w:type="dxa"/>
            <w:left w:w="108" w:type="dxa"/>
            <w:bottom w:w="0" w:type="dxa"/>
            <w:right w:w="108" w:type="dxa"/>
          </w:tblCellMar>
        </w:tblPrEx>
        <w:trPr>
          <w:trHeight w:val="231" w:hRule="atLeast"/>
          <w:jc w:val="center"/>
        </w:trPr>
        <w:tc>
          <w:tcPr>
            <w:tcW w:w="246" w:type="pct"/>
            <w:vMerge w:val="continue"/>
            <w:shd w:val="clear" w:color="auto" w:fill="auto"/>
            <w:vAlign w:val="center"/>
          </w:tcPr>
          <w:p>
            <w:pPr>
              <w:widowControl/>
              <w:jc w:val="center"/>
              <w:textAlignment w:val="center"/>
              <w:rPr>
                <w:rFonts w:hint="default" w:ascii="Times New Roman" w:hAnsi="Times New Roman" w:eastAsia="仿宋" w:cs="Times New Roman"/>
                <w:b w:val="0"/>
                <w:bCs w:val="0"/>
                <w:kern w:val="0"/>
                <w:sz w:val="21"/>
                <w:szCs w:val="21"/>
              </w:rPr>
            </w:pPr>
          </w:p>
        </w:tc>
        <w:tc>
          <w:tcPr>
            <w:tcW w:w="855" w:type="pct"/>
            <w:vMerge w:val="restart"/>
            <w:shd w:val="clear" w:color="auto" w:fill="auto"/>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全流程管理</w:t>
            </w:r>
          </w:p>
        </w:tc>
        <w:tc>
          <w:tcPr>
            <w:tcW w:w="540" w:type="pct"/>
            <w:shd w:val="clear" w:color="auto" w:fill="auto"/>
            <w:vAlign w:val="center"/>
          </w:tcPr>
          <w:p>
            <w:pPr>
              <w:widowControl/>
              <w:jc w:val="center"/>
              <w:textAlignment w:val="center"/>
              <w:rPr>
                <w:rFonts w:hint="default" w:ascii="Times New Roman" w:hAnsi="Times New Roman" w:eastAsia="仿宋" w:cs="Times New Roman"/>
                <w:kern w:val="0"/>
                <w:sz w:val="21"/>
                <w:szCs w:val="21"/>
                <w:lang w:eastAsia="zh-CN"/>
              </w:rPr>
            </w:pPr>
            <w:r>
              <w:rPr>
                <w:rFonts w:hint="default" w:ascii="Times New Roman" w:hAnsi="Times New Roman" w:eastAsia="仿宋" w:cs="Times New Roman"/>
                <w:kern w:val="0"/>
                <w:sz w:val="21"/>
                <w:szCs w:val="21"/>
              </w:rPr>
              <w:t>202</w:t>
            </w:r>
            <w:r>
              <w:rPr>
                <w:rFonts w:hint="default" w:ascii="Times New Roman" w:hAnsi="Times New Roman" w:eastAsia="仿宋" w:cs="Times New Roman"/>
                <w:kern w:val="0"/>
                <w:sz w:val="21"/>
                <w:szCs w:val="21"/>
                <w:lang w:val="en-US" w:eastAsia="zh-CN"/>
              </w:rPr>
              <w:t>3</w:t>
            </w:r>
          </w:p>
        </w:tc>
        <w:tc>
          <w:tcPr>
            <w:tcW w:w="1905" w:type="pct"/>
            <w:shd w:val="clear" w:color="auto" w:fill="auto"/>
            <w:vAlign w:val="center"/>
          </w:tcPr>
          <w:p>
            <w:pPr>
              <w:widowControl/>
              <w:jc w:val="center"/>
              <w:textAlignment w:val="center"/>
              <w:rPr>
                <w:rFonts w:hint="default" w:ascii="Times New Roman" w:hAnsi="Times New Roman" w:eastAsia="仿宋" w:cs="Times New Roman"/>
                <w:kern w:val="0"/>
                <w:sz w:val="21"/>
                <w:szCs w:val="21"/>
                <w:lang w:eastAsia="zh-CN"/>
              </w:rPr>
            </w:pPr>
            <w:r>
              <w:rPr>
                <w:rFonts w:hint="default" w:ascii="Times New Roman" w:hAnsi="Times New Roman" w:eastAsia="仿宋" w:cs="Times New Roman"/>
                <w:kern w:val="0"/>
                <w:sz w:val="21"/>
                <w:szCs w:val="21"/>
              </w:rPr>
              <w:t>建立规划衔接机制，落实绿色建筑星级纳入规划用地条件</w:t>
            </w:r>
          </w:p>
        </w:tc>
        <w:tc>
          <w:tcPr>
            <w:tcW w:w="1451" w:type="pct"/>
            <w:shd w:val="clear" w:color="auto" w:fill="auto"/>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市自然资源局、市住房城乡建设局</w:t>
            </w:r>
          </w:p>
        </w:tc>
      </w:tr>
      <w:tr>
        <w:tblPrEx>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CellMar>
            <w:top w:w="0" w:type="dxa"/>
            <w:left w:w="108" w:type="dxa"/>
            <w:bottom w:w="0" w:type="dxa"/>
            <w:right w:w="108" w:type="dxa"/>
          </w:tblCellMar>
        </w:tblPrEx>
        <w:trPr>
          <w:trHeight w:val="231" w:hRule="atLeast"/>
          <w:jc w:val="center"/>
        </w:trPr>
        <w:tc>
          <w:tcPr>
            <w:tcW w:w="246" w:type="pct"/>
            <w:vMerge w:val="continue"/>
            <w:shd w:val="clear" w:color="auto" w:fill="auto"/>
            <w:vAlign w:val="center"/>
          </w:tcPr>
          <w:p>
            <w:pPr>
              <w:widowControl/>
              <w:jc w:val="center"/>
              <w:textAlignment w:val="center"/>
              <w:rPr>
                <w:rFonts w:hint="default" w:ascii="Times New Roman" w:hAnsi="Times New Roman" w:eastAsia="仿宋" w:cs="Times New Roman"/>
                <w:b w:val="0"/>
                <w:bCs w:val="0"/>
                <w:kern w:val="0"/>
                <w:sz w:val="21"/>
                <w:szCs w:val="21"/>
              </w:rPr>
            </w:pPr>
          </w:p>
        </w:tc>
        <w:tc>
          <w:tcPr>
            <w:tcW w:w="855" w:type="pct"/>
            <w:vMerge w:val="continue"/>
            <w:shd w:val="clear" w:color="auto" w:fill="auto"/>
            <w:vAlign w:val="center"/>
          </w:tcPr>
          <w:p>
            <w:pPr>
              <w:widowControl/>
              <w:jc w:val="center"/>
              <w:textAlignment w:val="center"/>
              <w:rPr>
                <w:rFonts w:hint="default" w:ascii="Times New Roman" w:hAnsi="Times New Roman" w:eastAsia="仿宋" w:cs="Times New Roman"/>
                <w:kern w:val="0"/>
                <w:sz w:val="21"/>
                <w:szCs w:val="21"/>
              </w:rPr>
            </w:pPr>
          </w:p>
        </w:tc>
        <w:tc>
          <w:tcPr>
            <w:tcW w:w="540" w:type="pct"/>
            <w:shd w:val="clear" w:color="auto" w:fill="auto"/>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2023</w:t>
            </w:r>
          </w:p>
        </w:tc>
        <w:tc>
          <w:tcPr>
            <w:tcW w:w="1905" w:type="pct"/>
            <w:shd w:val="clear" w:color="auto" w:fill="auto"/>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在国有建设用地使用权出让合同或者国有土地划拨决定书，以及建设工程规划许可证中注明绿色建筑等级要求。</w:t>
            </w:r>
          </w:p>
        </w:tc>
        <w:tc>
          <w:tcPr>
            <w:tcW w:w="1451" w:type="pct"/>
            <w:shd w:val="clear" w:color="auto" w:fill="auto"/>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市自然资源局、市住房城乡建设局</w:t>
            </w:r>
          </w:p>
        </w:tc>
      </w:tr>
      <w:tr>
        <w:tblPrEx>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CellMar>
            <w:top w:w="0" w:type="dxa"/>
            <w:left w:w="108" w:type="dxa"/>
            <w:bottom w:w="0" w:type="dxa"/>
            <w:right w:w="108" w:type="dxa"/>
          </w:tblCellMar>
        </w:tblPrEx>
        <w:trPr>
          <w:trHeight w:val="231" w:hRule="atLeast"/>
          <w:jc w:val="center"/>
        </w:trPr>
        <w:tc>
          <w:tcPr>
            <w:tcW w:w="246" w:type="pct"/>
            <w:vMerge w:val="continue"/>
            <w:shd w:val="clear" w:color="auto" w:fill="auto"/>
            <w:vAlign w:val="center"/>
          </w:tcPr>
          <w:p>
            <w:pPr>
              <w:widowControl/>
              <w:jc w:val="center"/>
              <w:textAlignment w:val="center"/>
              <w:rPr>
                <w:rFonts w:hint="default" w:ascii="Times New Roman" w:hAnsi="Times New Roman" w:eastAsia="仿宋" w:cs="Times New Roman"/>
                <w:b w:val="0"/>
                <w:bCs w:val="0"/>
                <w:kern w:val="0"/>
                <w:sz w:val="21"/>
                <w:szCs w:val="21"/>
              </w:rPr>
            </w:pPr>
          </w:p>
        </w:tc>
        <w:tc>
          <w:tcPr>
            <w:tcW w:w="855" w:type="pct"/>
            <w:vMerge w:val="continue"/>
            <w:shd w:val="clear" w:color="auto" w:fill="auto"/>
            <w:vAlign w:val="center"/>
          </w:tcPr>
          <w:p>
            <w:pPr>
              <w:widowControl/>
              <w:jc w:val="center"/>
              <w:textAlignment w:val="center"/>
              <w:rPr>
                <w:rFonts w:hint="default" w:ascii="Times New Roman" w:hAnsi="Times New Roman" w:eastAsia="仿宋" w:cs="Times New Roman"/>
                <w:kern w:val="0"/>
                <w:sz w:val="21"/>
                <w:szCs w:val="21"/>
              </w:rPr>
            </w:pPr>
          </w:p>
        </w:tc>
        <w:tc>
          <w:tcPr>
            <w:tcW w:w="540" w:type="pct"/>
            <w:shd w:val="clear" w:color="auto" w:fill="auto"/>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2023</w:t>
            </w:r>
          </w:p>
        </w:tc>
        <w:tc>
          <w:tcPr>
            <w:tcW w:w="1905" w:type="pct"/>
            <w:shd w:val="clear" w:color="auto" w:fill="auto"/>
            <w:vAlign w:val="center"/>
          </w:tcPr>
          <w:p>
            <w:pPr>
              <w:widowControl/>
              <w:jc w:val="center"/>
              <w:textAlignment w:val="center"/>
              <w:rPr>
                <w:rFonts w:hint="default" w:ascii="Times New Roman" w:hAnsi="Times New Roman" w:eastAsia="仿宋" w:cs="Times New Roman"/>
                <w:kern w:val="0"/>
                <w:sz w:val="21"/>
                <w:szCs w:val="21"/>
                <w:lang w:eastAsia="zh-CN"/>
              </w:rPr>
            </w:pPr>
            <w:r>
              <w:rPr>
                <w:rFonts w:hint="default" w:ascii="Times New Roman" w:hAnsi="Times New Roman" w:eastAsia="仿宋" w:cs="Times New Roman"/>
                <w:kern w:val="0"/>
                <w:sz w:val="21"/>
                <w:szCs w:val="21"/>
              </w:rPr>
              <w:t>维护中山市绿色建筑专家库，研究制定绿色建筑项目预评价工作指引，搭建有本地特色的绿色建筑预评价平台，开展绿色建筑预评价工作，并做好与省绿色建筑平台的对接</w:t>
            </w:r>
            <w:r>
              <w:rPr>
                <w:rFonts w:hint="default" w:ascii="Times New Roman" w:hAnsi="Times New Roman" w:eastAsia="仿宋" w:cs="Times New Roman"/>
                <w:kern w:val="0"/>
                <w:sz w:val="21"/>
                <w:szCs w:val="21"/>
                <w:lang w:eastAsia="zh-CN"/>
              </w:rPr>
              <w:t>。</w:t>
            </w:r>
          </w:p>
        </w:tc>
        <w:tc>
          <w:tcPr>
            <w:tcW w:w="1451" w:type="pct"/>
            <w:shd w:val="clear" w:color="auto" w:fill="auto"/>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市住房城乡建设局</w:t>
            </w:r>
          </w:p>
        </w:tc>
      </w:tr>
      <w:tr>
        <w:tblPrEx>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CellMar>
            <w:top w:w="0" w:type="dxa"/>
            <w:left w:w="108" w:type="dxa"/>
            <w:bottom w:w="0" w:type="dxa"/>
            <w:right w:w="108" w:type="dxa"/>
          </w:tblCellMar>
        </w:tblPrEx>
        <w:trPr>
          <w:trHeight w:val="599" w:hRule="atLeast"/>
          <w:jc w:val="center"/>
        </w:trPr>
        <w:tc>
          <w:tcPr>
            <w:tcW w:w="246" w:type="pct"/>
            <w:vMerge w:val="continue"/>
            <w:shd w:val="clear" w:color="auto" w:fill="auto"/>
            <w:vAlign w:val="center"/>
          </w:tcPr>
          <w:p>
            <w:pPr>
              <w:widowControl/>
              <w:jc w:val="center"/>
              <w:textAlignment w:val="center"/>
              <w:rPr>
                <w:rFonts w:hint="default" w:ascii="Times New Roman" w:hAnsi="Times New Roman" w:eastAsia="仿宋" w:cs="Times New Roman"/>
                <w:b w:val="0"/>
                <w:bCs w:val="0"/>
                <w:kern w:val="0"/>
                <w:sz w:val="21"/>
                <w:szCs w:val="21"/>
              </w:rPr>
            </w:pPr>
          </w:p>
        </w:tc>
        <w:tc>
          <w:tcPr>
            <w:tcW w:w="855" w:type="pct"/>
            <w:vMerge w:val="continue"/>
            <w:shd w:val="clear" w:color="auto" w:fill="auto"/>
            <w:vAlign w:val="center"/>
          </w:tcPr>
          <w:p>
            <w:pPr>
              <w:widowControl/>
              <w:jc w:val="center"/>
              <w:textAlignment w:val="center"/>
              <w:rPr>
                <w:rFonts w:hint="default" w:ascii="Times New Roman" w:hAnsi="Times New Roman" w:eastAsia="仿宋" w:cs="Times New Roman"/>
                <w:kern w:val="0"/>
                <w:sz w:val="21"/>
                <w:szCs w:val="21"/>
              </w:rPr>
            </w:pPr>
          </w:p>
        </w:tc>
        <w:tc>
          <w:tcPr>
            <w:tcW w:w="540" w:type="pct"/>
            <w:shd w:val="clear" w:color="auto" w:fill="auto"/>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2023</w:t>
            </w:r>
          </w:p>
        </w:tc>
        <w:tc>
          <w:tcPr>
            <w:tcW w:w="1905" w:type="pct"/>
            <w:shd w:val="clear" w:color="auto" w:fill="auto"/>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组织编写绿色建筑验收技术文件，将绿色建筑验收相关内容列在竣工验收报告中。</w:t>
            </w:r>
          </w:p>
        </w:tc>
        <w:tc>
          <w:tcPr>
            <w:tcW w:w="1451" w:type="pct"/>
            <w:shd w:val="clear" w:color="auto" w:fill="auto"/>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市住房城乡建设局</w:t>
            </w:r>
          </w:p>
        </w:tc>
      </w:tr>
      <w:tr>
        <w:tblPrEx>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CellMar>
            <w:top w:w="0" w:type="dxa"/>
            <w:left w:w="108" w:type="dxa"/>
            <w:bottom w:w="0" w:type="dxa"/>
            <w:right w:w="108" w:type="dxa"/>
          </w:tblCellMar>
        </w:tblPrEx>
        <w:trPr>
          <w:trHeight w:val="599" w:hRule="atLeast"/>
          <w:jc w:val="center"/>
        </w:trPr>
        <w:tc>
          <w:tcPr>
            <w:tcW w:w="246" w:type="pct"/>
            <w:vMerge w:val="continue"/>
            <w:shd w:val="clear" w:color="auto" w:fill="auto"/>
            <w:vAlign w:val="center"/>
          </w:tcPr>
          <w:p>
            <w:pPr>
              <w:widowControl/>
              <w:jc w:val="center"/>
              <w:textAlignment w:val="center"/>
              <w:rPr>
                <w:rFonts w:hint="default" w:ascii="Times New Roman" w:hAnsi="Times New Roman" w:eastAsia="仿宋" w:cs="Times New Roman"/>
                <w:b w:val="0"/>
                <w:bCs w:val="0"/>
                <w:kern w:val="0"/>
                <w:sz w:val="21"/>
                <w:szCs w:val="21"/>
              </w:rPr>
            </w:pPr>
          </w:p>
        </w:tc>
        <w:tc>
          <w:tcPr>
            <w:tcW w:w="855" w:type="pct"/>
            <w:vMerge w:val="continue"/>
            <w:shd w:val="clear" w:color="auto" w:fill="auto"/>
            <w:vAlign w:val="center"/>
          </w:tcPr>
          <w:p>
            <w:pPr>
              <w:widowControl/>
              <w:jc w:val="center"/>
              <w:textAlignment w:val="center"/>
              <w:rPr>
                <w:rFonts w:hint="default" w:ascii="Times New Roman" w:hAnsi="Times New Roman" w:eastAsia="仿宋" w:cs="Times New Roman"/>
                <w:kern w:val="0"/>
                <w:sz w:val="21"/>
                <w:szCs w:val="21"/>
              </w:rPr>
            </w:pPr>
          </w:p>
        </w:tc>
        <w:tc>
          <w:tcPr>
            <w:tcW w:w="540" w:type="pct"/>
            <w:shd w:val="clear" w:color="auto" w:fill="auto"/>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2023</w:t>
            </w:r>
          </w:p>
        </w:tc>
        <w:tc>
          <w:tcPr>
            <w:tcW w:w="1905" w:type="pct"/>
            <w:shd w:val="clear" w:color="auto" w:fill="auto"/>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在项目审批阶段做好对本规划指标的衔接与管控。</w:t>
            </w:r>
          </w:p>
        </w:tc>
        <w:tc>
          <w:tcPr>
            <w:tcW w:w="1451" w:type="pct"/>
            <w:shd w:val="clear" w:color="auto" w:fill="auto"/>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市发展和改革局、市自然资源局、市住房城乡建设局</w:t>
            </w:r>
          </w:p>
        </w:tc>
      </w:tr>
      <w:tr>
        <w:tblPrEx>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CellMar>
            <w:top w:w="0" w:type="dxa"/>
            <w:left w:w="108" w:type="dxa"/>
            <w:bottom w:w="0" w:type="dxa"/>
            <w:right w:w="108" w:type="dxa"/>
          </w:tblCellMar>
        </w:tblPrEx>
        <w:trPr>
          <w:jc w:val="center"/>
        </w:trPr>
        <w:tc>
          <w:tcPr>
            <w:tcW w:w="246" w:type="pct"/>
            <w:vMerge w:val="continue"/>
            <w:shd w:val="clear" w:color="auto" w:fill="auto"/>
            <w:vAlign w:val="center"/>
          </w:tcPr>
          <w:p>
            <w:pPr>
              <w:widowControl/>
              <w:jc w:val="center"/>
              <w:textAlignment w:val="center"/>
              <w:rPr>
                <w:rFonts w:hint="default" w:ascii="Times New Roman" w:hAnsi="Times New Roman" w:eastAsia="仿宋" w:cs="Times New Roman"/>
                <w:b w:val="0"/>
                <w:bCs w:val="0"/>
                <w:kern w:val="0"/>
                <w:sz w:val="21"/>
                <w:szCs w:val="21"/>
              </w:rPr>
            </w:pPr>
          </w:p>
        </w:tc>
        <w:tc>
          <w:tcPr>
            <w:tcW w:w="855" w:type="pct"/>
            <w:vMerge w:val="restart"/>
            <w:shd w:val="clear" w:color="auto" w:fill="auto"/>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品质提升</w:t>
            </w:r>
          </w:p>
        </w:tc>
        <w:tc>
          <w:tcPr>
            <w:tcW w:w="540" w:type="pct"/>
            <w:shd w:val="clear" w:color="auto" w:fill="auto"/>
            <w:vAlign w:val="center"/>
          </w:tcPr>
          <w:p>
            <w:pPr>
              <w:widowControl/>
              <w:jc w:val="center"/>
              <w:textAlignment w:val="center"/>
              <w:rPr>
                <w:rFonts w:hint="default" w:ascii="Times New Roman" w:hAnsi="Times New Roman" w:eastAsia="仿宋" w:cs="Times New Roman"/>
                <w:kern w:val="0"/>
                <w:sz w:val="21"/>
                <w:szCs w:val="21"/>
                <w:lang w:eastAsia="zh-CN"/>
              </w:rPr>
            </w:pPr>
            <w:r>
              <w:rPr>
                <w:rFonts w:hint="default" w:ascii="Times New Roman" w:hAnsi="Times New Roman" w:eastAsia="仿宋" w:cs="Times New Roman"/>
                <w:kern w:val="0"/>
                <w:sz w:val="21"/>
                <w:szCs w:val="21"/>
              </w:rPr>
              <w:t>202</w:t>
            </w:r>
            <w:r>
              <w:rPr>
                <w:rFonts w:hint="default" w:ascii="Times New Roman" w:hAnsi="Times New Roman" w:eastAsia="仿宋" w:cs="Times New Roman"/>
                <w:kern w:val="0"/>
                <w:sz w:val="21"/>
                <w:szCs w:val="21"/>
                <w:lang w:val="en-US" w:eastAsia="zh-CN"/>
              </w:rPr>
              <w:t>4</w:t>
            </w:r>
          </w:p>
        </w:tc>
        <w:tc>
          <w:tcPr>
            <w:tcW w:w="1905" w:type="pct"/>
            <w:shd w:val="clear" w:color="auto" w:fill="auto"/>
            <w:vAlign w:val="center"/>
          </w:tcPr>
          <w:p>
            <w:pPr>
              <w:widowControl/>
              <w:jc w:val="center"/>
              <w:textAlignment w:val="center"/>
              <w:rPr>
                <w:rFonts w:hint="default" w:ascii="Times New Roman" w:hAnsi="Times New Roman" w:eastAsia="仿宋" w:cs="Times New Roman"/>
                <w:kern w:val="0"/>
                <w:sz w:val="21"/>
                <w:szCs w:val="21"/>
                <w:lang w:eastAsia="zh-CN"/>
              </w:rPr>
            </w:pPr>
            <w:r>
              <w:rPr>
                <w:rFonts w:hint="default" w:ascii="Times New Roman" w:hAnsi="Times New Roman" w:eastAsia="仿宋" w:cs="Times New Roman"/>
                <w:kern w:val="0"/>
                <w:sz w:val="21"/>
                <w:szCs w:val="21"/>
              </w:rPr>
              <w:t>绿色建筑后评估</w:t>
            </w:r>
          </w:p>
        </w:tc>
        <w:tc>
          <w:tcPr>
            <w:tcW w:w="1451" w:type="pct"/>
            <w:shd w:val="clear" w:color="auto" w:fill="auto"/>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市住房城乡建设局</w:t>
            </w:r>
          </w:p>
        </w:tc>
      </w:tr>
      <w:tr>
        <w:tblPrEx>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CellMar>
            <w:top w:w="0" w:type="dxa"/>
            <w:left w:w="108" w:type="dxa"/>
            <w:bottom w:w="0" w:type="dxa"/>
            <w:right w:w="108" w:type="dxa"/>
          </w:tblCellMar>
        </w:tblPrEx>
        <w:trPr>
          <w:trHeight w:val="136" w:hRule="atLeast"/>
          <w:jc w:val="center"/>
        </w:trPr>
        <w:tc>
          <w:tcPr>
            <w:tcW w:w="246" w:type="pct"/>
            <w:vMerge w:val="continue"/>
            <w:shd w:val="clear" w:color="auto" w:fill="auto"/>
            <w:vAlign w:val="center"/>
          </w:tcPr>
          <w:p>
            <w:pPr>
              <w:widowControl/>
              <w:jc w:val="center"/>
              <w:textAlignment w:val="center"/>
              <w:rPr>
                <w:rFonts w:hint="default" w:ascii="Times New Roman" w:hAnsi="Times New Roman" w:eastAsia="仿宋" w:cs="Times New Roman"/>
                <w:b w:val="0"/>
                <w:bCs w:val="0"/>
                <w:kern w:val="0"/>
                <w:sz w:val="21"/>
                <w:szCs w:val="21"/>
              </w:rPr>
            </w:pPr>
          </w:p>
        </w:tc>
        <w:tc>
          <w:tcPr>
            <w:tcW w:w="855" w:type="pct"/>
            <w:vMerge w:val="continue"/>
            <w:shd w:val="clear" w:color="auto" w:fill="auto"/>
            <w:vAlign w:val="center"/>
          </w:tcPr>
          <w:p>
            <w:pPr>
              <w:widowControl/>
              <w:jc w:val="center"/>
              <w:textAlignment w:val="center"/>
              <w:rPr>
                <w:rFonts w:hint="default" w:ascii="Times New Roman" w:hAnsi="Times New Roman" w:eastAsia="仿宋" w:cs="Times New Roman"/>
                <w:kern w:val="0"/>
                <w:sz w:val="21"/>
                <w:szCs w:val="21"/>
              </w:rPr>
            </w:pPr>
          </w:p>
        </w:tc>
        <w:tc>
          <w:tcPr>
            <w:tcW w:w="540" w:type="pct"/>
            <w:shd w:val="clear" w:color="auto" w:fill="auto"/>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2024</w:t>
            </w:r>
          </w:p>
        </w:tc>
        <w:tc>
          <w:tcPr>
            <w:tcW w:w="1905" w:type="pct"/>
            <w:shd w:val="clear" w:color="auto" w:fill="auto"/>
            <w:vAlign w:val="center"/>
          </w:tcPr>
          <w:p>
            <w:pPr>
              <w:widowControl/>
              <w:jc w:val="center"/>
              <w:textAlignment w:val="center"/>
              <w:rPr>
                <w:rFonts w:hint="default" w:ascii="Times New Roman" w:hAnsi="Times New Roman" w:eastAsia="仿宋" w:cs="Times New Roman"/>
                <w:kern w:val="0"/>
                <w:sz w:val="21"/>
                <w:szCs w:val="21"/>
                <w:lang w:val="en-AU" w:eastAsia="zh-CN"/>
              </w:rPr>
            </w:pPr>
            <w:r>
              <w:rPr>
                <w:rFonts w:hint="default" w:ascii="Times New Roman" w:hAnsi="Times New Roman" w:eastAsia="仿宋" w:cs="Times New Roman"/>
                <w:kern w:val="0"/>
                <w:sz w:val="21"/>
                <w:szCs w:val="21"/>
              </w:rPr>
              <w:t>健康建筑示范</w:t>
            </w:r>
          </w:p>
        </w:tc>
        <w:tc>
          <w:tcPr>
            <w:tcW w:w="1451" w:type="pct"/>
            <w:shd w:val="clear" w:color="auto" w:fill="auto"/>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市住房城乡建设局、市发展和改革局</w:t>
            </w:r>
          </w:p>
        </w:tc>
      </w:tr>
      <w:tr>
        <w:tblPrEx>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CellMar>
            <w:top w:w="0" w:type="dxa"/>
            <w:left w:w="108" w:type="dxa"/>
            <w:bottom w:w="0" w:type="dxa"/>
            <w:right w:w="108" w:type="dxa"/>
          </w:tblCellMar>
        </w:tblPrEx>
        <w:trPr>
          <w:jc w:val="center"/>
        </w:trPr>
        <w:tc>
          <w:tcPr>
            <w:tcW w:w="246" w:type="pct"/>
            <w:vMerge w:val="restart"/>
            <w:shd w:val="clear" w:color="auto" w:fill="auto"/>
            <w:vAlign w:val="center"/>
          </w:tcPr>
          <w:p>
            <w:pPr>
              <w:widowControl/>
              <w:jc w:val="center"/>
              <w:textAlignment w:val="center"/>
              <w:rPr>
                <w:rFonts w:hint="default" w:ascii="Times New Roman" w:hAnsi="Times New Roman" w:eastAsia="仿宋" w:cs="Times New Roman"/>
                <w:b w:val="0"/>
                <w:bCs w:val="0"/>
                <w:kern w:val="0"/>
                <w:sz w:val="21"/>
                <w:szCs w:val="21"/>
              </w:rPr>
            </w:pPr>
            <w:r>
              <w:rPr>
                <w:rFonts w:hint="default" w:ascii="Times New Roman" w:hAnsi="Times New Roman" w:eastAsia="仿宋" w:cs="Times New Roman"/>
                <w:b/>
                <w:bCs/>
                <w:kern w:val="0"/>
                <w:sz w:val="21"/>
                <w:szCs w:val="21"/>
              </w:rPr>
              <w:t>既有建筑节能绿色化改造</w:t>
            </w:r>
          </w:p>
        </w:tc>
        <w:tc>
          <w:tcPr>
            <w:tcW w:w="855" w:type="pct"/>
            <w:vMerge w:val="restart"/>
            <w:shd w:val="clear" w:color="auto" w:fill="auto"/>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工作机制</w:t>
            </w:r>
          </w:p>
        </w:tc>
        <w:tc>
          <w:tcPr>
            <w:tcW w:w="540" w:type="pct"/>
            <w:shd w:val="clear" w:color="auto" w:fill="auto"/>
            <w:vAlign w:val="center"/>
          </w:tcPr>
          <w:p>
            <w:pPr>
              <w:widowControl/>
              <w:jc w:val="center"/>
              <w:textAlignment w:val="center"/>
              <w:rPr>
                <w:rFonts w:hint="default" w:ascii="Times New Roman" w:hAnsi="Times New Roman" w:eastAsia="仿宋" w:cs="Times New Roman"/>
                <w:kern w:val="0"/>
                <w:sz w:val="21"/>
                <w:szCs w:val="21"/>
                <w:lang w:val="en-US" w:eastAsia="zh-CN"/>
              </w:rPr>
            </w:pPr>
            <w:r>
              <w:rPr>
                <w:rFonts w:hint="default" w:ascii="Times New Roman" w:hAnsi="Times New Roman" w:eastAsia="仿宋" w:cs="Times New Roman"/>
                <w:kern w:val="0"/>
                <w:sz w:val="21"/>
                <w:szCs w:val="21"/>
              </w:rPr>
              <w:t>202</w:t>
            </w:r>
            <w:r>
              <w:rPr>
                <w:rFonts w:hint="default" w:ascii="Times New Roman" w:hAnsi="Times New Roman" w:eastAsia="仿宋" w:cs="Times New Roman"/>
                <w:kern w:val="0"/>
                <w:sz w:val="21"/>
                <w:szCs w:val="21"/>
                <w:lang w:val="en-US" w:eastAsia="zh-CN"/>
              </w:rPr>
              <w:t>3</w:t>
            </w:r>
          </w:p>
        </w:tc>
        <w:tc>
          <w:tcPr>
            <w:tcW w:w="1905" w:type="pct"/>
            <w:shd w:val="clear" w:color="auto" w:fill="auto"/>
            <w:vAlign w:val="center"/>
          </w:tcPr>
          <w:p>
            <w:pPr>
              <w:widowControl/>
              <w:jc w:val="center"/>
              <w:textAlignment w:val="center"/>
              <w:rPr>
                <w:rFonts w:hint="default" w:ascii="Times New Roman" w:hAnsi="Times New Roman" w:eastAsia="仿宋" w:cs="Times New Roman"/>
                <w:kern w:val="0"/>
                <w:sz w:val="21"/>
                <w:szCs w:val="21"/>
                <w:lang w:eastAsia="zh-CN"/>
              </w:rPr>
            </w:pPr>
            <w:r>
              <w:rPr>
                <w:rFonts w:hint="default" w:ascii="Times New Roman" w:hAnsi="Times New Roman" w:eastAsia="仿宋" w:cs="Times New Roman"/>
                <w:kern w:val="0"/>
                <w:sz w:val="21"/>
                <w:szCs w:val="21"/>
              </w:rPr>
              <w:t>既有建筑摸底调查</w:t>
            </w:r>
          </w:p>
        </w:tc>
        <w:tc>
          <w:tcPr>
            <w:tcW w:w="1451" w:type="pct"/>
            <w:shd w:val="clear" w:color="auto" w:fill="auto"/>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市住房城乡建设局</w:t>
            </w:r>
          </w:p>
        </w:tc>
      </w:tr>
      <w:tr>
        <w:tblPrEx>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CellMar>
            <w:top w:w="0" w:type="dxa"/>
            <w:left w:w="108" w:type="dxa"/>
            <w:bottom w:w="0" w:type="dxa"/>
            <w:right w:w="108" w:type="dxa"/>
          </w:tblCellMar>
        </w:tblPrEx>
        <w:trPr>
          <w:trHeight w:val="245" w:hRule="atLeast"/>
          <w:jc w:val="center"/>
        </w:trPr>
        <w:tc>
          <w:tcPr>
            <w:tcW w:w="246" w:type="pct"/>
            <w:vMerge w:val="continue"/>
            <w:shd w:val="clear" w:color="auto" w:fill="auto"/>
            <w:vAlign w:val="center"/>
          </w:tcPr>
          <w:p>
            <w:pPr>
              <w:widowControl/>
              <w:jc w:val="center"/>
              <w:textAlignment w:val="center"/>
              <w:rPr>
                <w:rFonts w:hint="default" w:ascii="Times New Roman" w:hAnsi="Times New Roman" w:eastAsia="仿宋" w:cs="Times New Roman"/>
                <w:b w:val="0"/>
                <w:bCs w:val="0"/>
                <w:kern w:val="0"/>
                <w:sz w:val="21"/>
                <w:szCs w:val="21"/>
              </w:rPr>
            </w:pPr>
          </w:p>
        </w:tc>
        <w:tc>
          <w:tcPr>
            <w:tcW w:w="855" w:type="pct"/>
            <w:vMerge w:val="continue"/>
            <w:shd w:val="clear" w:color="auto" w:fill="auto"/>
            <w:vAlign w:val="center"/>
          </w:tcPr>
          <w:p>
            <w:pPr>
              <w:widowControl/>
              <w:jc w:val="center"/>
              <w:textAlignment w:val="center"/>
              <w:rPr>
                <w:rFonts w:hint="default" w:ascii="Times New Roman" w:hAnsi="Times New Roman" w:eastAsia="仿宋" w:cs="Times New Roman"/>
                <w:kern w:val="0"/>
                <w:sz w:val="21"/>
                <w:szCs w:val="21"/>
              </w:rPr>
            </w:pPr>
          </w:p>
        </w:tc>
        <w:tc>
          <w:tcPr>
            <w:tcW w:w="540" w:type="pct"/>
            <w:shd w:val="clear" w:color="auto" w:fill="auto"/>
            <w:vAlign w:val="center"/>
          </w:tcPr>
          <w:p>
            <w:pPr>
              <w:widowControl/>
              <w:jc w:val="center"/>
              <w:textAlignment w:val="center"/>
              <w:rPr>
                <w:rFonts w:hint="default" w:ascii="Times New Roman" w:hAnsi="Times New Roman" w:eastAsia="仿宋" w:cs="Times New Roman"/>
                <w:kern w:val="0"/>
                <w:sz w:val="21"/>
                <w:szCs w:val="21"/>
                <w:lang w:eastAsia="zh-CN"/>
              </w:rPr>
            </w:pPr>
            <w:r>
              <w:rPr>
                <w:rFonts w:hint="default" w:ascii="Times New Roman" w:hAnsi="Times New Roman" w:eastAsia="仿宋" w:cs="Times New Roman"/>
                <w:kern w:val="0"/>
                <w:sz w:val="21"/>
                <w:szCs w:val="21"/>
              </w:rPr>
              <w:t>202</w:t>
            </w:r>
            <w:r>
              <w:rPr>
                <w:rFonts w:hint="default" w:ascii="Times New Roman" w:hAnsi="Times New Roman" w:eastAsia="仿宋" w:cs="Times New Roman"/>
                <w:kern w:val="0"/>
                <w:sz w:val="21"/>
                <w:szCs w:val="21"/>
                <w:lang w:val="en-US" w:eastAsia="zh-CN"/>
              </w:rPr>
              <w:t>4</w:t>
            </w:r>
          </w:p>
        </w:tc>
        <w:tc>
          <w:tcPr>
            <w:tcW w:w="1905" w:type="pct"/>
            <w:shd w:val="clear" w:color="auto" w:fill="auto"/>
            <w:vAlign w:val="center"/>
          </w:tcPr>
          <w:p>
            <w:pPr>
              <w:widowControl/>
              <w:jc w:val="center"/>
              <w:textAlignment w:val="center"/>
              <w:rPr>
                <w:rFonts w:hint="default" w:ascii="Times New Roman" w:hAnsi="Times New Roman" w:eastAsia="仿宋" w:cs="Times New Roman"/>
                <w:kern w:val="0"/>
                <w:sz w:val="21"/>
                <w:szCs w:val="21"/>
                <w:lang w:eastAsia="zh-CN"/>
              </w:rPr>
            </w:pPr>
            <w:r>
              <w:rPr>
                <w:rFonts w:hint="default" w:ascii="Times New Roman" w:hAnsi="Times New Roman" w:eastAsia="仿宋" w:cs="Times New Roman"/>
                <w:sz w:val="21"/>
                <w:szCs w:val="21"/>
              </w:rPr>
              <w:t>结合三旧改造项目、城市更新重点区域、老旧小区改造同步推进居住建筑的</w:t>
            </w:r>
            <w:r>
              <w:rPr>
                <w:rFonts w:hint="eastAsia" w:ascii="Times New Roman" w:hAnsi="Times New Roman" w:eastAsia="仿宋" w:cs="Times New Roman"/>
                <w:sz w:val="21"/>
                <w:szCs w:val="21"/>
                <w:lang w:eastAsia="zh-CN"/>
              </w:rPr>
              <w:t>节能绿色化改造</w:t>
            </w:r>
            <w:r>
              <w:rPr>
                <w:rFonts w:hint="default" w:ascii="Times New Roman" w:hAnsi="Times New Roman" w:eastAsia="仿宋" w:cs="Times New Roman"/>
                <w:sz w:val="21"/>
                <w:szCs w:val="21"/>
              </w:rPr>
              <w:t>。制定</w:t>
            </w:r>
            <w:r>
              <w:rPr>
                <w:rFonts w:hint="default" w:ascii="Times New Roman" w:hAnsi="Times New Roman" w:eastAsia="仿宋" w:cs="Times New Roman"/>
                <w:kern w:val="0"/>
                <w:sz w:val="21"/>
                <w:szCs w:val="21"/>
              </w:rPr>
              <w:t>改造方案与清单</w:t>
            </w:r>
            <w:r>
              <w:rPr>
                <w:rFonts w:hint="default" w:ascii="Times New Roman" w:hAnsi="Times New Roman" w:eastAsia="仿宋" w:cs="Times New Roman"/>
                <w:kern w:val="0"/>
                <w:sz w:val="21"/>
                <w:szCs w:val="21"/>
                <w:lang w:eastAsia="zh-CN"/>
              </w:rPr>
              <w:t>。</w:t>
            </w:r>
          </w:p>
        </w:tc>
        <w:tc>
          <w:tcPr>
            <w:tcW w:w="1451" w:type="pct"/>
            <w:shd w:val="clear" w:color="auto" w:fill="auto"/>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市自然资源局、市住房城乡建设局</w:t>
            </w:r>
          </w:p>
        </w:tc>
      </w:tr>
      <w:tr>
        <w:tblPrEx>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CellMar>
            <w:top w:w="0" w:type="dxa"/>
            <w:left w:w="108" w:type="dxa"/>
            <w:bottom w:w="0" w:type="dxa"/>
            <w:right w:w="108" w:type="dxa"/>
          </w:tblCellMar>
        </w:tblPrEx>
        <w:trPr>
          <w:jc w:val="center"/>
        </w:trPr>
        <w:tc>
          <w:tcPr>
            <w:tcW w:w="246" w:type="pct"/>
            <w:vMerge w:val="continue"/>
            <w:shd w:val="clear" w:color="auto" w:fill="auto"/>
            <w:vAlign w:val="center"/>
          </w:tcPr>
          <w:p>
            <w:pPr>
              <w:widowControl/>
              <w:jc w:val="center"/>
              <w:textAlignment w:val="center"/>
              <w:rPr>
                <w:rFonts w:hint="default" w:ascii="Times New Roman" w:hAnsi="Times New Roman" w:eastAsia="仿宋" w:cs="Times New Roman"/>
                <w:b w:val="0"/>
                <w:bCs w:val="0"/>
                <w:kern w:val="0"/>
                <w:sz w:val="21"/>
                <w:szCs w:val="21"/>
              </w:rPr>
            </w:pPr>
          </w:p>
        </w:tc>
        <w:tc>
          <w:tcPr>
            <w:tcW w:w="855" w:type="pct"/>
            <w:shd w:val="clear" w:color="auto" w:fill="auto"/>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居住建筑</w:t>
            </w:r>
          </w:p>
        </w:tc>
        <w:tc>
          <w:tcPr>
            <w:tcW w:w="540" w:type="pct"/>
            <w:shd w:val="clear" w:color="auto" w:fill="auto"/>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2023</w:t>
            </w:r>
          </w:p>
        </w:tc>
        <w:tc>
          <w:tcPr>
            <w:tcW w:w="1905" w:type="pct"/>
            <w:shd w:val="clear" w:color="auto" w:fill="auto"/>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sz w:val="21"/>
                <w:szCs w:val="21"/>
              </w:rPr>
              <w:t>在老旧小区更新改造中，推动基础类、完善类的更新改造进行节能绿色化改造。</w:t>
            </w:r>
            <w:r>
              <w:rPr>
                <w:rFonts w:hint="default" w:ascii="Times New Roman" w:hAnsi="Times New Roman" w:eastAsia="仿宋" w:cs="Times New Roman"/>
                <w:kern w:val="0"/>
                <w:sz w:val="21"/>
                <w:szCs w:val="21"/>
              </w:rPr>
              <w:t>老旧小区绿色化改造示范项目建设。</w:t>
            </w:r>
          </w:p>
        </w:tc>
        <w:tc>
          <w:tcPr>
            <w:tcW w:w="1451" w:type="pct"/>
            <w:shd w:val="clear" w:color="auto" w:fill="auto"/>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市住房城乡建设局</w:t>
            </w:r>
          </w:p>
        </w:tc>
      </w:tr>
      <w:tr>
        <w:tblPrEx>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CellMar>
            <w:top w:w="0" w:type="dxa"/>
            <w:left w:w="108" w:type="dxa"/>
            <w:bottom w:w="0" w:type="dxa"/>
            <w:right w:w="108" w:type="dxa"/>
          </w:tblCellMar>
        </w:tblPrEx>
        <w:trPr>
          <w:trHeight w:val="408" w:hRule="atLeast"/>
          <w:jc w:val="center"/>
        </w:trPr>
        <w:tc>
          <w:tcPr>
            <w:tcW w:w="246" w:type="pct"/>
            <w:vMerge w:val="continue"/>
            <w:shd w:val="clear" w:color="auto" w:fill="auto"/>
            <w:vAlign w:val="center"/>
          </w:tcPr>
          <w:p>
            <w:pPr>
              <w:widowControl/>
              <w:jc w:val="center"/>
              <w:textAlignment w:val="center"/>
              <w:rPr>
                <w:rFonts w:hint="default" w:ascii="Times New Roman" w:hAnsi="Times New Roman" w:eastAsia="仿宋" w:cs="Times New Roman"/>
                <w:b w:val="0"/>
                <w:bCs w:val="0"/>
                <w:kern w:val="0"/>
                <w:sz w:val="21"/>
                <w:szCs w:val="21"/>
              </w:rPr>
            </w:pPr>
          </w:p>
        </w:tc>
        <w:tc>
          <w:tcPr>
            <w:tcW w:w="855" w:type="pct"/>
            <w:shd w:val="clear" w:color="auto" w:fill="auto"/>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公共建筑</w:t>
            </w:r>
          </w:p>
        </w:tc>
        <w:tc>
          <w:tcPr>
            <w:tcW w:w="540" w:type="pct"/>
            <w:shd w:val="clear" w:color="auto" w:fill="auto"/>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2023</w:t>
            </w:r>
          </w:p>
        </w:tc>
        <w:tc>
          <w:tcPr>
            <w:tcW w:w="1905" w:type="pct"/>
            <w:shd w:val="clear" w:color="auto" w:fill="auto"/>
            <w:vAlign w:val="center"/>
          </w:tcPr>
          <w:p>
            <w:pPr>
              <w:widowControl/>
              <w:jc w:val="center"/>
              <w:textAlignment w:val="center"/>
              <w:rPr>
                <w:rFonts w:hint="default" w:ascii="Times New Roman" w:hAnsi="Times New Roman" w:eastAsia="仿宋" w:cs="Times New Roman"/>
                <w:kern w:val="0"/>
                <w:sz w:val="21"/>
                <w:szCs w:val="21"/>
                <w:lang w:eastAsia="zh-CN"/>
              </w:rPr>
            </w:pPr>
            <w:r>
              <w:rPr>
                <w:rFonts w:hint="default" w:ascii="Times New Roman" w:hAnsi="Times New Roman" w:eastAsia="仿宋" w:cs="Times New Roman"/>
                <w:kern w:val="0"/>
                <w:sz w:val="21"/>
                <w:szCs w:val="21"/>
              </w:rPr>
              <w:t>开展公共建筑节能</w:t>
            </w:r>
            <w:r>
              <w:rPr>
                <w:rFonts w:hint="eastAsia" w:ascii="Times New Roman" w:hAnsi="Times New Roman" w:eastAsia="仿宋" w:cs="Times New Roman"/>
                <w:kern w:val="0"/>
                <w:sz w:val="21"/>
                <w:szCs w:val="21"/>
                <w:lang w:val="en-US" w:eastAsia="zh-CN"/>
              </w:rPr>
              <w:t>绿色化</w:t>
            </w:r>
            <w:r>
              <w:rPr>
                <w:rFonts w:hint="default" w:ascii="Times New Roman" w:hAnsi="Times New Roman" w:eastAsia="仿宋" w:cs="Times New Roman"/>
                <w:kern w:val="0"/>
                <w:sz w:val="21"/>
                <w:szCs w:val="21"/>
              </w:rPr>
              <w:t>改造示范</w:t>
            </w:r>
          </w:p>
        </w:tc>
        <w:tc>
          <w:tcPr>
            <w:tcW w:w="1451" w:type="pct"/>
            <w:shd w:val="clear" w:color="auto" w:fill="auto"/>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市住房城乡建设局、市发展改革局</w:t>
            </w:r>
          </w:p>
        </w:tc>
      </w:tr>
      <w:tr>
        <w:tblPrEx>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CellMar>
            <w:top w:w="0" w:type="dxa"/>
            <w:left w:w="108" w:type="dxa"/>
            <w:bottom w:w="0" w:type="dxa"/>
            <w:right w:w="108" w:type="dxa"/>
          </w:tblCellMar>
        </w:tblPrEx>
        <w:trPr>
          <w:jc w:val="center"/>
        </w:trPr>
        <w:tc>
          <w:tcPr>
            <w:tcW w:w="246" w:type="pct"/>
            <w:vMerge w:val="restart"/>
            <w:shd w:val="clear" w:color="auto" w:fill="auto"/>
            <w:vAlign w:val="center"/>
          </w:tcPr>
          <w:p>
            <w:pPr>
              <w:widowControl/>
              <w:jc w:val="center"/>
              <w:textAlignment w:val="center"/>
              <w:rPr>
                <w:rFonts w:hint="default" w:ascii="Times New Roman" w:hAnsi="Times New Roman" w:eastAsia="仿宋" w:cs="Times New Roman"/>
                <w:b w:val="0"/>
                <w:bCs w:val="0"/>
                <w:kern w:val="0"/>
                <w:sz w:val="21"/>
                <w:szCs w:val="21"/>
              </w:rPr>
            </w:pPr>
            <w:r>
              <w:rPr>
                <w:rFonts w:hint="default" w:ascii="Times New Roman" w:hAnsi="Times New Roman" w:eastAsia="仿宋" w:cs="Times New Roman"/>
                <w:b/>
                <w:bCs/>
                <w:kern w:val="0"/>
                <w:sz w:val="21"/>
                <w:szCs w:val="21"/>
              </w:rPr>
              <w:t>绿色技术推广应用</w:t>
            </w:r>
          </w:p>
        </w:tc>
        <w:tc>
          <w:tcPr>
            <w:tcW w:w="855" w:type="pct"/>
            <w:shd w:val="clear" w:color="auto" w:fill="auto"/>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建筑节能</w:t>
            </w:r>
          </w:p>
        </w:tc>
        <w:tc>
          <w:tcPr>
            <w:tcW w:w="540" w:type="pct"/>
            <w:shd w:val="clear" w:color="auto" w:fill="auto"/>
            <w:vAlign w:val="center"/>
          </w:tcPr>
          <w:p>
            <w:pPr>
              <w:widowControl/>
              <w:jc w:val="center"/>
              <w:textAlignment w:val="center"/>
              <w:rPr>
                <w:rFonts w:hint="default" w:ascii="Times New Roman" w:hAnsi="Times New Roman" w:eastAsia="仿宋" w:cs="Times New Roman"/>
                <w:kern w:val="0"/>
                <w:sz w:val="21"/>
                <w:szCs w:val="21"/>
                <w:lang w:eastAsia="zh-CN"/>
              </w:rPr>
            </w:pPr>
            <w:r>
              <w:rPr>
                <w:rFonts w:hint="default" w:ascii="Times New Roman" w:hAnsi="Times New Roman" w:eastAsia="仿宋" w:cs="Times New Roman"/>
                <w:kern w:val="0"/>
                <w:sz w:val="21"/>
                <w:szCs w:val="21"/>
              </w:rPr>
              <w:t>202</w:t>
            </w:r>
            <w:r>
              <w:rPr>
                <w:rFonts w:hint="default" w:ascii="Times New Roman" w:hAnsi="Times New Roman" w:eastAsia="仿宋" w:cs="Times New Roman"/>
                <w:kern w:val="0"/>
                <w:sz w:val="21"/>
                <w:szCs w:val="21"/>
                <w:lang w:val="en-US" w:eastAsia="zh-CN"/>
              </w:rPr>
              <w:t>3</w:t>
            </w:r>
          </w:p>
        </w:tc>
        <w:tc>
          <w:tcPr>
            <w:tcW w:w="1905" w:type="pct"/>
            <w:shd w:val="clear" w:color="auto" w:fill="auto"/>
            <w:vAlign w:val="center"/>
          </w:tcPr>
          <w:p>
            <w:pPr>
              <w:widowControl/>
              <w:jc w:val="center"/>
              <w:textAlignment w:val="center"/>
              <w:rPr>
                <w:rFonts w:hint="default" w:ascii="Times New Roman" w:hAnsi="Times New Roman" w:eastAsia="仿宋" w:cs="Times New Roman"/>
                <w:kern w:val="0"/>
                <w:sz w:val="21"/>
                <w:szCs w:val="21"/>
                <w:lang w:eastAsia="zh-CN"/>
              </w:rPr>
            </w:pPr>
            <w:r>
              <w:rPr>
                <w:rFonts w:hint="default" w:ascii="Times New Roman" w:hAnsi="Times New Roman" w:eastAsia="仿宋" w:cs="Times New Roman"/>
                <w:kern w:val="0"/>
                <w:sz w:val="21"/>
                <w:szCs w:val="21"/>
              </w:rPr>
              <w:t>新建、扩建和改建建筑同步落实建筑节能建设，严格执行国家、省建筑节能强制性标准，项目可行性研究报告、建筑方案、初步设计文件应包含建筑能耗、可再生能源利用及建筑碳排放分析报告。施工图设计文件应明确建筑节能措施及可再生能源理由系统运营管理的技术要求</w:t>
            </w:r>
            <w:r>
              <w:rPr>
                <w:rFonts w:hint="default" w:ascii="Times New Roman" w:hAnsi="Times New Roman" w:eastAsia="仿宋" w:cs="Times New Roman"/>
                <w:kern w:val="0"/>
                <w:sz w:val="21"/>
                <w:szCs w:val="21"/>
                <w:lang w:eastAsia="zh-CN"/>
              </w:rPr>
              <w:t>。</w:t>
            </w:r>
          </w:p>
        </w:tc>
        <w:tc>
          <w:tcPr>
            <w:tcW w:w="1451" w:type="pct"/>
            <w:shd w:val="clear" w:color="auto" w:fill="auto"/>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市住房城乡建设局</w:t>
            </w:r>
          </w:p>
        </w:tc>
      </w:tr>
      <w:tr>
        <w:tblPrEx>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CellMar>
            <w:top w:w="0" w:type="dxa"/>
            <w:left w:w="108" w:type="dxa"/>
            <w:bottom w:w="0" w:type="dxa"/>
            <w:right w:w="108" w:type="dxa"/>
          </w:tblCellMar>
        </w:tblPrEx>
        <w:trPr>
          <w:jc w:val="center"/>
        </w:trPr>
        <w:tc>
          <w:tcPr>
            <w:tcW w:w="246" w:type="pct"/>
            <w:vMerge w:val="continue"/>
            <w:shd w:val="clear" w:color="auto" w:fill="auto"/>
            <w:vAlign w:val="center"/>
          </w:tcPr>
          <w:p>
            <w:pPr>
              <w:widowControl/>
              <w:jc w:val="center"/>
              <w:textAlignment w:val="center"/>
              <w:rPr>
                <w:rFonts w:hint="default" w:ascii="Times New Roman" w:hAnsi="Times New Roman" w:eastAsia="仿宋" w:cs="Times New Roman"/>
                <w:b w:val="0"/>
                <w:bCs w:val="0"/>
                <w:kern w:val="0"/>
                <w:sz w:val="21"/>
                <w:szCs w:val="21"/>
              </w:rPr>
            </w:pPr>
          </w:p>
        </w:tc>
        <w:tc>
          <w:tcPr>
            <w:tcW w:w="855" w:type="pct"/>
            <w:shd w:val="clear" w:color="auto" w:fill="auto"/>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可再生能源</w:t>
            </w:r>
          </w:p>
        </w:tc>
        <w:tc>
          <w:tcPr>
            <w:tcW w:w="540" w:type="pct"/>
            <w:shd w:val="clear" w:color="auto" w:fill="auto"/>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2023</w:t>
            </w:r>
          </w:p>
        </w:tc>
        <w:tc>
          <w:tcPr>
            <w:tcW w:w="1905" w:type="pct"/>
            <w:shd w:val="clear" w:color="auto" w:fill="auto"/>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新建建筑应同步安装太阳能系统</w:t>
            </w:r>
          </w:p>
        </w:tc>
        <w:tc>
          <w:tcPr>
            <w:tcW w:w="1451" w:type="pct"/>
            <w:shd w:val="clear" w:color="auto" w:fill="auto"/>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市住房城乡建设局、市工业和信息化局、市发展改革局、市供电局</w:t>
            </w:r>
          </w:p>
        </w:tc>
      </w:tr>
      <w:tr>
        <w:tblPrEx>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CellMar>
            <w:top w:w="0" w:type="dxa"/>
            <w:left w:w="108" w:type="dxa"/>
            <w:bottom w:w="0" w:type="dxa"/>
            <w:right w:w="108" w:type="dxa"/>
          </w:tblCellMar>
        </w:tblPrEx>
        <w:trPr>
          <w:trHeight w:val="291" w:hRule="atLeast"/>
          <w:jc w:val="center"/>
        </w:trPr>
        <w:tc>
          <w:tcPr>
            <w:tcW w:w="246" w:type="pct"/>
            <w:vMerge w:val="continue"/>
            <w:shd w:val="clear" w:color="auto" w:fill="auto"/>
            <w:vAlign w:val="center"/>
          </w:tcPr>
          <w:p>
            <w:pPr>
              <w:widowControl/>
              <w:jc w:val="center"/>
              <w:textAlignment w:val="center"/>
              <w:rPr>
                <w:rFonts w:hint="default" w:ascii="Times New Roman" w:hAnsi="Times New Roman" w:eastAsia="仿宋" w:cs="Times New Roman"/>
                <w:b w:val="0"/>
                <w:bCs w:val="0"/>
                <w:kern w:val="0"/>
                <w:sz w:val="21"/>
                <w:szCs w:val="21"/>
              </w:rPr>
            </w:pPr>
          </w:p>
        </w:tc>
        <w:tc>
          <w:tcPr>
            <w:tcW w:w="855" w:type="pct"/>
            <w:shd w:val="clear" w:color="auto" w:fill="auto"/>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绿色建材</w:t>
            </w:r>
          </w:p>
        </w:tc>
        <w:tc>
          <w:tcPr>
            <w:tcW w:w="540" w:type="pct"/>
            <w:shd w:val="clear" w:color="auto" w:fill="auto"/>
            <w:vAlign w:val="center"/>
          </w:tcPr>
          <w:p>
            <w:pPr>
              <w:widowControl/>
              <w:jc w:val="center"/>
              <w:textAlignment w:val="center"/>
              <w:rPr>
                <w:rFonts w:hint="default" w:ascii="Times New Roman" w:hAnsi="Times New Roman" w:eastAsia="仿宋" w:cs="Times New Roman"/>
                <w:kern w:val="0"/>
                <w:sz w:val="21"/>
                <w:szCs w:val="21"/>
                <w:lang w:eastAsia="zh-CN"/>
              </w:rPr>
            </w:pPr>
            <w:r>
              <w:rPr>
                <w:rFonts w:hint="default" w:ascii="Times New Roman" w:hAnsi="Times New Roman" w:eastAsia="仿宋" w:cs="Times New Roman"/>
                <w:kern w:val="0"/>
                <w:sz w:val="21"/>
                <w:szCs w:val="21"/>
              </w:rPr>
              <w:t>202</w:t>
            </w:r>
            <w:r>
              <w:rPr>
                <w:rFonts w:hint="default" w:ascii="Times New Roman" w:hAnsi="Times New Roman" w:eastAsia="仿宋" w:cs="Times New Roman"/>
                <w:kern w:val="0"/>
                <w:sz w:val="21"/>
                <w:szCs w:val="21"/>
                <w:lang w:val="en-US" w:eastAsia="zh-CN"/>
              </w:rPr>
              <w:t>3</w:t>
            </w:r>
          </w:p>
        </w:tc>
        <w:tc>
          <w:tcPr>
            <w:tcW w:w="1905" w:type="pct"/>
            <w:shd w:val="clear" w:color="auto" w:fill="auto"/>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1、优化完善绿色建材申报流程</w:t>
            </w:r>
          </w:p>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2、示范项目全过程监督</w:t>
            </w:r>
          </w:p>
        </w:tc>
        <w:tc>
          <w:tcPr>
            <w:tcW w:w="1451" w:type="pct"/>
            <w:shd w:val="clear" w:color="auto" w:fill="auto"/>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市住房城乡建设局</w:t>
            </w:r>
          </w:p>
        </w:tc>
      </w:tr>
      <w:tr>
        <w:tblPrEx>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CellMar>
            <w:top w:w="0" w:type="dxa"/>
            <w:left w:w="108" w:type="dxa"/>
            <w:bottom w:w="0" w:type="dxa"/>
            <w:right w:w="108" w:type="dxa"/>
          </w:tblCellMar>
        </w:tblPrEx>
        <w:trPr>
          <w:trHeight w:val="291" w:hRule="atLeast"/>
          <w:jc w:val="center"/>
        </w:trPr>
        <w:tc>
          <w:tcPr>
            <w:tcW w:w="1102" w:type="pct"/>
            <w:gridSpan w:val="2"/>
            <w:vMerge w:val="restart"/>
            <w:shd w:val="clear" w:color="auto" w:fill="auto"/>
            <w:vAlign w:val="center"/>
          </w:tcPr>
          <w:p>
            <w:pPr>
              <w:widowControl/>
              <w:jc w:val="center"/>
              <w:textAlignment w:val="center"/>
              <w:rPr>
                <w:rFonts w:hint="default" w:ascii="Times New Roman" w:hAnsi="Times New Roman" w:eastAsia="仿宋" w:cs="Times New Roman"/>
                <w:b w:val="0"/>
                <w:bCs w:val="0"/>
                <w:kern w:val="0"/>
                <w:sz w:val="21"/>
                <w:szCs w:val="21"/>
              </w:rPr>
            </w:pPr>
            <w:r>
              <w:rPr>
                <w:rFonts w:hint="default" w:ascii="Times New Roman" w:hAnsi="Times New Roman" w:eastAsia="仿宋" w:cs="Times New Roman"/>
                <w:b/>
                <w:bCs/>
                <w:kern w:val="0"/>
                <w:sz w:val="21"/>
                <w:szCs w:val="21"/>
              </w:rPr>
              <w:t>农村绿色建筑推广</w:t>
            </w:r>
          </w:p>
        </w:tc>
        <w:tc>
          <w:tcPr>
            <w:tcW w:w="540" w:type="pct"/>
            <w:shd w:val="clear" w:color="auto" w:fill="auto"/>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2023</w:t>
            </w:r>
          </w:p>
        </w:tc>
        <w:tc>
          <w:tcPr>
            <w:tcW w:w="1905" w:type="pct"/>
            <w:shd w:val="clear" w:color="auto" w:fill="auto"/>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推广普及《广东省农房建设绿色技术导则》应用</w:t>
            </w:r>
          </w:p>
        </w:tc>
        <w:tc>
          <w:tcPr>
            <w:tcW w:w="1451" w:type="pct"/>
            <w:shd w:val="clear" w:color="auto" w:fill="auto"/>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市住房城乡建设局</w:t>
            </w:r>
          </w:p>
        </w:tc>
      </w:tr>
      <w:tr>
        <w:tblPrEx>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CellMar>
            <w:top w:w="0" w:type="dxa"/>
            <w:left w:w="108" w:type="dxa"/>
            <w:bottom w:w="0" w:type="dxa"/>
            <w:right w:w="108" w:type="dxa"/>
          </w:tblCellMar>
        </w:tblPrEx>
        <w:trPr>
          <w:trHeight w:val="291" w:hRule="atLeast"/>
          <w:jc w:val="center"/>
        </w:trPr>
        <w:tc>
          <w:tcPr>
            <w:tcW w:w="1102" w:type="pct"/>
            <w:gridSpan w:val="2"/>
            <w:vMerge w:val="continue"/>
            <w:shd w:val="clear" w:color="auto" w:fill="auto"/>
            <w:vAlign w:val="center"/>
          </w:tcPr>
          <w:p>
            <w:pPr>
              <w:widowControl/>
              <w:jc w:val="center"/>
              <w:textAlignment w:val="center"/>
              <w:rPr>
                <w:rFonts w:hint="default" w:ascii="Times New Roman" w:hAnsi="Times New Roman" w:eastAsia="仿宋" w:cs="Times New Roman"/>
                <w:b w:val="0"/>
                <w:bCs w:val="0"/>
                <w:kern w:val="0"/>
                <w:sz w:val="21"/>
                <w:szCs w:val="21"/>
              </w:rPr>
            </w:pPr>
          </w:p>
        </w:tc>
        <w:tc>
          <w:tcPr>
            <w:tcW w:w="540" w:type="pct"/>
            <w:shd w:val="clear" w:color="auto" w:fill="auto"/>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2024</w:t>
            </w:r>
          </w:p>
        </w:tc>
        <w:tc>
          <w:tcPr>
            <w:tcW w:w="1905" w:type="pct"/>
            <w:shd w:val="clear" w:color="auto" w:fill="auto"/>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sz w:val="21"/>
                <w:szCs w:val="21"/>
              </w:rPr>
              <w:t>鼓励建设星级绿色农房和零碳农房，</w:t>
            </w:r>
            <w:r>
              <w:rPr>
                <w:rFonts w:hint="default" w:ascii="Times New Roman" w:hAnsi="Times New Roman" w:eastAsia="仿宋" w:cs="Times New Roman"/>
                <w:kern w:val="0"/>
                <w:sz w:val="21"/>
                <w:szCs w:val="21"/>
              </w:rPr>
              <w:t>绿色建筑示范项目</w:t>
            </w:r>
          </w:p>
        </w:tc>
        <w:tc>
          <w:tcPr>
            <w:tcW w:w="1451" w:type="pct"/>
            <w:shd w:val="clear" w:color="auto" w:fill="auto"/>
            <w:vAlign w:val="center"/>
          </w:tcPr>
          <w:p>
            <w:pPr>
              <w:widowControl/>
              <w:jc w:val="center"/>
              <w:textAlignment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市住房城乡建设局、市农业农村局</w:t>
            </w:r>
          </w:p>
        </w:tc>
      </w:tr>
      <w:bookmarkEnd w:id="112"/>
    </w:tbl>
    <w:p/>
    <w:p>
      <w:pPr>
        <w:pStyle w:val="5"/>
        <w:rPr>
          <w:rFonts w:ascii="Times New Roman" w:hAnsi="Times New Roman" w:eastAsia="仿宋" w:cs="Times New Roman"/>
          <w:sz w:val="30"/>
          <w:szCs w:val="30"/>
        </w:rPr>
      </w:pPr>
      <w:bookmarkStart w:id="113" w:name="_Toc124321390"/>
      <w:r>
        <w:rPr>
          <w:rFonts w:hint="eastAsia" w:ascii="Times New Roman" w:hAnsi="Times New Roman" w:eastAsia="仿宋" w:cs="Times New Roman"/>
          <w:sz w:val="30"/>
          <w:szCs w:val="30"/>
        </w:rPr>
        <w:t>第22条 工业建筑绿色技术推荐示范项目列表</w:t>
      </w:r>
      <w:bookmarkEnd w:id="113"/>
    </w:p>
    <w:p>
      <w:pPr>
        <w:adjustRightInd w:val="0"/>
        <w:snapToGrid w:val="0"/>
        <w:spacing w:before="93" w:beforeLines="30" w:after="93" w:afterLines="30" w:line="360" w:lineRule="auto"/>
        <w:ind w:firstLine="480" w:firstLineChars="200"/>
        <w:jc w:val="left"/>
        <w:rPr>
          <w:rFonts w:ascii="Times New Roman" w:hAnsi="Times New Roman" w:eastAsia="仿宋" w:cs="Times New Roman"/>
          <w:sz w:val="24"/>
        </w:rPr>
      </w:pPr>
      <w:r>
        <w:rPr>
          <w:rFonts w:hint="eastAsia" w:ascii="Times New Roman" w:hAnsi="Times New Roman" w:eastAsia="仿宋" w:cs="Times New Roman"/>
          <w:sz w:val="24"/>
        </w:rPr>
        <w:t>积极探索中山市工业建筑绿色发展适宜技术，结合</w:t>
      </w:r>
      <w:r>
        <w:rPr>
          <w:rFonts w:hint="eastAsia" w:ascii="Times New Roman" w:hAnsi="Times New Roman" w:eastAsia="仿宋" w:cs="Times New Roman"/>
          <w:sz w:val="24"/>
          <w:lang w:eastAsia="zh-CN"/>
        </w:rPr>
        <w:t>中山市人民政府</w:t>
      </w:r>
      <w:r>
        <w:rPr>
          <w:rFonts w:hint="eastAsia" w:ascii="Times New Roman" w:hAnsi="Times New Roman" w:eastAsia="仿宋" w:cs="Times New Roman"/>
          <w:sz w:val="24"/>
        </w:rPr>
        <w:t>“工改”重点项目建设，鼓励在计划改造面积超过100亩的“工改”项目中，重点推广应用工业建筑屋顶分布式光伏、先进蓄冷技术和立体绿化等绿色技术示范。</w:t>
      </w:r>
    </w:p>
    <w:p>
      <w:pPr>
        <w:pStyle w:val="2"/>
        <w:spacing w:before="156" w:after="93"/>
        <w:ind w:firstLine="0" w:firstLineChars="0"/>
        <w:jc w:val="center"/>
        <w:rPr>
          <w:rFonts w:ascii="仿宋" w:hAnsi="仿宋" w:eastAsia="仿宋"/>
          <w:b/>
          <w:bCs/>
          <w:sz w:val="21"/>
          <w:szCs w:val="21"/>
        </w:rPr>
      </w:pPr>
      <w:r>
        <w:rPr>
          <w:rFonts w:hint="eastAsia" w:ascii="仿宋" w:hAnsi="仿宋" w:eastAsia="仿宋"/>
          <w:b/>
          <w:bCs/>
          <w:sz w:val="21"/>
          <w:szCs w:val="21"/>
        </w:rPr>
        <w:t>表</w:t>
      </w:r>
      <w:r>
        <w:rPr>
          <w:rFonts w:hint="eastAsia" w:ascii="仿宋" w:hAnsi="仿宋" w:eastAsia="仿宋"/>
          <w:b/>
          <w:bCs/>
          <w:sz w:val="21"/>
          <w:szCs w:val="21"/>
          <w:lang w:val="en-US" w:eastAsia="zh-CN"/>
        </w:rPr>
        <w:t>18</w:t>
      </w:r>
      <w:r>
        <w:rPr>
          <w:rFonts w:hint="eastAsia" w:ascii="仿宋" w:hAnsi="仿宋" w:eastAsia="仿宋"/>
          <w:b/>
          <w:bCs/>
          <w:sz w:val="21"/>
          <w:szCs w:val="21"/>
        </w:rPr>
        <w:t xml:space="preserve"> 中山市工业建筑绿色技术推荐示范项目列表</w:t>
      </w:r>
    </w:p>
    <w:tbl>
      <w:tblPr>
        <w:tblStyle w:val="287"/>
        <w:tblW w:w="4994" w:type="pct"/>
        <w:jc w:val="center"/>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Layout w:type="autofit"/>
        <w:tblCellMar>
          <w:top w:w="0" w:type="dxa"/>
          <w:left w:w="108" w:type="dxa"/>
          <w:bottom w:w="0" w:type="dxa"/>
          <w:right w:w="108" w:type="dxa"/>
        </w:tblCellMar>
      </w:tblPr>
      <w:tblGrid>
        <w:gridCol w:w="581"/>
        <w:gridCol w:w="1201"/>
        <w:gridCol w:w="6736"/>
      </w:tblGrid>
      <w:tr>
        <w:tblPrEx>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CellMar>
            <w:top w:w="0" w:type="dxa"/>
            <w:left w:w="108" w:type="dxa"/>
            <w:bottom w:w="0" w:type="dxa"/>
            <w:right w:w="108" w:type="dxa"/>
          </w:tblCellMar>
        </w:tblPrEx>
        <w:trPr>
          <w:cantSplit/>
          <w:trHeight w:val="592" w:hRule="atLeast"/>
          <w:tblHeader/>
          <w:jc w:val="center"/>
        </w:trPr>
        <w:tc>
          <w:tcPr>
            <w:tcW w:w="341" w:type="pct"/>
            <w:tcBorders>
              <w:top w:val="single" w:color="auto" w:sz="12" w:space="0"/>
              <w:bottom w:val="single" w:color="666666" w:sz="4" w:space="0"/>
            </w:tcBorders>
            <w:shd w:val="clear" w:color="auto" w:fill="auto"/>
            <w:vAlign w:val="center"/>
          </w:tcPr>
          <w:p>
            <w:pPr>
              <w:widowControl/>
              <w:jc w:val="center"/>
              <w:textAlignment w:val="center"/>
              <w:rPr>
                <w:rFonts w:hint="default" w:ascii="Times New Roman" w:hAnsi="Times New Roman" w:eastAsia="仿宋" w:cs="Times New Roman"/>
                <w:b w:val="0"/>
                <w:bCs w:val="0"/>
                <w:kern w:val="0"/>
                <w:sz w:val="21"/>
                <w:szCs w:val="21"/>
              </w:rPr>
            </w:pPr>
            <w:bookmarkStart w:id="114" w:name="_Hlk103245305"/>
            <w:r>
              <w:rPr>
                <w:rFonts w:hint="default" w:ascii="Times New Roman" w:hAnsi="Times New Roman" w:eastAsia="仿宋" w:cs="Times New Roman"/>
                <w:b/>
                <w:bCs/>
                <w:kern w:val="0"/>
                <w:sz w:val="21"/>
                <w:szCs w:val="21"/>
              </w:rPr>
              <w:t>序号</w:t>
            </w:r>
          </w:p>
        </w:tc>
        <w:tc>
          <w:tcPr>
            <w:tcW w:w="705" w:type="pct"/>
            <w:tcBorders>
              <w:top w:val="single" w:color="auto" w:sz="12" w:space="0"/>
              <w:bottom w:val="single" w:color="666666" w:sz="4" w:space="0"/>
            </w:tcBorders>
            <w:shd w:val="clear" w:color="auto" w:fill="auto"/>
            <w:vAlign w:val="center"/>
          </w:tcPr>
          <w:p>
            <w:pPr>
              <w:widowControl/>
              <w:jc w:val="center"/>
              <w:textAlignment w:val="center"/>
              <w:rPr>
                <w:rFonts w:hint="default" w:ascii="Times New Roman" w:hAnsi="Times New Roman" w:eastAsia="仿宋" w:cs="Times New Roman"/>
                <w:b w:val="0"/>
                <w:bCs w:val="0"/>
                <w:kern w:val="0"/>
                <w:sz w:val="21"/>
                <w:szCs w:val="21"/>
                <w:lang w:val="en-US" w:eastAsia="zh-CN"/>
              </w:rPr>
            </w:pPr>
            <w:r>
              <w:rPr>
                <w:rFonts w:hint="eastAsia" w:ascii="Times New Roman" w:hAnsi="Times New Roman" w:eastAsia="仿宋" w:cs="Times New Roman"/>
                <w:b/>
                <w:bCs/>
                <w:kern w:val="0"/>
                <w:sz w:val="21"/>
                <w:szCs w:val="21"/>
                <w:lang w:val="en-US" w:eastAsia="zh-CN"/>
              </w:rPr>
              <w:t>目标单元</w:t>
            </w:r>
          </w:p>
        </w:tc>
        <w:tc>
          <w:tcPr>
            <w:tcW w:w="3953" w:type="pct"/>
            <w:tcBorders>
              <w:top w:val="single" w:color="auto" w:sz="12" w:space="0"/>
              <w:bottom w:val="single" w:color="666666" w:sz="4" w:space="0"/>
            </w:tcBorders>
            <w:shd w:val="clear" w:color="auto" w:fill="auto"/>
            <w:vAlign w:val="center"/>
          </w:tcPr>
          <w:p>
            <w:pPr>
              <w:widowControl/>
              <w:jc w:val="center"/>
              <w:textAlignment w:val="center"/>
              <w:rPr>
                <w:rFonts w:hint="default" w:ascii="Times New Roman" w:hAnsi="Times New Roman" w:eastAsia="仿宋" w:cs="Times New Roman"/>
                <w:b w:val="0"/>
                <w:bCs w:val="0"/>
                <w:kern w:val="0"/>
                <w:sz w:val="21"/>
                <w:szCs w:val="21"/>
              </w:rPr>
            </w:pPr>
            <w:r>
              <w:rPr>
                <w:rFonts w:hint="default" w:ascii="Times New Roman" w:hAnsi="Times New Roman" w:eastAsia="仿宋" w:cs="Times New Roman"/>
                <w:b/>
                <w:bCs/>
                <w:kern w:val="0"/>
                <w:sz w:val="21"/>
                <w:szCs w:val="21"/>
              </w:rPr>
              <w:t>项目名称</w:t>
            </w:r>
          </w:p>
        </w:tc>
      </w:tr>
      <w:tr>
        <w:tblPrEx>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CellMar>
            <w:top w:w="0" w:type="dxa"/>
            <w:left w:w="108" w:type="dxa"/>
            <w:bottom w:w="0" w:type="dxa"/>
            <w:right w:w="108" w:type="dxa"/>
          </w:tblCellMar>
        </w:tblPrEx>
        <w:trPr>
          <w:trHeight w:val="574" w:hRule="atLeast"/>
          <w:jc w:val="center"/>
        </w:trPr>
        <w:tc>
          <w:tcPr>
            <w:tcW w:w="341" w:type="pct"/>
            <w:shd w:val="clear" w:color="auto" w:fill="auto"/>
            <w:vAlign w:val="center"/>
          </w:tcPr>
          <w:p>
            <w:pPr>
              <w:numPr>
                <w:ilvl w:val="0"/>
                <w:numId w:val="2"/>
              </w:numPr>
              <w:tabs>
                <w:tab w:val="clear" w:pos="0"/>
              </w:tabs>
              <w:adjustRightInd w:val="0"/>
              <w:snapToGrid w:val="0"/>
              <w:spacing w:before="93" w:beforeLines="30" w:after="93" w:afterLines="30"/>
              <w:ind w:left="0" w:leftChars="0" w:firstLine="170" w:firstLineChars="0"/>
              <w:jc w:val="both"/>
              <w:rPr>
                <w:rFonts w:hint="default" w:ascii="Times New Roman" w:hAnsi="Times New Roman" w:eastAsia="仿宋" w:cs="Times New Roman"/>
                <w:b/>
                <w:bCs/>
                <w:sz w:val="21"/>
                <w:szCs w:val="21"/>
              </w:rPr>
            </w:pPr>
          </w:p>
        </w:tc>
        <w:tc>
          <w:tcPr>
            <w:tcW w:w="705"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火炬开发区</w:t>
            </w:r>
          </w:p>
        </w:tc>
        <w:tc>
          <w:tcPr>
            <w:tcW w:w="3953"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窈窕村“工改工”土地征收项目</w:t>
            </w:r>
          </w:p>
        </w:tc>
      </w:tr>
      <w:tr>
        <w:tblPrEx>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CellMar>
            <w:top w:w="0" w:type="dxa"/>
            <w:left w:w="108" w:type="dxa"/>
            <w:bottom w:w="0" w:type="dxa"/>
            <w:right w:w="108" w:type="dxa"/>
          </w:tblCellMar>
        </w:tblPrEx>
        <w:trPr>
          <w:trHeight w:val="425" w:hRule="atLeast"/>
          <w:jc w:val="center"/>
        </w:trPr>
        <w:tc>
          <w:tcPr>
            <w:tcW w:w="341" w:type="pct"/>
            <w:shd w:val="clear" w:color="auto" w:fill="auto"/>
            <w:vAlign w:val="center"/>
          </w:tcPr>
          <w:p>
            <w:pPr>
              <w:numPr>
                <w:ilvl w:val="0"/>
                <w:numId w:val="2"/>
              </w:numPr>
              <w:tabs>
                <w:tab w:val="clear" w:pos="0"/>
              </w:tabs>
              <w:adjustRightInd w:val="0"/>
              <w:snapToGrid w:val="0"/>
              <w:spacing w:before="93" w:beforeLines="30" w:after="93" w:afterLines="30"/>
              <w:ind w:left="0" w:leftChars="0" w:firstLine="170" w:firstLineChars="0"/>
              <w:jc w:val="both"/>
              <w:rPr>
                <w:rFonts w:hint="default" w:ascii="Times New Roman" w:hAnsi="Times New Roman" w:eastAsia="仿宋" w:cs="Times New Roman"/>
                <w:b/>
                <w:bCs/>
                <w:sz w:val="21"/>
                <w:szCs w:val="21"/>
              </w:rPr>
            </w:pPr>
          </w:p>
        </w:tc>
        <w:tc>
          <w:tcPr>
            <w:tcW w:w="705"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翠亨新区</w:t>
            </w:r>
          </w:p>
        </w:tc>
        <w:tc>
          <w:tcPr>
            <w:tcW w:w="3953"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南朗工业区1</w:t>
            </w:r>
          </w:p>
        </w:tc>
      </w:tr>
      <w:tr>
        <w:tblPrEx>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CellMar>
            <w:top w:w="0" w:type="dxa"/>
            <w:left w:w="108" w:type="dxa"/>
            <w:bottom w:w="0" w:type="dxa"/>
            <w:right w:w="108" w:type="dxa"/>
          </w:tblCellMar>
        </w:tblPrEx>
        <w:trPr>
          <w:trHeight w:val="425" w:hRule="atLeast"/>
          <w:jc w:val="center"/>
        </w:trPr>
        <w:tc>
          <w:tcPr>
            <w:tcW w:w="341" w:type="pct"/>
            <w:shd w:val="clear" w:color="auto" w:fill="auto"/>
            <w:vAlign w:val="center"/>
          </w:tcPr>
          <w:p>
            <w:pPr>
              <w:numPr>
                <w:ilvl w:val="0"/>
                <w:numId w:val="2"/>
              </w:numPr>
              <w:tabs>
                <w:tab w:val="clear" w:pos="0"/>
              </w:tabs>
              <w:adjustRightInd w:val="0"/>
              <w:snapToGrid w:val="0"/>
              <w:spacing w:before="93" w:beforeLines="30" w:after="93" w:afterLines="30"/>
              <w:ind w:left="0" w:leftChars="0" w:firstLine="170" w:firstLineChars="0"/>
              <w:jc w:val="both"/>
              <w:rPr>
                <w:rFonts w:hint="default" w:ascii="Times New Roman" w:hAnsi="Times New Roman" w:eastAsia="仿宋" w:cs="Times New Roman"/>
                <w:b/>
                <w:bCs/>
                <w:sz w:val="21"/>
                <w:szCs w:val="21"/>
              </w:rPr>
            </w:pPr>
          </w:p>
        </w:tc>
        <w:tc>
          <w:tcPr>
            <w:tcW w:w="705"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翠亨新区</w:t>
            </w:r>
          </w:p>
        </w:tc>
        <w:tc>
          <w:tcPr>
            <w:tcW w:w="3953"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侨光自改项目</w:t>
            </w:r>
          </w:p>
        </w:tc>
      </w:tr>
      <w:tr>
        <w:tblPrEx>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CellMar>
            <w:top w:w="0" w:type="dxa"/>
            <w:left w:w="108" w:type="dxa"/>
            <w:bottom w:w="0" w:type="dxa"/>
            <w:right w:w="108" w:type="dxa"/>
          </w:tblCellMar>
        </w:tblPrEx>
        <w:trPr>
          <w:trHeight w:val="425" w:hRule="atLeast"/>
          <w:jc w:val="center"/>
        </w:trPr>
        <w:tc>
          <w:tcPr>
            <w:tcW w:w="341" w:type="pct"/>
            <w:shd w:val="clear" w:color="auto" w:fill="auto"/>
            <w:vAlign w:val="center"/>
          </w:tcPr>
          <w:p>
            <w:pPr>
              <w:numPr>
                <w:ilvl w:val="0"/>
                <w:numId w:val="2"/>
              </w:numPr>
              <w:tabs>
                <w:tab w:val="clear" w:pos="0"/>
              </w:tabs>
              <w:adjustRightInd w:val="0"/>
              <w:snapToGrid w:val="0"/>
              <w:spacing w:before="93" w:beforeLines="30" w:after="93" w:afterLines="30"/>
              <w:ind w:left="0" w:leftChars="0" w:firstLine="170" w:firstLineChars="0"/>
              <w:jc w:val="both"/>
              <w:rPr>
                <w:rFonts w:hint="default" w:ascii="Times New Roman" w:hAnsi="Times New Roman" w:eastAsia="仿宋" w:cs="Times New Roman"/>
                <w:b/>
                <w:bCs/>
                <w:sz w:val="21"/>
                <w:szCs w:val="21"/>
              </w:rPr>
            </w:pPr>
          </w:p>
        </w:tc>
        <w:tc>
          <w:tcPr>
            <w:tcW w:w="705"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翠亨新区</w:t>
            </w:r>
          </w:p>
        </w:tc>
        <w:tc>
          <w:tcPr>
            <w:tcW w:w="3953"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翠亨村平顶地块项目</w:t>
            </w:r>
          </w:p>
        </w:tc>
      </w:tr>
      <w:tr>
        <w:tblPrEx>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CellMar>
            <w:top w:w="0" w:type="dxa"/>
            <w:left w:w="108" w:type="dxa"/>
            <w:bottom w:w="0" w:type="dxa"/>
            <w:right w:w="108" w:type="dxa"/>
          </w:tblCellMar>
        </w:tblPrEx>
        <w:trPr>
          <w:trHeight w:val="425" w:hRule="atLeast"/>
          <w:jc w:val="center"/>
        </w:trPr>
        <w:tc>
          <w:tcPr>
            <w:tcW w:w="341" w:type="pct"/>
            <w:shd w:val="clear" w:color="auto" w:fill="auto"/>
            <w:vAlign w:val="center"/>
          </w:tcPr>
          <w:p>
            <w:pPr>
              <w:numPr>
                <w:ilvl w:val="0"/>
                <w:numId w:val="2"/>
              </w:numPr>
              <w:tabs>
                <w:tab w:val="clear" w:pos="0"/>
              </w:tabs>
              <w:adjustRightInd w:val="0"/>
              <w:snapToGrid w:val="0"/>
              <w:spacing w:before="93" w:beforeLines="30" w:after="93" w:afterLines="30"/>
              <w:ind w:left="0" w:leftChars="0" w:firstLine="170" w:firstLineChars="0"/>
              <w:jc w:val="both"/>
              <w:rPr>
                <w:rFonts w:hint="default" w:ascii="Times New Roman" w:hAnsi="Times New Roman" w:eastAsia="仿宋" w:cs="Times New Roman"/>
                <w:b/>
                <w:bCs/>
                <w:sz w:val="21"/>
                <w:szCs w:val="21"/>
              </w:rPr>
            </w:pPr>
          </w:p>
        </w:tc>
        <w:tc>
          <w:tcPr>
            <w:tcW w:w="705"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翠亨新区</w:t>
            </w:r>
          </w:p>
        </w:tc>
        <w:tc>
          <w:tcPr>
            <w:tcW w:w="3953"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大信食品厂</w:t>
            </w:r>
          </w:p>
        </w:tc>
      </w:tr>
      <w:tr>
        <w:tblPrEx>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CellMar>
            <w:top w:w="0" w:type="dxa"/>
            <w:left w:w="108" w:type="dxa"/>
            <w:bottom w:w="0" w:type="dxa"/>
            <w:right w:w="108" w:type="dxa"/>
          </w:tblCellMar>
        </w:tblPrEx>
        <w:trPr>
          <w:trHeight w:val="425" w:hRule="atLeast"/>
          <w:jc w:val="center"/>
        </w:trPr>
        <w:tc>
          <w:tcPr>
            <w:tcW w:w="341" w:type="pct"/>
            <w:shd w:val="clear" w:color="auto" w:fill="auto"/>
            <w:vAlign w:val="center"/>
          </w:tcPr>
          <w:p>
            <w:pPr>
              <w:numPr>
                <w:ilvl w:val="0"/>
                <w:numId w:val="2"/>
              </w:numPr>
              <w:tabs>
                <w:tab w:val="clear" w:pos="0"/>
              </w:tabs>
              <w:adjustRightInd w:val="0"/>
              <w:snapToGrid w:val="0"/>
              <w:spacing w:before="93" w:beforeLines="30" w:after="93" w:afterLines="30"/>
              <w:ind w:left="0" w:leftChars="0" w:firstLine="170" w:firstLineChars="0"/>
              <w:jc w:val="both"/>
              <w:rPr>
                <w:rFonts w:hint="default" w:ascii="Times New Roman" w:hAnsi="Times New Roman" w:eastAsia="仿宋" w:cs="Times New Roman"/>
                <w:b/>
                <w:bCs/>
                <w:sz w:val="21"/>
                <w:szCs w:val="21"/>
              </w:rPr>
            </w:pPr>
          </w:p>
        </w:tc>
        <w:tc>
          <w:tcPr>
            <w:tcW w:w="705"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东区街道</w:t>
            </w:r>
          </w:p>
        </w:tc>
        <w:tc>
          <w:tcPr>
            <w:tcW w:w="3953"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九亩湾工业区项目</w:t>
            </w:r>
          </w:p>
        </w:tc>
      </w:tr>
      <w:tr>
        <w:tblPrEx>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CellMar>
            <w:top w:w="0" w:type="dxa"/>
            <w:left w:w="108" w:type="dxa"/>
            <w:bottom w:w="0" w:type="dxa"/>
            <w:right w:w="108" w:type="dxa"/>
          </w:tblCellMar>
        </w:tblPrEx>
        <w:trPr>
          <w:trHeight w:val="425" w:hRule="atLeast"/>
          <w:jc w:val="center"/>
        </w:trPr>
        <w:tc>
          <w:tcPr>
            <w:tcW w:w="341" w:type="pct"/>
            <w:shd w:val="clear" w:color="auto" w:fill="auto"/>
            <w:vAlign w:val="center"/>
          </w:tcPr>
          <w:p>
            <w:pPr>
              <w:numPr>
                <w:ilvl w:val="0"/>
                <w:numId w:val="2"/>
              </w:numPr>
              <w:tabs>
                <w:tab w:val="clear" w:pos="0"/>
              </w:tabs>
              <w:adjustRightInd w:val="0"/>
              <w:snapToGrid w:val="0"/>
              <w:spacing w:before="93" w:beforeLines="30" w:after="93" w:afterLines="30"/>
              <w:ind w:left="0" w:leftChars="0" w:firstLine="170" w:firstLineChars="0"/>
              <w:jc w:val="both"/>
              <w:rPr>
                <w:rFonts w:hint="default" w:ascii="Times New Roman" w:hAnsi="Times New Roman" w:eastAsia="仿宋" w:cs="Times New Roman"/>
                <w:b/>
                <w:bCs/>
                <w:sz w:val="21"/>
                <w:szCs w:val="21"/>
              </w:rPr>
            </w:pPr>
          </w:p>
        </w:tc>
        <w:tc>
          <w:tcPr>
            <w:tcW w:w="705"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西区街道</w:t>
            </w:r>
          </w:p>
        </w:tc>
        <w:tc>
          <w:tcPr>
            <w:tcW w:w="3953"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金昌示范项目-金昌工业聚集区改造升级二期连片工改项目</w:t>
            </w:r>
          </w:p>
        </w:tc>
      </w:tr>
      <w:tr>
        <w:tblPrEx>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CellMar>
            <w:top w:w="0" w:type="dxa"/>
            <w:left w:w="108" w:type="dxa"/>
            <w:bottom w:w="0" w:type="dxa"/>
            <w:right w:w="108" w:type="dxa"/>
          </w:tblCellMar>
        </w:tblPrEx>
        <w:trPr>
          <w:trHeight w:val="425" w:hRule="atLeast"/>
          <w:jc w:val="center"/>
        </w:trPr>
        <w:tc>
          <w:tcPr>
            <w:tcW w:w="341" w:type="pct"/>
            <w:shd w:val="clear" w:color="auto" w:fill="auto"/>
            <w:vAlign w:val="center"/>
          </w:tcPr>
          <w:p>
            <w:pPr>
              <w:numPr>
                <w:ilvl w:val="0"/>
                <w:numId w:val="2"/>
              </w:numPr>
              <w:tabs>
                <w:tab w:val="clear" w:pos="0"/>
              </w:tabs>
              <w:adjustRightInd w:val="0"/>
              <w:snapToGrid w:val="0"/>
              <w:spacing w:before="93" w:beforeLines="30" w:after="93" w:afterLines="30"/>
              <w:ind w:left="0" w:leftChars="0" w:firstLine="170" w:firstLineChars="0"/>
              <w:jc w:val="both"/>
              <w:rPr>
                <w:rFonts w:hint="default" w:ascii="Times New Roman" w:hAnsi="Times New Roman" w:eastAsia="仿宋" w:cs="Times New Roman"/>
                <w:b/>
                <w:bCs/>
                <w:sz w:val="21"/>
                <w:szCs w:val="21"/>
              </w:rPr>
            </w:pPr>
          </w:p>
        </w:tc>
        <w:tc>
          <w:tcPr>
            <w:tcW w:w="705"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南区街道</w:t>
            </w:r>
          </w:p>
        </w:tc>
        <w:tc>
          <w:tcPr>
            <w:tcW w:w="3953"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南区街道恒美园山仔白石环901项目一期</w:t>
            </w:r>
          </w:p>
        </w:tc>
      </w:tr>
      <w:tr>
        <w:tblPrEx>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CellMar>
            <w:top w:w="0" w:type="dxa"/>
            <w:left w:w="108" w:type="dxa"/>
            <w:bottom w:w="0" w:type="dxa"/>
            <w:right w:w="108" w:type="dxa"/>
          </w:tblCellMar>
        </w:tblPrEx>
        <w:trPr>
          <w:trHeight w:val="574" w:hRule="atLeast"/>
          <w:jc w:val="center"/>
        </w:trPr>
        <w:tc>
          <w:tcPr>
            <w:tcW w:w="341" w:type="pct"/>
            <w:shd w:val="clear" w:color="auto" w:fill="auto"/>
            <w:vAlign w:val="center"/>
          </w:tcPr>
          <w:p>
            <w:pPr>
              <w:numPr>
                <w:ilvl w:val="0"/>
                <w:numId w:val="2"/>
              </w:numPr>
              <w:tabs>
                <w:tab w:val="clear" w:pos="0"/>
              </w:tabs>
              <w:adjustRightInd w:val="0"/>
              <w:snapToGrid w:val="0"/>
              <w:spacing w:before="93" w:beforeLines="30" w:after="93" w:afterLines="30"/>
              <w:ind w:left="0" w:leftChars="0" w:firstLine="170" w:firstLineChars="0"/>
              <w:jc w:val="both"/>
              <w:rPr>
                <w:rFonts w:hint="default" w:ascii="Times New Roman" w:hAnsi="Times New Roman" w:eastAsia="仿宋" w:cs="Times New Roman"/>
                <w:b/>
                <w:bCs/>
                <w:sz w:val="21"/>
                <w:szCs w:val="21"/>
              </w:rPr>
            </w:pPr>
          </w:p>
        </w:tc>
        <w:tc>
          <w:tcPr>
            <w:tcW w:w="705"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五桂山街道</w:t>
            </w:r>
          </w:p>
        </w:tc>
        <w:tc>
          <w:tcPr>
            <w:tcW w:w="3953"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立达项目</w:t>
            </w:r>
          </w:p>
        </w:tc>
      </w:tr>
      <w:tr>
        <w:tblPrEx>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CellMar>
            <w:top w:w="0" w:type="dxa"/>
            <w:left w:w="108" w:type="dxa"/>
            <w:bottom w:w="0" w:type="dxa"/>
            <w:right w:w="108" w:type="dxa"/>
          </w:tblCellMar>
        </w:tblPrEx>
        <w:trPr>
          <w:trHeight w:val="425" w:hRule="atLeast"/>
          <w:jc w:val="center"/>
        </w:trPr>
        <w:tc>
          <w:tcPr>
            <w:tcW w:w="341" w:type="pct"/>
            <w:shd w:val="clear" w:color="auto" w:fill="auto"/>
            <w:vAlign w:val="center"/>
          </w:tcPr>
          <w:p>
            <w:pPr>
              <w:numPr>
                <w:ilvl w:val="0"/>
                <w:numId w:val="2"/>
              </w:numPr>
              <w:tabs>
                <w:tab w:val="clear" w:pos="0"/>
              </w:tabs>
              <w:adjustRightInd w:val="0"/>
              <w:snapToGrid w:val="0"/>
              <w:spacing w:before="93" w:beforeLines="30" w:after="93" w:afterLines="30"/>
              <w:ind w:left="0" w:leftChars="0" w:firstLine="170" w:firstLineChars="0"/>
              <w:jc w:val="both"/>
              <w:rPr>
                <w:rFonts w:hint="default" w:ascii="Times New Roman" w:hAnsi="Times New Roman" w:eastAsia="仿宋" w:cs="Times New Roman"/>
                <w:b/>
                <w:bCs/>
                <w:sz w:val="21"/>
                <w:szCs w:val="21"/>
              </w:rPr>
            </w:pPr>
          </w:p>
        </w:tc>
        <w:tc>
          <w:tcPr>
            <w:tcW w:w="705"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小榄镇</w:t>
            </w:r>
          </w:p>
        </w:tc>
        <w:tc>
          <w:tcPr>
            <w:tcW w:w="3953"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永宁工业大道工改项目</w:t>
            </w:r>
          </w:p>
        </w:tc>
      </w:tr>
      <w:tr>
        <w:tblPrEx>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CellMar>
            <w:top w:w="0" w:type="dxa"/>
            <w:left w:w="108" w:type="dxa"/>
            <w:bottom w:w="0" w:type="dxa"/>
            <w:right w:w="108" w:type="dxa"/>
          </w:tblCellMar>
        </w:tblPrEx>
        <w:trPr>
          <w:trHeight w:val="425" w:hRule="atLeast"/>
          <w:jc w:val="center"/>
        </w:trPr>
        <w:tc>
          <w:tcPr>
            <w:tcW w:w="341" w:type="pct"/>
            <w:shd w:val="clear" w:color="auto" w:fill="auto"/>
            <w:vAlign w:val="center"/>
          </w:tcPr>
          <w:p>
            <w:pPr>
              <w:numPr>
                <w:ilvl w:val="0"/>
                <w:numId w:val="2"/>
              </w:numPr>
              <w:tabs>
                <w:tab w:val="clear" w:pos="0"/>
              </w:tabs>
              <w:adjustRightInd w:val="0"/>
              <w:snapToGrid w:val="0"/>
              <w:spacing w:before="93" w:beforeLines="30" w:after="93" w:afterLines="30"/>
              <w:ind w:left="0" w:leftChars="0" w:firstLine="170" w:firstLineChars="0"/>
              <w:jc w:val="both"/>
              <w:rPr>
                <w:rFonts w:hint="default" w:ascii="Times New Roman" w:hAnsi="Times New Roman" w:eastAsia="仿宋" w:cs="Times New Roman"/>
                <w:b/>
                <w:bCs/>
                <w:sz w:val="21"/>
                <w:szCs w:val="21"/>
              </w:rPr>
            </w:pPr>
          </w:p>
        </w:tc>
        <w:tc>
          <w:tcPr>
            <w:tcW w:w="705"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小榄镇</w:t>
            </w:r>
          </w:p>
        </w:tc>
        <w:tc>
          <w:tcPr>
            <w:tcW w:w="3953"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联丰海威路工改项目</w:t>
            </w:r>
          </w:p>
        </w:tc>
      </w:tr>
      <w:tr>
        <w:tblPrEx>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CellMar>
            <w:top w:w="0" w:type="dxa"/>
            <w:left w:w="108" w:type="dxa"/>
            <w:bottom w:w="0" w:type="dxa"/>
            <w:right w:w="108" w:type="dxa"/>
          </w:tblCellMar>
        </w:tblPrEx>
        <w:trPr>
          <w:trHeight w:val="425" w:hRule="atLeast"/>
          <w:jc w:val="center"/>
        </w:trPr>
        <w:tc>
          <w:tcPr>
            <w:tcW w:w="341" w:type="pct"/>
            <w:shd w:val="clear" w:color="auto" w:fill="auto"/>
            <w:vAlign w:val="center"/>
          </w:tcPr>
          <w:p>
            <w:pPr>
              <w:numPr>
                <w:ilvl w:val="0"/>
                <w:numId w:val="2"/>
              </w:numPr>
              <w:tabs>
                <w:tab w:val="clear" w:pos="0"/>
              </w:tabs>
              <w:adjustRightInd w:val="0"/>
              <w:snapToGrid w:val="0"/>
              <w:spacing w:before="93" w:beforeLines="30" w:after="93" w:afterLines="30"/>
              <w:ind w:left="0" w:leftChars="0" w:firstLine="170" w:firstLineChars="0"/>
              <w:jc w:val="both"/>
              <w:rPr>
                <w:rFonts w:hint="default" w:ascii="Times New Roman" w:hAnsi="Times New Roman" w:eastAsia="仿宋" w:cs="Times New Roman"/>
                <w:b/>
                <w:bCs/>
                <w:sz w:val="21"/>
                <w:szCs w:val="21"/>
              </w:rPr>
            </w:pPr>
          </w:p>
        </w:tc>
        <w:tc>
          <w:tcPr>
            <w:tcW w:w="705"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小榄镇</w:t>
            </w:r>
          </w:p>
        </w:tc>
        <w:tc>
          <w:tcPr>
            <w:tcW w:w="3953"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永宁赤岗路工改项目</w:t>
            </w:r>
          </w:p>
        </w:tc>
      </w:tr>
      <w:tr>
        <w:tblPrEx>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CellMar>
            <w:top w:w="0" w:type="dxa"/>
            <w:left w:w="108" w:type="dxa"/>
            <w:bottom w:w="0" w:type="dxa"/>
            <w:right w:w="108" w:type="dxa"/>
          </w:tblCellMar>
        </w:tblPrEx>
        <w:trPr>
          <w:trHeight w:val="425" w:hRule="atLeast"/>
          <w:jc w:val="center"/>
        </w:trPr>
        <w:tc>
          <w:tcPr>
            <w:tcW w:w="341" w:type="pct"/>
            <w:shd w:val="clear" w:color="auto" w:fill="auto"/>
            <w:vAlign w:val="center"/>
          </w:tcPr>
          <w:p>
            <w:pPr>
              <w:numPr>
                <w:ilvl w:val="0"/>
                <w:numId w:val="2"/>
              </w:numPr>
              <w:tabs>
                <w:tab w:val="clear" w:pos="0"/>
              </w:tabs>
              <w:adjustRightInd w:val="0"/>
              <w:snapToGrid w:val="0"/>
              <w:spacing w:before="93" w:beforeLines="30" w:after="93" w:afterLines="30"/>
              <w:ind w:left="0" w:leftChars="0" w:firstLine="170" w:firstLineChars="0"/>
              <w:jc w:val="both"/>
              <w:rPr>
                <w:rFonts w:hint="default" w:ascii="Times New Roman" w:hAnsi="Times New Roman" w:eastAsia="仿宋" w:cs="Times New Roman"/>
                <w:b/>
                <w:bCs/>
                <w:sz w:val="21"/>
                <w:szCs w:val="21"/>
              </w:rPr>
            </w:pPr>
          </w:p>
        </w:tc>
        <w:tc>
          <w:tcPr>
            <w:tcW w:w="705"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小榄镇</w:t>
            </w:r>
          </w:p>
        </w:tc>
        <w:tc>
          <w:tcPr>
            <w:tcW w:w="3953"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联丰聚新片区项目</w:t>
            </w:r>
          </w:p>
        </w:tc>
      </w:tr>
      <w:tr>
        <w:tblPrEx>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CellMar>
            <w:top w:w="0" w:type="dxa"/>
            <w:left w:w="108" w:type="dxa"/>
            <w:bottom w:w="0" w:type="dxa"/>
            <w:right w:w="108" w:type="dxa"/>
          </w:tblCellMar>
        </w:tblPrEx>
        <w:trPr>
          <w:trHeight w:val="425" w:hRule="atLeast"/>
          <w:jc w:val="center"/>
        </w:trPr>
        <w:tc>
          <w:tcPr>
            <w:tcW w:w="341" w:type="pct"/>
            <w:shd w:val="clear" w:color="auto" w:fill="auto"/>
            <w:vAlign w:val="center"/>
          </w:tcPr>
          <w:p>
            <w:pPr>
              <w:numPr>
                <w:ilvl w:val="0"/>
                <w:numId w:val="2"/>
              </w:numPr>
              <w:tabs>
                <w:tab w:val="clear" w:pos="0"/>
              </w:tabs>
              <w:adjustRightInd w:val="0"/>
              <w:snapToGrid w:val="0"/>
              <w:spacing w:before="93" w:beforeLines="30" w:after="93" w:afterLines="30"/>
              <w:ind w:left="0" w:leftChars="0" w:firstLine="170" w:firstLineChars="0"/>
              <w:jc w:val="both"/>
              <w:rPr>
                <w:rFonts w:hint="default" w:ascii="Times New Roman" w:hAnsi="Times New Roman" w:eastAsia="仿宋" w:cs="Times New Roman"/>
                <w:b/>
                <w:bCs/>
                <w:sz w:val="21"/>
                <w:szCs w:val="21"/>
              </w:rPr>
            </w:pPr>
          </w:p>
        </w:tc>
        <w:tc>
          <w:tcPr>
            <w:tcW w:w="705"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小榄镇</w:t>
            </w:r>
          </w:p>
        </w:tc>
        <w:tc>
          <w:tcPr>
            <w:tcW w:w="3953"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中山市小榄镇九洲基经济联合社项目三</w:t>
            </w:r>
          </w:p>
        </w:tc>
      </w:tr>
      <w:tr>
        <w:tblPrEx>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CellMar>
            <w:top w:w="0" w:type="dxa"/>
            <w:left w:w="108" w:type="dxa"/>
            <w:bottom w:w="0" w:type="dxa"/>
            <w:right w:w="108" w:type="dxa"/>
          </w:tblCellMar>
        </w:tblPrEx>
        <w:trPr>
          <w:trHeight w:val="425" w:hRule="atLeast"/>
          <w:jc w:val="center"/>
        </w:trPr>
        <w:tc>
          <w:tcPr>
            <w:tcW w:w="341" w:type="pct"/>
            <w:shd w:val="clear" w:color="auto" w:fill="auto"/>
            <w:vAlign w:val="center"/>
          </w:tcPr>
          <w:p>
            <w:pPr>
              <w:numPr>
                <w:ilvl w:val="0"/>
                <w:numId w:val="2"/>
              </w:numPr>
              <w:tabs>
                <w:tab w:val="clear" w:pos="0"/>
              </w:tabs>
              <w:adjustRightInd w:val="0"/>
              <w:snapToGrid w:val="0"/>
              <w:spacing w:before="93" w:beforeLines="30" w:after="93" w:afterLines="30"/>
              <w:ind w:left="0" w:leftChars="0" w:firstLine="170" w:firstLineChars="0"/>
              <w:jc w:val="both"/>
              <w:rPr>
                <w:rFonts w:hint="default" w:ascii="Times New Roman" w:hAnsi="Times New Roman" w:eastAsia="仿宋" w:cs="Times New Roman"/>
                <w:b/>
                <w:bCs/>
                <w:sz w:val="21"/>
                <w:szCs w:val="21"/>
              </w:rPr>
            </w:pPr>
          </w:p>
        </w:tc>
        <w:tc>
          <w:tcPr>
            <w:tcW w:w="705"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小榄镇</w:t>
            </w:r>
          </w:p>
        </w:tc>
        <w:tc>
          <w:tcPr>
            <w:tcW w:w="3953"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中山市海通企业管理咨询服务有限公司项目</w:t>
            </w:r>
          </w:p>
        </w:tc>
      </w:tr>
      <w:tr>
        <w:tblPrEx>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CellMar>
            <w:top w:w="0" w:type="dxa"/>
            <w:left w:w="108" w:type="dxa"/>
            <w:bottom w:w="0" w:type="dxa"/>
            <w:right w:w="108" w:type="dxa"/>
          </w:tblCellMar>
        </w:tblPrEx>
        <w:trPr>
          <w:trHeight w:val="425" w:hRule="atLeast"/>
          <w:jc w:val="center"/>
        </w:trPr>
        <w:tc>
          <w:tcPr>
            <w:tcW w:w="341" w:type="pct"/>
            <w:shd w:val="clear" w:color="auto" w:fill="auto"/>
            <w:vAlign w:val="center"/>
          </w:tcPr>
          <w:p>
            <w:pPr>
              <w:numPr>
                <w:ilvl w:val="0"/>
                <w:numId w:val="2"/>
              </w:numPr>
              <w:tabs>
                <w:tab w:val="clear" w:pos="0"/>
              </w:tabs>
              <w:adjustRightInd w:val="0"/>
              <w:snapToGrid w:val="0"/>
              <w:spacing w:before="93" w:beforeLines="30" w:after="93" w:afterLines="30"/>
              <w:ind w:left="0" w:leftChars="0" w:firstLine="170" w:firstLineChars="0"/>
              <w:jc w:val="both"/>
              <w:rPr>
                <w:rFonts w:hint="default" w:ascii="Times New Roman" w:hAnsi="Times New Roman" w:eastAsia="仿宋" w:cs="Times New Roman"/>
                <w:b/>
                <w:bCs/>
                <w:sz w:val="21"/>
                <w:szCs w:val="21"/>
              </w:rPr>
            </w:pPr>
          </w:p>
        </w:tc>
        <w:tc>
          <w:tcPr>
            <w:tcW w:w="705"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古镇镇</w:t>
            </w:r>
          </w:p>
        </w:tc>
        <w:tc>
          <w:tcPr>
            <w:tcW w:w="3953"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曹一天宏光电产业园</w:t>
            </w:r>
          </w:p>
        </w:tc>
      </w:tr>
      <w:tr>
        <w:tblPrEx>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CellMar>
            <w:top w:w="0" w:type="dxa"/>
            <w:left w:w="108" w:type="dxa"/>
            <w:bottom w:w="0" w:type="dxa"/>
            <w:right w:w="108" w:type="dxa"/>
          </w:tblCellMar>
        </w:tblPrEx>
        <w:trPr>
          <w:trHeight w:val="425" w:hRule="atLeast"/>
          <w:jc w:val="center"/>
        </w:trPr>
        <w:tc>
          <w:tcPr>
            <w:tcW w:w="341" w:type="pct"/>
            <w:shd w:val="clear" w:color="auto" w:fill="auto"/>
            <w:vAlign w:val="center"/>
          </w:tcPr>
          <w:p>
            <w:pPr>
              <w:numPr>
                <w:ilvl w:val="0"/>
                <w:numId w:val="2"/>
              </w:numPr>
              <w:tabs>
                <w:tab w:val="clear" w:pos="0"/>
              </w:tabs>
              <w:adjustRightInd w:val="0"/>
              <w:snapToGrid w:val="0"/>
              <w:spacing w:before="93" w:beforeLines="30" w:after="93" w:afterLines="30"/>
              <w:ind w:left="0" w:leftChars="0" w:firstLine="170" w:firstLineChars="0"/>
              <w:jc w:val="both"/>
              <w:rPr>
                <w:rFonts w:hint="default" w:ascii="Times New Roman" w:hAnsi="Times New Roman" w:eastAsia="仿宋" w:cs="Times New Roman"/>
                <w:b/>
                <w:bCs/>
                <w:sz w:val="21"/>
                <w:szCs w:val="21"/>
              </w:rPr>
            </w:pPr>
          </w:p>
        </w:tc>
        <w:tc>
          <w:tcPr>
            <w:tcW w:w="705"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古镇镇</w:t>
            </w:r>
          </w:p>
        </w:tc>
        <w:tc>
          <w:tcPr>
            <w:tcW w:w="3953"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曹二智慧产业园</w:t>
            </w:r>
          </w:p>
        </w:tc>
      </w:tr>
      <w:tr>
        <w:tblPrEx>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CellMar>
            <w:top w:w="0" w:type="dxa"/>
            <w:left w:w="108" w:type="dxa"/>
            <w:bottom w:w="0" w:type="dxa"/>
            <w:right w:w="108" w:type="dxa"/>
          </w:tblCellMar>
        </w:tblPrEx>
        <w:trPr>
          <w:trHeight w:val="425" w:hRule="atLeast"/>
          <w:jc w:val="center"/>
        </w:trPr>
        <w:tc>
          <w:tcPr>
            <w:tcW w:w="341" w:type="pct"/>
            <w:shd w:val="clear" w:color="auto" w:fill="auto"/>
            <w:vAlign w:val="center"/>
          </w:tcPr>
          <w:p>
            <w:pPr>
              <w:numPr>
                <w:ilvl w:val="0"/>
                <w:numId w:val="2"/>
              </w:numPr>
              <w:tabs>
                <w:tab w:val="clear" w:pos="0"/>
              </w:tabs>
              <w:adjustRightInd w:val="0"/>
              <w:snapToGrid w:val="0"/>
              <w:spacing w:before="93" w:beforeLines="30" w:after="93" w:afterLines="30"/>
              <w:ind w:left="0" w:leftChars="0" w:firstLine="170" w:firstLineChars="0"/>
              <w:jc w:val="both"/>
              <w:rPr>
                <w:rFonts w:hint="default" w:ascii="Times New Roman" w:hAnsi="Times New Roman" w:eastAsia="仿宋" w:cs="Times New Roman"/>
                <w:b/>
                <w:bCs/>
                <w:sz w:val="21"/>
                <w:szCs w:val="21"/>
              </w:rPr>
            </w:pPr>
          </w:p>
        </w:tc>
        <w:tc>
          <w:tcPr>
            <w:tcW w:w="705"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古镇镇</w:t>
            </w:r>
          </w:p>
        </w:tc>
        <w:tc>
          <w:tcPr>
            <w:tcW w:w="3953"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曹三智兴产业园</w:t>
            </w:r>
          </w:p>
        </w:tc>
      </w:tr>
      <w:tr>
        <w:tblPrEx>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CellMar>
            <w:top w:w="0" w:type="dxa"/>
            <w:left w:w="108" w:type="dxa"/>
            <w:bottom w:w="0" w:type="dxa"/>
            <w:right w:w="108" w:type="dxa"/>
          </w:tblCellMar>
        </w:tblPrEx>
        <w:trPr>
          <w:trHeight w:val="425" w:hRule="atLeast"/>
          <w:jc w:val="center"/>
        </w:trPr>
        <w:tc>
          <w:tcPr>
            <w:tcW w:w="341" w:type="pct"/>
            <w:shd w:val="clear" w:color="auto" w:fill="auto"/>
            <w:vAlign w:val="center"/>
          </w:tcPr>
          <w:p>
            <w:pPr>
              <w:numPr>
                <w:ilvl w:val="0"/>
                <w:numId w:val="2"/>
              </w:numPr>
              <w:tabs>
                <w:tab w:val="clear" w:pos="0"/>
              </w:tabs>
              <w:adjustRightInd w:val="0"/>
              <w:snapToGrid w:val="0"/>
              <w:spacing w:before="93" w:beforeLines="30" w:after="93" w:afterLines="30"/>
              <w:ind w:left="0" w:leftChars="0" w:firstLine="170" w:firstLineChars="0"/>
              <w:jc w:val="both"/>
              <w:rPr>
                <w:rFonts w:hint="default" w:ascii="Times New Roman" w:hAnsi="Times New Roman" w:eastAsia="仿宋" w:cs="Times New Roman"/>
                <w:b/>
                <w:bCs/>
                <w:sz w:val="21"/>
                <w:szCs w:val="21"/>
              </w:rPr>
            </w:pPr>
          </w:p>
        </w:tc>
        <w:tc>
          <w:tcPr>
            <w:tcW w:w="705"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横栏镇</w:t>
            </w:r>
          </w:p>
        </w:tc>
        <w:tc>
          <w:tcPr>
            <w:tcW w:w="3953"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三沙一二队低效工业园改造项目</w:t>
            </w:r>
          </w:p>
        </w:tc>
      </w:tr>
      <w:tr>
        <w:tblPrEx>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CellMar>
            <w:top w:w="0" w:type="dxa"/>
            <w:left w:w="108" w:type="dxa"/>
            <w:bottom w:w="0" w:type="dxa"/>
            <w:right w:w="108" w:type="dxa"/>
          </w:tblCellMar>
        </w:tblPrEx>
        <w:trPr>
          <w:trHeight w:val="425" w:hRule="atLeast"/>
          <w:jc w:val="center"/>
        </w:trPr>
        <w:tc>
          <w:tcPr>
            <w:tcW w:w="341" w:type="pct"/>
            <w:shd w:val="clear" w:color="auto" w:fill="auto"/>
            <w:vAlign w:val="center"/>
          </w:tcPr>
          <w:p>
            <w:pPr>
              <w:numPr>
                <w:ilvl w:val="0"/>
                <w:numId w:val="2"/>
              </w:numPr>
              <w:tabs>
                <w:tab w:val="clear" w:pos="0"/>
              </w:tabs>
              <w:adjustRightInd w:val="0"/>
              <w:snapToGrid w:val="0"/>
              <w:spacing w:before="93" w:beforeLines="30" w:after="93" w:afterLines="30"/>
              <w:ind w:left="0" w:leftChars="0" w:firstLine="170" w:firstLineChars="0"/>
              <w:jc w:val="both"/>
              <w:rPr>
                <w:rFonts w:hint="default" w:ascii="Times New Roman" w:hAnsi="Times New Roman" w:eastAsia="仿宋" w:cs="Times New Roman"/>
                <w:b/>
                <w:bCs/>
                <w:sz w:val="21"/>
                <w:szCs w:val="21"/>
              </w:rPr>
            </w:pPr>
          </w:p>
        </w:tc>
        <w:tc>
          <w:tcPr>
            <w:tcW w:w="705"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横栏镇</w:t>
            </w:r>
          </w:p>
        </w:tc>
        <w:tc>
          <w:tcPr>
            <w:tcW w:w="3953"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裕祥工业园低效工业园改造项目</w:t>
            </w:r>
          </w:p>
        </w:tc>
      </w:tr>
      <w:tr>
        <w:tblPrEx>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CellMar>
            <w:top w:w="0" w:type="dxa"/>
            <w:left w:w="108" w:type="dxa"/>
            <w:bottom w:w="0" w:type="dxa"/>
            <w:right w:w="108" w:type="dxa"/>
          </w:tblCellMar>
        </w:tblPrEx>
        <w:trPr>
          <w:trHeight w:val="425" w:hRule="atLeast"/>
          <w:jc w:val="center"/>
        </w:trPr>
        <w:tc>
          <w:tcPr>
            <w:tcW w:w="341" w:type="pct"/>
            <w:shd w:val="clear" w:color="auto" w:fill="auto"/>
            <w:vAlign w:val="center"/>
          </w:tcPr>
          <w:p>
            <w:pPr>
              <w:pStyle w:val="64"/>
              <w:numPr>
                <w:ilvl w:val="0"/>
                <w:numId w:val="2"/>
              </w:numPr>
              <w:tabs>
                <w:tab w:val="clear" w:pos="0"/>
              </w:tabs>
              <w:adjustRightInd w:val="0"/>
              <w:snapToGrid w:val="0"/>
              <w:spacing w:before="93" w:beforeLines="30" w:after="93" w:afterLines="30"/>
              <w:ind w:left="0" w:leftChars="0" w:firstLine="170" w:firstLineChars="0"/>
              <w:jc w:val="both"/>
              <w:rPr>
                <w:rFonts w:hint="default" w:ascii="Times New Roman" w:hAnsi="Times New Roman" w:eastAsia="仿宋" w:cs="Times New Roman"/>
                <w:b/>
                <w:bCs/>
                <w:sz w:val="21"/>
                <w:szCs w:val="21"/>
              </w:rPr>
            </w:pPr>
          </w:p>
        </w:tc>
        <w:tc>
          <w:tcPr>
            <w:tcW w:w="705"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港口镇</w:t>
            </w:r>
          </w:p>
        </w:tc>
        <w:tc>
          <w:tcPr>
            <w:tcW w:w="3953"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中山市创意智慧科技园</w:t>
            </w:r>
          </w:p>
        </w:tc>
      </w:tr>
      <w:tr>
        <w:tblPrEx>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CellMar>
            <w:top w:w="0" w:type="dxa"/>
            <w:left w:w="108" w:type="dxa"/>
            <w:bottom w:w="0" w:type="dxa"/>
            <w:right w:w="108" w:type="dxa"/>
          </w:tblCellMar>
        </w:tblPrEx>
        <w:trPr>
          <w:trHeight w:val="425" w:hRule="atLeast"/>
          <w:jc w:val="center"/>
        </w:trPr>
        <w:tc>
          <w:tcPr>
            <w:tcW w:w="341" w:type="pct"/>
            <w:shd w:val="clear" w:color="auto" w:fill="auto"/>
            <w:vAlign w:val="center"/>
          </w:tcPr>
          <w:p>
            <w:pPr>
              <w:pStyle w:val="64"/>
              <w:numPr>
                <w:ilvl w:val="0"/>
                <w:numId w:val="2"/>
              </w:numPr>
              <w:tabs>
                <w:tab w:val="clear" w:pos="0"/>
              </w:tabs>
              <w:adjustRightInd w:val="0"/>
              <w:snapToGrid w:val="0"/>
              <w:spacing w:before="93" w:beforeLines="30" w:after="93" w:afterLines="30"/>
              <w:ind w:left="0" w:leftChars="0" w:firstLine="170" w:firstLineChars="0"/>
              <w:jc w:val="both"/>
              <w:rPr>
                <w:rFonts w:hint="default" w:ascii="Times New Roman" w:hAnsi="Times New Roman" w:eastAsia="仿宋" w:cs="Times New Roman"/>
                <w:b/>
                <w:bCs/>
                <w:sz w:val="21"/>
                <w:szCs w:val="21"/>
              </w:rPr>
            </w:pPr>
          </w:p>
        </w:tc>
        <w:tc>
          <w:tcPr>
            <w:tcW w:w="705"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沙溪镇</w:t>
            </w:r>
          </w:p>
        </w:tc>
        <w:tc>
          <w:tcPr>
            <w:tcW w:w="3953"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联合鸿兴造纸厂改造项目</w:t>
            </w:r>
          </w:p>
        </w:tc>
      </w:tr>
      <w:tr>
        <w:tblPrEx>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CellMar>
            <w:top w:w="0" w:type="dxa"/>
            <w:left w:w="108" w:type="dxa"/>
            <w:bottom w:w="0" w:type="dxa"/>
            <w:right w:w="108" w:type="dxa"/>
          </w:tblCellMar>
        </w:tblPrEx>
        <w:trPr>
          <w:trHeight w:val="425" w:hRule="atLeast"/>
          <w:jc w:val="center"/>
        </w:trPr>
        <w:tc>
          <w:tcPr>
            <w:tcW w:w="341" w:type="pct"/>
            <w:shd w:val="clear" w:color="auto" w:fill="auto"/>
            <w:vAlign w:val="center"/>
          </w:tcPr>
          <w:p>
            <w:pPr>
              <w:pStyle w:val="64"/>
              <w:numPr>
                <w:ilvl w:val="0"/>
                <w:numId w:val="2"/>
              </w:numPr>
              <w:tabs>
                <w:tab w:val="clear" w:pos="0"/>
              </w:tabs>
              <w:adjustRightInd w:val="0"/>
              <w:snapToGrid w:val="0"/>
              <w:spacing w:before="93" w:beforeLines="30" w:after="93" w:afterLines="30"/>
              <w:ind w:left="0" w:leftChars="0" w:firstLine="170" w:firstLineChars="0"/>
              <w:jc w:val="both"/>
              <w:rPr>
                <w:rFonts w:hint="default" w:ascii="Times New Roman" w:hAnsi="Times New Roman" w:eastAsia="仿宋" w:cs="Times New Roman"/>
                <w:b/>
                <w:bCs/>
                <w:sz w:val="21"/>
                <w:szCs w:val="21"/>
              </w:rPr>
            </w:pPr>
          </w:p>
        </w:tc>
        <w:tc>
          <w:tcPr>
            <w:tcW w:w="705"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沙溪镇</w:t>
            </w:r>
          </w:p>
        </w:tc>
        <w:tc>
          <w:tcPr>
            <w:tcW w:w="3953"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厚山布碎市场改造项目</w:t>
            </w:r>
          </w:p>
        </w:tc>
      </w:tr>
      <w:tr>
        <w:tblPrEx>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CellMar>
            <w:top w:w="0" w:type="dxa"/>
            <w:left w:w="108" w:type="dxa"/>
            <w:bottom w:w="0" w:type="dxa"/>
            <w:right w:w="108" w:type="dxa"/>
          </w:tblCellMar>
        </w:tblPrEx>
        <w:trPr>
          <w:trHeight w:val="425" w:hRule="atLeast"/>
          <w:jc w:val="center"/>
        </w:trPr>
        <w:tc>
          <w:tcPr>
            <w:tcW w:w="341" w:type="pct"/>
            <w:shd w:val="clear" w:color="auto" w:fill="auto"/>
            <w:vAlign w:val="center"/>
          </w:tcPr>
          <w:p>
            <w:pPr>
              <w:pStyle w:val="64"/>
              <w:numPr>
                <w:ilvl w:val="0"/>
                <w:numId w:val="2"/>
              </w:numPr>
              <w:tabs>
                <w:tab w:val="clear" w:pos="0"/>
              </w:tabs>
              <w:adjustRightInd w:val="0"/>
              <w:snapToGrid w:val="0"/>
              <w:spacing w:before="93" w:beforeLines="30" w:after="93" w:afterLines="30"/>
              <w:ind w:left="0" w:leftChars="0" w:firstLine="170" w:firstLineChars="0"/>
              <w:jc w:val="both"/>
              <w:rPr>
                <w:rFonts w:hint="default" w:ascii="Times New Roman" w:hAnsi="Times New Roman" w:eastAsia="仿宋" w:cs="Times New Roman"/>
                <w:b/>
                <w:bCs/>
                <w:sz w:val="21"/>
                <w:szCs w:val="21"/>
              </w:rPr>
            </w:pPr>
          </w:p>
        </w:tc>
        <w:tc>
          <w:tcPr>
            <w:tcW w:w="705"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大涌镇</w:t>
            </w:r>
          </w:p>
        </w:tc>
        <w:tc>
          <w:tcPr>
            <w:tcW w:w="3953"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创源工业园改造项目</w:t>
            </w:r>
          </w:p>
        </w:tc>
      </w:tr>
      <w:tr>
        <w:tblPrEx>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CellMar>
            <w:top w:w="0" w:type="dxa"/>
            <w:left w:w="108" w:type="dxa"/>
            <w:bottom w:w="0" w:type="dxa"/>
            <w:right w:w="108" w:type="dxa"/>
          </w:tblCellMar>
        </w:tblPrEx>
        <w:trPr>
          <w:trHeight w:val="425" w:hRule="atLeast"/>
          <w:jc w:val="center"/>
        </w:trPr>
        <w:tc>
          <w:tcPr>
            <w:tcW w:w="341" w:type="pct"/>
            <w:shd w:val="clear" w:color="auto" w:fill="auto"/>
            <w:vAlign w:val="center"/>
          </w:tcPr>
          <w:p>
            <w:pPr>
              <w:pStyle w:val="64"/>
              <w:numPr>
                <w:ilvl w:val="0"/>
                <w:numId w:val="2"/>
              </w:numPr>
              <w:tabs>
                <w:tab w:val="clear" w:pos="0"/>
              </w:tabs>
              <w:adjustRightInd w:val="0"/>
              <w:snapToGrid w:val="0"/>
              <w:spacing w:before="93" w:beforeLines="30" w:after="93" w:afterLines="30"/>
              <w:ind w:left="0" w:leftChars="0" w:firstLine="170" w:firstLineChars="0"/>
              <w:jc w:val="both"/>
              <w:rPr>
                <w:rFonts w:hint="default" w:ascii="Times New Roman" w:hAnsi="Times New Roman" w:eastAsia="仿宋" w:cs="Times New Roman"/>
                <w:b/>
                <w:bCs/>
                <w:sz w:val="21"/>
                <w:szCs w:val="21"/>
              </w:rPr>
            </w:pPr>
          </w:p>
        </w:tc>
        <w:tc>
          <w:tcPr>
            <w:tcW w:w="705"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大涌镇</w:t>
            </w:r>
          </w:p>
        </w:tc>
        <w:tc>
          <w:tcPr>
            <w:tcW w:w="3953"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月地工业园改造项目</w:t>
            </w:r>
          </w:p>
        </w:tc>
      </w:tr>
      <w:tr>
        <w:tblPrEx>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CellMar>
            <w:top w:w="0" w:type="dxa"/>
            <w:left w:w="108" w:type="dxa"/>
            <w:bottom w:w="0" w:type="dxa"/>
            <w:right w:w="108" w:type="dxa"/>
          </w:tblCellMar>
        </w:tblPrEx>
        <w:trPr>
          <w:trHeight w:val="425" w:hRule="atLeast"/>
          <w:jc w:val="center"/>
        </w:trPr>
        <w:tc>
          <w:tcPr>
            <w:tcW w:w="341" w:type="pct"/>
            <w:shd w:val="clear" w:color="auto" w:fill="auto"/>
            <w:vAlign w:val="center"/>
          </w:tcPr>
          <w:p>
            <w:pPr>
              <w:pStyle w:val="64"/>
              <w:numPr>
                <w:ilvl w:val="0"/>
                <w:numId w:val="2"/>
              </w:numPr>
              <w:tabs>
                <w:tab w:val="clear" w:pos="0"/>
              </w:tabs>
              <w:adjustRightInd w:val="0"/>
              <w:snapToGrid w:val="0"/>
              <w:spacing w:before="93" w:beforeLines="30" w:after="93" w:afterLines="30"/>
              <w:ind w:left="0" w:leftChars="0" w:firstLine="170" w:firstLineChars="0"/>
              <w:jc w:val="both"/>
              <w:rPr>
                <w:rFonts w:hint="default" w:ascii="Times New Roman" w:hAnsi="Times New Roman" w:eastAsia="仿宋" w:cs="Times New Roman"/>
                <w:b/>
                <w:bCs/>
                <w:sz w:val="21"/>
                <w:szCs w:val="21"/>
              </w:rPr>
            </w:pPr>
          </w:p>
        </w:tc>
        <w:tc>
          <w:tcPr>
            <w:tcW w:w="705"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大涌镇</w:t>
            </w:r>
          </w:p>
        </w:tc>
        <w:tc>
          <w:tcPr>
            <w:tcW w:w="3953"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矮山西侧改造单元</w:t>
            </w:r>
          </w:p>
        </w:tc>
      </w:tr>
      <w:tr>
        <w:tblPrEx>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CellMar>
            <w:top w:w="0" w:type="dxa"/>
            <w:left w:w="108" w:type="dxa"/>
            <w:bottom w:w="0" w:type="dxa"/>
            <w:right w:w="108" w:type="dxa"/>
          </w:tblCellMar>
        </w:tblPrEx>
        <w:trPr>
          <w:trHeight w:val="425" w:hRule="atLeast"/>
          <w:jc w:val="center"/>
        </w:trPr>
        <w:tc>
          <w:tcPr>
            <w:tcW w:w="341" w:type="pct"/>
            <w:shd w:val="clear" w:color="auto" w:fill="auto"/>
            <w:vAlign w:val="center"/>
          </w:tcPr>
          <w:p>
            <w:pPr>
              <w:pStyle w:val="64"/>
              <w:numPr>
                <w:ilvl w:val="0"/>
                <w:numId w:val="2"/>
              </w:numPr>
              <w:tabs>
                <w:tab w:val="clear" w:pos="0"/>
              </w:tabs>
              <w:adjustRightInd w:val="0"/>
              <w:snapToGrid w:val="0"/>
              <w:spacing w:before="93" w:beforeLines="30" w:after="93" w:afterLines="30"/>
              <w:ind w:left="0" w:leftChars="0" w:firstLine="170" w:firstLineChars="0"/>
              <w:jc w:val="both"/>
              <w:rPr>
                <w:rFonts w:hint="default" w:ascii="Times New Roman" w:hAnsi="Times New Roman" w:eastAsia="仿宋" w:cs="Times New Roman"/>
                <w:b/>
                <w:bCs/>
                <w:sz w:val="21"/>
                <w:szCs w:val="21"/>
              </w:rPr>
            </w:pPr>
          </w:p>
        </w:tc>
        <w:tc>
          <w:tcPr>
            <w:tcW w:w="705"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大涌镇</w:t>
            </w:r>
          </w:p>
        </w:tc>
        <w:tc>
          <w:tcPr>
            <w:tcW w:w="3953"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矮山东侧改造单元</w:t>
            </w:r>
          </w:p>
        </w:tc>
      </w:tr>
      <w:tr>
        <w:tblPrEx>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CellMar>
            <w:top w:w="0" w:type="dxa"/>
            <w:left w:w="108" w:type="dxa"/>
            <w:bottom w:w="0" w:type="dxa"/>
            <w:right w:w="108" w:type="dxa"/>
          </w:tblCellMar>
        </w:tblPrEx>
        <w:trPr>
          <w:trHeight w:val="425" w:hRule="atLeast"/>
          <w:jc w:val="center"/>
        </w:trPr>
        <w:tc>
          <w:tcPr>
            <w:tcW w:w="341" w:type="pct"/>
            <w:shd w:val="clear" w:color="auto" w:fill="auto"/>
            <w:vAlign w:val="center"/>
          </w:tcPr>
          <w:p>
            <w:pPr>
              <w:pStyle w:val="64"/>
              <w:numPr>
                <w:ilvl w:val="0"/>
                <w:numId w:val="2"/>
              </w:numPr>
              <w:tabs>
                <w:tab w:val="clear" w:pos="0"/>
              </w:tabs>
              <w:adjustRightInd w:val="0"/>
              <w:snapToGrid w:val="0"/>
              <w:spacing w:before="93" w:beforeLines="30" w:after="93" w:afterLines="30"/>
              <w:ind w:left="0" w:leftChars="0" w:firstLine="170" w:firstLineChars="0"/>
              <w:jc w:val="both"/>
              <w:rPr>
                <w:rFonts w:hint="default" w:ascii="Times New Roman" w:hAnsi="Times New Roman" w:eastAsia="仿宋" w:cs="Times New Roman"/>
                <w:b/>
                <w:bCs/>
                <w:sz w:val="21"/>
                <w:szCs w:val="21"/>
              </w:rPr>
            </w:pPr>
          </w:p>
        </w:tc>
        <w:tc>
          <w:tcPr>
            <w:tcW w:w="705"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大涌镇</w:t>
            </w:r>
          </w:p>
        </w:tc>
        <w:tc>
          <w:tcPr>
            <w:tcW w:w="3953"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华泰路东侧改造单元</w:t>
            </w:r>
          </w:p>
        </w:tc>
      </w:tr>
      <w:tr>
        <w:tblPrEx>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CellMar>
            <w:top w:w="0" w:type="dxa"/>
            <w:left w:w="108" w:type="dxa"/>
            <w:bottom w:w="0" w:type="dxa"/>
            <w:right w:w="108" w:type="dxa"/>
          </w:tblCellMar>
        </w:tblPrEx>
        <w:trPr>
          <w:trHeight w:val="425" w:hRule="atLeast"/>
          <w:jc w:val="center"/>
        </w:trPr>
        <w:tc>
          <w:tcPr>
            <w:tcW w:w="341" w:type="pct"/>
            <w:shd w:val="clear" w:color="auto" w:fill="auto"/>
            <w:vAlign w:val="center"/>
          </w:tcPr>
          <w:p>
            <w:pPr>
              <w:pStyle w:val="64"/>
              <w:numPr>
                <w:ilvl w:val="0"/>
                <w:numId w:val="2"/>
              </w:numPr>
              <w:tabs>
                <w:tab w:val="clear" w:pos="0"/>
              </w:tabs>
              <w:adjustRightInd w:val="0"/>
              <w:snapToGrid w:val="0"/>
              <w:spacing w:before="93" w:beforeLines="30" w:after="93" w:afterLines="30"/>
              <w:ind w:left="0" w:leftChars="0" w:firstLine="170" w:firstLineChars="0"/>
              <w:jc w:val="both"/>
              <w:rPr>
                <w:rFonts w:hint="default" w:ascii="Times New Roman" w:hAnsi="Times New Roman" w:eastAsia="仿宋" w:cs="Times New Roman"/>
                <w:b/>
                <w:bCs/>
                <w:sz w:val="21"/>
                <w:szCs w:val="21"/>
              </w:rPr>
            </w:pPr>
          </w:p>
        </w:tc>
        <w:tc>
          <w:tcPr>
            <w:tcW w:w="705"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大涌镇</w:t>
            </w:r>
          </w:p>
        </w:tc>
        <w:tc>
          <w:tcPr>
            <w:tcW w:w="3953"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南文马坑片区旧厂房改造项目</w:t>
            </w:r>
          </w:p>
        </w:tc>
      </w:tr>
      <w:tr>
        <w:tblPrEx>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CellMar>
            <w:top w:w="0" w:type="dxa"/>
            <w:left w:w="108" w:type="dxa"/>
            <w:bottom w:w="0" w:type="dxa"/>
            <w:right w:w="108" w:type="dxa"/>
          </w:tblCellMar>
        </w:tblPrEx>
        <w:trPr>
          <w:trHeight w:val="425" w:hRule="atLeast"/>
          <w:jc w:val="center"/>
        </w:trPr>
        <w:tc>
          <w:tcPr>
            <w:tcW w:w="341" w:type="pct"/>
            <w:shd w:val="clear" w:color="auto" w:fill="auto"/>
            <w:vAlign w:val="center"/>
          </w:tcPr>
          <w:p>
            <w:pPr>
              <w:pStyle w:val="64"/>
              <w:numPr>
                <w:ilvl w:val="0"/>
                <w:numId w:val="2"/>
              </w:numPr>
              <w:tabs>
                <w:tab w:val="clear" w:pos="0"/>
              </w:tabs>
              <w:adjustRightInd w:val="0"/>
              <w:snapToGrid w:val="0"/>
              <w:spacing w:before="93" w:beforeLines="30" w:after="93" w:afterLines="30"/>
              <w:ind w:left="0" w:leftChars="0" w:firstLine="170" w:firstLineChars="0"/>
              <w:jc w:val="both"/>
              <w:rPr>
                <w:rFonts w:hint="default" w:ascii="Times New Roman" w:hAnsi="Times New Roman" w:eastAsia="仿宋" w:cs="Times New Roman"/>
                <w:b/>
                <w:bCs/>
                <w:sz w:val="21"/>
                <w:szCs w:val="21"/>
              </w:rPr>
            </w:pPr>
          </w:p>
        </w:tc>
        <w:tc>
          <w:tcPr>
            <w:tcW w:w="705"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大涌镇</w:t>
            </w:r>
          </w:p>
        </w:tc>
        <w:tc>
          <w:tcPr>
            <w:tcW w:w="3953"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大涌社区科创产业园改造项目</w:t>
            </w:r>
          </w:p>
        </w:tc>
      </w:tr>
      <w:tr>
        <w:tblPrEx>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CellMar>
            <w:top w:w="0" w:type="dxa"/>
            <w:left w:w="108" w:type="dxa"/>
            <w:bottom w:w="0" w:type="dxa"/>
            <w:right w:w="108" w:type="dxa"/>
          </w:tblCellMar>
        </w:tblPrEx>
        <w:trPr>
          <w:trHeight w:val="425" w:hRule="atLeast"/>
          <w:jc w:val="center"/>
        </w:trPr>
        <w:tc>
          <w:tcPr>
            <w:tcW w:w="341" w:type="pct"/>
            <w:shd w:val="clear" w:color="auto" w:fill="auto"/>
            <w:vAlign w:val="center"/>
          </w:tcPr>
          <w:p>
            <w:pPr>
              <w:pStyle w:val="64"/>
              <w:numPr>
                <w:ilvl w:val="0"/>
                <w:numId w:val="2"/>
              </w:numPr>
              <w:tabs>
                <w:tab w:val="clear" w:pos="0"/>
              </w:tabs>
              <w:adjustRightInd w:val="0"/>
              <w:snapToGrid w:val="0"/>
              <w:spacing w:before="93" w:beforeLines="30" w:after="93" w:afterLines="30"/>
              <w:ind w:left="0" w:leftChars="0" w:firstLine="170" w:firstLineChars="0"/>
              <w:jc w:val="both"/>
              <w:rPr>
                <w:rFonts w:hint="default" w:ascii="Times New Roman" w:hAnsi="Times New Roman" w:eastAsia="仿宋" w:cs="Times New Roman"/>
                <w:b/>
                <w:bCs/>
                <w:sz w:val="21"/>
                <w:szCs w:val="21"/>
              </w:rPr>
            </w:pPr>
          </w:p>
        </w:tc>
        <w:tc>
          <w:tcPr>
            <w:tcW w:w="705"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大涌镇</w:t>
            </w:r>
          </w:p>
        </w:tc>
        <w:tc>
          <w:tcPr>
            <w:tcW w:w="3953"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华星工业园改造项目</w:t>
            </w:r>
          </w:p>
        </w:tc>
      </w:tr>
      <w:tr>
        <w:tblPrEx>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CellMar>
            <w:top w:w="0" w:type="dxa"/>
            <w:left w:w="108" w:type="dxa"/>
            <w:bottom w:w="0" w:type="dxa"/>
            <w:right w:w="108" w:type="dxa"/>
          </w:tblCellMar>
        </w:tblPrEx>
        <w:trPr>
          <w:trHeight w:val="425" w:hRule="atLeast"/>
          <w:jc w:val="center"/>
        </w:trPr>
        <w:tc>
          <w:tcPr>
            <w:tcW w:w="341" w:type="pct"/>
            <w:shd w:val="clear" w:color="auto" w:fill="auto"/>
            <w:vAlign w:val="center"/>
          </w:tcPr>
          <w:p>
            <w:pPr>
              <w:pStyle w:val="64"/>
              <w:numPr>
                <w:ilvl w:val="0"/>
                <w:numId w:val="2"/>
              </w:numPr>
              <w:tabs>
                <w:tab w:val="clear" w:pos="0"/>
              </w:tabs>
              <w:adjustRightInd w:val="0"/>
              <w:snapToGrid w:val="0"/>
              <w:spacing w:before="93" w:beforeLines="30" w:after="93" w:afterLines="30"/>
              <w:ind w:left="0" w:leftChars="0" w:firstLine="170" w:firstLineChars="0"/>
              <w:jc w:val="both"/>
              <w:rPr>
                <w:rFonts w:hint="default" w:ascii="Times New Roman" w:hAnsi="Times New Roman" w:eastAsia="仿宋" w:cs="Times New Roman"/>
                <w:b/>
                <w:bCs/>
                <w:sz w:val="21"/>
                <w:szCs w:val="21"/>
              </w:rPr>
            </w:pPr>
          </w:p>
        </w:tc>
        <w:tc>
          <w:tcPr>
            <w:tcW w:w="705"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大涌镇</w:t>
            </w:r>
          </w:p>
        </w:tc>
        <w:tc>
          <w:tcPr>
            <w:tcW w:w="3953"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侨发工业园改造项目</w:t>
            </w:r>
          </w:p>
        </w:tc>
      </w:tr>
      <w:tr>
        <w:tblPrEx>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CellMar>
            <w:top w:w="0" w:type="dxa"/>
            <w:left w:w="108" w:type="dxa"/>
            <w:bottom w:w="0" w:type="dxa"/>
            <w:right w:w="108" w:type="dxa"/>
          </w:tblCellMar>
        </w:tblPrEx>
        <w:trPr>
          <w:trHeight w:val="425" w:hRule="atLeast"/>
          <w:jc w:val="center"/>
        </w:trPr>
        <w:tc>
          <w:tcPr>
            <w:tcW w:w="341" w:type="pct"/>
            <w:shd w:val="clear" w:color="auto" w:fill="auto"/>
            <w:vAlign w:val="center"/>
          </w:tcPr>
          <w:p>
            <w:pPr>
              <w:pStyle w:val="64"/>
              <w:numPr>
                <w:ilvl w:val="0"/>
                <w:numId w:val="2"/>
              </w:numPr>
              <w:tabs>
                <w:tab w:val="clear" w:pos="0"/>
              </w:tabs>
              <w:adjustRightInd w:val="0"/>
              <w:snapToGrid w:val="0"/>
              <w:spacing w:before="93" w:beforeLines="30" w:after="93" w:afterLines="30"/>
              <w:ind w:left="0" w:leftChars="0" w:firstLine="170" w:firstLineChars="0"/>
              <w:jc w:val="both"/>
              <w:rPr>
                <w:rFonts w:hint="default" w:ascii="Times New Roman" w:hAnsi="Times New Roman" w:eastAsia="仿宋" w:cs="Times New Roman"/>
                <w:b/>
                <w:bCs/>
                <w:sz w:val="21"/>
                <w:szCs w:val="21"/>
              </w:rPr>
            </w:pPr>
          </w:p>
        </w:tc>
        <w:tc>
          <w:tcPr>
            <w:tcW w:w="705"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大涌镇</w:t>
            </w:r>
          </w:p>
        </w:tc>
        <w:tc>
          <w:tcPr>
            <w:tcW w:w="3953"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大涌新围片区改造项目</w:t>
            </w:r>
          </w:p>
        </w:tc>
      </w:tr>
      <w:tr>
        <w:tblPrEx>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CellMar>
            <w:top w:w="0" w:type="dxa"/>
            <w:left w:w="108" w:type="dxa"/>
            <w:bottom w:w="0" w:type="dxa"/>
            <w:right w:w="108" w:type="dxa"/>
          </w:tblCellMar>
        </w:tblPrEx>
        <w:trPr>
          <w:trHeight w:val="425" w:hRule="atLeast"/>
          <w:jc w:val="center"/>
        </w:trPr>
        <w:tc>
          <w:tcPr>
            <w:tcW w:w="341" w:type="pct"/>
            <w:shd w:val="clear" w:color="auto" w:fill="auto"/>
            <w:vAlign w:val="center"/>
          </w:tcPr>
          <w:p>
            <w:pPr>
              <w:pStyle w:val="64"/>
              <w:numPr>
                <w:ilvl w:val="0"/>
                <w:numId w:val="2"/>
              </w:numPr>
              <w:tabs>
                <w:tab w:val="clear" w:pos="0"/>
              </w:tabs>
              <w:adjustRightInd w:val="0"/>
              <w:snapToGrid w:val="0"/>
              <w:spacing w:before="93" w:beforeLines="30" w:after="93" w:afterLines="30"/>
              <w:ind w:left="0" w:leftChars="0" w:firstLine="170" w:firstLineChars="0"/>
              <w:jc w:val="both"/>
              <w:rPr>
                <w:rFonts w:hint="default" w:ascii="Times New Roman" w:hAnsi="Times New Roman" w:eastAsia="仿宋" w:cs="Times New Roman"/>
                <w:b/>
                <w:bCs/>
                <w:sz w:val="21"/>
                <w:szCs w:val="21"/>
              </w:rPr>
            </w:pPr>
          </w:p>
        </w:tc>
        <w:tc>
          <w:tcPr>
            <w:tcW w:w="705"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黄圃镇</w:t>
            </w:r>
          </w:p>
        </w:tc>
        <w:tc>
          <w:tcPr>
            <w:tcW w:w="3953"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中山智能家电产业园（大岑片区）连片改造第一阶段一期项目</w:t>
            </w:r>
          </w:p>
        </w:tc>
      </w:tr>
      <w:tr>
        <w:tblPrEx>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CellMar>
            <w:top w:w="0" w:type="dxa"/>
            <w:left w:w="108" w:type="dxa"/>
            <w:bottom w:w="0" w:type="dxa"/>
            <w:right w:w="108" w:type="dxa"/>
          </w:tblCellMar>
        </w:tblPrEx>
        <w:trPr>
          <w:trHeight w:val="425" w:hRule="atLeast"/>
          <w:jc w:val="center"/>
        </w:trPr>
        <w:tc>
          <w:tcPr>
            <w:tcW w:w="341" w:type="pct"/>
            <w:shd w:val="clear" w:color="auto" w:fill="auto"/>
            <w:vAlign w:val="center"/>
          </w:tcPr>
          <w:p>
            <w:pPr>
              <w:pStyle w:val="64"/>
              <w:numPr>
                <w:ilvl w:val="0"/>
                <w:numId w:val="2"/>
              </w:numPr>
              <w:tabs>
                <w:tab w:val="clear" w:pos="0"/>
              </w:tabs>
              <w:adjustRightInd w:val="0"/>
              <w:snapToGrid w:val="0"/>
              <w:spacing w:before="93" w:beforeLines="30" w:after="93" w:afterLines="30"/>
              <w:ind w:left="0" w:leftChars="0" w:firstLine="170" w:firstLineChars="0"/>
              <w:jc w:val="both"/>
              <w:rPr>
                <w:rFonts w:hint="default" w:ascii="Times New Roman" w:hAnsi="Times New Roman" w:eastAsia="仿宋" w:cs="Times New Roman"/>
                <w:b/>
                <w:bCs/>
                <w:sz w:val="21"/>
                <w:szCs w:val="21"/>
              </w:rPr>
            </w:pPr>
          </w:p>
        </w:tc>
        <w:tc>
          <w:tcPr>
            <w:tcW w:w="705"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黄圃镇</w:t>
            </w:r>
          </w:p>
        </w:tc>
        <w:tc>
          <w:tcPr>
            <w:tcW w:w="3953"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中山智能家电产业园（大岑片区）连片改造第一阶段二期项目</w:t>
            </w:r>
          </w:p>
        </w:tc>
      </w:tr>
      <w:tr>
        <w:tblPrEx>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CellMar>
            <w:top w:w="0" w:type="dxa"/>
            <w:left w:w="108" w:type="dxa"/>
            <w:bottom w:w="0" w:type="dxa"/>
            <w:right w:w="108" w:type="dxa"/>
          </w:tblCellMar>
        </w:tblPrEx>
        <w:trPr>
          <w:trHeight w:val="425" w:hRule="atLeast"/>
          <w:jc w:val="center"/>
        </w:trPr>
        <w:tc>
          <w:tcPr>
            <w:tcW w:w="341" w:type="pct"/>
            <w:shd w:val="clear" w:color="auto" w:fill="auto"/>
            <w:vAlign w:val="center"/>
          </w:tcPr>
          <w:p>
            <w:pPr>
              <w:pStyle w:val="64"/>
              <w:numPr>
                <w:ilvl w:val="0"/>
                <w:numId w:val="2"/>
              </w:numPr>
              <w:tabs>
                <w:tab w:val="clear" w:pos="0"/>
              </w:tabs>
              <w:adjustRightInd w:val="0"/>
              <w:snapToGrid w:val="0"/>
              <w:spacing w:before="93" w:beforeLines="30" w:after="93" w:afterLines="30"/>
              <w:ind w:left="0" w:leftChars="0" w:firstLine="170" w:firstLineChars="0"/>
              <w:jc w:val="both"/>
              <w:rPr>
                <w:rFonts w:hint="default" w:ascii="Times New Roman" w:hAnsi="Times New Roman" w:eastAsia="仿宋" w:cs="Times New Roman"/>
                <w:b/>
                <w:bCs/>
                <w:sz w:val="21"/>
                <w:szCs w:val="21"/>
              </w:rPr>
            </w:pPr>
          </w:p>
        </w:tc>
        <w:tc>
          <w:tcPr>
            <w:tcW w:w="705"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黄圃镇</w:t>
            </w:r>
          </w:p>
        </w:tc>
        <w:tc>
          <w:tcPr>
            <w:tcW w:w="3953"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中山智能家电产业园（大岑片区）连片改造第二阶段</w:t>
            </w:r>
          </w:p>
        </w:tc>
      </w:tr>
      <w:tr>
        <w:tblPrEx>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CellMar>
            <w:top w:w="0" w:type="dxa"/>
            <w:left w:w="108" w:type="dxa"/>
            <w:bottom w:w="0" w:type="dxa"/>
            <w:right w:w="108" w:type="dxa"/>
          </w:tblCellMar>
        </w:tblPrEx>
        <w:trPr>
          <w:trHeight w:val="425" w:hRule="atLeast"/>
          <w:jc w:val="center"/>
        </w:trPr>
        <w:tc>
          <w:tcPr>
            <w:tcW w:w="341" w:type="pct"/>
            <w:shd w:val="clear" w:color="auto" w:fill="auto"/>
            <w:vAlign w:val="center"/>
          </w:tcPr>
          <w:p>
            <w:pPr>
              <w:pStyle w:val="64"/>
              <w:numPr>
                <w:ilvl w:val="0"/>
                <w:numId w:val="2"/>
              </w:numPr>
              <w:tabs>
                <w:tab w:val="clear" w:pos="0"/>
              </w:tabs>
              <w:adjustRightInd w:val="0"/>
              <w:snapToGrid w:val="0"/>
              <w:spacing w:before="93" w:beforeLines="30" w:after="93" w:afterLines="30"/>
              <w:ind w:left="0" w:leftChars="0" w:firstLine="170" w:firstLineChars="0"/>
              <w:jc w:val="both"/>
              <w:rPr>
                <w:rFonts w:hint="default" w:ascii="Times New Roman" w:hAnsi="Times New Roman" w:eastAsia="仿宋" w:cs="Times New Roman"/>
                <w:b/>
                <w:bCs/>
                <w:sz w:val="21"/>
                <w:szCs w:val="21"/>
              </w:rPr>
            </w:pPr>
          </w:p>
        </w:tc>
        <w:tc>
          <w:tcPr>
            <w:tcW w:w="705"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黄圃镇</w:t>
            </w:r>
          </w:p>
        </w:tc>
        <w:tc>
          <w:tcPr>
            <w:tcW w:w="3953"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中山智能家电产业园（大岑片区）连片改造第三阶段</w:t>
            </w:r>
          </w:p>
        </w:tc>
      </w:tr>
      <w:tr>
        <w:tblPrEx>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CellMar>
            <w:top w:w="0" w:type="dxa"/>
            <w:left w:w="108" w:type="dxa"/>
            <w:bottom w:w="0" w:type="dxa"/>
            <w:right w:w="108" w:type="dxa"/>
          </w:tblCellMar>
        </w:tblPrEx>
        <w:trPr>
          <w:trHeight w:val="425" w:hRule="atLeast"/>
          <w:jc w:val="center"/>
        </w:trPr>
        <w:tc>
          <w:tcPr>
            <w:tcW w:w="341" w:type="pct"/>
            <w:shd w:val="clear" w:color="auto" w:fill="auto"/>
            <w:vAlign w:val="center"/>
          </w:tcPr>
          <w:p>
            <w:pPr>
              <w:pStyle w:val="64"/>
              <w:numPr>
                <w:ilvl w:val="0"/>
                <w:numId w:val="2"/>
              </w:numPr>
              <w:tabs>
                <w:tab w:val="clear" w:pos="0"/>
              </w:tabs>
              <w:adjustRightInd w:val="0"/>
              <w:snapToGrid w:val="0"/>
              <w:spacing w:before="93" w:beforeLines="30" w:after="93" w:afterLines="30"/>
              <w:ind w:left="0" w:leftChars="0" w:firstLine="170" w:firstLineChars="0"/>
              <w:jc w:val="both"/>
              <w:rPr>
                <w:rFonts w:hint="default" w:ascii="Times New Roman" w:hAnsi="Times New Roman" w:eastAsia="仿宋" w:cs="Times New Roman"/>
                <w:b/>
                <w:bCs/>
                <w:sz w:val="21"/>
                <w:szCs w:val="21"/>
              </w:rPr>
            </w:pPr>
          </w:p>
        </w:tc>
        <w:tc>
          <w:tcPr>
            <w:tcW w:w="705"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黄圃镇</w:t>
            </w:r>
          </w:p>
        </w:tc>
        <w:tc>
          <w:tcPr>
            <w:tcW w:w="3953"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正飞科技创新创业园项目</w:t>
            </w:r>
          </w:p>
        </w:tc>
      </w:tr>
      <w:tr>
        <w:tblPrEx>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CellMar>
            <w:top w:w="0" w:type="dxa"/>
            <w:left w:w="108" w:type="dxa"/>
            <w:bottom w:w="0" w:type="dxa"/>
            <w:right w:w="108" w:type="dxa"/>
          </w:tblCellMar>
        </w:tblPrEx>
        <w:trPr>
          <w:trHeight w:val="425" w:hRule="atLeast"/>
          <w:jc w:val="center"/>
        </w:trPr>
        <w:tc>
          <w:tcPr>
            <w:tcW w:w="341" w:type="pct"/>
            <w:shd w:val="clear" w:color="auto" w:fill="auto"/>
            <w:vAlign w:val="center"/>
          </w:tcPr>
          <w:p>
            <w:pPr>
              <w:pStyle w:val="64"/>
              <w:numPr>
                <w:ilvl w:val="0"/>
                <w:numId w:val="2"/>
              </w:numPr>
              <w:tabs>
                <w:tab w:val="clear" w:pos="0"/>
              </w:tabs>
              <w:adjustRightInd w:val="0"/>
              <w:snapToGrid w:val="0"/>
              <w:spacing w:before="93" w:beforeLines="30" w:after="93" w:afterLines="30"/>
              <w:ind w:left="0" w:leftChars="0" w:firstLine="170" w:firstLineChars="0"/>
              <w:jc w:val="both"/>
              <w:rPr>
                <w:rFonts w:hint="default" w:ascii="Times New Roman" w:hAnsi="Times New Roman" w:eastAsia="仿宋" w:cs="Times New Roman"/>
                <w:b/>
                <w:bCs/>
                <w:sz w:val="21"/>
                <w:szCs w:val="21"/>
              </w:rPr>
            </w:pPr>
          </w:p>
        </w:tc>
        <w:tc>
          <w:tcPr>
            <w:tcW w:w="705"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阜沙镇</w:t>
            </w:r>
          </w:p>
        </w:tc>
        <w:tc>
          <w:tcPr>
            <w:tcW w:w="3953"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智能装备制造基地（浮虚山东片区）</w:t>
            </w:r>
          </w:p>
        </w:tc>
      </w:tr>
      <w:tr>
        <w:tblPrEx>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CellMar>
            <w:top w:w="0" w:type="dxa"/>
            <w:left w:w="108" w:type="dxa"/>
            <w:bottom w:w="0" w:type="dxa"/>
            <w:right w:w="108" w:type="dxa"/>
          </w:tblCellMar>
        </w:tblPrEx>
        <w:trPr>
          <w:trHeight w:val="425" w:hRule="atLeast"/>
          <w:jc w:val="center"/>
        </w:trPr>
        <w:tc>
          <w:tcPr>
            <w:tcW w:w="341" w:type="pct"/>
            <w:shd w:val="clear" w:color="auto" w:fill="auto"/>
            <w:vAlign w:val="center"/>
          </w:tcPr>
          <w:p>
            <w:pPr>
              <w:pStyle w:val="64"/>
              <w:numPr>
                <w:ilvl w:val="0"/>
                <w:numId w:val="2"/>
              </w:numPr>
              <w:tabs>
                <w:tab w:val="clear" w:pos="0"/>
              </w:tabs>
              <w:adjustRightInd w:val="0"/>
              <w:snapToGrid w:val="0"/>
              <w:spacing w:before="93" w:beforeLines="30" w:after="93" w:afterLines="30"/>
              <w:ind w:left="0" w:leftChars="0" w:firstLine="170" w:firstLineChars="0"/>
              <w:jc w:val="both"/>
              <w:rPr>
                <w:rFonts w:hint="default" w:ascii="Times New Roman" w:hAnsi="Times New Roman" w:eastAsia="仿宋" w:cs="Times New Roman"/>
                <w:b/>
                <w:bCs/>
                <w:sz w:val="21"/>
                <w:szCs w:val="21"/>
              </w:rPr>
            </w:pPr>
          </w:p>
        </w:tc>
        <w:tc>
          <w:tcPr>
            <w:tcW w:w="705"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阜沙镇</w:t>
            </w:r>
          </w:p>
        </w:tc>
        <w:tc>
          <w:tcPr>
            <w:tcW w:w="3953"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大湾区智能家居产业园改造项目</w:t>
            </w:r>
          </w:p>
        </w:tc>
      </w:tr>
      <w:tr>
        <w:tblPrEx>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CellMar>
            <w:top w:w="0" w:type="dxa"/>
            <w:left w:w="108" w:type="dxa"/>
            <w:bottom w:w="0" w:type="dxa"/>
            <w:right w:w="108" w:type="dxa"/>
          </w:tblCellMar>
        </w:tblPrEx>
        <w:trPr>
          <w:trHeight w:val="425" w:hRule="atLeast"/>
          <w:jc w:val="center"/>
        </w:trPr>
        <w:tc>
          <w:tcPr>
            <w:tcW w:w="341" w:type="pct"/>
            <w:shd w:val="clear" w:color="auto" w:fill="auto"/>
            <w:vAlign w:val="center"/>
          </w:tcPr>
          <w:p>
            <w:pPr>
              <w:pStyle w:val="64"/>
              <w:numPr>
                <w:ilvl w:val="0"/>
                <w:numId w:val="2"/>
              </w:numPr>
              <w:tabs>
                <w:tab w:val="clear" w:pos="0"/>
              </w:tabs>
              <w:adjustRightInd w:val="0"/>
              <w:snapToGrid w:val="0"/>
              <w:spacing w:before="93" w:beforeLines="30" w:after="93" w:afterLines="30"/>
              <w:ind w:left="0" w:leftChars="0" w:firstLine="170" w:firstLineChars="0"/>
              <w:jc w:val="both"/>
              <w:rPr>
                <w:rFonts w:hint="default" w:ascii="Times New Roman" w:hAnsi="Times New Roman" w:eastAsia="仿宋" w:cs="Times New Roman"/>
                <w:b/>
                <w:bCs/>
                <w:sz w:val="21"/>
                <w:szCs w:val="21"/>
              </w:rPr>
            </w:pPr>
          </w:p>
        </w:tc>
        <w:tc>
          <w:tcPr>
            <w:tcW w:w="705"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三角镇</w:t>
            </w:r>
          </w:p>
        </w:tc>
        <w:tc>
          <w:tcPr>
            <w:tcW w:w="3953"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蟠龙村级工业园改造项目</w:t>
            </w:r>
          </w:p>
        </w:tc>
      </w:tr>
      <w:tr>
        <w:tblPrEx>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CellMar>
            <w:top w:w="0" w:type="dxa"/>
            <w:left w:w="108" w:type="dxa"/>
            <w:bottom w:w="0" w:type="dxa"/>
            <w:right w:w="108" w:type="dxa"/>
          </w:tblCellMar>
        </w:tblPrEx>
        <w:trPr>
          <w:trHeight w:val="425" w:hRule="atLeast"/>
          <w:jc w:val="center"/>
        </w:trPr>
        <w:tc>
          <w:tcPr>
            <w:tcW w:w="341" w:type="pct"/>
            <w:shd w:val="clear" w:color="auto" w:fill="auto"/>
            <w:vAlign w:val="center"/>
          </w:tcPr>
          <w:p>
            <w:pPr>
              <w:pStyle w:val="64"/>
              <w:numPr>
                <w:ilvl w:val="0"/>
                <w:numId w:val="2"/>
              </w:numPr>
              <w:tabs>
                <w:tab w:val="clear" w:pos="0"/>
              </w:tabs>
              <w:adjustRightInd w:val="0"/>
              <w:snapToGrid w:val="0"/>
              <w:spacing w:before="93" w:beforeLines="30" w:after="93" w:afterLines="30"/>
              <w:ind w:left="0" w:leftChars="0" w:firstLine="170" w:firstLineChars="0"/>
              <w:jc w:val="both"/>
              <w:rPr>
                <w:rFonts w:hint="default" w:ascii="Times New Roman" w:hAnsi="Times New Roman" w:eastAsia="仿宋" w:cs="Times New Roman"/>
                <w:b/>
                <w:bCs/>
                <w:sz w:val="21"/>
                <w:szCs w:val="21"/>
              </w:rPr>
            </w:pPr>
          </w:p>
        </w:tc>
        <w:tc>
          <w:tcPr>
            <w:tcW w:w="705"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三角镇</w:t>
            </w:r>
          </w:p>
        </w:tc>
        <w:tc>
          <w:tcPr>
            <w:tcW w:w="3953"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中山市达进电子有限公司改造项目一期</w:t>
            </w:r>
          </w:p>
        </w:tc>
      </w:tr>
      <w:tr>
        <w:tblPrEx>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CellMar>
            <w:top w:w="0" w:type="dxa"/>
            <w:left w:w="108" w:type="dxa"/>
            <w:bottom w:w="0" w:type="dxa"/>
            <w:right w:w="108" w:type="dxa"/>
          </w:tblCellMar>
        </w:tblPrEx>
        <w:trPr>
          <w:trHeight w:val="425" w:hRule="atLeast"/>
          <w:jc w:val="center"/>
        </w:trPr>
        <w:tc>
          <w:tcPr>
            <w:tcW w:w="341" w:type="pct"/>
            <w:shd w:val="clear" w:color="auto" w:fill="auto"/>
            <w:vAlign w:val="center"/>
          </w:tcPr>
          <w:p>
            <w:pPr>
              <w:pStyle w:val="64"/>
              <w:numPr>
                <w:ilvl w:val="0"/>
                <w:numId w:val="2"/>
              </w:numPr>
              <w:tabs>
                <w:tab w:val="clear" w:pos="0"/>
              </w:tabs>
              <w:adjustRightInd w:val="0"/>
              <w:snapToGrid w:val="0"/>
              <w:spacing w:before="93" w:beforeLines="30" w:after="93" w:afterLines="30"/>
              <w:ind w:left="0" w:leftChars="0" w:firstLine="170" w:firstLineChars="0"/>
              <w:jc w:val="both"/>
              <w:rPr>
                <w:rFonts w:hint="default" w:ascii="Times New Roman" w:hAnsi="Times New Roman" w:eastAsia="仿宋" w:cs="Times New Roman"/>
                <w:b/>
                <w:bCs/>
                <w:sz w:val="21"/>
                <w:szCs w:val="21"/>
              </w:rPr>
            </w:pPr>
          </w:p>
        </w:tc>
        <w:tc>
          <w:tcPr>
            <w:tcW w:w="705"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三乡镇</w:t>
            </w:r>
          </w:p>
        </w:tc>
        <w:tc>
          <w:tcPr>
            <w:tcW w:w="3953"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南部新城城市更新（“三旧”改造）古鹤-新圩片区项目</w:t>
            </w:r>
          </w:p>
        </w:tc>
      </w:tr>
      <w:tr>
        <w:tblPrEx>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CellMar>
            <w:top w:w="0" w:type="dxa"/>
            <w:left w:w="108" w:type="dxa"/>
            <w:bottom w:w="0" w:type="dxa"/>
            <w:right w:w="108" w:type="dxa"/>
          </w:tblCellMar>
        </w:tblPrEx>
        <w:trPr>
          <w:trHeight w:val="425" w:hRule="atLeast"/>
          <w:jc w:val="center"/>
        </w:trPr>
        <w:tc>
          <w:tcPr>
            <w:tcW w:w="341" w:type="pct"/>
            <w:shd w:val="clear" w:color="auto" w:fill="auto"/>
            <w:vAlign w:val="center"/>
          </w:tcPr>
          <w:p>
            <w:pPr>
              <w:pStyle w:val="64"/>
              <w:numPr>
                <w:ilvl w:val="0"/>
                <w:numId w:val="2"/>
              </w:numPr>
              <w:tabs>
                <w:tab w:val="clear" w:pos="0"/>
              </w:tabs>
              <w:adjustRightInd w:val="0"/>
              <w:snapToGrid w:val="0"/>
              <w:spacing w:before="93" w:beforeLines="30" w:after="93" w:afterLines="30"/>
              <w:ind w:left="0" w:leftChars="0" w:firstLine="170" w:firstLineChars="0"/>
              <w:jc w:val="both"/>
              <w:rPr>
                <w:rFonts w:hint="default" w:ascii="Times New Roman" w:hAnsi="Times New Roman" w:eastAsia="仿宋" w:cs="Times New Roman"/>
                <w:b/>
                <w:bCs/>
                <w:sz w:val="21"/>
                <w:szCs w:val="21"/>
              </w:rPr>
            </w:pPr>
          </w:p>
        </w:tc>
        <w:tc>
          <w:tcPr>
            <w:tcW w:w="705"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三乡镇</w:t>
            </w:r>
          </w:p>
        </w:tc>
        <w:tc>
          <w:tcPr>
            <w:tcW w:w="3953"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白石“大坑塘”工业提升改造项目</w:t>
            </w:r>
          </w:p>
        </w:tc>
      </w:tr>
      <w:tr>
        <w:tblPrEx>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CellMar>
            <w:top w:w="0" w:type="dxa"/>
            <w:left w:w="108" w:type="dxa"/>
            <w:bottom w:w="0" w:type="dxa"/>
            <w:right w:w="108" w:type="dxa"/>
          </w:tblCellMar>
        </w:tblPrEx>
        <w:trPr>
          <w:trHeight w:val="425" w:hRule="atLeast"/>
          <w:jc w:val="center"/>
        </w:trPr>
        <w:tc>
          <w:tcPr>
            <w:tcW w:w="341" w:type="pct"/>
            <w:shd w:val="clear" w:color="auto" w:fill="auto"/>
            <w:vAlign w:val="center"/>
          </w:tcPr>
          <w:p>
            <w:pPr>
              <w:pStyle w:val="64"/>
              <w:numPr>
                <w:ilvl w:val="0"/>
                <w:numId w:val="2"/>
              </w:numPr>
              <w:tabs>
                <w:tab w:val="clear" w:pos="0"/>
              </w:tabs>
              <w:adjustRightInd w:val="0"/>
              <w:snapToGrid w:val="0"/>
              <w:spacing w:before="93" w:beforeLines="30" w:after="93" w:afterLines="30"/>
              <w:ind w:left="0" w:leftChars="0" w:firstLine="170" w:firstLineChars="0"/>
              <w:jc w:val="both"/>
              <w:rPr>
                <w:rFonts w:hint="default" w:ascii="Times New Roman" w:hAnsi="Times New Roman" w:eastAsia="仿宋" w:cs="Times New Roman"/>
                <w:b/>
                <w:bCs/>
                <w:sz w:val="21"/>
                <w:szCs w:val="21"/>
              </w:rPr>
            </w:pPr>
          </w:p>
        </w:tc>
        <w:tc>
          <w:tcPr>
            <w:tcW w:w="705"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三乡镇</w:t>
            </w:r>
          </w:p>
        </w:tc>
        <w:tc>
          <w:tcPr>
            <w:tcW w:w="3953"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白石“麻子”改造项目</w:t>
            </w:r>
          </w:p>
        </w:tc>
      </w:tr>
      <w:tr>
        <w:tblPrEx>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CellMar>
            <w:top w:w="0" w:type="dxa"/>
            <w:left w:w="108" w:type="dxa"/>
            <w:bottom w:w="0" w:type="dxa"/>
            <w:right w:w="108" w:type="dxa"/>
          </w:tblCellMar>
        </w:tblPrEx>
        <w:trPr>
          <w:trHeight w:val="425" w:hRule="atLeast"/>
          <w:jc w:val="center"/>
        </w:trPr>
        <w:tc>
          <w:tcPr>
            <w:tcW w:w="341" w:type="pct"/>
            <w:shd w:val="clear" w:color="auto" w:fill="auto"/>
            <w:vAlign w:val="center"/>
          </w:tcPr>
          <w:p>
            <w:pPr>
              <w:pStyle w:val="64"/>
              <w:numPr>
                <w:ilvl w:val="0"/>
                <w:numId w:val="2"/>
              </w:numPr>
              <w:tabs>
                <w:tab w:val="clear" w:pos="0"/>
              </w:tabs>
              <w:adjustRightInd w:val="0"/>
              <w:snapToGrid w:val="0"/>
              <w:spacing w:before="93" w:beforeLines="30" w:after="93" w:afterLines="30"/>
              <w:ind w:left="0" w:leftChars="0" w:firstLine="170" w:firstLineChars="0"/>
              <w:jc w:val="both"/>
              <w:rPr>
                <w:rFonts w:hint="default" w:ascii="Times New Roman" w:hAnsi="Times New Roman" w:eastAsia="仿宋" w:cs="Times New Roman"/>
                <w:b/>
                <w:bCs/>
                <w:sz w:val="21"/>
                <w:szCs w:val="21"/>
              </w:rPr>
            </w:pPr>
          </w:p>
        </w:tc>
        <w:tc>
          <w:tcPr>
            <w:tcW w:w="705"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坦洲镇</w:t>
            </w:r>
          </w:p>
        </w:tc>
        <w:tc>
          <w:tcPr>
            <w:tcW w:w="3953"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坦南智造创意园</w:t>
            </w:r>
          </w:p>
        </w:tc>
      </w:tr>
      <w:tr>
        <w:tblPrEx>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CellMar>
            <w:top w:w="0" w:type="dxa"/>
            <w:left w:w="108" w:type="dxa"/>
            <w:bottom w:w="0" w:type="dxa"/>
            <w:right w:w="108" w:type="dxa"/>
          </w:tblCellMar>
        </w:tblPrEx>
        <w:trPr>
          <w:trHeight w:val="425" w:hRule="atLeast"/>
          <w:jc w:val="center"/>
        </w:trPr>
        <w:tc>
          <w:tcPr>
            <w:tcW w:w="341" w:type="pct"/>
            <w:shd w:val="clear" w:color="auto" w:fill="auto"/>
            <w:vAlign w:val="center"/>
          </w:tcPr>
          <w:p>
            <w:pPr>
              <w:pStyle w:val="64"/>
              <w:numPr>
                <w:ilvl w:val="0"/>
                <w:numId w:val="2"/>
              </w:numPr>
              <w:tabs>
                <w:tab w:val="clear" w:pos="0"/>
              </w:tabs>
              <w:adjustRightInd w:val="0"/>
              <w:snapToGrid w:val="0"/>
              <w:spacing w:before="93" w:beforeLines="30" w:after="93" w:afterLines="30"/>
              <w:ind w:left="0" w:leftChars="0" w:firstLine="170" w:firstLineChars="0"/>
              <w:jc w:val="both"/>
              <w:rPr>
                <w:rFonts w:hint="default" w:ascii="Times New Roman" w:hAnsi="Times New Roman" w:eastAsia="仿宋" w:cs="Times New Roman"/>
                <w:b/>
                <w:bCs/>
                <w:sz w:val="21"/>
                <w:szCs w:val="21"/>
              </w:rPr>
            </w:pPr>
          </w:p>
        </w:tc>
        <w:tc>
          <w:tcPr>
            <w:tcW w:w="705"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坦洲镇</w:t>
            </w:r>
          </w:p>
        </w:tc>
        <w:tc>
          <w:tcPr>
            <w:tcW w:w="3953"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万宝龙门</w:t>
            </w:r>
          </w:p>
        </w:tc>
      </w:tr>
      <w:tr>
        <w:tblPrEx>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CellMar>
            <w:top w:w="0" w:type="dxa"/>
            <w:left w:w="108" w:type="dxa"/>
            <w:bottom w:w="0" w:type="dxa"/>
            <w:right w:w="108" w:type="dxa"/>
          </w:tblCellMar>
        </w:tblPrEx>
        <w:trPr>
          <w:trHeight w:val="425" w:hRule="atLeast"/>
          <w:jc w:val="center"/>
        </w:trPr>
        <w:tc>
          <w:tcPr>
            <w:tcW w:w="341" w:type="pct"/>
            <w:shd w:val="clear" w:color="auto" w:fill="auto"/>
            <w:vAlign w:val="center"/>
          </w:tcPr>
          <w:p>
            <w:pPr>
              <w:pStyle w:val="64"/>
              <w:numPr>
                <w:ilvl w:val="0"/>
                <w:numId w:val="2"/>
              </w:numPr>
              <w:tabs>
                <w:tab w:val="clear" w:pos="0"/>
              </w:tabs>
              <w:adjustRightInd w:val="0"/>
              <w:snapToGrid w:val="0"/>
              <w:spacing w:before="93" w:beforeLines="30" w:after="93" w:afterLines="30"/>
              <w:ind w:left="0" w:leftChars="0" w:firstLine="170" w:firstLineChars="0"/>
              <w:jc w:val="both"/>
              <w:rPr>
                <w:rFonts w:hint="default" w:ascii="Times New Roman" w:hAnsi="Times New Roman" w:eastAsia="仿宋" w:cs="Times New Roman"/>
                <w:b/>
                <w:bCs/>
                <w:sz w:val="21"/>
                <w:szCs w:val="21"/>
              </w:rPr>
            </w:pPr>
          </w:p>
        </w:tc>
        <w:tc>
          <w:tcPr>
            <w:tcW w:w="705"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坦洲镇</w:t>
            </w:r>
          </w:p>
        </w:tc>
        <w:tc>
          <w:tcPr>
            <w:tcW w:w="3953"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中山圣马丁电子元件有限公司“工改工”宗地项目</w:t>
            </w:r>
          </w:p>
        </w:tc>
      </w:tr>
      <w:tr>
        <w:tblPrEx>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CellMar>
            <w:top w:w="0" w:type="dxa"/>
            <w:left w:w="108" w:type="dxa"/>
            <w:bottom w:w="0" w:type="dxa"/>
            <w:right w:w="108" w:type="dxa"/>
          </w:tblCellMar>
        </w:tblPrEx>
        <w:trPr>
          <w:trHeight w:val="425" w:hRule="atLeast"/>
          <w:jc w:val="center"/>
        </w:trPr>
        <w:tc>
          <w:tcPr>
            <w:tcW w:w="341" w:type="pct"/>
            <w:shd w:val="clear" w:color="auto" w:fill="auto"/>
            <w:vAlign w:val="center"/>
          </w:tcPr>
          <w:p>
            <w:pPr>
              <w:pStyle w:val="64"/>
              <w:numPr>
                <w:ilvl w:val="0"/>
                <w:numId w:val="2"/>
              </w:numPr>
              <w:tabs>
                <w:tab w:val="clear" w:pos="0"/>
              </w:tabs>
              <w:adjustRightInd w:val="0"/>
              <w:snapToGrid w:val="0"/>
              <w:spacing w:before="93" w:beforeLines="30" w:after="93" w:afterLines="30"/>
              <w:ind w:left="0" w:leftChars="0" w:firstLine="170" w:firstLineChars="0"/>
              <w:jc w:val="both"/>
              <w:rPr>
                <w:rFonts w:hint="default" w:ascii="Times New Roman" w:hAnsi="Times New Roman" w:eastAsia="仿宋" w:cs="Times New Roman"/>
                <w:b/>
                <w:bCs/>
                <w:sz w:val="21"/>
                <w:szCs w:val="21"/>
              </w:rPr>
            </w:pPr>
          </w:p>
        </w:tc>
        <w:tc>
          <w:tcPr>
            <w:tcW w:w="705"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坦洲镇</w:t>
            </w:r>
          </w:p>
        </w:tc>
        <w:tc>
          <w:tcPr>
            <w:tcW w:w="3953"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庆琏金属制品二厂</w:t>
            </w:r>
          </w:p>
        </w:tc>
      </w:tr>
      <w:tr>
        <w:tblPrEx>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CellMar>
            <w:top w:w="0" w:type="dxa"/>
            <w:left w:w="108" w:type="dxa"/>
            <w:bottom w:w="0" w:type="dxa"/>
            <w:right w:w="108" w:type="dxa"/>
          </w:tblCellMar>
        </w:tblPrEx>
        <w:trPr>
          <w:trHeight w:val="425" w:hRule="atLeast"/>
          <w:jc w:val="center"/>
        </w:trPr>
        <w:tc>
          <w:tcPr>
            <w:tcW w:w="341" w:type="pct"/>
            <w:shd w:val="clear" w:color="auto" w:fill="auto"/>
            <w:vAlign w:val="center"/>
          </w:tcPr>
          <w:p>
            <w:pPr>
              <w:pStyle w:val="64"/>
              <w:numPr>
                <w:ilvl w:val="0"/>
                <w:numId w:val="2"/>
              </w:numPr>
              <w:tabs>
                <w:tab w:val="clear" w:pos="0"/>
              </w:tabs>
              <w:adjustRightInd w:val="0"/>
              <w:snapToGrid w:val="0"/>
              <w:spacing w:before="93" w:beforeLines="30" w:after="93" w:afterLines="30"/>
              <w:ind w:left="0" w:leftChars="0" w:firstLine="170" w:firstLineChars="0"/>
              <w:jc w:val="both"/>
              <w:rPr>
                <w:rFonts w:hint="default" w:ascii="Times New Roman" w:hAnsi="Times New Roman" w:eastAsia="仿宋" w:cs="Times New Roman"/>
                <w:b/>
                <w:bCs/>
                <w:sz w:val="21"/>
                <w:szCs w:val="21"/>
              </w:rPr>
            </w:pPr>
          </w:p>
        </w:tc>
        <w:tc>
          <w:tcPr>
            <w:tcW w:w="705"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坦洲镇</w:t>
            </w:r>
          </w:p>
        </w:tc>
        <w:tc>
          <w:tcPr>
            <w:tcW w:w="3953"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信创设备产业园更名为新前进村现代生态农业产业园</w:t>
            </w:r>
          </w:p>
        </w:tc>
      </w:tr>
      <w:tr>
        <w:tblPrEx>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CellMar>
            <w:top w:w="0" w:type="dxa"/>
            <w:left w:w="108" w:type="dxa"/>
            <w:bottom w:w="0" w:type="dxa"/>
            <w:right w:w="108" w:type="dxa"/>
          </w:tblCellMar>
        </w:tblPrEx>
        <w:trPr>
          <w:trHeight w:val="425" w:hRule="atLeast"/>
          <w:jc w:val="center"/>
        </w:trPr>
        <w:tc>
          <w:tcPr>
            <w:tcW w:w="341" w:type="pct"/>
            <w:shd w:val="clear" w:color="auto" w:fill="auto"/>
            <w:vAlign w:val="center"/>
          </w:tcPr>
          <w:p>
            <w:pPr>
              <w:pStyle w:val="64"/>
              <w:numPr>
                <w:ilvl w:val="0"/>
                <w:numId w:val="2"/>
              </w:numPr>
              <w:tabs>
                <w:tab w:val="clear" w:pos="0"/>
              </w:tabs>
              <w:adjustRightInd w:val="0"/>
              <w:snapToGrid w:val="0"/>
              <w:spacing w:before="93" w:beforeLines="30" w:after="93" w:afterLines="30"/>
              <w:ind w:left="0" w:leftChars="0" w:firstLine="170" w:firstLineChars="0"/>
              <w:jc w:val="both"/>
              <w:rPr>
                <w:rFonts w:hint="default" w:ascii="Times New Roman" w:hAnsi="Times New Roman" w:eastAsia="仿宋" w:cs="Times New Roman"/>
                <w:b/>
                <w:bCs/>
                <w:sz w:val="21"/>
                <w:szCs w:val="21"/>
              </w:rPr>
            </w:pPr>
          </w:p>
        </w:tc>
        <w:tc>
          <w:tcPr>
            <w:tcW w:w="705"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坦洲镇</w:t>
            </w:r>
          </w:p>
        </w:tc>
        <w:tc>
          <w:tcPr>
            <w:tcW w:w="3953"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现代生态农业产业园更名为群联村文创智造城</w:t>
            </w:r>
          </w:p>
        </w:tc>
      </w:tr>
      <w:tr>
        <w:tblPrEx>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CellMar>
            <w:top w:w="0" w:type="dxa"/>
            <w:left w:w="108" w:type="dxa"/>
            <w:bottom w:w="0" w:type="dxa"/>
            <w:right w:w="108" w:type="dxa"/>
          </w:tblCellMar>
        </w:tblPrEx>
        <w:trPr>
          <w:trHeight w:val="425" w:hRule="atLeast"/>
          <w:jc w:val="center"/>
        </w:trPr>
        <w:tc>
          <w:tcPr>
            <w:tcW w:w="341" w:type="pct"/>
            <w:shd w:val="clear" w:color="auto" w:fill="auto"/>
            <w:vAlign w:val="center"/>
          </w:tcPr>
          <w:p>
            <w:pPr>
              <w:pStyle w:val="64"/>
              <w:numPr>
                <w:ilvl w:val="0"/>
                <w:numId w:val="2"/>
              </w:numPr>
              <w:tabs>
                <w:tab w:val="clear" w:pos="0"/>
              </w:tabs>
              <w:adjustRightInd w:val="0"/>
              <w:snapToGrid w:val="0"/>
              <w:spacing w:before="93" w:beforeLines="30" w:after="93" w:afterLines="30"/>
              <w:ind w:left="0" w:leftChars="0" w:firstLine="170" w:firstLineChars="0"/>
              <w:jc w:val="both"/>
              <w:rPr>
                <w:rFonts w:hint="default" w:ascii="Times New Roman" w:hAnsi="Times New Roman" w:eastAsia="仿宋" w:cs="Times New Roman"/>
                <w:b/>
                <w:bCs/>
                <w:sz w:val="21"/>
                <w:szCs w:val="21"/>
              </w:rPr>
            </w:pPr>
          </w:p>
        </w:tc>
        <w:tc>
          <w:tcPr>
            <w:tcW w:w="705"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坦洲镇</w:t>
            </w:r>
          </w:p>
        </w:tc>
        <w:tc>
          <w:tcPr>
            <w:tcW w:w="3953"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精密智能制造产业园更名为永二村精密智能制造产业园</w:t>
            </w:r>
          </w:p>
        </w:tc>
      </w:tr>
      <w:tr>
        <w:tblPrEx>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CellMar>
            <w:top w:w="0" w:type="dxa"/>
            <w:left w:w="108" w:type="dxa"/>
            <w:bottom w:w="0" w:type="dxa"/>
            <w:right w:w="108" w:type="dxa"/>
          </w:tblCellMar>
        </w:tblPrEx>
        <w:trPr>
          <w:trHeight w:val="425" w:hRule="atLeast"/>
          <w:jc w:val="center"/>
        </w:trPr>
        <w:tc>
          <w:tcPr>
            <w:tcW w:w="341" w:type="pct"/>
            <w:shd w:val="clear" w:color="auto" w:fill="auto"/>
            <w:vAlign w:val="center"/>
          </w:tcPr>
          <w:p>
            <w:pPr>
              <w:pStyle w:val="64"/>
              <w:numPr>
                <w:ilvl w:val="0"/>
                <w:numId w:val="2"/>
              </w:numPr>
              <w:tabs>
                <w:tab w:val="clear" w:pos="0"/>
              </w:tabs>
              <w:adjustRightInd w:val="0"/>
              <w:snapToGrid w:val="0"/>
              <w:spacing w:before="93" w:beforeLines="30" w:after="93" w:afterLines="30"/>
              <w:ind w:left="0" w:leftChars="0" w:firstLine="170" w:firstLineChars="0"/>
              <w:jc w:val="both"/>
              <w:rPr>
                <w:rFonts w:hint="default" w:ascii="Times New Roman" w:hAnsi="Times New Roman" w:eastAsia="仿宋" w:cs="Times New Roman"/>
                <w:b/>
                <w:bCs/>
                <w:sz w:val="21"/>
                <w:szCs w:val="21"/>
              </w:rPr>
            </w:pPr>
          </w:p>
        </w:tc>
        <w:tc>
          <w:tcPr>
            <w:tcW w:w="705"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坦洲镇</w:t>
            </w:r>
          </w:p>
        </w:tc>
        <w:tc>
          <w:tcPr>
            <w:tcW w:w="3953"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精工制造工业园</w:t>
            </w:r>
          </w:p>
        </w:tc>
      </w:tr>
      <w:tr>
        <w:tblPrEx>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CellMar>
            <w:top w:w="0" w:type="dxa"/>
            <w:left w:w="108" w:type="dxa"/>
            <w:bottom w:w="0" w:type="dxa"/>
            <w:right w:w="108" w:type="dxa"/>
          </w:tblCellMar>
        </w:tblPrEx>
        <w:trPr>
          <w:trHeight w:val="425" w:hRule="atLeast"/>
          <w:jc w:val="center"/>
        </w:trPr>
        <w:tc>
          <w:tcPr>
            <w:tcW w:w="341" w:type="pct"/>
            <w:shd w:val="clear" w:color="auto" w:fill="auto"/>
            <w:vAlign w:val="center"/>
          </w:tcPr>
          <w:p>
            <w:pPr>
              <w:pStyle w:val="64"/>
              <w:numPr>
                <w:ilvl w:val="0"/>
                <w:numId w:val="2"/>
              </w:numPr>
              <w:tabs>
                <w:tab w:val="clear" w:pos="0"/>
              </w:tabs>
              <w:adjustRightInd w:val="0"/>
              <w:snapToGrid w:val="0"/>
              <w:spacing w:before="93" w:beforeLines="30" w:after="93" w:afterLines="30"/>
              <w:ind w:left="0" w:leftChars="0" w:firstLine="170" w:firstLineChars="0"/>
              <w:jc w:val="both"/>
              <w:rPr>
                <w:rFonts w:hint="default" w:ascii="Times New Roman" w:hAnsi="Times New Roman" w:eastAsia="仿宋" w:cs="Times New Roman"/>
                <w:b/>
                <w:bCs/>
                <w:sz w:val="21"/>
                <w:szCs w:val="21"/>
              </w:rPr>
            </w:pPr>
          </w:p>
        </w:tc>
        <w:tc>
          <w:tcPr>
            <w:tcW w:w="705"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板芙镇</w:t>
            </w:r>
          </w:p>
        </w:tc>
        <w:tc>
          <w:tcPr>
            <w:tcW w:w="3953"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金钟219地块（备选）</w:t>
            </w:r>
          </w:p>
        </w:tc>
      </w:tr>
      <w:tr>
        <w:tblPrEx>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CellMar>
            <w:top w:w="0" w:type="dxa"/>
            <w:left w:w="108" w:type="dxa"/>
            <w:bottom w:w="0" w:type="dxa"/>
            <w:right w:w="108" w:type="dxa"/>
          </w:tblCellMar>
        </w:tblPrEx>
        <w:trPr>
          <w:trHeight w:val="425" w:hRule="atLeast"/>
          <w:jc w:val="center"/>
        </w:trPr>
        <w:tc>
          <w:tcPr>
            <w:tcW w:w="341" w:type="pct"/>
            <w:shd w:val="clear" w:color="auto" w:fill="auto"/>
            <w:vAlign w:val="center"/>
          </w:tcPr>
          <w:p>
            <w:pPr>
              <w:pStyle w:val="64"/>
              <w:numPr>
                <w:ilvl w:val="0"/>
                <w:numId w:val="2"/>
              </w:numPr>
              <w:tabs>
                <w:tab w:val="clear" w:pos="0"/>
              </w:tabs>
              <w:adjustRightInd w:val="0"/>
              <w:snapToGrid w:val="0"/>
              <w:spacing w:before="93" w:beforeLines="30" w:after="93" w:afterLines="30"/>
              <w:ind w:left="0" w:leftChars="0" w:firstLine="170" w:firstLineChars="0"/>
              <w:jc w:val="both"/>
              <w:rPr>
                <w:rFonts w:hint="default" w:ascii="Times New Roman" w:hAnsi="Times New Roman" w:eastAsia="仿宋" w:cs="Times New Roman"/>
                <w:b/>
                <w:bCs/>
                <w:sz w:val="21"/>
                <w:szCs w:val="21"/>
              </w:rPr>
            </w:pPr>
          </w:p>
        </w:tc>
        <w:tc>
          <w:tcPr>
            <w:tcW w:w="705"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板芙镇</w:t>
            </w:r>
          </w:p>
        </w:tc>
        <w:tc>
          <w:tcPr>
            <w:tcW w:w="3953"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嘉冠改造项目</w:t>
            </w:r>
          </w:p>
        </w:tc>
      </w:tr>
      <w:tr>
        <w:tblPrEx>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CellMar>
            <w:top w:w="0" w:type="dxa"/>
            <w:left w:w="108" w:type="dxa"/>
            <w:bottom w:w="0" w:type="dxa"/>
            <w:right w:w="108" w:type="dxa"/>
          </w:tblCellMar>
        </w:tblPrEx>
        <w:trPr>
          <w:trHeight w:val="425" w:hRule="atLeast"/>
          <w:jc w:val="center"/>
        </w:trPr>
        <w:tc>
          <w:tcPr>
            <w:tcW w:w="341" w:type="pct"/>
            <w:shd w:val="clear" w:color="auto" w:fill="auto"/>
            <w:vAlign w:val="center"/>
          </w:tcPr>
          <w:p>
            <w:pPr>
              <w:pStyle w:val="64"/>
              <w:numPr>
                <w:ilvl w:val="0"/>
                <w:numId w:val="2"/>
              </w:numPr>
              <w:tabs>
                <w:tab w:val="clear" w:pos="0"/>
              </w:tabs>
              <w:adjustRightInd w:val="0"/>
              <w:snapToGrid w:val="0"/>
              <w:spacing w:before="93" w:beforeLines="30" w:after="93" w:afterLines="30"/>
              <w:ind w:left="0" w:leftChars="0" w:firstLine="170" w:firstLineChars="0"/>
              <w:jc w:val="both"/>
              <w:rPr>
                <w:rFonts w:hint="default" w:ascii="Times New Roman" w:hAnsi="Times New Roman" w:eastAsia="仿宋" w:cs="Times New Roman"/>
                <w:b/>
                <w:bCs/>
                <w:sz w:val="21"/>
                <w:szCs w:val="21"/>
              </w:rPr>
            </w:pPr>
          </w:p>
        </w:tc>
        <w:tc>
          <w:tcPr>
            <w:tcW w:w="705"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神湾镇</w:t>
            </w:r>
          </w:p>
        </w:tc>
        <w:tc>
          <w:tcPr>
            <w:tcW w:w="3953"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外沙科创园首期启动区</w:t>
            </w:r>
          </w:p>
        </w:tc>
      </w:tr>
      <w:tr>
        <w:tblPrEx>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CellMar>
            <w:top w:w="0" w:type="dxa"/>
            <w:left w:w="108" w:type="dxa"/>
            <w:bottom w:w="0" w:type="dxa"/>
            <w:right w:w="108" w:type="dxa"/>
          </w:tblCellMar>
        </w:tblPrEx>
        <w:trPr>
          <w:trHeight w:val="425" w:hRule="atLeast"/>
          <w:jc w:val="center"/>
        </w:trPr>
        <w:tc>
          <w:tcPr>
            <w:tcW w:w="341" w:type="pct"/>
            <w:shd w:val="clear" w:color="auto" w:fill="auto"/>
            <w:vAlign w:val="center"/>
          </w:tcPr>
          <w:p>
            <w:pPr>
              <w:pStyle w:val="64"/>
              <w:numPr>
                <w:ilvl w:val="0"/>
                <w:numId w:val="2"/>
              </w:numPr>
              <w:tabs>
                <w:tab w:val="clear" w:pos="0"/>
              </w:tabs>
              <w:adjustRightInd w:val="0"/>
              <w:snapToGrid w:val="0"/>
              <w:spacing w:before="93" w:beforeLines="30" w:after="93" w:afterLines="30"/>
              <w:ind w:left="0" w:leftChars="0" w:firstLine="170" w:firstLineChars="0"/>
              <w:jc w:val="both"/>
              <w:rPr>
                <w:rFonts w:hint="default" w:ascii="Times New Roman" w:hAnsi="Times New Roman" w:eastAsia="仿宋" w:cs="Times New Roman"/>
                <w:b/>
                <w:bCs/>
                <w:sz w:val="21"/>
                <w:szCs w:val="21"/>
              </w:rPr>
            </w:pPr>
          </w:p>
        </w:tc>
        <w:tc>
          <w:tcPr>
            <w:tcW w:w="705"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神湾镇</w:t>
            </w:r>
          </w:p>
        </w:tc>
        <w:tc>
          <w:tcPr>
            <w:tcW w:w="3953"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神溪工业区首期启动区</w:t>
            </w:r>
          </w:p>
        </w:tc>
      </w:tr>
      <w:tr>
        <w:tblPrEx>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CellMar>
            <w:top w:w="0" w:type="dxa"/>
            <w:left w:w="108" w:type="dxa"/>
            <w:bottom w:w="0" w:type="dxa"/>
            <w:right w:w="108" w:type="dxa"/>
          </w:tblCellMar>
        </w:tblPrEx>
        <w:trPr>
          <w:trHeight w:val="425" w:hRule="atLeast"/>
          <w:jc w:val="center"/>
        </w:trPr>
        <w:tc>
          <w:tcPr>
            <w:tcW w:w="341" w:type="pct"/>
            <w:shd w:val="clear" w:color="auto" w:fill="auto"/>
            <w:vAlign w:val="center"/>
          </w:tcPr>
          <w:p>
            <w:pPr>
              <w:pStyle w:val="64"/>
              <w:numPr>
                <w:ilvl w:val="0"/>
                <w:numId w:val="2"/>
              </w:numPr>
              <w:tabs>
                <w:tab w:val="clear" w:pos="0"/>
              </w:tabs>
              <w:adjustRightInd w:val="0"/>
              <w:snapToGrid w:val="0"/>
              <w:spacing w:before="93" w:beforeLines="30" w:after="93" w:afterLines="30"/>
              <w:ind w:left="0" w:leftChars="0" w:firstLine="170" w:firstLineChars="0"/>
              <w:jc w:val="both"/>
              <w:rPr>
                <w:rFonts w:hint="default" w:ascii="Times New Roman" w:hAnsi="Times New Roman" w:eastAsia="仿宋" w:cs="Times New Roman"/>
                <w:b/>
                <w:bCs/>
                <w:sz w:val="21"/>
                <w:szCs w:val="21"/>
              </w:rPr>
            </w:pPr>
          </w:p>
        </w:tc>
        <w:tc>
          <w:tcPr>
            <w:tcW w:w="705"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神湾镇</w:t>
            </w:r>
          </w:p>
        </w:tc>
        <w:tc>
          <w:tcPr>
            <w:tcW w:w="3953" w:type="pct"/>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外沙经济联合社工业集聚区</w:t>
            </w:r>
          </w:p>
        </w:tc>
      </w:tr>
      <w:tr>
        <w:tblPrEx>
          <w:tblBorders>
            <w:top w:val="single" w:color="666666" w:sz="4" w:space="0"/>
            <w:left w:val="none" w:color="auto" w:sz="0" w:space="0"/>
            <w:bottom w:val="single" w:color="666666" w:sz="4" w:space="0"/>
            <w:right w:val="none" w:color="auto" w:sz="0" w:space="0"/>
            <w:insideH w:val="single" w:color="666666" w:sz="4" w:space="0"/>
            <w:insideV w:val="none" w:color="auto" w:sz="0" w:space="0"/>
          </w:tblBorders>
          <w:tblCellMar>
            <w:top w:w="0" w:type="dxa"/>
            <w:left w:w="108" w:type="dxa"/>
            <w:bottom w:w="0" w:type="dxa"/>
            <w:right w:w="108" w:type="dxa"/>
          </w:tblCellMar>
        </w:tblPrEx>
        <w:trPr>
          <w:trHeight w:val="466" w:hRule="atLeast"/>
          <w:jc w:val="center"/>
        </w:trPr>
        <w:tc>
          <w:tcPr>
            <w:tcW w:w="341" w:type="pct"/>
            <w:tcBorders>
              <w:bottom w:val="single" w:color="auto" w:sz="18" w:space="0"/>
            </w:tcBorders>
            <w:shd w:val="clear" w:color="auto" w:fill="auto"/>
            <w:vAlign w:val="center"/>
          </w:tcPr>
          <w:p>
            <w:pPr>
              <w:pStyle w:val="64"/>
              <w:numPr>
                <w:ilvl w:val="0"/>
                <w:numId w:val="2"/>
              </w:numPr>
              <w:tabs>
                <w:tab w:val="clear" w:pos="0"/>
              </w:tabs>
              <w:adjustRightInd w:val="0"/>
              <w:snapToGrid w:val="0"/>
              <w:spacing w:before="93" w:beforeLines="30" w:after="93" w:afterLines="30"/>
              <w:ind w:left="0" w:leftChars="0" w:firstLine="170" w:firstLineChars="0"/>
              <w:jc w:val="both"/>
              <w:rPr>
                <w:rFonts w:hint="default" w:ascii="Times New Roman" w:hAnsi="Times New Roman" w:eastAsia="仿宋" w:cs="Times New Roman"/>
                <w:b/>
                <w:bCs/>
                <w:sz w:val="21"/>
                <w:szCs w:val="21"/>
              </w:rPr>
            </w:pPr>
          </w:p>
        </w:tc>
        <w:tc>
          <w:tcPr>
            <w:tcW w:w="705" w:type="pct"/>
            <w:tcBorders>
              <w:bottom w:val="single" w:color="auto" w:sz="18" w:space="0"/>
            </w:tcBorders>
            <w:shd w:val="clear" w:color="auto" w:fill="auto"/>
            <w:vAlign w:val="center"/>
          </w:tcPr>
          <w:p>
            <w:pPr>
              <w:widowControl/>
              <w:jc w:val="center"/>
              <w:textAlignment w:val="center"/>
              <w:rPr>
                <w:rFonts w:hint="default" w:ascii="Times New Roman" w:hAnsi="Times New Roman" w:eastAsia="仿宋" w:cs="Times New Roman"/>
                <w:sz w:val="21"/>
                <w:szCs w:val="21"/>
              </w:rPr>
            </w:pPr>
            <w:r>
              <w:rPr>
                <w:rFonts w:hint="default" w:ascii="Times New Roman" w:hAnsi="Times New Roman" w:eastAsia="仿宋" w:cs="Times New Roman"/>
                <w:kern w:val="0"/>
                <w:sz w:val="21"/>
                <w:szCs w:val="21"/>
              </w:rPr>
              <w:t>神湾镇</w:t>
            </w:r>
          </w:p>
        </w:tc>
        <w:tc>
          <w:tcPr>
            <w:tcW w:w="3953" w:type="pct"/>
            <w:tcBorders>
              <w:bottom w:val="single" w:color="auto" w:sz="18" w:space="0"/>
            </w:tcBorders>
            <w:shd w:val="clear" w:color="auto" w:fill="auto"/>
            <w:vAlign w:val="center"/>
          </w:tcPr>
          <w:p>
            <w:pPr>
              <w:widowControl/>
              <w:jc w:val="center"/>
              <w:textAlignment w:val="center"/>
              <w:rPr>
                <w:rFonts w:hint="default"/>
              </w:rPr>
            </w:pPr>
            <w:r>
              <w:rPr>
                <w:rFonts w:hint="default" w:ascii="Times New Roman" w:hAnsi="Times New Roman" w:eastAsia="仿宋" w:cs="Times New Roman"/>
                <w:kern w:val="0"/>
                <w:sz w:val="21"/>
                <w:szCs w:val="21"/>
              </w:rPr>
              <w:t>福懋兴业</w:t>
            </w:r>
          </w:p>
        </w:tc>
      </w:tr>
      <w:bookmarkEnd w:id="114"/>
    </w:tbl>
    <w:p/>
    <w:sectPr>
      <w:headerReference r:id="rId8" w:type="default"/>
      <w:footerReference r:id="rId9" w:type="default"/>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Gulim">
    <w:panose1 w:val="020B0600000101010101"/>
    <w:charset w:val="81"/>
    <w:family w:val="swiss"/>
    <w:pitch w:val="default"/>
    <w:sig w:usb0="B00002AF" w:usb1="69D77CFB" w:usb2="00000030" w:usb3="00000000" w:csb0="4008009F" w:csb1="DFD7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p>
  <w:p>
    <w:pPr>
      <w:pStyle w:val="2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spacing w:before="72" w:after="7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7</w:t>
    </w:r>
    <w:r>
      <w:rPr>
        <w:sz w:val="21"/>
        <w:szCs w:val="2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p>
  <w:p>
    <w:pPr>
      <w:pStyle w:val="2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single" w:color="auto" w:sz="4" w:space="0"/>
      </w:pBdr>
      <w:ind w:firstLine="0" w:firstLineChars="0"/>
      <w:jc w:val="left"/>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 xml:space="preserve">中山市绿色建筑发展专项规划（2022-2035）                                     文本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1"/>
      </w:pBdr>
      <w:spacing w:before="72" w:after="7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single" w:color="auto" w:sz="4" w:space="0"/>
      </w:pBdr>
      <w:ind w:firstLine="0" w:firstLineChars="0"/>
      <w:jc w:val="left"/>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 xml:space="preserve">中山市绿色建筑发展专项规划（2022-2035）                                    文本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decimal"/>
      <w:suff w:val="nothing"/>
      <w:lvlText w:val="%1"/>
      <w:lvlJc w:val="left"/>
      <w:pPr>
        <w:tabs>
          <w:tab w:val="left" w:pos="0"/>
        </w:tabs>
        <w:ind w:left="0" w:firstLine="170"/>
      </w:pPr>
      <w:rPr>
        <w:rFonts w:hint="default" w:ascii="宋体" w:hAnsi="宋体" w:eastAsia="宋体" w:cs="宋体"/>
      </w:rPr>
    </w:lvl>
  </w:abstractNum>
  <w:abstractNum w:abstractNumId="1">
    <w:nsid w:val="00000001"/>
    <w:multiLevelType w:val="multilevel"/>
    <w:tmpl w:val="00000001"/>
    <w:lvl w:ilvl="0" w:tentative="0">
      <w:start w:val="1"/>
      <w:numFmt w:val="decimal"/>
      <w:pStyle w:val="283"/>
      <w:lvlText w:val="%1"/>
      <w:lvlJc w:val="left"/>
      <w:pPr>
        <w:tabs>
          <w:tab w:val="left" w:pos="432"/>
        </w:tabs>
        <w:ind w:left="432" w:hanging="432"/>
      </w:pPr>
      <w:rPr>
        <w:rFonts w:hint="eastAsia"/>
      </w:rPr>
    </w:lvl>
    <w:lvl w:ilvl="1" w:tentative="0">
      <w:start w:val="1"/>
      <w:numFmt w:val="decimal"/>
      <w:suff w:val="space"/>
      <w:lvlText w:val="%1.%2"/>
      <w:lvlJc w:val="left"/>
      <w:pPr>
        <w:ind w:left="4122" w:hanging="576"/>
      </w:pPr>
      <w:rPr>
        <w:rFonts w:hint="eastAsia"/>
      </w:rPr>
    </w:lvl>
    <w:lvl w:ilvl="2" w:tentative="0">
      <w:start w:val="1"/>
      <w:numFmt w:val="decimal"/>
      <w:suff w:val="space"/>
      <w:lvlText w:val="%1.%2.%3"/>
      <w:lvlJc w:val="left"/>
      <w:pPr>
        <w:ind w:left="720" w:hanging="720"/>
      </w:pPr>
      <w:rPr>
        <w:rFonts w:hint="eastAsia"/>
      </w:rPr>
    </w:lvl>
    <w:lvl w:ilvl="3" w:tentative="0">
      <w:start w:val="1"/>
      <w:numFmt w:val="decimal"/>
      <w:suff w:val="space"/>
      <w:lvlText w:val="%1.%2.%3.%4"/>
      <w:lvlJc w:val="left"/>
      <w:pPr>
        <w:ind w:left="864" w:hanging="864"/>
      </w:pPr>
      <w:rPr>
        <w:rFonts w:hint="eastAsia"/>
      </w:rPr>
    </w:lvl>
    <w:lvl w:ilvl="4" w:tentative="0">
      <w:start w:val="1"/>
      <w:numFmt w:val="decimal"/>
      <w:lvlText w:val="%1.%2.%3.%4.%5"/>
      <w:lvlJc w:val="left"/>
      <w:pPr>
        <w:tabs>
          <w:tab w:val="left" w:pos="1080"/>
        </w:tabs>
        <w:ind w:left="1008" w:hanging="1008"/>
      </w:pPr>
      <w:rPr>
        <w:rFonts w:hint="eastAsia"/>
      </w:rPr>
    </w:lvl>
    <w:lvl w:ilvl="5" w:tentative="0">
      <w:start w:val="1"/>
      <w:numFmt w:val="decimal"/>
      <w:lvlText w:val="%1.%2.%3.%4.%5.%6"/>
      <w:lvlJc w:val="left"/>
      <w:pPr>
        <w:tabs>
          <w:tab w:val="left" w:pos="1800"/>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pStyle w:val="281"/>
      <w:suff w:val="space"/>
      <w:lvlText w:val="表%1.%9"/>
      <w:lvlJc w:val="left"/>
      <w:pPr>
        <w:ind w:left="6903"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hideSpellingErrors/>
  <w:trackRevisions w:val="1"/>
  <w:documentProtection w:enforcement="0"/>
  <w:defaultTabStop w:val="420"/>
  <w:drawingGridHorizontalSpacing w:val="107"/>
  <w:drawingGridVerticalSpacing w:val="156"/>
  <w:displayHorizontalDrawingGridEvery w:val="2"/>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Y1NTU5Nzk5ZmYzMDhiNWJmODE4ZGY2NDM0NjdlZjQifQ=="/>
  </w:docVars>
  <w:rsids>
    <w:rsidRoot w:val="00000000"/>
    <w:rsid w:val="38264E59"/>
    <w:rsid w:val="4BF3409D"/>
    <w:rsid w:val="4E147215"/>
    <w:rsid w:val="52A53668"/>
    <w:rsid w:val="72E37A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9" w:semiHidden="0" w:name="heading 5"/>
    <w:lsdException w:qFormat="1" w:unhideWhenUsed="0" w:uiPriority="9"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35" w:semiHidden="0" w:name="caption"/>
    <w:lsdException w:qFormat="1" w:unhideWhenUsed="0" w:uiPriority="99"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4">
    <w:name w:val="heading 1"/>
    <w:basedOn w:val="1"/>
    <w:next w:val="1"/>
    <w:link w:val="55"/>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56"/>
    <w:qFormat/>
    <w:uiPriority w:val="9"/>
    <w:pPr>
      <w:keepNext/>
      <w:keepLines/>
      <w:spacing w:before="260" w:after="260" w:line="416" w:lineRule="auto"/>
      <w:outlineLvl w:val="1"/>
    </w:pPr>
    <w:rPr>
      <w:rFonts w:ascii="Cambria" w:hAnsi="Cambria" w:eastAsia="宋体" w:cs="宋体"/>
      <w:b/>
      <w:bCs/>
      <w:sz w:val="32"/>
      <w:szCs w:val="32"/>
    </w:rPr>
  </w:style>
  <w:style w:type="paragraph" w:styleId="6">
    <w:name w:val="heading 3"/>
    <w:basedOn w:val="1"/>
    <w:next w:val="1"/>
    <w:link w:val="57"/>
    <w:qFormat/>
    <w:uiPriority w:val="9"/>
    <w:pPr>
      <w:keepNext/>
      <w:keepLines/>
      <w:spacing w:before="260" w:after="260" w:line="416" w:lineRule="auto"/>
      <w:outlineLvl w:val="2"/>
    </w:pPr>
    <w:rPr>
      <w:b/>
      <w:bCs/>
      <w:sz w:val="32"/>
      <w:szCs w:val="32"/>
    </w:rPr>
  </w:style>
  <w:style w:type="paragraph" w:styleId="7">
    <w:name w:val="heading 4"/>
    <w:basedOn w:val="1"/>
    <w:next w:val="1"/>
    <w:link w:val="58"/>
    <w:qFormat/>
    <w:uiPriority w:val="0"/>
    <w:pPr>
      <w:keepNext/>
      <w:keepLines/>
      <w:spacing w:before="280" w:after="290" w:line="376" w:lineRule="auto"/>
      <w:outlineLvl w:val="3"/>
    </w:pPr>
    <w:rPr>
      <w:rFonts w:ascii="Cambria" w:hAnsi="Cambria" w:eastAsia="宋体" w:cs="Times New Roman"/>
      <w:b/>
      <w:bCs/>
      <w:sz w:val="28"/>
      <w:szCs w:val="28"/>
    </w:rPr>
  </w:style>
  <w:style w:type="paragraph" w:styleId="8">
    <w:name w:val="heading 5"/>
    <w:basedOn w:val="1"/>
    <w:next w:val="1"/>
    <w:link w:val="59"/>
    <w:qFormat/>
    <w:uiPriority w:val="9"/>
    <w:pPr>
      <w:keepNext/>
      <w:keepLines/>
      <w:spacing w:before="280" w:after="290" w:line="376" w:lineRule="auto"/>
      <w:outlineLvl w:val="4"/>
    </w:pPr>
    <w:rPr>
      <w:rFonts w:ascii="Times New Roman" w:hAnsi="Times New Roman" w:eastAsia="宋体" w:cs="Times New Roman"/>
      <w:b/>
      <w:bCs/>
      <w:sz w:val="28"/>
      <w:szCs w:val="28"/>
    </w:rPr>
  </w:style>
  <w:style w:type="paragraph" w:styleId="9">
    <w:name w:val="heading 6"/>
    <w:basedOn w:val="1"/>
    <w:next w:val="1"/>
    <w:link w:val="60"/>
    <w:qFormat/>
    <w:uiPriority w:val="9"/>
    <w:pPr>
      <w:keepNext/>
      <w:keepLines/>
      <w:spacing w:before="240" w:after="64" w:line="320" w:lineRule="auto"/>
      <w:outlineLvl w:val="5"/>
    </w:pPr>
    <w:rPr>
      <w:rFonts w:ascii="Cambria" w:hAnsi="Cambria" w:eastAsia="宋体" w:cs="Times New Roman"/>
      <w:b/>
      <w:bCs/>
      <w:sz w:val="24"/>
      <w:szCs w:val="24"/>
    </w:rPr>
  </w:style>
  <w:style w:type="paragraph" w:styleId="10">
    <w:name w:val="heading 7"/>
    <w:basedOn w:val="1"/>
    <w:next w:val="1"/>
    <w:link w:val="61"/>
    <w:qFormat/>
    <w:uiPriority w:val="0"/>
    <w:pPr>
      <w:keepNext/>
      <w:keepLines/>
      <w:widowControl/>
      <w:adjustRightInd w:val="0"/>
      <w:snapToGrid w:val="0"/>
      <w:spacing w:beforeLines="50" w:afterLines="30" w:line="320" w:lineRule="auto"/>
      <w:ind w:firstLine="200" w:firstLineChars="200"/>
      <w:outlineLvl w:val="6"/>
    </w:pPr>
    <w:rPr>
      <w:rFonts w:ascii="Times New Roman" w:hAnsi="Times New Roman" w:eastAsia="宋体" w:cs="Times New Roman"/>
      <w:b/>
      <w:bCs/>
      <w:kern w:val="0"/>
      <w:sz w:val="24"/>
      <w:szCs w:val="24"/>
    </w:rPr>
  </w:style>
  <w:style w:type="paragraph" w:styleId="11">
    <w:name w:val="heading 8"/>
    <w:basedOn w:val="1"/>
    <w:next w:val="1"/>
    <w:link w:val="62"/>
    <w:qFormat/>
    <w:uiPriority w:val="0"/>
    <w:pPr>
      <w:keepNext/>
      <w:keepLines/>
      <w:widowControl/>
      <w:adjustRightInd w:val="0"/>
      <w:snapToGrid w:val="0"/>
      <w:spacing w:beforeLines="50" w:afterLines="30" w:line="320" w:lineRule="auto"/>
      <w:ind w:firstLine="200" w:firstLineChars="200"/>
      <w:outlineLvl w:val="7"/>
    </w:pPr>
    <w:rPr>
      <w:rFonts w:ascii="Arial" w:hAnsi="Arial" w:eastAsia="黑体" w:cs="Times New Roman"/>
      <w:kern w:val="0"/>
      <w:sz w:val="24"/>
      <w:szCs w:val="24"/>
    </w:rPr>
  </w:style>
  <w:style w:type="paragraph" w:styleId="12">
    <w:name w:val="heading 9"/>
    <w:basedOn w:val="1"/>
    <w:next w:val="1"/>
    <w:link w:val="63"/>
    <w:qFormat/>
    <w:uiPriority w:val="0"/>
    <w:pPr>
      <w:keepNext/>
      <w:keepLines/>
      <w:widowControl/>
      <w:adjustRightInd w:val="0"/>
      <w:snapToGrid w:val="0"/>
      <w:spacing w:beforeLines="50" w:afterLines="30" w:line="320" w:lineRule="auto"/>
      <w:ind w:firstLine="200" w:firstLineChars="200"/>
      <w:outlineLvl w:val="8"/>
    </w:pPr>
    <w:rPr>
      <w:rFonts w:ascii="Arial" w:hAnsi="Arial" w:eastAsia="黑体" w:cs="Times New Roman"/>
      <w:kern w:val="0"/>
      <w:sz w:val="20"/>
      <w:szCs w:val="21"/>
    </w:rPr>
  </w:style>
  <w:style w:type="character" w:default="1" w:styleId="45">
    <w:name w:val="Default Paragraph Font"/>
    <w:qFormat/>
    <w:uiPriority w:val="1"/>
  </w:style>
  <w:style w:type="table" w:default="1" w:styleId="43">
    <w:name w:val="Normal Table"/>
    <w:qFormat/>
    <w:uiPriority w:val="99"/>
    <w:tblPr>
      <w:tblCellMar>
        <w:top w:w="0" w:type="dxa"/>
        <w:left w:w="108" w:type="dxa"/>
        <w:bottom w:w="0" w:type="dxa"/>
        <w:right w:w="108" w:type="dxa"/>
      </w:tblCellMar>
    </w:tblPr>
  </w:style>
  <w:style w:type="paragraph" w:styleId="2">
    <w:name w:val="Body Text"/>
    <w:basedOn w:val="1"/>
    <w:next w:val="3"/>
    <w:link w:val="150"/>
    <w:qFormat/>
    <w:uiPriority w:val="0"/>
    <w:pPr>
      <w:widowControl/>
      <w:adjustRightInd w:val="0"/>
      <w:snapToGrid w:val="0"/>
      <w:spacing w:beforeLines="50" w:afterLines="30" w:line="312" w:lineRule="auto"/>
      <w:ind w:firstLine="200" w:firstLineChars="200"/>
    </w:pPr>
    <w:rPr>
      <w:rFonts w:ascii="Calibri" w:hAnsi="Calibri" w:eastAsia="宋体" w:cs="Times New Roman"/>
      <w:kern w:val="0"/>
      <w:sz w:val="20"/>
      <w:szCs w:val="21"/>
    </w:rPr>
  </w:style>
  <w:style w:type="paragraph" w:styleId="3">
    <w:name w:val="toc 5"/>
    <w:basedOn w:val="1"/>
    <w:next w:val="1"/>
    <w:qFormat/>
    <w:uiPriority w:val="39"/>
    <w:pPr>
      <w:jc w:val="left"/>
    </w:pPr>
    <w:rPr>
      <w:rFonts w:cs="Calibri"/>
      <w:sz w:val="22"/>
    </w:rPr>
  </w:style>
  <w:style w:type="paragraph" w:styleId="13">
    <w:name w:val="toc 7"/>
    <w:basedOn w:val="1"/>
    <w:next w:val="1"/>
    <w:qFormat/>
    <w:uiPriority w:val="39"/>
    <w:pPr>
      <w:jc w:val="left"/>
    </w:pPr>
    <w:rPr>
      <w:rFonts w:cs="Calibri"/>
      <w:sz w:val="22"/>
    </w:rPr>
  </w:style>
  <w:style w:type="paragraph" w:styleId="14">
    <w:name w:val="Note Heading"/>
    <w:basedOn w:val="1"/>
    <w:next w:val="1"/>
    <w:link w:val="146"/>
    <w:qFormat/>
    <w:uiPriority w:val="0"/>
    <w:pPr>
      <w:widowControl/>
      <w:adjustRightInd w:val="0"/>
      <w:snapToGrid w:val="0"/>
      <w:spacing w:beforeLines="50" w:afterLines="30" w:line="312" w:lineRule="auto"/>
      <w:ind w:firstLine="200" w:firstLineChars="200"/>
      <w:jc w:val="center"/>
    </w:pPr>
    <w:rPr>
      <w:rFonts w:ascii="Times New Roman" w:hAnsi="Times New Roman"/>
      <w:sz w:val="24"/>
      <w:szCs w:val="24"/>
    </w:rPr>
  </w:style>
  <w:style w:type="paragraph" w:styleId="15">
    <w:name w:val="Normal Indent"/>
    <w:basedOn w:val="1"/>
    <w:next w:val="1"/>
    <w:qFormat/>
    <w:uiPriority w:val="0"/>
    <w:pPr>
      <w:widowControl/>
      <w:adjustRightInd w:val="0"/>
      <w:snapToGrid w:val="0"/>
      <w:spacing w:beforeLines="50" w:afterLines="30" w:line="300" w:lineRule="auto"/>
      <w:ind w:firstLine="454" w:firstLineChars="200"/>
    </w:pPr>
    <w:rPr>
      <w:rFonts w:ascii="Times New Roman" w:hAnsi="Times New Roman" w:eastAsia="宋体" w:cs="Times New Roman"/>
      <w:sz w:val="24"/>
      <w:szCs w:val="20"/>
    </w:rPr>
  </w:style>
  <w:style w:type="paragraph" w:styleId="16">
    <w:name w:val="caption"/>
    <w:basedOn w:val="1"/>
    <w:next w:val="1"/>
    <w:link w:val="123"/>
    <w:qFormat/>
    <w:uiPriority w:val="35"/>
    <w:pPr>
      <w:keepNext/>
      <w:widowControl/>
      <w:adjustRightInd w:val="0"/>
      <w:snapToGrid w:val="0"/>
      <w:spacing w:beforeLines="50" w:afterLines="30" w:line="312" w:lineRule="auto"/>
      <w:ind w:firstLine="200" w:firstLineChars="200"/>
      <w:jc w:val="center"/>
    </w:pPr>
    <w:rPr>
      <w:rFonts w:ascii="Times New Roman" w:hAnsi="Times New Roman" w:eastAsia="宋体" w:cs="Times New Roman"/>
      <w:b/>
      <w:kern w:val="0"/>
      <w:sz w:val="20"/>
      <w:szCs w:val="20"/>
    </w:rPr>
  </w:style>
  <w:style w:type="paragraph" w:styleId="17">
    <w:name w:val="Document Map"/>
    <w:basedOn w:val="1"/>
    <w:link w:val="65"/>
    <w:qFormat/>
    <w:uiPriority w:val="99"/>
    <w:rPr>
      <w:rFonts w:ascii="宋体" w:eastAsia="宋体"/>
      <w:sz w:val="18"/>
      <w:szCs w:val="18"/>
    </w:rPr>
  </w:style>
  <w:style w:type="paragraph" w:styleId="18">
    <w:name w:val="annotation text"/>
    <w:basedOn w:val="1"/>
    <w:link w:val="70"/>
    <w:qFormat/>
    <w:uiPriority w:val="99"/>
    <w:pPr>
      <w:snapToGrid w:val="0"/>
      <w:spacing w:line="312" w:lineRule="auto"/>
      <w:jc w:val="center"/>
    </w:pPr>
    <w:rPr>
      <w:rFonts w:ascii="Times New Roman" w:hAnsi="Times New Roman"/>
      <w:szCs w:val="21"/>
    </w:rPr>
  </w:style>
  <w:style w:type="paragraph" w:styleId="19">
    <w:name w:val="Body Text Indent"/>
    <w:basedOn w:val="1"/>
    <w:link w:val="115"/>
    <w:qFormat/>
    <w:uiPriority w:val="0"/>
    <w:pPr>
      <w:widowControl/>
      <w:adjustRightInd w:val="0"/>
      <w:snapToGrid w:val="0"/>
      <w:spacing w:beforeLines="50" w:afterLines="30" w:line="312" w:lineRule="auto"/>
      <w:ind w:left="420" w:leftChars="200" w:firstLine="200" w:firstLineChars="200"/>
    </w:pPr>
    <w:rPr>
      <w:rFonts w:ascii="Times New Roman" w:hAnsi="Times New Roman"/>
      <w:szCs w:val="24"/>
    </w:rPr>
  </w:style>
  <w:style w:type="paragraph" w:styleId="20">
    <w:name w:val="toc 3"/>
    <w:basedOn w:val="1"/>
    <w:next w:val="1"/>
    <w:qFormat/>
    <w:uiPriority w:val="39"/>
    <w:pPr>
      <w:jc w:val="left"/>
    </w:pPr>
    <w:rPr>
      <w:rFonts w:cs="Calibri"/>
      <w:smallCaps/>
      <w:sz w:val="22"/>
    </w:rPr>
  </w:style>
  <w:style w:type="paragraph" w:styleId="21">
    <w:name w:val="Plain Text"/>
    <w:basedOn w:val="1"/>
    <w:link w:val="99"/>
    <w:qFormat/>
    <w:uiPriority w:val="0"/>
    <w:pPr>
      <w:widowControl/>
      <w:adjustRightInd w:val="0"/>
      <w:snapToGrid w:val="0"/>
      <w:spacing w:beforeLines="50" w:afterLines="30" w:line="312" w:lineRule="auto"/>
      <w:ind w:firstLine="200" w:firstLineChars="200"/>
    </w:pPr>
    <w:rPr>
      <w:rFonts w:ascii="宋体" w:hAnsi="Courier New" w:cs="Courier New"/>
      <w:szCs w:val="21"/>
    </w:rPr>
  </w:style>
  <w:style w:type="paragraph" w:styleId="22">
    <w:name w:val="toc 8"/>
    <w:basedOn w:val="1"/>
    <w:next w:val="1"/>
    <w:qFormat/>
    <w:uiPriority w:val="39"/>
    <w:pPr>
      <w:jc w:val="left"/>
    </w:pPr>
    <w:rPr>
      <w:rFonts w:cs="Calibri"/>
      <w:sz w:val="22"/>
    </w:rPr>
  </w:style>
  <w:style w:type="paragraph" w:styleId="23">
    <w:name w:val="Date"/>
    <w:basedOn w:val="1"/>
    <w:next w:val="1"/>
    <w:link w:val="69"/>
    <w:qFormat/>
    <w:uiPriority w:val="0"/>
    <w:pPr>
      <w:ind w:left="100" w:leftChars="2500"/>
    </w:pPr>
  </w:style>
  <w:style w:type="paragraph" w:styleId="24">
    <w:name w:val="endnote text"/>
    <w:basedOn w:val="1"/>
    <w:link w:val="183"/>
    <w:qFormat/>
    <w:uiPriority w:val="99"/>
    <w:pPr>
      <w:widowControl/>
      <w:adjustRightInd w:val="0"/>
      <w:snapToGrid w:val="0"/>
      <w:spacing w:beforeLines="50" w:afterLines="30" w:line="312" w:lineRule="auto"/>
      <w:ind w:firstLine="200" w:firstLineChars="200"/>
      <w:jc w:val="left"/>
    </w:pPr>
    <w:rPr>
      <w:rFonts w:ascii="Times New Roman" w:hAnsi="Times New Roman"/>
      <w:sz w:val="24"/>
      <w:szCs w:val="24"/>
    </w:rPr>
  </w:style>
  <w:style w:type="paragraph" w:styleId="25">
    <w:name w:val="Balloon Text"/>
    <w:basedOn w:val="1"/>
    <w:link w:val="68"/>
    <w:qFormat/>
    <w:uiPriority w:val="99"/>
    <w:rPr>
      <w:sz w:val="18"/>
      <w:szCs w:val="18"/>
    </w:rPr>
  </w:style>
  <w:style w:type="paragraph" w:styleId="26">
    <w:name w:val="footer"/>
    <w:basedOn w:val="1"/>
    <w:link w:val="67"/>
    <w:qFormat/>
    <w:uiPriority w:val="99"/>
    <w:pPr>
      <w:tabs>
        <w:tab w:val="center" w:pos="4153"/>
        <w:tab w:val="right" w:pos="8306"/>
      </w:tabs>
      <w:snapToGrid w:val="0"/>
      <w:jc w:val="left"/>
    </w:pPr>
    <w:rPr>
      <w:sz w:val="18"/>
      <w:szCs w:val="18"/>
    </w:rPr>
  </w:style>
  <w:style w:type="paragraph" w:styleId="27">
    <w:name w:val="header"/>
    <w:basedOn w:val="1"/>
    <w:link w:val="66"/>
    <w:qFormat/>
    <w:uiPriority w:val="99"/>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pPr>
      <w:tabs>
        <w:tab w:val="right" w:pos="10244"/>
      </w:tabs>
      <w:jc w:val="left"/>
    </w:pPr>
    <w:rPr>
      <w:rFonts w:eastAsia="黑体" w:cs="Calibri"/>
      <w:b/>
      <w:bCs/>
      <w:caps/>
      <w:sz w:val="36"/>
      <w:u w:val="single"/>
    </w:rPr>
  </w:style>
  <w:style w:type="paragraph" w:styleId="29">
    <w:name w:val="toc 4"/>
    <w:basedOn w:val="1"/>
    <w:next w:val="1"/>
    <w:qFormat/>
    <w:uiPriority w:val="39"/>
    <w:pPr>
      <w:jc w:val="left"/>
    </w:pPr>
    <w:rPr>
      <w:rFonts w:cs="Calibri"/>
      <w:sz w:val="22"/>
    </w:rPr>
  </w:style>
  <w:style w:type="paragraph" w:styleId="30">
    <w:name w:val="Subtitle"/>
    <w:basedOn w:val="1"/>
    <w:link w:val="125"/>
    <w:qFormat/>
    <w:uiPriority w:val="0"/>
    <w:pPr>
      <w:widowControl/>
      <w:adjustRightInd w:val="0"/>
      <w:snapToGrid w:val="0"/>
      <w:spacing w:beforeLines="50" w:afterLines="30" w:line="312" w:lineRule="auto"/>
      <w:ind w:firstLine="200" w:firstLineChars="200"/>
      <w:jc w:val="center"/>
      <w:outlineLvl w:val="1"/>
    </w:pPr>
    <w:rPr>
      <w:rFonts w:ascii="Arial" w:hAnsi="Arial"/>
      <w:b/>
      <w:bCs/>
      <w:kern w:val="28"/>
      <w:sz w:val="32"/>
      <w:szCs w:val="32"/>
    </w:rPr>
  </w:style>
  <w:style w:type="paragraph" w:styleId="31">
    <w:name w:val="List"/>
    <w:basedOn w:val="1"/>
    <w:link w:val="144"/>
    <w:qFormat/>
    <w:uiPriority w:val="99"/>
    <w:pPr>
      <w:widowControl/>
      <w:adjustRightInd w:val="0"/>
      <w:snapToGrid w:val="0"/>
      <w:spacing w:beforeLines="50" w:afterLines="30" w:line="360" w:lineRule="auto"/>
      <w:ind w:firstLine="200" w:firstLineChars="200"/>
      <w:jc w:val="center"/>
    </w:pPr>
    <w:rPr>
      <w:rFonts w:ascii="Times New Roman" w:hAnsi="Times New Roman"/>
      <w:b/>
      <w:szCs w:val="24"/>
    </w:rPr>
  </w:style>
  <w:style w:type="paragraph" w:styleId="32">
    <w:name w:val="footnote text"/>
    <w:basedOn w:val="1"/>
    <w:link w:val="164"/>
    <w:qFormat/>
    <w:uiPriority w:val="0"/>
    <w:pPr>
      <w:widowControl/>
      <w:adjustRightInd w:val="0"/>
      <w:snapToGrid w:val="0"/>
      <w:spacing w:beforeLines="50" w:afterLines="30" w:line="360" w:lineRule="auto"/>
      <w:ind w:firstLine="640" w:firstLineChars="200"/>
      <w:jc w:val="left"/>
    </w:pPr>
    <w:rPr>
      <w:rFonts w:ascii="Times New Roman" w:hAnsi="Times New Roman"/>
      <w:sz w:val="18"/>
      <w:szCs w:val="24"/>
    </w:rPr>
  </w:style>
  <w:style w:type="paragraph" w:styleId="33">
    <w:name w:val="toc 6"/>
    <w:basedOn w:val="1"/>
    <w:next w:val="1"/>
    <w:qFormat/>
    <w:uiPriority w:val="39"/>
    <w:pPr>
      <w:jc w:val="left"/>
    </w:pPr>
    <w:rPr>
      <w:rFonts w:cs="Calibri"/>
      <w:sz w:val="22"/>
    </w:rPr>
  </w:style>
  <w:style w:type="paragraph" w:styleId="34">
    <w:name w:val="Body Text Indent 3"/>
    <w:basedOn w:val="1"/>
    <w:link w:val="158"/>
    <w:qFormat/>
    <w:uiPriority w:val="0"/>
    <w:pPr>
      <w:widowControl/>
      <w:adjustRightInd w:val="0"/>
      <w:snapToGrid w:val="0"/>
      <w:spacing w:beforeLines="50" w:afterLines="30" w:line="312" w:lineRule="auto"/>
      <w:ind w:left="420" w:leftChars="200" w:firstLine="200" w:firstLineChars="200"/>
    </w:pPr>
    <w:rPr>
      <w:sz w:val="16"/>
      <w:szCs w:val="16"/>
    </w:rPr>
  </w:style>
  <w:style w:type="paragraph" w:styleId="35">
    <w:name w:val="table of figures"/>
    <w:basedOn w:val="1"/>
    <w:next w:val="1"/>
    <w:qFormat/>
    <w:uiPriority w:val="99"/>
    <w:pPr>
      <w:widowControl/>
      <w:adjustRightInd w:val="0"/>
      <w:snapToGrid w:val="0"/>
      <w:spacing w:beforeLines="50" w:afterLines="30" w:line="300" w:lineRule="auto"/>
      <w:ind w:left="200" w:leftChars="200" w:hanging="200" w:hangingChars="200"/>
    </w:pPr>
    <w:rPr>
      <w:rFonts w:ascii="Calibri" w:hAnsi="Calibri" w:eastAsia="宋体" w:cs="黑体"/>
      <w:sz w:val="24"/>
      <w:szCs w:val="21"/>
    </w:rPr>
  </w:style>
  <w:style w:type="paragraph" w:styleId="36">
    <w:name w:val="toc 2"/>
    <w:basedOn w:val="1"/>
    <w:next w:val="1"/>
    <w:qFormat/>
    <w:uiPriority w:val="39"/>
    <w:pPr>
      <w:jc w:val="left"/>
    </w:pPr>
    <w:rPr>
      <w:rFonts w:eastAsia="仿宋" w:cs="Calibri"/>
      <w:b/>
      <w:bCs/>
      <w:smallCaps/>
      <w:sz w:val="30"/>
    </w:rPr>
  </w:style>
  <w:style w:type="paragraph" w:styleId="37">
    <w:name w:val="toc 9"/>
    <w:basedOn w:val="1"/>
    <w:next w:val="1"/>
    <w:qFormat/>
    <w:uiPriority w:val="39"/>
    <w:pPr>
      <w:jc w:val="left"/>
    </w:pPr>
    <w:rPr>
      <w:rFonts w:cs="Calibri"/>
      <w:sz w:val="22"/>
    </w:rPr>
  </w:style>
  <w:style w:type="paragraph" w:styleId="38">
    <w:name w:val="HTML Preformatted"/>
    <w:basedOn w:val="1"/>
    <w:link w:val="14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afterLines="30" w:line="312" w:lineRule="auto"/>
      <w:ind w:firstLine="200" w:firstLineChars="200"/>
      <w:jc w:val="left"/>
    </w:pPr>
    <w:rPr>
      <w:rFonts w:ascii="宋体" w:hAnsi="宋体"/>
      <w:sz w:val="24"/>
      <w:szCs w:val="24"/>
    </w:rPr>
  </w:style>
  <w:style w:type="paragraph" w:styleId="39">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40">
    <w:name w:val="Title"/>
    <w:basedOn w:val="1"/>
    <w:next w:val="1"/>
    <w:link w:val="91"/>
    <w:qFormat/>
    <w:uiPriority w:val="0"/>
    <w:pPr>
      <w:widowControl/>
      <w:adjustRightInd w:val="0"/>
      <w:snapToGrid w:val="0"/>
      <w:spacing w:beforeLines="50" w:afterLines="30" w:line="312" w:lineRule="auto"/>
      <w:ind w:firstLine="200" w:firstLineChars="200"/>
      <w:jc w:val="center"/>
      <w:outlineLvl w:val="0"/>
    </w:pPr>
    <w:rPr>
      <w:rFonts w:ascii="Cambria" w:hAnsi="Cambria" w:cs="Times New Roman"/>
      <w:b/>
      <w:bCs/>
      <w:sz w:val="32"/>
      <w:szCs w:val="32"/>
    </w:rPr>
  </w:style>
  <w:style w:type="paragraph" w:styleId="41">
    <w:name w:val="annotation subject"/>
    <w:basedOn w:val="18"/>
    <w:next w:val="18"/>
    <w:link w:val="94"/>
    <w:qFormat/>
    <w:uiPriority w:val="0"/>
    <w:pPr>
      <w:widowControl/>
      <w:adjustRightInd w:val="0"/>
      <w:spacing w:beforeLines="50" w:afterLines="30"/>
      <w:ind w:firstLine="200" w:firstLineChars="200"/>
      <w:jc w:val="left"/>
    </w:pPr>
    <w:rPr>
      <w:rFonts w:ascii="Calibri" w:hAnsi="Calibri" w:eastAsia="宋体" w:cs="Times New Roman"/>
      <w:b/>
      <w:bCs/>
      <w:szCs w:val="22"/>
    </w:rPr>
  </w:style>
  <w:style w:type="paragraph" w:styleId="42">
    <w:name w:val="Body Text First Indent"/>
    <w:basedOn w:val="1"/>
    <w:link w:val="148"/>
    <w:qFormat/>
    <w:uiPriority w:val="0"/>
    <w:pPr>
      <w:widowControl/>
      <w:adjustRightInd w:val="0"/>
      <w:snapToGrid w:val="0"/>
      <w:spacing w:beforeLines="50" w:afterLines="30" w:line="312" w:lineRule="auto"/>
      <w:ind w:firstLine="480" w:firstLineChars="200"/>
    </w:pPr>
    <w:rPr>
      <w:rFonts w:ascii="Times New Roman" w:hAnsi="Times New Roman" w:eastAsia="宋体" w:cs="Times New Roman"/>
      <w:sz w:val="24"/>
      <w:szCs w:val="24"/>
    </w:rPr>
  </w:style>
  <w:style w:type="table" w:styleId="44">
    <w:name w:val="Table Grid"/>
    <w:basedOn w:val="4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Strong"/>
    <w:basedOn w:val="45"/>
    <w:qFormat/>
    <w:uiPriority w:val="22"/>
    <w:rPr>
      <w:b/>
      <w:bCs/>
    </w:rPr>
  </w:style>
  <w:style w:type="character" w:styleId="47">
    <w:name w:val="endnote reference"/>
    <w:qFormat/>
    <w:uiPriority w:val="0"/>
    <w:rPr>
      <w:vertAlign w:val="superscript"/>
    </w:rPr>
  </w:style>
  <w:style w:type="character" w:styleId="48">
    <w:name w:val="page number"/>
    <w:basedOn w:val="45"/>
    <w:qFormat/>
    <w:uiPriority w:val="0"/>
  </w:style>
  <w:style w:type="character" w:styleId="49">
    <w:name w:val="FollowedHyperlink"/>
    <w:qFormat/>
    <w:uiPriority w:val="99"/>
    <w:rPr>
      <w:color w:val="800080"/>
      <w:u w:val="single"/>
    </w:rPr>
  </w:style>
  <w:style w:type="character" w:styleId="50">
    <w:name w:val="Emphasis"/>
    <w:qFormat/>
    <w:uiPriority w:val="20"/>
    <w:rPr>
      <w:color w:val="CC0000"/>
    </w:rPr>
  </w:style>
  <w:style w:type="character" w:styleId="51">
    <w:name w:val="Hyperlink"/>
    <w:basedOn w:val="45"/>
    <w:qFormat/>
    <w:uiPriority w:val="99"/>
    <w:rPr>
      <w:color w:val="0000FF"/>
      <w:u w:val="single"/>
    </w:rPr>
  </w:style>
  <w:style w:type="character" w:styleId="52">
    <w:name w:val="annotation reference"/>
    <w:qFormat/>
    <w:uiPriority w:val="0"/>
    <w:rPr>
      <w:sz w:val="21"/>
      <w:szCs w:val="21"/>
    </w:rPr>
  </w:style>
  <w:style w:type="character" w:styleId="53">
    <w:name w:val="footnote reference"/>
    <w:qFormat/>
    <w:uiPriority w:val="0"/>
    <w:rPr>
      <w:vertAlign w:val="superscript"/>
    </w:rPr>
  </w:style>
  <w:style w:type="paragraph" w:customStyle="1" w:styleId="54">
    <w:name w:val="表格文字"/>
    <w:basedOn w:val="1"/>
    <w:next w:val="1"/>
    <w:qFormat/>
    <w:uiPriority w:val="0"/>
    <w:pPr>
      <w:widowControl/>
      <w:adjustRightInd w:val="0"/>
      <w:snapToGrid w:val="0"/>
      <w:spacing w:beforeLines="50" w:afterLines="30" w:line="312" w:lineRule="auto"/>
      <w:ind w:firstLine="200" w:firstLineChars="200"/>
      <w:jc w:val="center"/>
    </w:pPr>
    <w:rPr>
      <w:rFonts w:ascii="Times New Roman" w:hAnsi="Times New Roman" w:eastAsia="宋体" w:cs="Times New Roman"/>
      <w:sz w:val="24"/>
      <w:szCs w:val="21"/>
    </w:rPr>
  </w:style>
  <w:style w:type="character" w:customStyle="1" w:styleId="55">
    <w:name w:val="标题 1 字符"/>
    <w:basedOn w:val="45"/>
    <w:link w:val="4"/>
    <w:qFormat/>
    <w:uiPriority w:val="9"/>
    <w:rPr>
      <w:b/>
      <w:bCs/>
      <w:kern w:val="44"/>
      <w:sz w:val="44"/>
      <w:szCs w:val="44"/>
    </w:rPr>
  </w:style>
  <w:style w:type="character" w:customStyle="1" w:styleId="56">
    <w:name w:val="标题 2 字符"/>
    <w:basedOn w:val="45"/>
    <w:link w:val="5"/>
    <w:qFormat/>
    <w:uiPriority w:val="9"/>
    <w:rPr>
      <w:rFonts w:ascii="Cambria" w:hAnsi="Cambria" w:eastAsia="宋体" w:cs="宋体"/>
      <w:b/>
      <w:bCs/>
      <w:sz w:val="32"/>
      <w:szCs w:val="32"/>
    </w:rPr>
  </w:style>
  <w:style w:type="character" w:customStyle="1" w:styleId="57">
    <w:name w:val="标题 3 字符"/>
    <w:basedOn w:val="45"/>
    <w:link w:val="6"/>
    <w:qFormat/>
    <w:uiPriority w:val="9"/>
    <w:rPr>
      <w:b/>
      <w:bCs/>
      <w:sz w:val="32"/>
      <w:szCs w:val="32"/>
    </w:rPr>
  </w:style>
  <w:style w:type="character" w:customStyle="1" w:styleId="58">
    <w:name w:val="标题 4 字符1"/>
    <w:basedOn w:val="45"/>
    <w:link w:val="7"/>
    <w:qFormat/>
    <w:uiPriority w:val="0"/>
    <w:rPr>
      <w:rFonts w:ascii="Cambria" w:hAnsi="Cambria" w:eastAsia="宋体" w:cs="Times New Roman"/>
      <w:b/>
      <w:bCs/>
      <w:sz w:val="28"/>
      <w:szCs w:val="28"/>
    </w:rPr>
  </w:style>
  <w:style w:type="character" w:customStyle="1" w:styleId="59">
    <w:name w:val="标题 5 字符1"/>
    <w:basedOn w:val="45"/>
    <w:link w:val="8"/>
    <w:qFormat/>
    <w:uiPriority w:val="9"/>
    <w:rPr>
      <w:rFonts w:ascii="Times New Roman" w:hAnsi="Times New Roman" w:eastAsia="宋体" w:cs="Times New Roman"/>
      <w:b/>
      <w:bCs/>
      <w:sz w:val="28"/>
      <w:szCs w:val="28"/>
    </w:rPr>
  </w:style>
  <w:style w:type="character" w:customStyle="1" w:styleId="60">
    <w:name w:val="标题 6 字符1"/>
    <w:basedOn w:val="45"/>
    <w:link w:val="9"/>
    <w:qFormat/>
    <w:uiPriority w:val="9"/>
    <w:rPr>
      <w:rFonts w:ascii="Cambria" w:hAnsi="Cambria" w:eastAsia="宋体" w:cs="Times New Roman"/>
      <w:b/>
      <w:bCs/>
      <w:sz w:val="24"/>
      <w:szCs w:val="24"/>
    </w:rPr>
  </w:style>
  <w:style w:type="character" w:customStyle="1" w:styleId="61">
    <w:name w:val="标题 7 字符"/>
    <w:basedOn w:val="45"/>
    <w:link w:val="10"/>
    <w:qFormat/>
    <w:uiPriority w:val="0"/>
    <w:rPr>
      <w:rFonts w:ascii="Times New Roman" w:hAnsi="Times New Roman" w:eastAsia="宋体" w:cs="Times New Roman"/>
      <w:b/>
      <w:bCs/>
      <w:kern w:val="0"/>
      <w:sz w:val="24"/>
      <w:szCs w:val="24"/>
    </w:rPr>
  </w:style>
  <w:style w:type="character" w:customStyle="1" w:styleId="62">
    <w:name w:val="标题 8 字符"/>
    <w:basedOn w:val="45"/>
    <w:link w:val="11"/>
    <w:qFormat/>
    <w:uiPriority w:val="0"/>
    <w:rPr>
      <w:rFonts w:ascii="Arial" w:hAnsi="Arial" w:eastAsia="黑体" w:cs="Times New Roman"/>
      <w:kern w:val="0"/>
      <w:sz w:val="24"/>
      <w:szCs w:val="24"/>
    </w:rPr>
  </w:style>
  <w:style w:type="character" w:customStyle="1" w:styleId="63">
    <w:name w:val="标题 9 字符"/>
    <w:basedOn w:val="45"/>
    <w:link w:val="12"/>
    <w:qFormat/>
    <w:uiPriority w:val="0"/>
    <w:rPr>
      <w:rFonts w:ascii="Arial" w:hAnsi="Arial" w:eastAsia="黑体" w:cs="Times New Roman"/>
      <w:kern w:val="0"/>
      <w:sz w:val="20"/>
      <w:szCs w:val="21"/>
    </w:rPr>
  </w:style>
  <w:style w:type="paragraph" w:styleId="64">
    <w:name w:val="List Paragraph"/>
    <w:basedOn w:val="1"/>
    <w:qFormat/>
    <w:uiPriority w:val="34"/>
    <w:pPr>
      <w:ind w:firstLine="420" w:firstLineChars="200"/>
    </w:pPr>
  </w:style>
  <w:style w:type="character" w:customStyle="1" w:styleId="65">
    <w:name w:val="文档结构图 字符"/>
    <w:basedOn w:val="45"/>
    <w:link w:val="17"/>
    <w:qFormat/>
    <w:uiPriority w:val="99"/>
    <w:rPr>
      <w:rFonts w:ascii="宋体" w:eastAsia="宋体"/>
      <w:sz w:val="18"/>
      <w:szCs w:val="18"/>
    </w:rPr>
  </w:style>
  <w:style w:type="character" w:customStyle="1" w:styleId="66">
    <w:name w:val="页眉 字符"/>
    <w:basedOn w:val="45"/>
    <w:link w:val="27"/>
    <w:qFormat/>
    <w:uiPriority w:val="99"/>
    <w:rPr>
      <w:sz w:val="18"/>
      <w:szCs w:val="18"/>
    </w:rPr>
  </w:style>
  <w:style w:type="character" w:customStyle="1" w:styleId="67">
    <w:name w:val="页脚 字符"/>
    <w:basedOn w:val="45"/>
    <w:link w:val="26"/>
    <w:qFormat/>
    <w:uiPriority w:val="99"/>
    <w:rPr>
      <w:sz w:val="18"/>
      <w:szCs w:val="18"/>
    </w:rPr>
  </w:style>
  <w:style w:type="character" w:customStyle="1" w:styleId="68">
    <w:name w:val="批注框文本 字符"/>
    <w:basedOn w:val="45"/>
    <w:link w:val="25"/>
    <w:qFormat/>
    <w:uiPriority w:val="99"/>
    <w:rPr>
      <w:sz w:val="18"/>
      <w:szCs w:val="18"/>
    </w:rPr>
  </w:style>
  <w:style w:type="character" w:customStyle="1" w:styleId="69">
    <w:name w:val="日期 字符"/>
    <w:basedOn w:val="45"/>
    <w:link w:val="23"/>
    <w:qFormat/>
    <w:uiPriority w:val="0"/>
  </w:style>
  <w:style w:type="character" w:customStyle="1" w:styleId="70">
    <w:name w:val="批注文字 字符"/>
    <w:basedOn w:val="45"/>
    <w:link w:val="18"/>
    <w:qFormat/>
    <w:uiPriority w:val="99"/>
    <w:rPr>
      <w:rFonts w:ascii="Times New Roman" w:hAnsi="Times New Roman"/>
      <w:szCs w:val="21"/>
    </w:rPr>
  </w:style>
  <w:style w:type="table" w:customStyle="1" w:styleId="71">
    <w:name w:val="样式1"/>
    <w:basedOn w:val="43"/>
    <w:qFormat/>
    <w:uiPriority w:val="99"/>
  </w:style>
  <w:style w:type="table" w:customStyle="1" w:styleId="72">
    <w:name w:val="样式2"/>
    <w:basedOn w:val="43"/>
    <w:qFormat/>
    <w:uiPriority w:val="99"/>
  </w:style>
  <w:style w:type="table" w:customStyle="1" w:styleId="73">
    <w:name w:val="样式3"/>
    <w:basedOn w:val="43"/>
    <w:qFormat/>
    <w:uiPriority w:val="99"/>
  </w:style>
  <w:style w:type="character" w:customStyle="1" w:styleId="74">
    <w:name w:val="标题 4 字符"/>
    <w:basedOn w:val="45"/>
    <w:qFormat/>
    <w:uiPriority w:val="0"/>
    <w:rPr>
      <w:rFonts w:ascii="Cambria" w:hAnsi="Cambria" w:eastAsia="宋体" w:cs="宋体"/>
      <w:b/>
      <w:bCs/>
      <w:sz w:val="28"/>
      <w:szCs w:val="28"/>
    </w:rPr>
  </w:style>
  <w:style w:type="character" w:customStyle="1" w:styleId="75">
    <w:name w:val="标题 5 字符"/>
    <w:basedOn w:val="45"/>
    <w:qFormat/>
    <w:uiPriority w:val="9"/>
    <w:rPr>
      <w:b/>
      <w:bCs/>
      <w:sz w:val="28"/>
      <w:szCs w:val="28"/>
    </w:rPr>
  </w:style>
  <w:style w:type="character" w:customStyle="1" w:styleId="76">
    <w:name w:val="标题 6 字符"/>
    <w:basedOn w:val="45"/>
    <w:qFormat/>
    <w:uiPriority w:val="9"/>
    <w:rPr>
      <w:rFonts w:ascii="Cambria" w:hAnsi="Cambria" w:eastAsia="宋体" w:cs="宋体"/>
      <w:b/>
      <w:bCs/>
      <w:sz w:val="24"/>
      <w:szCs w:val="24"/>
    </w:rPr>
  </w:style>
  <w:style w:type="character" w:customStyle="1" w:styleId="77">
    <w:name w:val="font21"/>
    <w:basedOn w:val="45"/>
    <w:qFormat/>
    <w:uiPriority w:val="0"/>
    <w:rPr>
      <w:rFonts w:hint="eastAsia" w:ascii="宋体" w:hAnsi="宋体" w:eastAsia="宋体" w:cs="宋体"/>
      <w:b/>
      <w:color w:val="000000"/>
      <w:sz w:val="21"/>
      <w:szCs w:val="21"/>
      <w:u w:val="none"/>
    </w:rPr>
  </w:style>
  <w:style w:type="character" w:customStyle="1" w:styleId="78">
    <w:name w:val="页眉 Char"/>
    <w:basedOn w:val="45"/>
    <w:qFormat/>
    <w:uiPriority w:val="99"/>
    <w:rPr>
      <w:kern w:val="2"/>
      <w:sz w:val="18"/>
      <w:szCs w:val="18"/>
    </w:rPr>
  </w:style>
  <w:style w:type="character" w:customStyle="1" w:styleId="79">
    <w:name w:val="font51"/>
    <w:basedOn w:val="45"/>
    <w:qFormat/>
    <w:uiPriority w:val="0"/>
    <w:rPr>
      <w:rFonts w:hint="default" w:ascii="Times New Roman" w:hAnsi="Times New Roman" w:cs="Times New Roman"/>
      <w:b/>
      <w:color w:val="000000"/>
      <w:sz w:val="21"/>
      <w:szCs w:val="21"/>
      <w:u w:val="none"/>
    </w:rPr>
  </w:style>
  <w:style w:type="character" w:customStyle="1" w:styleId="80">
    <w:name w:val="标题 3 Char"/>
    <w:basedOn w:val="45"/>
    <w:qFormat/>
    <w:uiPriority w:val="0"/>
    <w:rPr>
      <w:rFonts w:ascii="Calibri" w:hAnsi="Calibri" w:cs="Times New Roman"/>
      <w:b/>
      <w:bCs/>
      <w:kern w:val="2"/>
      <w:sz w:val="32"/>
      <w:szCs w:val="32"/>
    </w:rPr>
  </w:style>
  <w:style w:type="character" w:customStyle="1" w:styleId="81">
    <w:name w:val="文档结构图 Char"/>
    <w:basedOn w:val="45"/>
    <w:qFormat/>
    <w:uiPriority w:val="99"/>
    <w:rPr>
      <w:rFonts w:ascii="宋体"/>
      <w:kern w:val="2"/>
      <w:sz w:val="18"/>
      <w:szCs w:val="18"/>
    </w:rPr>
  </w:style>
  <w:style w:type="character" w:customStyle="1" w:styleId="82">
    <w:name w:val="标题 2 Char"/>
    <w:basedOn w:val="45"/>
    <w:qFormat/>
    <w:uiPriority w:val="9"/>
    <w:rPr>
      <w:rFonts w:ascii="Cambria" w:hAnsi="Cambria" w:eastAsia="宋体" w:cs="Times New Roman"/>
      <w:b/>
      <w:bCs/>
      <w:kern w:val="2"/>
      <w:sz w:val="32"/>
      <w:szCs w:val="32"/>
    </w:rPr>
  </w:style>
  <w:style w:type="character" w:customStyle="1" w:styleId="83">
    <w:name w:val="页脚 Char"/>
    <w:basedOn w:val="45"/>
    <w:qFormat/>
    <w:uiPriority w:val="99"/>
    <w:rPr>
      <w:kern w:val="2"/>
      <w:sz w:val="18"/>
      <w:szCs w:val="18"/>
    </w:rPr>
  </w:style>
  <w:style w:type="paragraph" w:customStyle="1" w:styleId="84">
    <w:name w:val="_Style 1"/>
    <w:basedOn w:val="1"/>
    <w:qFormat/>
    <w:uiPriority w:val="34"/>
    <w:pPr>
      <w:ind w:firstLine="420" w:firstLineChars="200"/>
    </w:pPr>
    <w:rPr>
      <w:rFonts w:ascii="Times New Roman" w:hAnsi="Times New Roman" w:eastAsia="宋体" w:cs="Times New Roman"/>
    </w:rPr>
  </w:style>
  <w:style w:type="paragraph" w:customStyle="1" w:styleId="85">
    <w:name w:val="Default"/>
    <w:link w:val="86"/>
    <w:qFormat/>
    <w:uiPriority w:val="0"/>
    <w:pPr>
      <w:widowControl w:val="0"/>
      <w:autoSpaceDE w:val="0"/>
      <w:autoSpaceDN w:val="0"/>
      <w:adjustRightInd w:val="0"/>
      <w:spacing w:beforeLines="50"/>
      <w:ind w:firstLine="200" w:firstLineChars="200"/>
      <w:jc w:val="both"/>
    </w:pPr>
    <w:rPr>
      <w:rFonts w:ascii="宋体" w:hAnsi="宋体" w:eastAsia="宋体" w:cs="Times New Roman"/>
      <w:color w:val="000000"/>
      <w:sz w:val="24"/>
      <w:szCs w:val="24"/>
      <w:lang w:val="en-US" w:eastAsia="zh-CN" w:bidi="ar-SA"/>
    </w:rPr>
  </w:style>
  <w:style w:type="character" w:customStyle="1" w:styleId="86">
    <w:name w:val="Default Char"/>
    <w:link w:val="85"/>
    <w:qFormat/>
    <w:uiPriority w:val="0"/>
    <w:rPr>
      <w:rFonts w:ascii="宋体" w:hAnsi="宋体" w:eastAsia="宋体" w:cs="Times New Roman"/>
      <w:color w:val="000000"/>
      <w:kern w:val="0"/>
      <w:sz w:val="24"/>
      <w:szCs w:val="24"/>
    </w:rPr>
  </w:style>
  <w:style w:type="paragraph" w:customStyle="1" w:styleId="87">
    <w:name w:val="正文5"/>
    <w:basedOn w:val="1"/>
    <w:link w:val="88"/>
    <w:qFormat/>
    <w:uiPriority w:val="0"/>
    <w:pPr>
      <w:widowControl/>
      <w:adjustRightInd w:val="0"/>
      <w:snapToGrid w:val="0"/>
      <w:spacing w:beforeLines="50" w:afterLines="50" w:line="390" w:lineRule="exact"/>
      <w:ind w:firstLine="540" w:firstLineChars="225"/>
    </w:pPr>
    <w:rPr>
      <w:rFonts w:ascii="Times New Roman" w:hAnsi="Times New Roman" w:eastAsia="宋体" w:cs="Times New Roman"/>
      <w:kern w:val="0"/>
      <w:sz w:val="24"/>
      <w:szCs w:val="24"/>
    </w:rPr>
  </w:style>
  <w:style w:type="character" w:customStyle="1" w:styleId="88">
    <w:name w:val="正文5 Char"/>
    <w:link w:val="87"/>
    <w:qFormat/>
    <w:uiPriority w:val="0"/>
    <w:rPr>
      <w:rFonts w:ascii="Times New Roman" w:hAnsi="Times New Roman" w:eastAsia="宋体" w:cs="Times New Roman"/>
      <w:kern w:val="0"/>
      <w:sz w:val="24"/>
      <w:szCs w:val="24"/>
    </w:rPr>
  </w:style>
  <w:style w:type="paragraph" w:styleId="89">
    <w:name w:val="No Spacing"/>
    <w:qFormat/>
    <w:uiPriority w:val="1"/>
    <w:pPr>
      <w:widowControl w:val="0"/>
      <w:spacing w:beforeLines="50"/>
      <w:ind w:firstLine="200" w:firstLineChars="200"/>
      <w:jc w:val="both"/>
    </w:pPr>
    <w:rPr>
      <w:rFonts w:ascii="Calibri" w:hAnsi="Calibri" w:eastAsia="宋体" w:cs="Times New Roman"/>
      <w:kern w:val="2"/>
      <w:sz w:val="21"/>
      <w:szCs w:val="22"/>
      <w:lang w:val="en-US" w:eastAsia="zh-CN" w:bidi="ar-SA"/>
    </w:rPr>
  </w:style>
  <w:style w:type="character" w:customStyle="1" w:styleId="90">
    <w:name w:val="不明显强调1"/>
    <w:qFormat/>
    <w:uiPriority w:val="19"/>
    <w:rPr>
      <w:i/>
      <w:iCs/>
      <w:color w:val="808080"/>
    </w:rPr>
  </w:style>
  <w:style w:type="character" w:customStyle="1" w:styleId="91">
    <w:name w:val="标题 字符"/>
    <w:link w:val="40"/>
    <w:qFormat/>
    <w:uiPriority w:val="0"/>
    <w:rPr>
      <w:rFonts w:ascii="Cambria" w:hAnsi="Cambria" w:cs="Times New Roman"/>
      <w:b/>
      <w:bCs/>
      <w:sz w:val="32"/>
      <w:szCs w:val="32"/>
    </w:rPr>
  </w:style>
  <w:style w:type="character" w:customStyle="1" w:styleId="92">
    <w:name w:val="标题 字符1"/>
    <w:basedOn w:val="45"/>
    <w:qFormat/>
    <w:uiPriority w:val="10"/>
    <w:rPr>
      <w:rFonts w:ascii="Cambria" w:hAnsi="Cambria" w:eastAsia="宋体" w:cs="宋体"/>
      <w:b/>
      <w:bCs/>
      <w:sz w:val="32"/>
      <w:szCs w:val="32"/>
    </w:rPr>
  </w:style>
  <w:style w:type="character" w:customStyle="1" w:styleId="93">
    <w:name w:val="标题 Char1"/>
    <w:basedOn w:val="45"/>
    <w:qFormat/>
    <w:uiPriority w:val="10"/>
    <w:rPr>
      <w:rFonts w:ascii="Cambria" w:hAnsi="Cambria" w:eastAsia="宋体" w:cs="宋体"/>
      <w:b/>
      <w:bCs/>
      <w:sz w:val="32"/>
      <w:szCs w:val="32"/>
    </w:rPr>
  </w:style>
  <w:style w:type="character" w:customStyle="1" w:styleId="94">
    <w:name w:val="批注主题 字符"/>
    <w:link w:val="41"/>
    <w:qFormat/>
    <w:uiPriority w:val="0"/>
    <w:rPr>
      <w:rFonts w:ascii="Calibri" w:hAnsi="Calibri" w:eastAsia="宋体" w:cs="Times New Roman"/>
      <w:b/>
      <w:bCs/>
    </w:rPr>
  </w:style>
  <w:style w:type="character" w:customStyle="1" w:styleId="95">
    <w:name w:val="批注主题 字符1"/>
    <w:basedOn w:val="70"/>
    <w:qFormat/>
    <w:uiPriority w:val="99"/>
    <w:rPr>
      <w:rFonts w:ascii="Times New Roman" w:hAnsi="Times New Roman"/>
      <w:b/>
      <w:bCs/>
      <w:szCs w:val="21"/>
    </w:rPr>
  </w:style>
  <w:style w:type="character" w:customStyle="1" w:styleId="96">
    <w:name w:val="批注主题 Char1"/>
    <w:basedOn w:val="70"/>
    <w:qFormat/>
    <w:uiPriority w:val="99"/>
    <w:rPr>
      <w:rFonts w:ascii="Calibri" w:hAnsi="Calibri" w:eastAsia="宋体" w:cs="Times New Roman"/>
      <w:b/>
      <w:bCs/>
      <w:kern w:val="0"/>
      <w:sz w:val="20"/>
      <w:szCs w:val="20"/>
    </w:rPr>
  </w:style>
  <w:style w:type="paragraph" w:customStyle="1" w:styleId="97">
    <w:name w:val="正文1"/>
    <w:next w:val="1"/>
    <w:link w:val="98"/>
    <w:qFormat/>
    <w:uiPriority w:val="0"/>
    <w:pPr>
      <w:snapToGrid w:val="0"/>
      <w:spacing w:beforeLines="50" w:line="360" w:lineRule="auto"/>
      <w:ind w:firstLine="592" w:firstLineChars="200"/>
      <w:jc w:val="both"/>
    </w:pPr>
    <w:rPr>
      <w:rFonts w:ascii="仿宋_GB2312" w:hAnsi="Calibri" w:eastAsia="仿宋_GB2312" w:cs="Times New Roman"/>
      <w:spacing w:val="-2"/>
      <w:sz w:val="30"/>
      <w:szCs w:val="30"/>
      <w:lang w:val="en-US" w:eastAsia="zh-CN" w:bidi="ar-SA"/>
    </w:rPr>
  </w:style>
  <w:style w:type="character" w:customStyle="1" w:styleId="98">
    <w:name w:val="正文 Char"/>
    <w:link w:val="97"/>
    <w:qFormat/>
    <w:uiPriority w:val="0"/>
    <w:rPr>
      <w:rFonts w:ascii="仿宋_GB2312" w:hAnsi="Calibri" w:eastAsia="仿宋_GB2312" w:cs="Times New Roman"/>
      <w:spacing w:val="-2"/>
      <w:kern w:val="0"/>
      <w:sz w:val="30"/>
      <w:szCs w:val="30"/>
    </w:rPr>
  </w:style>
  <w:style w:type="character" w:customStyle="1" w:styleId="99">
    <w:name w:val="纯文本 字符"/>
    <w:link w:val="21"/>
    <w:qFormat/>
    <w:uiPriority w:val="0"/>
    <w:rPr>
      <w:rFonts w:ascii="宋体" w:hAnsi="Courier New" w:cs="Courier New"/>
      <w:szCs w:val="21"/>
    </w:rPr>
  </w:style>
  <w:style w:type="character" w:customStyle="1" w:styleId="100">
    <w:name w:val="纯文本 字符1"/>
    <w:basedOn w:val="45"/>
    <w:qFormat/>
    <w:uiPriority w:val="99"/>
    <w:rPr>
      <w:rFonts w:ascii="宋体" w:hAnsi="Courier New" w:cs="Courier New"/>
    </w:rPr>
  </w:style>
  <w:style w:type="character" w:customStyle="1" w:styleId="101">
    <w:name w:val="纯文本 Char1"/>
    <w:basedOn w:val="45"/>
    <w:qFormat/>
    <w:uiPriority w:val="99"/>
    <w:rPr>
      <w:rFonts w:ascii="宋体" w:hAnsi="Courier New" w:eastAsia="宋体" w:cs="Courier New"/>
      <w:szCs w:val="21"/>
    </w:rPr>
  </w:style>
  <w:style w:type="character" w:customStyle="1" w:styleId="102">
    <w:name w:val="标题 6(正文部分) Char"/>
    <w:link w:val="103"/>
    <w:qFormat/>
    <w:uiPriority w:val="0"/>
    <w:rPr>
      <w:rFonts w:ascii="Times New Roman" w:hAnsi="Times New Roman"/>
      <w:b/>
      <w:sz w:val="24"/>
      <w:szCs w:val="24"/>
    </w:rPr>
  </w:style>
  <w:style w:type="paragraph" w:customStyle="1" w:styleId="103">
    <w:name w:val="标题 6(正文部分)"/>
    <w:basedOn w:val="104"/>
    <w:link w:val="102"/>
    <w:qFormat/>
    <w:uiPriority w:val="0"/>
    <w:pPr>
      <w:ind w:left="902" w:firstLine="0" w:firstLineChars="0"/>
    </w:pPr>
    <w:rPr>
      <w:rFonts w:eastAsia="宋体" w:cs="宋体"/>
      <w:b/>
      <w:kern w:val="2"/>
    </w:rPr>
  </w:style>
  <w:style w:type="paragraph" w:customStyle="1" w:styleId="104">
    <w:name w:val="正文首行缩进2字符"/>
    <w:basedOn w:val="1"/>
    <w:link w:val="105"/>
    <w:qFormat/>
    <w:uiPriority w:val="0"/>
    <w:pPr>
      <w:widowControl/>
      <w:adjustRightInd w:val="0"/>
      <w:snapToGrid w:val="0"/>
      <w:spacing w:beforeLines="50" w:afterLines="30" w:line="360" w:lineRule="auto"/>
      <w:ind w:firstLine="480" w:firstLineChars="200"/>
    </w:pPr>
    <w:rPr>
      <w:rFonts w:ascii="Times New Roman" w:hAnsi="Times New Roman" w:eastAsia="宋体" w:cs="Times New Roman"/>
      <w:kern w:val="0"/>
      <w:sz w:val="24"/>
      <w:szCs w:val="24"/>
    </w:rPr>
  </w:style>
  <w:style w:type="character" w:customStyle="1" w:styleId="105">
    <w:name w:val="正文首行缩进2字符 Char"/>
    <w:link w:val="104"/>
    <w:qFormat/>
    <w:uiPriority w:val="0"/>
    <w:rPr>
      <w:rFonts w:ascii="Times New Roman" w:hAnsi="Times New Roman" w:eastAsia="宋体" w:cs="Times New Roman"/>
      <w:kern w:val="0"/>
      <w:sz w:val="24"/>
      <w:szCs w:val="24"/>
    </w:rPr>
  </w:style>
  <w:style w:type="character" w:customStyle="1" w:styleId="106">
    <w:name w:val="Heading 2 Char_5494ca24-8617-46c4-91b5-fa144514e925"/>
    <w:qFormat/>
    <w:uiPriority w:val="0"/>
    <w:rPr>
      <w:rFonts w:ascii="Arial" w:hAnsi="Arial" w:eastAsia="黑体"/>
      <w:b/>
      <w:bCs/>
      <w:kern w:val="2"/>
      <w:sz w:val="32"/>
      <w:szCs w:val="32"/>
      <w:lang w:val="en-US" w:eastAsia="zh-CN" w:bidi="ar-SA"/>
    </w:rPr>
  </w:style>
  <w:style w:type="character" w:customStyle="1" w:styleId="107">
    <w:name w:val="l131"/>
    <w:qFormat/>
    <w:uiPriority w:val="0"/>
    <w:rPr>
      <w:sz w:val="18"/>
      <w:szCs w:val="18"/>
    </w:rPr>
  </w:style>
  <w:style w:type="character" w:customStyle="1" w:styleId="108">
    <w:name w:val="正文文本 + 间距 1 pt"/>
    <w:qFormat/>
    <w:uiPriority w:val="0"/>
    <w:rPr>
      <w:rFonts w:ascii="Arial Unicode MS" w:hAnsi="Arial Unicode MS" w:eastAsia="Arial Unicode MS" w:cs="Arial Unicode MS"/>
      <w:color w:val="000000"/>
      <w:spacing w:val="30"/>
      <w:w w:val="100"/>
      <w:position w:val="0"/>
      <w:sz w:val="20"/>
      <w:szCs w:val="20"/>
      <w:u w:val="none"/>
      <w:lang w:val="zh-CN"/>
    </w:rPr>
  </w:style>
  <w:style w:type="character" w:customStyle="1" w:styleId="109">
    <w:name w:val="正文文本 + SimSun"/>
    <w:qFormat/>
    <w:uiPriority w:val="0"/>
    <w:rPr>
      <w:rFonts w:ascii="宋体" w:hAnsi="宋体" w:eastAsia="宋体" w:cs="宋体"/>
      <w:color w:val="000000"/>
      <w:spacing w:val="0"/>
      <w:w w:val="100"/>
      <w:position w:val="0"/>
      <w:sz w:val="20"/>
      <w:szCs w:val="20"/>
      <w:u w:val="none"/>
      <w:lang w:val="zh-CN"/>
    </w:rPr>
  </w:style>
  <w:style w:type="character" w:customStyle="1" w:styleId="110">
    <w:name w:val="标题 #3 (5)_"/>
    <w:link w:val="111"/>
    <w:qFormat/>
    <w:uiPriority w:val="0"/>
    <w:rPr>
      <w:rFonts w:ascii="宋体" w:hAnsi="宋体"/>
      <w:sz w:val="28"/>
      <w:szCs w:val="28"/>
      <w:shd w:val="clear" w:color="auto" w:fill="FFFFFF"/>
    </w:rPr>
  </w:style>
  <w:style w:type="paragraph" w:customStyle="1" w:styleId="111">
    <w:name w:val="标题 #3 (5)"/>
    <w:basedOn w:val="1"/>
    <w:link w:val="110"/>
    <w:qFormat/>
    <w:uiPriority w:val="0"/>
    <w:pPr>
      <w:widowControl/>
      <w:shd w:val="clear" w:color="auto" w:fill="FFFFFF"/>
      <w:adjustRightInd w:val="0"/>
      <w:snapToGrid w:val="0"/>
      <w:spacing w:beforeLines="50" w:afterLines="30" w:line="0" w:lineRule="atLeast"/>
      <w:ind w:firstLine="200" w:firstLineChars="200"/>
      <w:outlineLvl w:val="2"/>
    </w:pPr>
    <w:rPr>
      <w:rFonts w:ascii="宋体" w:hAnsi="宋体"/>
      <w:sz w:val="28"/>
      <w:szCs w:val="28"/>
      <w:shd w:val="clear" w:color="auto" w:fill="FFFFFF"/>
    </w:rPr>
  </w:style>
  <w:style w:type="character" w:customStyle="1" w:styleId="112">
    <w:name w:val="标题11"/>
    <w:qFormat/>
    <w:uiPriority w:val="0"/>
  </w:style>
  <w:style w:type="character" w:customStyle="1" w:styleId="113">
    <w:name w:val="h31"/>
    <w:qFormat/>
    <w:uiPriority w:val="0"/>
    <w:rPr>
      <w:sz w:val="21"/>
      <w:szCs w:val="21"/>
    </w:rPr>
  </w:style>
  <w:style w:type="character" w:customStyle="1" w:styleId="114">
    <w:name w:val="正文文本 (29) + 间距 1 pt"/>
    <w:qFormat/>
    <w:uiPriority w:val="0"/>
    <w:rPr>
      <w:rFonts w:ascii="宋体" w:hAnsi="宋体" w:eastAsia="宋体" w:cs="宋体"/>
      <w:color w:val="000000"/>
      <w:spacing w:val="30"/>
      <w:w w:val="100"/>
      <w:position w:val="0"/>
      <w:sz w:val="20"/>
      <w:szCs w:val="20"/>
      <w:u w:val="none"/>
      <w:lang w:val="zh-CN"/>
    </w:rPr>
  </w:style>
  <w:style w:type="character" w:customStyle="1" w:styleId="115">
    <w:name w:val="正文文本缩进 字符"/>
    <w:link w:val="19"/>
    <w:qFormat/>
    <w:uiPriority w:val="0"/>
    <w:rPr>
      <w:rFonts w:ascii="Times New Roman" w:hAnsi="Times New Roman"/>
      <w:szCs w:val="24"/>
    </w:rPr>
  </w:style>
  <w:style w:type="character" w:customStyle="1" w:styleId="116">
    <w:name w:val="正文文本缩进 字符1"/>
    <w:basedOn w:val="45"/>
    <w:qFormat/>
    <w:uiPriority w:val="99"/>
  </w:style>
  <w:style w:type="character" w:customStyle="1" w:styleId="117">
    <w:name w:val="图表标题1 Char"/>
    <w:link w:val="118"/>
    <w:qFormat/>
    <w:uiPriority w:val="0"/>
    <w:rPr>
      <w:sz w:val="18"/>
      <w:szCs w:val="18"/>
    </w:rPr>
  </w:style>
  <w:style w:type="paragraph" w:customStyle="1" w:styleId="118">
    <w:name w:val="图表标题1"/>
    <w:basedOn w:val="1"/>
    <w:link w:val="117"/>
    <w:qFormat/>
    <w:uiPriority w:val="0"/>
    <w:pPr>
      <w:widowControl/>
      <w:adjustRightInd w:val="0"/>
      <w:snapToGrid w:val="0"/>
      <w:spacing w:beforeLines="50" w:afterLines="30" w:line="312" w:lineRule="auto"/>
      <w:ind w:firstLine="556" w:firstLineChars="200"/>
      <w:jc w:val="center"/>
    </w:pPr>
    <w:rPr>
      <w:sz w:val="18"/>
      <w:szCs w:val="18"/>
    </w:rPr>
  </w:style>
  <w:style w:type="character" w:customStyle="1" w:styleId="119">
    <w:name w:val="正文样式 Char"/>
    <w:link w:val="120"/>
    <w:qFormat/>
    <w:uiPriority w:val="0"/>
    <w:rPr>
      <w:sz w:val="24"/>
      <w:szCs w:val="24"/>
      <w:lang w:eastAsia="en-US" w:bidi="en-US"/>
    </w:rPr>
  </w:style>
  <w:style w:type="paragraph" w:customStyle="1" w:styleId="120">
    <w:name w:val="正文样式"/>
    <w:basedOn w:val="1"/>
    <w:link w:val="119"/>
    <w:qFormat/>
    <w:uiPriority w:val="0"/>
    <w:pPr>
      <w:widowControl/>
      <w:adjustRightInd w:val="0"/>
      <w:snapToGrid w:val="0"/>
      <w:spacing w:beforeLines="20" w:afterLines="20" w:line="300" w:lineRule="auto"/>
      <w:ind w:firstLine="480" w:firstLineChars="200"/>
      <w:jc w:val="left"/>
    </w:pPr>
    <w:rPr>
      <w:sz w:val="24"/>
      <w:szCs w:val="24"/>
      <w:lang w:eastAsia="en-US" w:bidi="en-US"/>
    </w:rPr>
  </w:style>
  <w:style w:type="character" w:customStyle="1" w:styleId="121">
    <w:name w:val="表题注 Char"/>
    <w:link w:val="122"/>
    <w:qFormat/>
    <w:uiPriority w:val="0"/>
    <w:rPr>
      <w:rFonts w:ascii="宋体" w:hAnsi="宋体" w:eastAsia="黑体"/>
      <w:b/>
      <w:szCs w:val="21"/>
    </w:rPr>
  </w:style>
  <w:style w:type="paragraph" w:customStyle="1" w:styleId="122">
    <w:name w:val="表题注"/>
    <w:basedOn w:val="16"/>
    <w:link w:val="121"/>
    <w:qFormat/>
    <w:uiPriority w:val="0"/>
    <w:rPr>
      <w:rFonts w:ascii="宋体" w:hAnsi="宋体" w:eastAsia="黑体" w:cs="宋体"/>
      <w:kern w:val="2"/>
      <w:sz w:val="21"/>
      <w:szCs w:val="21"/>
    </w:rPr>
  </w:style>
  <w:style w:type="character" w:customStyle="1" w:styleId="123">
    <w:name w:val="题注 字符"/>
    <w:link w:val="16"/>
    <w:qFormat/>
    <w:uiPriority w:val="0"/>
    <w:rPr>
      <w:rFonts w:ascii="Times New Roman" w:hAnsi="Times New Roman" w:eastAsia="宋体" w:cs="Times New Roman"/>
      <w:b/>
      <w:kern w:val="0"/>
      <w:sz w:val="20"/>
      <w:szCs w:val="20"/>
    </w:rPr>
  </w:style>
  <w:style w:type="character" w:customStyle="1" w:styleId="124">
    <w:name w:val="正文文本缩进 2 字符1"/>
    <w:basedOn w:val="45"/>
    <w:qFormat/>
    <w:uiPriority w:val="99"/>
  </w:style>
  <w:style w:type="character" w:customStyle="1" w:styleId="125">
    <w:name w:val="副标题 字符2"/>
    <w:link w:val="30"/>
    <w:qFormat/>
    <w:uiPriority w:val="0"/>
    <w:rPr>
      <w:rFonts w:ascii="Arial" w:hAnsi="Arial"/>
      <w:b/>
      <w:bCs/>
      <w:kern w:val="28"/>
      <w:sz w:val="32"/>
      <w:szCs w:val="32"/>
    </w:rPr>
  </w:style>
  <w:style w:type="character" w:customStyle="1" w:styleId="126">
    <w:name w:val="副标题 字符1"/>
    <w:basedOn w:val="45"/>
    <w:qFormat/>
    <w:uiPriority w:val="11"/>
    <w:rPr>
      <w:b/>
      <w:bCs/>
      <w:kern w:val="28"/>
      <w:sz w:val="32"/>
      <w:szCs w:val="32"/>
    </w:rPr>
  </w:style>
  <w:style w:type="character" w:customStyle="1" w:styleId="127">
    <w:name w:val="副标题 Char1"/>
    <w:basedOn w:val="45"/>
    <w:qFormat/>
    <w:uiPriority w:val="11"/>
    <w:rPr>
      <w:rFonts w:ascii="Cambria" w:hAnsi="Cambria" w:eastAsia="宋体" w:cs="宋体"/>
      <w:b/>
      <w:bCs/>
      <w:kern w:val="28"/>
      <w:sz w:val="32"/>
      <w:szCs w:val="32"/>
    </w:rPr>
  </w:style>
  <w:style w:type="character" w:customStyle="1" w:styleId="128">
    <w:name w:val="zw1"/>
    <w:qFormat/>
    <w:uiPriority w:val="0"/>
  </w:style>
  <w:style w:type="character" w:customStyle="1" w:styleId="129">
    <w:name w:val="表格题目 Char"/>
    <w:link w:val="130"/>
    <w:qFormat/>
    <w:uiPriority w:val="0"/>
    <w:rPr>
      <w:rFonts w:ascii="Times New Roman" w:hAnsi="Times New Roman" w:eastAsia="黑体"/>
      <w:bCs/>
      <w:kern w:val="44"/>
      <w:szCs w:val="32"/>
    </w:rPr>
  </w:style>
  <w:style w:type="paragraph" w:customStyle="1" w:styleId="130">
    <w:name w:val="表格题目"/>
    <w:basedOn w:val="1"/>
    <w:link w:val="129"/>
    <w:qFormat/>
    <w:uiPriority w:val="0"/>
    <w:pPr>
      <w:keepNext/>
      <w:widowControl/>
      <w:adjustRightInd w:val="0"/>
      <w:snapToGrid w:val="0"/>
      <w:spacing w:beforeLines="20" w:afterLines="20" w:line="300" w:lineRule="auto"/>
      <w:ind w:firstLine="200" w:firstLineChars="200"/>
      <w:jc w:val="center"/>
    </w:pPr>
    <w:rPr>
      <w:rFonts w:ascii="Times New Roman" w:hAnsi="Times New Roman" w:eastAsia="黑体"/>
      <w:bCs/>
      <w:kern w:val="44"/>
      <w:szCs w:val="32"/>
    </w:rPr>
  </w:style>
  <w:style w:type="character" w:customStyle="1" w:styleId="131">
    <w:name w:val="正文文本 (29) + Arial Unicode MS"/>
    <w:qFormat/>
    <w:uiPriority w:val="0"/>
    <w:rPr>
      <w:rFonts w:ascii="Arial Unicode MS" w:hAnsi="Arial Unicode MS" w:eastAsia="Arial Unicode MS" w:cs="Arial Unicode MS"/>
      <w:color w:val="000000"/>
      <w:spacing w:val="10"/>
      <w:w w:val="100"/>
      <w:position w:val="0"/>
      <w:sz w:val="17"/>
      <w:szCs w:val="17"/>
      <w:u w:val="none"/>
      <w:lang w:val="en-US"/>
    </w:rPr>
  </w:style>
  <w:style w:type="character" w:customStyle="1" w:styleId="132">
    <w:name w:val="标题 #4 (4)_"/>
    <w:link w:val="133"/>
    <w:qFormat/>
    <w:uiPriority w:val="0"/>
    <w:rPr>
      <w:rFonts w:ascii="宋体" w:hAnsi="宋体" w:cs="宋体"/>
      <w:b/>
      <w:bCs/>
      <w:sz w:val="22"/>
      <w:shd w:val="clear" w:color="auto" w:fill="FFFFFF"/>
    </w:rPr>
  </w:style>
  <w:style w:type="paragraph" w:customStyle="1" w:styleId="133">
    <w:name w:val="标题 #4 (4)"/>
    <w:basedOn w:val="1"/>
    <w:link w:val="132"/>
    <w:qFormat/>
    <w:uiPriority w:val="0"/>
    <w:pPr>
      <w:widowControl/>
      <w:shd w:val="clear" w:color="auto" w:fill="FFFFFF"/>
      <w:adjustRightInd w:val="0"/>
      <w:snapToGrid w:val="0"/>
      <w:spacing w:beforeLines="50" w:afterLines="30" w:line="331" w:lineRule="exact"/>
      <w:ind w:firstLine="200" w:firstLineChars="200"/>
      <w:jc w:val="distribute"/>
      <w:outlineLvl w:val="3"/>
    </w:pPr>
    <w:rPr>
      <w:rFonts w:ascii="宋体" w:hAnsi="宋体" w:cs="宋体"/>
      <w:b/>
      <w:bCs/>
      <w:sz w:val="22"/>
    </w:rPr>
  </w:style>
  <w:style w:type="character" w:customStyle="1" w:styleId="134">
    <w:name w:val="图表内容 Char Char"/>
    <w:link w:val="135"/>
    <w:qFormat/>
    <w:uiPriority w:val="0"/>
    <w:rPr>
      <w:rFonts w:ascii="宋体" w:hAnsi="宋体"/>
      <w:bCs/>
      <w:color w:val="000000"/>
      <w:szCs w:val="21"/>
    </w:rPr>
  </w:style>
  <w:style w:type="paragraph" w:customStyle="1" w:styleId="135">
    <w:name w:val="图表内容"/>
    <w:link w:val="134"/>
    <w:qFormat/>
    <w:uiPriority w:val="0"/>
    <w:pPr>
      <w:tabs>
        <w:tab w:val="left" w:pos="1696"/>
      </w:tabs>
      <w:adjustRightInd w:val="0"/>
      <w:snapToGrid w:val="0"/>
      <w:spacing w:beforeLines="50"/>
      <w:ind w:firstLine="200" w:firstLineChars="200"/>
      <w:jc w:val="center"/>
      <w:textAlignment w:val="baseline"/>
    </w:pPr>
    <w:rPr>
      <w:rFonts w:ascii="宋体" w:hAnsi="宋体" w:eastAsia="宋体" w:cs="宋体"/>
      <w:bCs/>
      <w:color w:val="000000"/>
      <w:kern w:val="2"/>
      <w:sz w:val="21"/>
      <w:szCs w:val="21"/>
      <w:lang w:val="en-US" w:eastAsia="zh-CN" w:bidi="ar-SA"/>
    </w:rPr>
  </w:style>
  <w:style w:type="character" w:customStyle="1" w:styleId="136">
    <w:name w:val="正文文本 (28) + Gulim"/>
    <w:qFormat/>
    <w:uiPriority w:val="0"/>
    <w:rPr>
      <w:rFonts w:ascii="Gulim" w:hAnsi="Gulim" w:eastAsia="Gulim" w:cs="Gulim"/>
      <w:b/>
      <w:bCs/>
      <w:color w:val="000000"/>
      <w:spacing w:val="0"/>
      <w:w w:val="100"/>
      <w:position w:val="0"/>
      <w:sz w:val="18"/>
      <w:szCs w:val="18"/>
      <w:u w:val="none"/>
    </w:rPr>
  </w:style>
  <w:style w:type="character" w:customStyle="1" w:styleId="137">
    <w:name w:val="标题1"/>
    <w:qFormat/>
    <w:uiPriority w:val="0"/>
  </w:style>
  <w:style w:type="character" w:customStyle="1" w:styleId="138">
    <w:name w:val="标题 3 Char1"/>
    <w:qFormat/>
    <w:uiPriority w:val="9"/>
    <w:rPr>
      <w:rFonts w:ascii="仿宋" w:hAnsi="仿宋" w:eastAsia="仿宋"/>
      <w:bCs/>
      <w:sz w:val="21"/>
      <w:szCs w:val="21"/>
      <w:lang w:val="zh-CN" w:eastAsia="zh-CN" w:bidi="en-US"/>
    </w:rPr>
  </w:style>
  <w:style w:type="character" w:customStyle="1" w:styleId="139">
    <w:name w:val="正文文本 (29)_"/>
    <w:link w:val="140"/>
    <w:qFormat/>
    <w:uiPriority w:val="0"/>
    <w:rPr>
      <w:rFonts w:ascii="宋体" w:hAnsi="宋体"/>
      <w:shd w:val="clear" w:color="auto" w:fill="FFFFFF"/>
    </w:rPr>
  </w:style>
  <w:style w:type="paragraph" w:customStyle="1" w:styleId="140">
    <w:name w:val="正文文本 (29)"/>
    <w:basedOn w:val="1"/>
    <w:link w:val="139"/>
    <w:qFormat/>
    <w:uiPriority w:val="0"/>
    <w:pPr>
      <w:widowControl/>
      <w:shd w:val="clear" w:color="auto" w:fill="FFFFFF"/>
      <w:adjustRightInd w:val="0"/>
      <w:snapToGrid w:val="0"/>
      <w:spacing w:beforeLines="50" w:afterLines="30" w:line="0" w:lineRule="atLeast"/>
      <w:ind w:firstLine="200" w:firstLineChars="200"/>
      <w:jc w:val="distribute"/>
    </w:pPr>
    <w:rPr>
      <w:rFonts w:ascii="宋体" w:hAnsi="宋体"/>
      <w:shd w:val="clear" w:color="auto" w:fill="FFFFFF"/>
    </w:rPr>
  </w:style>
  <w:style w:type="character" w:customStyle="1" w:styleId="141">
    <w:name w:val="HTML 预设格式 字符"/>
    <w:link w:val="38"/>
    <w:qFormat/>
    <w:uiPriority w:val="99"/>
    <w:rPr>
      <w:rFonts w:ascii="宋体" w:hAnsi="宋体"/>
      <w:sz w:val="24"/>
      <w:szCs w:val="24"/>
    </w:rPr>
  </w:style>
  <w:style w:type="character" w:customStyle="1" w:styleId="142">
    <w:name w:val="HTML 预设格式 字符1"/>
    <w:basedOn w:val="45"/>
    <w:qFormat/>
    <w:uiPriority w:val="99"/>
    <w:rPr>
      <w:rFonts w:ascii="Courier New" w:hAnsi="Courier New" w:cs="Courier New"/>
      <w:sz w:val="20"/>
      <w:szCs w:val="20"/>
    </w:rPr>
  </w:style>
  <w:style w:type="character" w:customStyle="1" w:styleId="143">
    <w:name w:val="HTML 预设格式 Char1"/>
    <w:basedOn w:val="45"/>
    <w:qFormat/>
    <w:uiPriority w:val="99"/>
    <w:rPr>
      <w:rFonts w:ascii="Courier New" w:hAnsi="Courier New" w:cs="Courier New"/>
      <w:sz w:val="20"/>
      <w:szCs w:val="20"/>
    </w:rPr>
  </w:style>
  <w:style w:type="character" w:customStyle="1" w:styleId="144">
    <w:name w:val="列表 字符"/>
    <w:link w:val="31"/>
    <w:qFormat/>
    <w:uiPriority w:val="99"/>
    <w:rPr>
      <w:rFonts w:ascii="Times New Roman" w:hAnsi="Times New Roman"/>
      <w:b/>
      <w:szCs w:val="24"/>
    </w:rPr>
  </w:style>
  <w:style w:type="character" w:customStyle="1" w:styleId="145">
    <w:name w:val="标题 5 Char1"/>
    <w:qFormat/>
    <w:uiPriority w:val="0"/>
    <w:rPr>
      <w:rFonts w:ascii="Times New Roman" w:hAnsi="Times New Roman"/>
      <w:b/>
      <w:bCs/>
      <w:kern w:val="2"/>
      <w:sz w:val="28"/>
      <w:szCs w:val="28"/>
    </w:rPr>
  </w:style>
  <w:style w:type="character" w:customStyle="1" w:styleId="146">
    <w:name w:val="注释标题 字符"/>
    <w:link w:val="14"/>
    <w:qFormat/>
    <w:uiPriority w:val="0"/>
    <w:rPr>
      <w:rFonts w:ascii="Times New Roman" w:hAnsi="Times New Roman"/>
      <w:sz w:val="24"/>
      <w:szCs w:val="24"/>
    </w:rPr>
  </w:style>
  <w:style w:type="character" w:customStyle="1" w:styleId="147">
    <w:name w:val="注释标题 字符1"/>
    <w:basedOn w:val="45"/>
    <w:qFormat/>
    <w:uiPriority w:val="99"/>
  </w:style>
  <w:style w:type="character" w:customStyle="1" w:styleId="148">
    <w:name w:val="正文文本首行缩进 字符"/>
    <w:link w:val="42"/>
    <w:qFormat/>
    <w:uiPriority w:val="0"/>
    <w:rPr>
      <w:rFonts w:ascii="Times New Roman" w:hAnsi="Times New Roman" w:eastAsia="宋体" w:cs="Times New Roman"/>
      <w:sz w:val="24"/>
      <w:szCs w:val="24"/>
    </w:rPr>
  </w:style>
  <w:style w:type="character" w:customStyle="1" w:styleId="149">
    <w:name w:val="正文文本 Char"/>
    <w:qFormat/>
    <w:uiPriority w:val="0"/>
    <w:rPr>
      <w:rFonts w:ascii="Times New Roman" w:hAnsi="Times New Roman" w:eastAsia="宋体" w:cs="Times New Roman"/>
      <w:szCs w:val="24"/>
    </w:rPr>
  </w:style>
  <w:style w:type="character" w:customStyle="1" w:styleId="150">
    <w:name w:val="正文文本 字符"/>
    <w:basedOn w:val="45"/>
    <w:link w:val="2"/>
    <w:qFormat/>
    <w:uiPriority w:val="0"/>
    <w:rPr>
      <w:rFonts w:ascii="Calibri" w:hAnsi="Calibri" w:eastAsia="宋体" w:cs="Times New Roman"/>
      <w:kern w:val="0"/>
      <w:sz w:val="20"/>
      <w:szCs w:val="21"/>
    </w:rPr>
  </w:style>
  <w:style w:type="character" w:customStyle="1" w:styleId="151">
    <w:name w:val="正文首行缩进 字符1"/>
    <w:basedOn w:val="150"/>
    <w:qFormat/>
    <w:uiPriority w:val="99"/>
    <w:rPr>
      <w:rFonts w:ascii="Calibri" w:hAnsi="Calibri" w:eastAsia="宋体" w:cs="Times New Roman"/>
      <w:kern w:val="0"/>
      <w:sz w:val="20"/>
      <w:szCs w:val="21"/>
    </w:rPr>
  </w:style>
  <w:style w:type="character" w:customStyle="1" w:styleId="152">
    <w:name w:val="正文首行缩进 Char1"/>
    <w:basedOn w:val="150"/>
    <w:qFormat/>
    <w:uiPriority w:val="99"/>
    <w:rPr>
      <w:rFonts w:ascii="Calibri" w:hAnsi="Calibri" w:eastAsia="宋体" w:cs="Times New Roman"/>
      <w:kern w:val="0"/>
      <w:sz w:val="20"/>
      <w:szCs w:val="21"/>
    </w:rPr>
  </w:style>
  <w:style w:type="character" w:customStyle="1" w:styleId="153">
    <w:name w:val="圆点段 Char Char Char"/>
    <w:link w:val="154"/>
    <w:qFormat/>
    <w:uiPriority w:val="0"/>
    <w:rPr>
      <w:rFonts w:ascii="宋体" w:hAnsi="Times New Roman"/>
      <w:sz w:val="24"/>
      <w:szCs w:val="24"/>
    </w:rPr>
  </w:style>
  <w:style w:type="paragraph" w:customStyle="1" w:styleId="154">
    <w:name w:val="圆点段 Char Char"/>
    <w:basedOn w:val="1"/>
    <w:link w:val="153"/>
    <w:qFormat/>
    <w:uiPriority w:val="0"/>
    <w:pPr>
      <w:widowControl/>
      <w:tabs>
        <w:tab w:val="left" w:pos="1273"/>
      </w:tabs>
      <w:adjustRightInd w:val="0"/>
      <w:snapToGrid w:val="0"/>
      <w:spacing w:beforeLines="50" w:afterLines="30" w:line="500" w:lineRule="exact"/>
      <w:ind w:left="1273" w:firstLine="200" w:firstLineChars="200"/>
    </w:pPr>
    <w:rPr>
      <w:rFonts w:ascii="宋体" w:hAnsi="Times New Roman"/>
      <w:sz w:val="24"/>
      <w:szCs w:val="24"/>
    </w:rPr>
  </w:style>
  <w:style w:type="character" w:customStyle="1" w:styleId="155">
    <w:name w:val="样式1 Char"/>
    <w:qFormat/>
    <w:uiPriority w:val="0"/>
    <w:rPr>
      <w:rFonts w:ascii="Times New Roman" w:hAnsi="Times New Roman"/>
      <w:color w:val="000000"/>
      <w:sz w:val="24"/>
      <w:szCs w:val="24"/>
    </w:rPr>
  </w:style>
  <w:style w:type="character" w:customStyle="1" w:styleId="156">
    <w:name w:val="文本 Char"/>
    <w:link w:val="157"/>
    <w:qFormat/>
    <w:uiPriority w:val="0"/>
    <w:rPr>
      <w:rFonts w:ascii="宋体" w:hAnsi="宋体" w:cs="Calibri"/>
      <w:sz w:val="24"/>
      <w:szCs w:val="24"/>
    </w:rPr>
  </w:style>
  <w:style w:type="paragraph" w:customStyle="1" w:styleId="157">
    <w:name w:val="文本"/>
    <w:basedOn w:val="1"/>
    <w:link w:val="156"/>
    <w:qFormat/>
    <w:uiPriority w:val="0"/>
    <w:pPr>
      <w:widowControl/>
      <w:adjustRightInd w:val="0"/>
      <w:snapToGrid w:val="0"/>
      <w:spacing w:beforeLines="50" w:afterLines="30" w:line="360" w:lineRule="exact"/>
      <w:ind w:firstLine="480" w:firstLineChars="200"/>
    </w:pPr>
    <w:rPr>
      <w:rFonts w:ascii="宋体" w:hAnsi="宋体" w:cs="Calibri"/>
      <w:sz w:val="24"/>
      <w:szCs w:val="24"/>
    </w:rPr>
  </w:style>
  <w:style w:type="character" w:customStyle="1" w:styleId="158">
    <w:name w:val="正文文本缩进 3 字符"/>
    <w:link w:val="34"/>
    <w:qFormat/>
    <w:uiPriority w:val="0"/>
    <w:rPr>
      <w:sz w:val="16"/>
      <w:szCs w:val="16"/>
    </w:rPr>
  </w:style>
  <w:style w:type="character" w:customStyle="1" w:styleId="159">
    <w:name w:val="正文文本缩进 3 字符1"/>
    <w:basedOn w:val="45"/>
    <w:qFormat/>
    <w:uiPriority w:val="99"/>
    <w:rPr>
      <w:sz w:val="16"/>
      <w:szCs w:val="16"/>
    </w:rPr>
  </w:style>
  <w:style w:type="character" w:customStyle="1" w:styleId="160">
    <w:name w:val="正文文本缩进 3 Char1"/>
    <w:basedOn w:val="45"/>
    <w:qFormat/>
    <w:uiPriority w:val="99"/>
    <w:rPr>
      <w:sz w:val="16"/>
      <w:szCs w:val="16"/>
    </w:rPr>
  </w:style>
  <w:style w:type="character" w:customStyle="1" w:styleId="161">
    <w:name w:val="GN表格 Char"/>
    <w:link w:val="162"/>
    <w:qFormat/>
    <w:uiPriority w:val="0"/>
    <w:rPr>
      <w:rFonts w:ascii="宋体" w:hAnsi="宋体"/>
      <w:bCs/>
      <w:szCs w:val="21"/>
    </w:rPr>
  </w:style>
  <w:style w:type="paragraph" w:customStyle="1" w:styleId="162">
    <w:name w:val="GN表格"/>
    <w:basedOn w:val="1"/>
    <w:link w:val="161"/>
    <w:qFormat/>
    <w:uiPriority w:val="0"/>
    <w:pPr>
      <w:widowControl/>
      <w:adjustRightInd w:val="0"/>
      <w:snapToGrid w:val="0"/>
      <w:spacing w:beforeLines="50" w:afterLines="30" w:line="312" w:lineRule="auto"/>
      <w:ind w:firstLine="200" w:firstLineChars="200"/>
      <w:jc w:val="center"/>
    </w:pPr>
    <w:rPr>
      <w:rFonts w:ascii="宋体" w:hAnsi="宋体"/>
      <w:bCs/>
      <w:szCs w:val="21"/>
    </w:rPr>
  </w:style>
  <w:style w:type="character" w:customStyle="1" w:styleId="163">
    <w:name w:val="不明显参考1"/>
    <w:qFormat/>
    <w:uiPriority w:val="31"/>
    <w:rPr>
      <w:smallCaps/>
      <w:color w:val="595959"/>
    </w:rPr>
  </w:style>
  <w:style w:type="character" w:customStyle="1" w:styleId="164">
    <w:name w:val="脚注文本 字符"/>
    <w:link w:val="32"/>
    <w:qFormat/>
    <w:uiPriority w:val="0"/>
    <w:rPr>
      <w:rFonts w:ascii="Times New Roman" w:hAnsi="Times New Roman"/>
      <w:sz w:val="18"/>
      <w:szCs w:val="24"/>
    </w:rPr>
  </w:style>
  <w:style w:type="character" w:customStyle="1" w:styleId="165">
    <w:name w:val="脚注文本 字符1"/>
    <w:basedOn w:val="45"/>
    <w:qFormat/>
    <w:uiPriority w:val="99"/>
    <w:rPr>
      <w:sz w:val="18"/>
      <w:szCs w:val="18"/>
    </w:rPr>
  </w:style>
  <w:style w:type="character" w:customStyle="1" w:styleId="166">
    <w:name w:val="脚注文本 Char1"/>
    <w:basedOn w:val="45"/>
    <w:qFormat/>
    <w:uiPriority w:val="99"/>
    <w:rPr>
      <w:sz w:val="18"/>
      <w:szCs w:val="18"/>
    </w:rPr>
  </w:style>
  <w:style w:type="character" w:customStyle="1" w:styleId="167">
    <w:name w:val="正文文本 (28)_"/>
    <w:link w:val="168"/>
    <w:qFormat/>
    <w:uiPriority w:val="0"/>
    <w:rPr>
      <w:rFonts w:ascii="宋体" w:hAnsi="宋体" w:cs="宋体"/>
      <w:b/>
      <w:bCs/>
      <w:sz w:val="22"/>
      <w:shd w:val="clear" w:color="auto" w:fill="FFFFFF"/>
    </w:rPr>
  </w:style>
  <w:style w:type="paragraph" w:customStyle="1" w:styleId="168">
    <w:name w:val="正文文本 (28)"/>
    <w:basedOn w:val="1"/>
    <w:link w:val="167"/>
    <w:qFormat/>
    <w:uiPriority w:val="0"/>
    <w:pPr>
      <w:widowControl/>
      <w:shd w:val="clear" w:color="auto" w:fill="FFFFFF"/>
      <w:adjustRightInd w:val="0"/>
      <w:snapToGrid w:val="0"/>
      <w:spacing w:beforeLines="50" w:afterLines="30" w:line="0" w:lineRule="atLeast"/>
      <w:ind w:firstLine="200" w:firstLineChars="200"/>
      <w:jc w:val="left"/>
    </w:pPr>
    <w:rPr>
      <w:rFonts w:ascii="宋体" w:hAnsi="宋体" w:cs="宋体"/>
      <w:b/>
      <w:bCs/>
      <w:sz w:val="22"/>
    </w:rPr>
  </w:style>
  <w:style w:type="character" w:customStyle="1" w:styleId="169">
    <w:name w:val="表格 Char Char"/>
    <w:qFormat/>
    <w:uiPriority w:val="0"/>
    <w:rPr>
      <w:rFonts w:ascii="Times New Roman" w:hAnsi="Times New Roman"/>
      <w:sz w:val="21"/>
      <w:lang w:bidi="ar-SA"/>
    </w:rPr>
  </w:style>
  <w:style w:type="character" w:customStyle="1" w:styleId="170">
    <w:name w:val="正文文本 + 6 pt"/>
    <w:qFormat/>
    <w:uiPriority w:val="0"/>
    <w:rPr>
      <w:rFonts w:ascii="Arial Unicode MS" w:hAnsi="Arial Unicode MS" w:eastAsia="Arial Unicode MS" w:cs="Arial Unicode MS"/>
      <w:color w:val="000000"/>
      <w:spacing w:val="20"/>
      <w:w w:val="100"/>
      <w:position w:val="0"/>
      <w:sz w:val="12"/>
      <w:szCs w:val="12"/>
      <w:u w:val="none"/>
      <w:lang w:val="en-US"/>
    </w:rPr>
  </w:style>
  <w:style w:type="character" w:customStyle="1" w:styleId="171">
    <w:name w:val="正文文本1"/>
    <w:qFormat/>
    <w:uiPriority w:val="0"/>
    <w:rPr>
      <w:rFonts w:ascii="Arial Unicode MS" w:hAnsi="Arial Unicode MS" w:eastAsia="Arial Unicode MS" w:cs="Arial Unicode MS"/>
      <w:color w:val="000000"/>
      <w:spacing w:val="0"/>
      <w:w w:val="100"/>
      <w:position w:val="0"/>
      <w:sz w:val="20"/>
      <w:szCs w:val="20"/>
      <w:u w:val="none"/>
      <w:lang w:val="zh-CN"/>
    </w:rPr>
  </w:style>
  <w:style w:type="character" w:customStyle="1" w:styleId="172">
    <w:name w:val="四级标题 Char"/>
    <w:link w:val="173"/>
    <w:qFormat/>
    <w:uiPriority w:val="0"/>
    <w:rPr>
      <w:rFonts w:ascii="黑体" w:hAnsi="Arial Unicode MS" w:eastAsia="黑体"/>
      <w:sz w:val="24"/>
      <w:szCs w:val="24"/>
    </w:rPr>
  </w:style>
  <w:style w:type="paragraph" w:customStyle="1" w:styleId="173">
    <w:name w:val="四级标题"/>
    <w:basedOn w:val="1"/>
    <w:link w:val="172"/>
    <w:qFormat/>
    <w:uiPriority w:val="0"/>
    <w:pPr>
      <w:widowControl/>
      <w:adjustRightInd w:val="0"/>
      <w:snapToGrid w:val="0"/>
      <w:spacing w:beforeLines="50" w:afterLines="30" w:line="400" w:lineRule="exact"/>
      <w:ind w:firstLine="480" w:firstLineChars="200"/>
    </w:pPr>
    <w:rPr>
      <w:rFonts w:ascii="黑体" w:hAnsi="Arial Unicode MS" w:eastAsia="黑体"/>
      <w:sz w:val="24"/>
      <w:szCs w:val="24"/>
    </w:rPr>
  </w:style>
  <w:style w:type="character" w:customStyle="1" w:styleId="174">
    <w:name w:val="正文文本_"/>
    <w:link w:val="175"/>
    <w:qFormat/>
    <w:uiPriority w:val="0"/>
    <w:rPr>
      <w:rFonts w:ascii="Arial Unicode MS" w:hAnsi="Arial Unicode MS" w:eastAsia="Arial Unicode MS"/>
      <w:shd w:val="clear" w:color="auto" w:fill="FFFFFF"/>
    </w:rPr>
  </w:style>
  <w:style w:type="paragraph" w:customStyle="1" w:styleId="175">
    <w:name w:val="正文文本3"/>
    <w:basedOn w:val="1"/>
    <w:link w:val="174"/>
    <w:qFormat/>
    <w:uiPriority w:val="0"/>
    <w:pPr>
      <w:widowControl/>
      <w:shd w:val="clear" w:color="auto" w:fill="FFFFFF"/>
      <w:adjustRightInd w:val="0"/>
      <w:snapToGrid w:val="0"/>
      <w:spacing w:beforeLines="50" w:afterLines="30" w:line="0" w:lineRule="atLeast"/>
      <w:ind w:hanging="1460" w:firstLineChars="200"/>
      <w:jc w:val="left"/>
    </w:pPr>
    <w:rPr>
      <w:rFonts w:ascii="Arial Unicode MS" w:hAnsi="Arial Unicode MS" w:eastAsia="Arial Unicode MS"/>
    </w:rPr>
  </w:style>
  <w:style w:type="character" w:customStyle="1" w:styleId="176">
    <w:name w:val="样式 标题 3h3H3sect1.2.3标题 3 Char Charsect1.2.31sect1.2.32sec... Char"/>
    <w:link w:val="177"/>
    <w:qFormat/>
    <w:uiPriority w:val="0"/>
    <w:rPr>
      <w:rFonts w:ascii="Times New Roman" w:hAnsi="Times New Roman"/>
      <w:b/>
      <w:bCs/>
      <w:sz w:val="24"/>
      <w:szCs w:val="26"/>
      <w:lang w:eastAsia="en-US" w:bidi="en-US"/>
    </w:rPr>
  </w:style>
  <w:style w:type="paragraph" w:customStyle="1" w:styleId="177">
    <w:name w:val="样式 标题 3h3H3sect1.2.3标题 3 Char Charsect1.2.31sect1.2.32sec..."/>
    <w:basedOn w:val="6"/>
    <w:link w:val="176"/>
    <w:qFormat/>
    <w:uiPriority w:val="0"/>
    <w:pPr>
      <w:keepLines w:val="0"/>
      <w:widowControl/>
      <w:adjustRightInd w:val="0"/>
      <w:snapToGrid w:val="0"/>
      <w:spacing w:beforeLines="50" w:afterLines="30" w:line="240" w:lineRule="auto"/>
      <w:ind w:firstLine="200" w:firstLineChars="200"/>
      <w:jc w:val="left"/>
    </w:pPr>
    <w:rPr>
      <w:rFonts w:ascii="Times New Roman" w:hAnsi="Times New Roman"/>
      <w:sz w:val="24"/>
      <w:szCs w:val="26"/>
      <w:lang w:eastAsia="en-US" w:bidi="en-US"/>
    </w:rPr>
  </w:style>
  <w:style w:type="character" w:customStyle="1" w:styleId="178">
    <w:name w:val="标题 3 Char Char Char1"/>
    <w:qFormat/>
    <w:uiPriority w:val="9"/>
    <w:rPr>
      <w:rFonts w:ascii="仿宋" w:hAnsi="仿宋" w:eastAsia="仿宋"/>
      <w:bCs/>
      <w:sz w:val="21"/>
      <w:szCs w:val="21"/>
      <w:lang w:val="zh-CN" w:bidi="en-US"/>
    </w:rPr>
  </w:style>
  <w:style w:type="character" w:customStyle="1" w:styleId="179">
    <w:name w:val="标题 5 Char Char Char1"/>
    <w:qFormat/>
    <w:uiPriority w:val="0"/>
    <w:rPr>
      <w:rFonts w:ascii="Times New Roman" w:hAnsi="Times New Roman"/>
      <w:b/>
      <w:bCs/>
      <w:kern w:val="2"/>
      <w:sz w:val="28"/>
      <w:szCs w:val="28"/>
    </w:rPr>
  </w:style>
  <w:style w:type="character" w:customStyle="1" w:styleId="180">
    <w:name w:val="日期 Char1"/>
    <w:qFormat/>
    <w:uiPriority w:val="99"/>
    <w:rPr>
      <w:rFonts w:ascii="Calibri" w:hAnsi="Calibri" w:eastAsia="宋体" w:cs="Calibri"/>
      <w:szCs w:val="21"/>
    </w:rPr>
  </w:style>
  <w:style w:type="character" w:customStyle="1" w:styleId="181">
    <w:name w:val="表格标注 Char1"/>
    <w:link w:val="182"/>
    <w:qFormat/>
    <w:uiPriority w:val="0"/>
    <w:rPr>
      <w:rFonts w:ascii="宋体" w:hAnsi="宋体"/>
      <w:b/>
      <w:i/>
      <w:color w:val="000000"/>
    </w:rPr>
  </w:style>
  <w:style w:type="paragraph" w:customStyle="1" w:styleId="182">
    <w:name w:val="表格标注"/>
    <w:basedOn w:val="1"/>
    <w:next w:val="15"/>
    <w:link w:val="181"/>
    <w:qFormat/>
    <w:uiPriority w:val="0"/>
    <w:pPr>
      <w:widowControl/>
      <w:adjustRightInd w:val="0"/>
      <w:snapToGrid w:val="0"/>
      <w:spacing w:beforeLines="50" w:afterLines="30" w:line="360" w:lineRule="auto"/>
      <w:ind w:firstLine="200" w:firstLineChars="200"/>
      <w:jc w:val="center"/>
    </w:pPr>
    <w:rPr>
      <w:rFonts w:ascii="宋体" w:hAnsi="宋体"/>
      <w:b/>
      <w:i/>
      <w:color w:val="000000"/>
    </w:rPr>
  </w:style>
  <w:style w:type="character" w:customStyle="1" w:styleId="183">
    <w:name w:val="尾注文本 字符"/>
    <w:link w:val="24"/>
    <w:qFormat/>
    <w:uiPriority w:val="99"/>
    <w:rPr>
      <w:rFonts w:ascii="Times New Roman" w:hAnsi="Times New Roman"/>
      <w:sz w:val="24"/>
      <w:szCs w:val="24"/>
    </w:rPr>
  </w:style>
  <w:style w:type="character" w:customStyle="1" w:styleId="184">
    <w:name w:val="尾注文本 字符1"/>
    <w:basedOn w:val="45"/>
    <w:qFormat/>
    <w:uiPriority w:val="99"/>
  </w:style>
  <w:style w:type="character" w:customStyle="1" w:styleId="185">
    <w:name w:val="表格 Char"/>
    <w:link w:val="186"/>
    <w:qFormat/>
    <w:uiPriority w:val="0"/>
    <w:rPr>
      <w:rFonts w:ascii="宋体" w:hAnsi="宋体"/>
      <w:szCs w:val="21"/>
    </w:rPr>
  </w:style>
  <w:style w:type="paragraph" w:customStyle="1" w:styleId="186">
    <w:name w:val="表格"/>
    <w:basedOn w:val="1"/>
    <w:link w:val="185"/>
    <w:qFormat/>
    <w:uiPriority w:val="0"/>
    <w:pPr>
      <w:widowControl/>
      <w:adjustRightInd w:val="0"/>
      <w:snapToGrid w:val="0"/>
      <w:spacing w:beforeLines="50" w:afterLines="30" w:line="312" w:lineRule="auto"/>
      <w:ind w:firstLine="200" w:firstLineChars="200"/>
      <w:jc w:val="center"/>
    </w:pPr>
    <w:rPr>
      <w:rFonts w:ascii="宋体" w:hAnsi="宋体"/>
      <w:szCs w:val="21"/>
    </w:rPr>
  </w:style>
  <w:style w:type="character" w:customStyle="1" w:styleId="187">
    <w:name w:val="可研正文 Char"/>
    <w:link w:val="188"/>
    <w:qFormat/>
    <w:uiPriority w:val="0"/>
    <w:rPr>
      <w:sz w:val="28"/>
    </w:rPr>
  </w:style>
  <w:style w:type="paragraph" w:customStyle="1" w:styleId="188">
    <w:name w:val="可研正文"/>
    <w:basedOn w:val="1"/>
    <w:link w:val="187"/>
    <w:qFormat/>
    <w:uiPriority w:val="0"/>
    <w:pPr>
      <w:widowControl/>
      <w:adjustRightInd w:val="0"/>
      <w:snapToGrid w:val="0"/>
      <w:spacing w:beforeLines="50" w:afterLines="30" w:line="360" w:lineRule="auto"/>
      <w:ind w:firstLine="560" w:firstLineChars="200"/>
    </w:pPr>
    <w:rPr>
      <w:sz w:val="28"/>
    </w:rPr>
  </w:style>
  <w:style w:type="character" w:customStyle="1" w:styleId="189">
    <w:name w:val="正文文本缩进 3 Char2"/>
    <w:qFormat/>
    <w:uiPriority w:val="99"/>
    <w:rPr>
      <w:rFonts w:cs="Calibri"/>
      <w:kern w:val="2"/>
      <w:sz w:val="16"/>
      <w:szCs w:val="16"/>
    </w:rPr>
  </w:style>
  <w:style w:type="paragraph" w:customStyle="1" w:styleId="190">
    <w:name w:val="标题4"/>
    <w:basedOn w:val="7"/>
    <w:qFormat/>
    <w:uiPriority w:val="0"/>
    <w:pPr>
      <w:widowControl/>
      <w:adjustRightInd w:val="0"/>
      <w:snapToGrid w:val="0"/>
      <w:spacing w:beforeLines="50" w:afterLines="30" w:line="360" w:lineRule="auto"/>
      <w:ind w:firstLine="640" w:firstLineChars="200"/>
    </w:pPr>
    <w:rPr>
      <w:rFonts w:ascii="Arial" w:hAnsi="Arial"/>
      <w:b w:val="0"/>
      <w:bCs w:val="0"/>
      <w:kern w:val="0"/>
      <w:sz w:val="24"/>
      <w:szCs w:val="24"/>
    </w:rPr>
  </w:style>
  <w:style w:type="paragraph" w:customStyle="1" w:styleId="191">
    <w:name w:val="样式 居中"/>
    <w:basedOn w:val="1"/>
    <w:qFormat/>
    <w:uiPriority w:val="0"/>
    <w:pPr>
      <w:widowControl/>
      <w:adjustRightInd w:val="0"/>
      <w:snapToGrid w:val="0"/>
      <w:spacing w:beforeLines="50" w:afterLines="30" w:line="288" w:lineRule="auto"/>
      <w:ind w:firstLine="200" w:firstLineChars="200"/>
      <w:jc w:val="center"/>
    </w:pPr>
    <w:rPr>
      <w:rFonts w:ascii="Times New Roman" w:hAnsi="Times New Roman" w:eastAsia="宋体" w:cs="宋体"/>
      <w:b/>
      <w:sz w:val="24"/>
      <w:szCs w:val="20"/>
    </w:rPr>
  </w:style>
  <w:style w:type="paragraph" w:customStyle="1" w:styleId="192">
    <w:name w:val="xl89"/>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50" w:beforeAutospacing="1" w:afterLines="30" w:afterAutospacing="1" w:line="312" w:lineRule="auto"/>
      <w:ind w:firstLine="200" w:firstLineChars="200"/>
      <w:jc w:val="center"/>
    </w:pPr>
    <w:rPr>
      <w:rFonts w:ascii="楷体_GB2312" w:hAnsi="宋体" w:eastAsia="楷体_GB2312" w:cs="宋体"/>
      <w:kern w:val="0"/>
      <w:sz w:val="18"/>
      <w:szCs w:val="18"/>
    </w:rPr>
  </w:style>
  <w:style w:type="paragraph" w:customStyle="1" w:styleId="193">
    <w:name w:val="默认段落字体 Para Char"/>
    <w:basedOn w:val="1"/>
    <w:qFormat/>
    <w:uiPriority w:val="0"/>
    <w:pPr>
      <w:widowControl/>
      <w:adjustRightInd w:val="0"/>
      <w:snapToGrid w:val="0"/>
      <w:spacing w:beforeLines="50" w:afterLines="30" w:line="312" w:lineRule="auto"/>
      <w:ind w:firstLine="200" w:firstLineChars="200"/>
    </w:pPr>
    <w:rPr>
      <w:rFonts w:ascii="Times New Roman" w:hAnsi="Times New Roman" w:eastAsia="宋体" w:cs="Times New Roman"/>
      <w:sz w:val="24"/>
      <w:szCs w:val="24"/>
    </w:rPr>
  </w:style>
  <w:style w:type="paragraph" w:customStyle="1" w:styleId="194">
    <w:name w:val="列出段落1"/>
    <w:basedOn w:val="1"/>
    <w:qFormat/>
    <w:uiPriority w:val="0"/>
    <w:pPr>
      <w:widowControl/>
      <w:adjustRightInd w:val="0"/>
      <w:snapToGrid w:val="0"/>
      <w:spacing w:beforeLines="50" w:afterLines="30" w:line="300" w:lineRule="auto"/>
      <w:ind w:firstLine="420" w:firstLineChars="200"/>
    </w:pPr>
    <w:rPr>
      <w:rFonts w:ascii="Calibri" w:hAnsi="Calibri" w:eastAsia="宋体" w:cs="黑体"/>
      <w:sz w:val="24"/>
      <w:szCs w:val="21"/>
    </w:rPr>
  </w:style>
  <w:style w:type="paragraph" w:customStyle="1" w:styleId="195">
    <w:name w:val="样式9"/>
    <w:basedOn w:val="4"/>
    <w:qFormat/>
    <w:uiPriority w:val="0"/>
    <w:pPr>
      <w:widowControl/>
      <w:adjustRightInd w:val="0"/>
      <w:snapToGrid w:val="0"/>
      <w:spacing w:beforeLines="50" w:afterLines="30"/>
      <w:ind w:firstLine="200" w:firstLineChars="200"/>
    </w:pPr>
    <w:rPr>
      <w:rFonts w:ascii="Times New Roman" w:hAnsi="Times New Roman" w:eastAsia="黑体" w:cs="Times New Roman"/>
      <w:b w:val="0"/>
      <w:sz w:val="30"/>
      <w:szCs w:val="32"/>
    </w:rPr>
  </w:style>
  <w:style w:type="paragraph" w:customStyle="1" w:styleId="196">
    <w:name w:val="TOC 标题1"/>
    <w:basedOn w:val="4"/>
    <w:next w:val="1"/>
    <w:qFormat/>
    <w:uiPriority w:val="39"/>
    <w:pPr>
      <w:widowControl/>
      <w:adjustRightInd w:val="0"/>
      <w:snapToGrid w:val="0"/>
      <w:spacing w:beforeLines="50" w:afterLines="30" w:line="276" w:lineRule="auto"/>
      <w:ind w:firstLine="200" w:firstLineChars="200"/>
      <w:jc w:val="left"/>
      <w:outlineLvl w:val="9"/>
    </w:pPr>
    <w:rPr>
      <w:rFonts w:ascii="Cambria" w:hAnsi="Cambria" w:eastAsia="宋体" w:cs="黑体"/>
      <w:b w:val="0"/>
      <w:color w:val="365F90"/>
      <w:kern w:val="0"/>
      <w:sz w:val="28"/>
      <w:szCs w:val="28"/>
    </w:rPr>
  </w:style>
  <w:style w:type="paragraph" w:customStyle="1" w:styleId="197">
    <w:name w:val="表头和图尾"/>
    <w:basedOn w:val="1"/>
    <w:next w:val="1"/>
    <w:qFormat/>
    <w:uiPriority w:val="0"/>
    <w:pPr>
      <w:widowControl/>
      <w:adjustRightInd w:val="0"/>
      <w:snapToGrid w:val="0"/>
      <w:spacing w:beforeLines="50" w:afterLines="50" w:line="312" w:lineRule="auto"/>
      <w:ind w:firstLine="200" w:firstLineChars="200"/>
      <w:jc w:val="center"/>
    </w:pPr>
    <w:rPr>
      <w:rFonts w:ascii="Times New Roman" w:hAnsi="Times New Roman" w:eastAsia="宋体" w:cs="Times New Roman"/>
      <w:sz w:val="24"/>
      <w:szCs w:val="24"/>
    </w:rPr>
  </w:style>
  <w:style w:type="paragraph" w:customStyle="1" w:styleId="198">
    <w:name w:val="表头图尾"/>
    <w:basedOn w:val="1"/>
    <w:qFormat/>
    <w:uiPriority w:val="0"/>
    <w:pPr>
      <w:widowControl/>
      <w:adjustRightInd w:val="0"/>
      <w:snapToGrid w:val="0"/>
      <w:spacing w:beforeLines="50" w:afterLines="30" w:line="288" w:lineRule="auto"/>
      <w:ind w:firstLine="200" w:firstLineChars="200"/>
      <w:jc w:val="center"/>
    </w:pPr>
    <w:rPr>
      <w:rFonts w:ascii="宋体" w:hAnsi="宋体" w:eastAsia="宋体" w:cs="Times New Roman"/>
      <w:b/>
      <w:sz w:val="24"/>
      <w:szCs w:val="21"/>
    </w:rPr>
  </w:style>
  <w:style w:type="paragraph" w:customStyle="1" w:styleId="199">
    <w:name w:val="资料来源"/>
    <w:basedOn w:val="1"/>
    <w:next w:val="1"/>
    <w:qFormat/>
    <w:uiPriority w:val="0"/>
    <w:pPr>
      <w:widowControl/>
      <w:adjustRightInd w:val="0"/>
      <w:snapToGrid w:val="0"/>
      <w:spacing w:beforeLines="50" w:afterLines="30" w:line="312" w:lineRule="auto"/>
      <w:ind w:firstLine="200" w:firstLineChars="200"/>
      <w:jc w:val="left"/>
    </w:pPr>
    <w:rPr>
      <w:rFonts w:ascii="Times New Roman" w:hAnsi="Times New Roman" w:eastAsia="宋体" w:cs="Times New Roman"/>
      <w:kern w:val="0"/>
      <w:sz w:val="24"/>
      <w:szCs w:val="24"/>
    </w:rPr>
  </w:style>
  <w:style w:type="paragraph" w:customStyle="1" w:styleId="200">
    <w:name w:val="CM60"/>
    <w:basedOn w:val="85"/>
    <w:next w:val="85"/>
    <w:qFormat/>
    <w:uiPriority w:val="0"/>
    <w:pPr>
      <w:spacing w:after="58"/>
    </w:pPr>
    <w:rPr>
      <w:rFonts w:ascii="华文中宋" w:hAnsi="Calibri" w:eastAsia="华文中宋" w:cs="华文中宋"/>
      <w:color w:val="auto"/>
      <w:kern w:val="2"/>
    </w:rPr>
  </w:style>
  <w:style w:type="paragraph" w:customStyle="1" w:styleId="201">
    <w:name w:val="正文缩进正"/>
    <w:basedOn w:val="1"/>
    <w:qFormat/>
    <w:uiPriority w:val="0"/>
    <w:pPr>
      <w:widowControl/>
      <w:adjustRightInd w:val="0"/>
      <w:snapToGrid w:val="0"/>
      <w:spacing w:beforeLines="50" w:afterLines="30" w:line="312" w:lineRule="auto"/>
      <w:ind w:firstLine="480" w:firstLineChars="200"/>
    </w:pPr>
    <w:rPr>
      <w:rFonts w:ascii="Times New Roman" w:hAnsi="Times New Roman" w:eastAsia="宋体" w:cs="Times New Roman"/>
      <w:sz w:val="28"/>
      <w:szCs w:val="24"/>
    </w:rPr>
  </w:style>
  <w:style w:type="paragraph" w:customStyle="1" w:styleId="202">
    <w:name w:val="样式 宋体 小四 行距: 多倍行距 1.3 字行"/>
    <w:basedOn w:val="1"/>
    <w:qFormat/>
    <w:uiPriority w:val="0"/>
    <w:pPr>
      <w:widowControl/>
      <w:adjustRightInd w:val="0"/>
      <w:snapToGrid w:val="0"/>
      <w:spacing w:beforeLines="50" w:afterLines="30" w:line="312" w:lineRule="auto"/>
      <w:ind w:firstLine="480" w:firstLineChars="200"/>
    </w:pPr>
    <w:rPr>
      <w:rFonts w:ascii="宋体" w:hAnsi="宋体" w:eastAsia="宋体" w:cs="Times New Roman"/>
      <w:sz w:val="24"/>
      <w:szCs w:val="24"/>
    </w:rPr>
  </w:style>
  <w:style w:type="paragraph" w:customStyle="1" w:styleId="203">
    <w:name w:val="样式 样式 样式 标题 2 + 华文细黑 + 段前: 2 行 段后: 2 行 + 段前: 1.5 行 段后: 1.5 行"/>
    <w:basedOn w:val="1"/>
    <w:qFormat/>
    <w:uiPriority w:val="0"/>
    <w:pPr>
      <w:keepNext/>
      <w:keepLines/>
      <w:widowControl/>
      <w:adjustRightInd w:val="0"/>
      <w:snapToGrid w:val="0"/>
      <w:spacing w:beforeLines="70" w:afterLines="70" w:line="360" w:lineRule="auto"/>
      <w:ind w:firstLine="200" w:firstLineChars="200"/>
      <w:outlineLvl w:val="1"/>
    </w:pPr>
    <w:rPr>
      <w:rFonts w:ascii="华文细黑" w:hAnsi="华文细黑" w:eastAsia="华文细黑" w:cs="宋体"/>
      <w:b/>
      <w:bCs/>
      <w:sz w:val="28"/>
      <w:szCs w:val="20"/>
    </w:rPr>
  </w:style>
  <w:style w:type="paragraph" w:customStyle="1" w:styleId="204">
    <w:name w:val="样式 标题 2 + 华文细黑"/>
    <w:basedOn w:val="5"/>
    <w:qFormat/>
    <w:uiPriority w:val="0"/>
    <w:pPr>
      <w:widowControl/>
      <w:adjustRightInd w:val="0"/>
      <w:snapToGrid w:val="0"/>
      <w:spacing w:beforeLines="200" w:afterLines="200" w:line="360" w:lineRule="auto"/>
      <w:ind w:left="539" w:hanging="539" w:firstLineChars="200"/>
    </w:pPr>
    <w:rPr>
      <w:rFonts w:ascii="华文细黑" w:hAnsi="华文细黑" w:eastAsia="华文细黑" w:cs="Times New Roman"/>
      <w:b w:val="0"/>
      <w:kern w:val="0"/>
      <w:sz w:val="28"/>
    </w:rPr>
  </w:style>
  <w:style w:type="paragraph" w:customStyle="1" w:styleId="205">
    <w:name w:val="正文文本格式"/>
    <w:basedOn w:val="1"/>
    <w:qFormat/>
    <w:uiPriority w:val="0"/>
    <w:pPr>
      <w:widowControl/>
      <w:adjustRightInd w:val="0"/>
      <w:snapToGrid w:val="0"/>
      <w:spacing w:beforeLines="50" w:afterLines="30" w:line="360" w:lineRule="auto"/>
      <w:ind w:firstLine="425" w:firstLineChars="177"/>
      <w:jc w:val="left"/>
    </w:pPr>
    <w:rPr>
      <w:rFonts w:ascii="Times New Roman" w:hAnsi="Times New Roman" w:eastAsia="宋体" w:cs="Times New Roman"/>
      <w:sz w:val="24"/>
      <w:szCs w:val="24"/>
    </w:rPr>
  </w:style>
  <w:style w:type="paragraph" w:customStyle="1" w:styleId="206">
    <w:name w:val="首行缩进2字符"/>
    <w:basedOn w:val="1"/>
    <w:qFormat/>
    <w:uiPriority w:val="99"/>
    <w:pPr>
      <w:widowControl/>
      <w:adjustRightInd w:val="0"/>
      <w:snapToGrid w:val="0"/>
      <w:spacing w:beforeLines="50" w:afterLines="30" w:line="360" w:lineRule="auto"/>
      <w:ind w:firstLine="420" w:firstLineChars="200"/>
    </w:pPr>
    <w:rPr>
      <w:rFonts w:ascii="Calibri" w:hAnsi="Calibri" w:eastAsia="宋体" w:cs="Times New Roman"/>
      <w:sz w:val="24"/>
      <w:szCs w:val="21"/>
    </w:rPr>
  </w:style>
  <w:style w:type="paragraph" w:customStyle="1" w:styleId="207">
    <w:name w:val="无间隔1"/>
    <w:next w:val="1"/>
    <w:qFormat/>
    <w:uiPriority w:val="1"/>
    <w:pPr>
      <w:widowControl w:val="0"/>
      <w:spacing w:beforeLines="50"/>
      <w:ind w:firstLine="200" w:firstLineChars="200"/>
      <w:jc w:val="both"/>
    </w:pPr>
    <w:rPr>
      <w:rFonts w:ascii="Calibri" w:hAnsi="Calibri" w:eastAsia="宋体" w:cs="Times New Roman"/>
      <w:b/>
      <w:kern w:val="2"/>
      <w:sz w:val="24"/>
      <w:szCs w:val="22"/>
      <w:lang w:val="en-US" w:eastAsia="zh-CN" w:bidi="ar-SA"/>
    </w:rPr>
  </w:style>
  <w:style w:type="paragraph" w:customStyle="1" w:styleId="208">
    <w:name w:val="标题C3"/>
    <w:next w:val="1"/>
    <w:qFormat/>
    <w:uiPriority w:val="0"/>
    <w:pPr>
      <w:spacing w:beforeLines="50" w:after="50"/>
      <w:ind w:firstLine="284" w:firstLineChars="101"/>
      <w:jc w:val="both"/>
      <w:outlineLvl w:val="2"/>
    </w:pPr>
    <w:rPr>
      <w:rFonts w:ascii="宋体" w:hAnsi="宋体" w:eastAsia="宋体" w:cs="Times New Roman"/>
      <w:b/>
      <w:color w:val="000000"/>
      <w:kern w:val="2"/>
      <w:sz w:val="28"/>
      <w:szCs w:val="28"/>
      <w:lang w:val="en-US" w:eastAsia="zh-CN" w:bidi="ar-SA"/>
    </w:rPr>
  </w:style>
  <w:style w:type="paragraph" w:customStyle="1" w:styleId="209">
    <w:name w:val="表文字"/>
    <w:basedOn w:val="1"/>
    <w:qFormat/>
    <w:uiPriority w:val="0"/>
    <w:pPr>
      <w:widowControl/>
      <w:adjustRightInd w:val="0"/>
      <w:snapToGrid w:val="0"/>
      <w:spacing w:beforeLines="50" w:afterLines="30" w:line="312" w:lineRule="auto"/>
      <w:ind w:firstLine="200" w:firstLineChars="200"/>
      <w:jc w:val="center"/>
    </w:pPr>
    <w:rPr>
      <w:rFonts w:ascii="Times New Roman" w:hAnsi="Times New Roman" w:eastAsia="宋体" w:cs="Times New Roman"/>
      <w:sz w:val="24"/>
      <w:szCs w:val="28"/>
    </w:rPr>
  </w:style>
  <w:style w:type="paragraph" w:customStyle="1" w:styleId="210">
    <w:name w:val="标题C2"/>
    <w:qFormat/>
    <w:uiPriority w:val="0"/>
    <w:pPr>
      <w:spacing w:beforeLines="50" w:afterLines="100"/>
      <w:ind w:firstLine="200" w:firstLineChars="200"/>
      <w:jc w:val="both"/>
      <w:outlineLvl w:val="1"/>
    </w:pPr>
    <w:rPr>
      <w:rFonts w:ascii="Times New Roman" w:hAnsi="Times New Roman" w:eastAsia="黑体" w:cs="Times New Roman"/>
      <w:kern w:val="2"/>
      <w:sz w:val="30"/>
      <w:szCs w:val="30"/>
      <w:lang w:val="en-US" w:eastAsia="zh-CN" w:bidi="ar-SA"/>
    </w:rPr>
  </w:style>
  <w:style w:type="paragraph" w:customStyle="1" w:styleId="211">
    <w:name w:val="样式 样式 小标题7 + Arial 段前: 0.2 行 + 段前: 0.2 行"/>
    <w:basedOn w:val="1"/>
    <w:qFormat/>
    <w:uiPriority w:val="0"/>
    <w:pPr>
      <w:widowControl/>
      <w:tabs>
        <w:tab w:val="left" w:pos="454"/>
      </w:tabs>
      <w:adjustRightInd w:val="0"/>
      <w:snapToGrid w:val="0"/>
      <w:spacing w:beforeLines="20" w:afterLines="30" w:line="360" w:lineRule="auto"/>
      <w:ind w:left="454" w:firstLine="200" w:firstLineChars="200"/>
    </w:pPr>
    <w:rPr>
      <w:rFonts w:ascii="Arial" w:hAnsi="Arial" w:eastAsia="宋体" w:cs="宋体"/>
      <w:sz w:val="24"/>
      <w:szCs w:val="20"/>
    </w:rPr>
  </w:style>
  <w:style w:type="paragraph" w:customStyle="1" w:styleId="212">
    <w:name w:val="标题4-wcg"/>
    <w:basedOn w:val="1"/>
    <w:next w:val="1"/>
    <w:qFormat/>
    <w:uiPriority w:val="0"/>
    <w:pPr>
      <w:widowControl/>
      <w:adjustRightInd w:val="0"/>
      <w:snapToGrid w:val="0"/>
      <w:spacing w:beforeLines="50" w:afterLines="30" w:line="312" w:lineRule="auto"/>
      <w:ind w:firstLine="200" w:firstLineChars="200"/>
      <w:outlineLvl w:val="3"/>
    </w:pPr>
    <w:rPr>
      <w:rFonts w:ascii="Times New Roman" w:hAnsi="Times New Roman" w:eastAsia="黑体" w:cs="Times New Roman"/>
      <w:color w:val="000000"/>
      <w:sz w:val="24"/>
      <w:szCs w:val="24"/>
    </w:rPr>
  </w:style>
  <w:style w:type="paragraph" w:customStyle="1" w:styleId="213">
    <w:name w:val="表-文字"/>
    <w:basedOn w:val="1"/>
    <w:qFormat/>
    <w:uiPriority w:val="0"/>
    <w:pPr>
      <w:widowControl/>
      <w:adjustRightInd w:val="0"/>
      <w:snapToGrid w:val="0"/>
      <w:spacing w:beforeLines="50" w:afterLines="30" w:line="312" w:lineRule="auto"/>
      <w:ind w:firstLine="200" w:firstLineChars="200"/>
      <w:jc w:val="center"/>
    </w:pPr>
    <w:rPr>
      <w:rFonts w:hint="eastAsia" w:ascii="宋体" w:hAnsi="宋体" w:eastAsia="宋体" w:cs="Times New Roman"/>
      <w:kern w:val="0"/>
      <w:sz w:val="24"/>
      <w:szCs w:val="25"/>
    </w:rPr>
  </w:style>
  <w:style w:type="paragraph" w:customStyle="1" w:styleId="214">
    <w:name w:val="CM8"/>
    <w:basedOn w:val="85"/>
    <w:next w:val="85"/>
    <w:qFormat/>
    <w:uiPriority w:val="0"/>
    <w:pPr>
      <w:spacing w:line="471" w:lineRule="atLeast"/>
    </w:pPr>
    <w:rPr>
      <w:rFonts w:hAnsi="Calibri"/>
      <w:color w:val="auto"/>
      <w:kern w:val="2"/>
    </w:rPr>
  </w:style>
  <w:style w:type="paragraph" w:customStyle="1" w:styleId="215">
    <w:name w:val="标题C1"/>
    <w:qFormat/>
    <w:uiPriority w:val="0"/>
    <w:pPr>
      <w:pageBreakBefore/>
      <w:spacing w:beforeLines="50" w:afterLines="100"/>
      <w:ind w:firstLine="200" w:firstLineChars="200"/>
      <w:jc w:val="center"/>
      <w:outlineLvl w:val="0"/>
    </w:pPr>
    <w:rPr>
      <w:rFonts w:ascii="黑体" w:hAnsi="黑体" w:eastAsia="黑体" w:cs="Times New Roman"/>
      <w:color w:val="000000"/>
      <w:kern w:val="2"/>
      <w:sz w:val="32"/>
      <w:szCs w:val="28"/>
      <w:lang w:val="en-US" w:eastAsia="zh-CN" w:bidi="ar-SA"/>
    </w:rPr>
  </w:style>
  <w:style w:type="paragraph" w:customStyle="1" w:styleId="216">
    <w:name w:val="样式 样式2 + 首行缩进:  2 字符"/>
    <w:basedOn w:val="1"/>
    <w:qFormat/>
    <w:uiPriority w:val="0"/>
    <w:pPr>
      <w:widowControl/>
      <w:adjustRightInd w:val="0"/>
      <w:snapToGrid w:val="0"/>
      <w:spacing w:beforeLines="50" w:afterLines="30" w:line="360" w:lineRule="auto"/>
      <w:ind w:firstLine="200" w:firstLineChars="200"/>
      <w:jc w:val="center"/>
      <w:textAlignment w:val="baseline"/>
    </w:pPr>
    <w:rPr>
      <w:rFonts w:ascii="Times New Roman" w:hAnsi="Times New Roman" w:eastAsia="宋体" w:cs="宋体"/>
      <w:color w:val="000000"/>
      <w:kern w:val="0"/>
      <w:sz w:val="24"/>
      <w:szCs w:val="20"/>
    </w:rPr>
  </w:style>
  <w:style w:type="paragraph" w:customStyle="1" w:styleId="217">
    <w:name w:val="表格标题"/>
    <w:basedOn w:val="1"/>
    <w:qFormat/>
    <w:uiPriority w:val="0"/>
    <w:pPr>
      <w:widowControl/>
      <w:adjustRightInd w:val="0"/>
      <w:snapToGrid w:val="0"/>
      <w:spacing w:beforeLines="100" w:afterLines="20" w:line="312" w:lineRule="auto"/>
      <w:ind w:firstLine="200" w:firstLineChars="200"/>
      <w:jc w:val="center"/>
    </w:pPr>
    <w:rPr>
      <w:rFonts w:ascii="黑体" w:hAnsi="Times New Roman" w:eastAsia="黑体" w:cs="Times New Roman"/>
      <w:snapToGrid w:val="0"/>
      <w:color w:val="000000"/>
      <w:kern w:val="0"/>
      <w:sz w:val="24"/>
      <w:szCs w:val="21"/>
    </w:rPr>
  </w:style>
  <w:style w:type="paragraph" w:customStyle="1" w:styleId="218">
    <w:name w:val="样式4"/>
    <w:basedOn w:val="5"/>
    <w:qFormat/>
    <w:uiPriority w:val="0"/>
    <w:pPr>
      <w:widowControl/>
      <w:adjustRightInd w:val="0"/>
      <w:snapToGrid w:val="0"/>
      <w:spacing w:beforeLines="50" w:afterLines="30"/>
      <w:ind w:firstLine="200" w:firstLineChars="200"/>
    </w:pPr>
    <w:rPr>
      <w:rFonts w:ascii="Arial" w:hAnsi="Arial" w:eastAsia="黑体" w:cs="Times New Roman"/>
      <w:kern w:val="0"/>
      <w:sz w:val="24"/>
    </w:rPr>
  </w:style>
  <w:style w:type="paragraph" w:customStyle="1" w:styleId="219">
    <w:name w:val="表文"/>
    <w:basedOn w:val="1"/>
    <w:qFormat/>
    <w:uiPriority w:val="0"/>
    <w:pPr>
      <w:framePr w:hSpace="180" w:wrap="notBeside" w:vAnchor="text" w:hAnchor="margin" w:y="314"/>
      <w:widowControl/>
      <w:adjustRightInd w:val="0"/>
      <w:snapToGrid w:val="0"/>
      <w:spacing w:beforeLines="50" w:afterLines="30" w:line="320" w:lineRule="exact"/>
      <w:ind w:firstLine="200" w:firstLineChars="200"/>
    </w:pPr>
    <w:rPr>
      <w:rFonts w:ascii="宋体" w:hAnsi="宋体" w:eastAsia="宋体" w:cs="Times New Roman"/>
      <w:sz w:val="24"/>
      <w:szCs w:val="24"/>
    </w:rPr>
  </w:style>
  <w:style w:type="paragraph" w:customStyle="1" w:styleId="220">
    <w:name w:val="表头"/>
    <w:basedOn w:val="1"/>
    <w:qFormat/>
    <w:uiPriority w:val="0"/>
    <w:pPr>
      <w:widowControl/>
      <w:autoSpaceDE w:val="0"/>
      <w:autoSpaceDN w:val="0"/>
      <w:adjustRightInd w:val="0"/>
      <w:snapToGrid w:val="0"/>
      <w:spacing w:beforeLines="50" w:afterLines="30" w:line="318" w:lineRule="atLeast"/>
      <w:ind w:firstLine="200" w:firstLineChars="200"/>
      <w:jc w:val="center"/>
      <w:textAlignment w:val="baseline"/>
    </w:pPr>
    <w:rPr>
      <w:rFonts w:ascii="宋体" w:hAnsi="Times New Roman" w:eastAsia="宋体" w:cs="Times New Roman"/>
      <w:kern w:val="0"/>
      <w:sz w:val="24"/>
      <w:szCs w:val="20"/>
    </w:rPr>
  </w:style>
  <w:style w:type="paragraph" w:customStyle="1" w:styleId="221">
    <w:name w:val="CM53"/>
    <w:basedOn w:val="85"/>
    <w:next w:val="85"/>
    <w:qFormat/>
    <w:uiPriority w:val="0"/>
    <w:pPr>
      <w:spacing w:after="320"/>
    </w:pPr>
    <w:rPr>
      <w:rFonts w:ascii="华文中宋" w:hAnsi="Calibri" w:eastAsia="华文中宋"/>
      <w:color w:val="auto"/>
      <w:kern w:val="2"/>
    </w:rPr>
  </w:style>
  <w:style w:type="paragraph" w:customStyle="1" w:styleId="222">
    <w:name w:val="图题"/>
    <w:basedOn w:val="1"/>
    <w:qFormat/>
    <w:uiPriority w:val="0"/>
    <w:pPr>
      <w:widowControl/>
      <w:adjustRightInd w:val="0"/>
      <w:snapToGrid w:val="0"/>
      <w:spacing w:beforeLines="50" w:afterLines="30" w:line="312" w:lineRule="auto"/>
      <w:ind w:firstLine="200" w:firstLineChars="200"/>
      <w:jc w:val="center"/>
    </w:pPr>
    <w:rPr>
      <w:rFonts w:ascii="宋体" w:hAnsi="宋体" w:eastAsia="宋体" w:cs="Times New Roman"/>
      <w:color w:val="000000"/>
      <w:sz w:val="24"/>
      <w:szCs w:val="21"/>
    </w:rPr>
  </w:style>
  <w:style w:type="paragraph" w:customStyle="1" w:styleId="223">
    <w:name w:val="图"/>
    <w:basedOn w:val="1"/>
    <w:next w:val="1"/>
    <w:qFormat/>
    <w:uiPriority w:val="0"/>
    <w:pPr>
      <w:widowControl/>
      <w:adjustRightInd w:val="0"/>
      <w:snapToGrid w:val="0"/>
      <w:spacing w:beforeLines="50" w:afterLines="30" w:line="312" w:lineRule="auto"/>
      <w:ind w:firstLine="200" w:firstLineChars="200"/>
      <w:jc w:val="center"/>
    </w:pPr>
    <w:rPr>
      <w:rFonts w:ascii="Times New Roman" w:hAnsi="Times New Roman" w:eastAsia="宋体" w:cs="Times New Roman"/>
      <w:sz w:val="24"/>
      <w:szCs w:val="24"/>
    </w:rPr>
  </w:style>
  <w:style w:type="paragraph" w:customStyle="1" w:styleId="224">
    <w:name w:val="CM51"/>
    <w:basedOn w:val="85"/>
    <w:next w:val="85"/>
    <w:qFormat/>
    <w:uiPriority w:val="0"/>
    <w:pPr>
      <w:spacing w:after="478"/>
    </w:pPr>
    <w:rPr>
      <w:rFonts w:ascii="华文中宋" w:hAnsi="Calibri" w:eastAsia="华文中宋"/>
      <w:color w:val="auto"/>
      <w:kern w:val="2"/>
    </w:rPr>
  </w:style>
  <w:style w:type="paragraph" w:customStyle="1" w:styleId="225">
    <w:name w:val="样式 样式 样式 小标题7 + Arial 段前: 0.2 行 + 段前: 0.2 行 + 段前: 0.2 行"/>
    <w:basedOn w:val="211"/>
    <w:qFormat/>
    <w:uiPriority w:val="0"/>
    <w:pPr>
      <w:ind w:hanging="454"/>
    </w:pPr>
  </w:style>
  <w:style w:type="paragraph" w:customStyle="1" w:styleId="226">
    <w:name w:val="font5"/>
    <w:basedOn w:val="1"/>
    <w:qFormat/>
    <w:uiPriority w:val="0"/>
    <w:pPr>
      <w:widowControl/>
      <w:adjustRightInd w:val="0"/>
      <w:snapToGrid w:val="0"/>
      <w:spacing w:beforeLines="50" w:beforeAutospacing="1" w:afterLines="30" w:afterAutospacing="1" w:line="312" w:lineRule="auto"/>
      <w:ind w:firstLine="200" w:firstLineChars="200"/>
      <w:jc w:val="left"/>
    </w:pPr>
    <w:rPr>
      <w:rFonts w:ascii="宋体" w:hAnsi="宋体" w:eastAsia="宋体" w:cs="宋体"/>
      <w:kern w:val="0"/>
      <w:sz w:val="18"/>
      <w:szCs w:val="18"/>
    </w:rPr>
  </w:style>
  <w:style w:type="paragraph" w:customStyle="1" w:styleId="227">
    <w:name w:val="样式 行距: 1.5 倍行距"/>
    <w:basedOn w:val="1"/>
    <w:qFormat/>
    <w:uiPriority w:val="0"/>
    <w:pPr>
      <w:widowControl/>
      <w:adjustRightInd w:val="0"/>
      <w:snapToGrid w:val="0"/>
      <w:spacing w:beforeLines="50" w:afterLines="30" w:line="360" w:lineRule="auto"/>
      <w:ind w:firstLine="420" w:firstLineChars="200"/>
    </w:pPr>
    <w:rPr>
      <w:rFonts w:ascii="Times New Roman" w:hAnsi="Times New Roman" w:eastAsia="宋体" w:cs="宋体"/>
      <w:sz w:val="24"/>
      <w:szCs w:val="20"/>
    </w:rPr>
  </w:style>
  <w:style w:type="paragraph" w:customStyle="1" w:styleId="228">
    <w:name w:val="ref_图"/>
    <w:next w:val="1"/>
    <w:qFormat/>
    <w:uiPriority w:val="0"/>
    <w:pPr>
      <w:spacing w:beforeLines="50"/>
      <w:ind w:firstLine="200" w:firstLineChars="200"/>
      <w:jc w:val="center"/>
    </w:pPr>
    <w:rPr>
      <w:rFonts w:ascii="Times New Roman" w:hAnsi="Times New Roman" w:eastAsia="宋体" w:cs="Times New Roman"/>
      <w:kern w:val="2"/>
      <w:lang w:val="en-US" w:eastAsia="zh-CN" w:bidi="ar-SA"/>
    </w:rPr>
  </w:style>
  <w:style w:type="paragraph" w:customStyle="1" w:styleId="229">
    <w:name w:val="ref_正文"/>
    <w:basedOn w:val="1"/>
    <w:qFormat/>
    <w:uiPriority w:val="0"/>
    <w:pPr>
      <w:widowControl/>
      <w:adjustRightInd w:val="0"/>
      <w:snapToGrid w:val="0"/>
      <w:spacing w:beforeLines="50" w:afterLines="30" w:line="400" w:lineRule="exact"/>
      <w:ind w:firstLine="480" w:firstLineChars="200"/>
    </w:pPr>
    <w:rPr>
      <w:rFonts w:ascii="Calibri" w:hAnsi="Calibri" w:eastAsia="宋体" w:cs="宋体"/>
      <w:sz w:val="24"/>
      <w:szCs w:val="20"/>
    </w:rPr>
  </w:style>
  <w:style w:type="paragraph" w:customStyle="1" w:styleId="230">
    <w:name w:val="CM55"/>
    <w:basedOn w:val="85"/>
    <w:next w:val="85"/>
    <w:qFormat/>
    <w:uiPriority w:val="0"/>
    <w:pPr>
      <w:spacing w:after="238"/>
    </w:pPr>
    <w:rPr>
      <w:rFonts w:ascii="华文中宋" w:hAnsi="Calibri" w:eastAsia="华文中宋"/>
      <w:color w:val="auto"/>
      <w:kern w:val="2"/>
    </w:rPr>
  </w:style>
  <w:style w:type="paragraph" w:customStyle="1" w:styleId="231">
    <w:name w:val="xl72"/>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50" w:beforeAutospacing="1" w:afterLines="30" w:afterAutospacing="1" w:line="312" w:lineRule="auto"/>
      <w:ind w:firstLine="200" w:firstLineChars="200"/>
      <w:jc w:val="center"/>
      <w:textAlignment w:val="center"/>
    </w:pPr>
    <w:rPr>
      <w:rFonts w:ascii="宋体" w:hAnsi="宋体" w:eastAsia="宋体" w:cs="宋体"/>
      <w:kern w:val="0"/>
      <w:sz w:val="20"/>
      <w:szCs w:val="20"/>
    </w:rPr>
  </w:style>
  <w:style w:type="paragraph" w:customStyle="1" w:styleId="232">
    <w:name w:val="CM6"/>
    <w:basedOn w:val="85"/>
    <w:next w:val="85"/>
    <w:qFormat/>
    <w:uiPriority w:val="0"/>
    <w:pPr>
      <w:spacing w:line="468" w:lineRule="atLeast"/>
    </w:pPr>
    <w:rPr>
      <w:rFonts w:ascii="华文中宋" w:hAnsi="Calibri" w:eastAsia="华文中宋" w:cs="华文中宋"/>
      <w:color w:val="auto"/>
      <w:kern w:val="2"/>
    </w:rPr>
  </w:style>
  <w:style w:type="paragraph" w:customStyle="1" w:styleId="233">
    <w:name w:val="CM7"/>
    <w:basedOn w:val="85"/>
    <w:next w:val="85"/>
    <w:qFormat/>
    <w:uiPriority w:val="0"/>
    <w:rPr>
      <w:rFonts w:ascii="华文中宋" w:hAnsi="Calibri" w:eastAsia="华文中宋" w:cs="华文中宋"/>
      <w:color w:val="auto"/>
      <w:kern w:val="2"/>
    </w:rPr>
  </w:style>
  <w:style w:type="paragraph" w:customStyle="1" w:styleId="234">
    <w:name w:val="CM9"/>
    <w:basedOn w:val="85"/>
    <w:next w:val="85"/>
    <w:qFormat/>
    <w:uiPriority w:val="0"/>
    <w:pPr>
      <w:spacing w:line="468" w:lineRule="atLeast"/>
    </w:pPr>
    <w:rPr>
      <w:rFonts w:ascii="华文中宋" w:hAnsi="Calibri" w:eastAsia="华文中宋" w:cs="华文中宋"/>
      <w:color w:val="auto"/>
      <w:kern w:val="2"/>
    </w:rPr>
  </w:style>
  <w:style w:type="paragraph" w:customStyle="1" w:styleId="235">
    <w:name w:val="xl78"/>
    <w:basedOn w:val="1"/>
    <w:qFormat/>
    <w:uiPriority w:val="0"/>
    <w:pPr>
      <w:widowControl/>
      <w:pBdr>
        <w:top w:val="single" w:color="auto" w:sz="4" w:space="0"/>
        <w:left w:val="single" w:color="auto" w:sz="4" w:space="0"/>
        <w:bottom w:val="single" w:color="auto" w:sz="4" w:space="0"/>
      </w:pBdr>
      <w:adjustRightInd w:val="0"/>
      <w:snapToGrid w:val="0"/>
      <w:spacing w:beforeLines="50" w:beforeAutospacing="1" w:afterLines="30" w:afterAutospacing="1" w:line="312" w:lineRule="auto"/>
      <w:ind w:firstLine="200" w:firstLineChars="200"/>
      <w:jc w:val="left"/>
    </w:pPr>
    <w:rPr>
      <w:rFonts w:ascii="宋体" w:hAnsi="宋体" w:eastAsia="宋体" w:cs="宋体"/>
      <w:kern w:val="0"/>
      <w:sz w:val="24"/>
      <w:szCs w:val="24"/>
    </w:rPr>
  </w:style>
  <w:style w:type="paragraph" w:customStyle="1" w:styleId="236">
    <w:name w:val="表格文字左对齐"/>
    <w:basedOn w:val="1"/>
    <w:qFormat/>
    <w:uiPriority w:val="0"/>
    <w:pPr>
      <w:widowControl/>
      <w:tabs>
        <w:tab w:val="left" w:pos="-108"/>
      </w:tabs>
      <w:adjustRightInd w:val="0"/>
      <w:snapToGrid w:val="0"/>
      <w:spacing w:beforeLines="50" w:afterLines="30" w:line="260" w:lineRule="exact"/>
      <w:ind w:firstLine="200" w:firstLineChars="200"/>
    </w:pPr>
    <w:rPr>
      <w:rFonts w:ascii="Times New Roman" w:hAnsi="Times New Roman" w:eastAsia="宋体" w:cs="Times New Roman"/>
      <w:snapToGrid w:val="0"/>
      <w:spacing w:val="-6"/>
      <w:kern w:val="0"/>
      <w:sz w:val="18"/>
      <w:szCs w:val="18"/>
    </w:rPr>
  </w:style>
  <w:style w:type="paragraph" w:customStyle="1" w:styleId="237">
    <w:name w:val="CM57"/>
    <w:basedOn w:val="85"/>
    <w:next w:val="85"/>
    <w:qFormat/>
    <w:uiPriority w:val="0"/>
    <w:pPr>
      <w:spacing w:after="425"/>
    </w:pPr>
    <w:rPr>
      <w:rFonts w:ascii="华文中宋" w:hAnsi="Calibri" w:eastAsia="华文中宋" w:cs="华文中宋"/>
      <w:color w:val="auto"/>
      <w:kern w:val="2"/>
    </w:rPr>
  </w:style>
  <w:style w:type="paragraph" w:customStyle="1" w:styleId="238">
    <w:name w:val="CM63"/>
    <w:basedOn w:val="85"/>
    <w:next w:val="85"/>
    <w:qFormat/>
    <w:uiPriority w:val="0"/>
    <w:pPr>
      <w:spacing w:after="968"/>
    </w:pPr>
    <w:rPr>
      <w:rFonts w:ascii="华文中宋" w:hAnsi="Calibri" w:eastAsia="华文中宋" w:cs="华文中宋"/>
      <w:color w:val="auto"/>
      <w:kern w:val="2"/>
    </w:rPr>
  </w:style>
  <w:style w:type="paragraph" w:customStyle="1" w:styleId="239">
    <w:name w:val="reader-word-layer"/>
    <w:basedOn w:val="1"/>
    <w:qFormat/>
    <w:uiPriority w:val="0"/>
    <w:pPr>
      <w:widowControl/>
      <w:adjustRightInd w:val="0"/>
      <w:snapToGrid w:val="0"/>
      <w:spacing w:beforeLines="50" w:beforeAutospacing="1" w:afterLines="30" w:afterAutospacing="1" w:line="312" w:lineRule="auto"/>
      <w:ind w:firstLine="200" w:firstLineChars="200"/>
      <w:jc w:val="left"/>
    </w:pPr>
    <w:rPr>
      <w:rFonts w:ascii="宋体" w:hAnsi="宋体" w:eastAsia="宋体" w:cs="宋体"/>
      <w:kern w:val="0"/>
      <w:sz w:val="24"/>
      <w:szCs w:val="24"/>
    </w:rPr>
  </w:style>
  <w:style w:type="paragraph" w:customStyle="1" w:styleId="240">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8DB4E3"/>
      <w:adjustRightInd w:val="0"/>
      <w:snapToGrid w:val="0"/>
      <w:spacing w:beforeLines="50" w:beforeAutospacing="1" w:afterLines="30" w:afterAutospacing="1" w:line="312" w:lineRule="auto"/>
      <w:ind w:firstLine="200" w:firstLineChars="200"/>
      <w:jc w:val="center"/>
      <w:textAlignment w:val="center"/>
    </w:pPr>
    <w:rPr>
      <w:rFonts w:ascii="宋体" w:hAnsi="宋体" w:eastAsia="宋体" w:cs="宋体"/>
      <w:b/>
      <w:bCs/>
      <w:color w:val="000000"/>
      <w:kern w:val="0"/>
      <w:sz w:val="24"/>
      <w:szCs w:val="21"/>
    </w:rPr>
  </w:style>
  <w:style w:type="paragraph" w:customStyle="1" w:styleId="241">
    <w:name w:val="样式 首行缩进:  2 字符"/>
    <w:basedOn w:val="1"/>
    <w:qFormat/>
    <w:uiPriority w:val="0"/>
    <w:pPr>
      <w:widowControl/>
      <w:adjustRightInd w:val="0"/>
      <w:snapToGrid w:val="0"/>
      <w:spacing w:beforeLines="50" w:afterLines="30" w:line="400" w:lineRule="exact"/>
      <w:ind w:firstLine="420" w:firstLineChars="200"/>
    </w:pPr>
    <w:rPr>
      <w:rFonts w:ascii="宋体" w:hAnsi="Times New Roman" w:eastAsia="宋体" w:cs="Times New Roman"/>
      <w:sz w:val="24"/>
      <w:szCs w:val="20"/>
    </w:rPr>
  </w:style>
  <w:style w:type="paragraph" w:customStyle="1" w:styleId="242">
    <w:name w:val="xl87"/>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50" w:beforeAutospacing="1" w:afterLines="30" w:afterAutospacing="1" w:line="312" w:lineRule="auto"/>
      <w:ind w:firstLine="200" w:firstLineChars="200"/>
      <w:jc w:val="center"/>
    </w:pPr>
    <w:rPr>
      <w:rFonts w:ascii="楷体_GB2312" w:hAnsi="宋体" w:eastAsia="楷体_GB2312" w:cs="宋体"/>
      <w:color w:val="000000"/>
      <w:kern w:val="0"/>
      <w:sz w:val="18"/>
      <w:szCs w:val="18"/>
    </w:rPr>
  </w:style>
  <w:style w:type="paragraph" w:customStyle="1" w:styleId="243">
    <w:name w:val="表标题"/>
    <w:basedOn w:val="1"/>
    <w:next w:val="1"/>
    <w:qFormat/>
    <w:uiPriority w:val="0"/>
    <w:pPr>
      <w:widowControl/>
      <w:adjustRightInd w:val="0"/>
      <w:snapToGrid w:val="0"/>
      <w:spacing w:beforeLines="50" w:afterLines="30" w:line="312" w:lineRule="auto"/>
      <w:ind w:firstLine="420" w:firstLineChars="200"/>
      <w:jc w:val="center"/>
      <w:textAlignment w:val="baseline"/>
    </w:pPr>
    <w:rPr>
      <w:rFonts w:ascii="Arial" w:hAnsi="Arial" w:eastAsia="楷体_GB2312" w:cs="Arial"/>
      <w:kern w:val="0"/>
      <w:sz w:val="24"/>
      <w:szCs w:val="21"/>
    </w:rPr>
  </w:style>
  <w:style w:type="paragraph" w:customStyle="1" w:styleId="244">
    <w:name w:val="font14"/>
    <w:basedOn w:val="1"/>
    <w:qFormat/>
    <w:uiPriority w:val="0"/>
    <w:pPr>
      <w:widowControl/>
      <w:adjustRightInd w:val="0"/>
      <w:snapToGrid w:val="0"/>
      <w:spacing w:beforeLines="50" w:beforeAutospacing="1" w:afterLines="30" w:afterAutospacing="1" w:line="312" w:lineRule="auto"/>
      <w:ind w:firstLine="200" w:firstLineChars="200"/>
      <w:jc w:val="left"/>
    </w:pPr>
    <w:rPr>
      <w:rFonts w:ascii="宋体" w:hAnsi="宋体" w:eastAsia="宋体" w:cs="宋体"/>
      <w:b/>
      <w:bCs/>
      <w:color w:val="000000"/>
      <w:kern w:val="0"/>
      <w:sz w:val="20"/>
      <w:szCs w:val="20"/>
    </w:rPr>
  </w:style>
  <w:style w:type="paragraph" w:customStyle="1" w:styleId="245">
    <w:name w:val="样式 宋体 首行缩进:  2 字符 行距: 固定值 24 磅"/>
    <w:basedOn w:val="1"/>
    <w:qFormat/>
    <w:uiPriority w:val="0"/>
    <w:pPr>
      <w:widowControl/>
      <w:adjustRightInd w:val="0"/>
      <w:snapToGrid w:val="0"/>
      <w:spacing w:beforeLines="50" w:afterLines="30" w:line="360" w:lineRule="exact"/>
      <w:ind w:firstLine="420" w:firstLineChars="200"/>
    </w:pPr>
    <w:rPr>
      <w:rFonts w:ascii="宋体" w:hAnsi="宋体" w:eastAsia="宋体" w:cs="宋体"/>
      <w:sz w:val="24"/>
      <w:szCs w:val="20"/>
    </w:rPr>
  </w:style>
  <w:style w:type="paragraph" w:customStyle="1" w:styleId="246">
    <w:name w:val="样式 标题 2 + Times New Roman 三号 两端对齐 段前: 13 磅 段后: 0.5 行 行距: 1...."/>
    <w:basedOn w:val="5"/>
    <w:qFormat/>
    <w:uiPriority w:val="0"/>
    <w:pPr>
      <w:widowControl/>
      <w:adjustRightInd w:val="0"/>
      <w:snapToGrid w:val="0"/>
      <w:spacing w:beforeLines="50" w:afterLines="30" w:line="360" w:lineRule="auto"/>
      <w:ind w:left="2340" w:firstLine="200" w:firstLineChars="200"/>
      <w:jc w:val="center"/>
    </w:pPr>
    <w:rPr>
      <w:rFonts w:ascii="Times New Roman" w:hAnsi="Times New Roman" w:eastAsia="华文中宋" w:cs="宋体"/>
      <w:kern w:val="0"/>
      <w:sz w:val="44"/>
      <w:szCs w:val="20"/>
    </w:rPr>
  </w:style>
  <w:style w:type="paragraph" w:customStyle="1" w:styleId="247">
    <w:name w:val="font10"/>
    <w:basedOn w:val="1"/>
    <w:qFormat/>
    <w:uiPriority w:val="0"/>
    <w:pPr>
      <w:widowControl/>
      <w:adjustRightInd w:val="0"/>
      <w:snapToGrid w:val="0"/>
      <w:spacing w:beforeLines="50" w:beforeAutospacing="1" w:afterLines="30" w:afterAutospacing="1" w:line="312" w:lineRule="auto"/>
      <w:ind w:firstLine="200" w:firstLineChars="200"/>
      <w:jc w:val="left"/>
    </w:pPr>
    <w:rPr>
      <w:rFonts w:ascii="宋体" w:hAnsi="宋体" w:eastAsia="宋体" w:cs="宋体"/>
      <w:b/>
      <w:bCs/>
      <w:color w:val="000000"/>
      <w:kern w:val="0"/>
      <w:sz w:val="20"/>
      <w:szCs w:val="20"/>
    </w:rPr>
  </w:style>
  <w:style w:type="paragraph" w:customStyle="1" w:styleId="248">
    <w:name w:val="xl88"/>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50" w:beforeAutospacing="1" w:afterLines="30" w:afterAutospacing="1" w:line="312" w:lineRule="auto"/>
      <w:ind w:firstLine="200" w:firstLineChars="200"/>
      <w:jc w:val="left"/>
    </w:pPr>
    <w:rPr>
      <w:rFonts w:ascii="Calibri" w:hAnsi="Calibri" w:eastAsia="宋体" w:cs="Calibri"/>
      <w:kern w:val="0"/>
      <w:sz w:val="20"/>
      <w:szCs w:val="20"/>
    </w:rPr>
  </w:style>
  <w:style w:type="paragraph" w:customStyle="1" w:styleId="249">
    <w:name w:val="样式 样式 (中文) 仿宋_GB2312 小四 行距: 固定值 20 磅 + 首行缩进:  2 字符"/>
    <w:basedOn w:val="1"/>
    <w:qFormat/>
    <w:uiPriority w:val="0"/>
    <w:pPr>
      <w:widowControl/>
      <w:adjustRightInd w:val="0"/>
      <w:snapToGrid w:val="0"/>
      <w:spacing w:beforeLines="50" w:afterLines="30" w:line="360" w:lineRule="auto"/>
      <w:ind w:firstLine="200" w:firstLineChars="200"/>
    </w:pPr>
    <w:rPr>
      <w:rFonts w:ascii="Times New Roman" w:hAnsi="Times New Roman" w:eastAsia="仿宋_GB2312" w:cs="宋体"/>
      <w:sz w:val="32"/>
      <w:szCs w:val="20"/>
    </w:rPr>
  </w:style>
  <w:style w:type="paragraph" w:customStyle="1" w:styleId="250">
    <w:name w:val="font13"/>
    <w:basedOn w:val="1"/>
    <w:qFormat/>
    <w:uiPriority w:val="0"/>
    <w:pPr>
      <w:widowControl/>
      <w:adjustRightInd w:val="0"/>
      <w:snapToGrid w:val="0"/>
      <w:spacing w:beforeLines="50" w:beforeAutospacing="1" w:afterLines="30" w:afterAutospacing="1" w:line="312" w:lineRule="auto"/>
      <w:ind w:firstLine="200" w:firstLineChars="200"/>
      <w:jc w:val="left"/>
    </w:pPr>
    <w:rPr>
      <w:rFonts w:ascii="宋体" w:hAnsi="宋体" w:eastAsia="宋体" w:cs="宋体"/>
      <w:b/>
      <w:bCs/>
      <w:color w:val="000000"/>
      <w:kern w:val="0"/>
      <w:sz w:val="20"/>
      <w:szCs w:val="20"/>
    </w:rPr>
  </w:style>
  <w:style w:type="paragraph" w:customStyle="1" w:styleId="251">
    <w:name w:val="p0"/>
    <w:basedOn w:val="1"/>
    <w:qFormat/>
    <w:uiPriority w:val="0"/>
    <w:pPr>
      <w:widowControl/>
      <w:adjustRightInd w:val="0"/>
      <w:snapToGrid w:val="0"/>
      <w:spacing w:beforeLines="50" w:beforeAutospacing="1" w:afterLines="30" w:afterAutospacing="1" w:line="312" w:lineRule="auto"/>
      <w:ind w:firstLine="200" w:firstLineChars="200"/>
      <w:jc w:val="left"/>
    </w:pPr>
    <w:rPr>
      <w:rFonts w:ascii="宋体" w:hAnsi="宋体" w:eastAsia="宋体" w:cs="宋体"/>
      <w:kern w:val="0"/>
      <w:sz w:val="24"/>
      <w:szCs w:val="24"/>
    </w:rPr>
  </w:style>
  <w:style w:type="paragraph" w:customStyle="1" w:styleId="252">
    <w:name w:val="font15"/>
    <w:basedOn w:val="1"/>
    <w:qFormat/>
    <w:uiPriority w:val="0"/>
    <w:pPr>
      <w:widowControl/>
      <w:adjustRightInd w:val="0"/>
      <w:snapToGrid w:val="0"/>
      <w:spacing w:beforeLines="50" w:beforeAutospacing="1" w:afterLines="30" w:afterAutospacing="1" w:line="312" w:lineRule="auto"/>
      <w:ind w:firstLine="200" w:firstLineChars="200"/>
      <w:jc w:val="left"/>
    </w:pPr>
    <w:rPr>
      <w:rFonts w:ascii="宋体" w:hAnsi="宋体" w:eastAsia="宋体" w:cs="宋体"/>
      <w:b/>
      <w:bCs/>
      <w:color w:val="000000"/>
      <w:kern w:val="0"/>
      <w:sz w:val="20"/>
      <w:szCs w:val="20"/>
    </w:rPr>
  </w:style>
  <w:style w:type="paragraph" w:customStyle="1" w:styleId="253">
    <w:name w:val="xl70"/>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50" w:beforeAutospacing="1" w:afterLines="30" w:afterAutospacing="1" w:line="312" w:lineRule="auto"/>
      <w:ind w:firstLine="200" w:firstLineChars="200"/>
      <w:jc w:val="center"/>
      <w:textAlignment w:val="center"/>
    </w:pPr>
    <w:rPr>
      <w:rFonts w:ascii="宋体" w:hAnsi="宋体" w:eastAsia="宋体" w:cs="宋体"/>
      <w:b/>
      <w:bCs/>
      <w:color w:val="000000"/>
      <w:kern w:val="0"/>
      <w:sz w:val="20"/>
      <w:szCs w:val="20"/>
    </w:rPr>
  </w:style>
  <w:style w:type="paragraph" w:customStyle="1" w:styleId="254">
    <w:name w:val="标题C4"/>
    <w:basedOn w:val="1"/>
    <w:next w:val="1"/>
    <w:qFormat/>
    <w:uiPriority w:val="0"/>
    <w:pPr>
      <w:widowControl/>
      <w:adjustRightInd w:val="0"/>
      <w:snapToGrid w:val="0"/>
      <w:spacing w:beforeLines="50" w:afterLines="50" w:line="360" w:lineRule="auto"/>
      <w:ind w:firstLine="200" w:firstLineChars="200"/>
      <w:outlineLvl w:val="3"/>
    </w:pPr>
    <w:rPr>
      <w:rFonts w:ascii="宋体" w:hAnsi="宋体" w:eastAsia="宋体" w:cs="Times New Roman"/>
      <w:b/>
      <w:color w:val="000000"/>
      <w:sz w:val="24"/>
      <w:szCs w:val="24"/>
    </w:rPr>
  </w:style>
  <w:style w:type="paragraph" w:customStyle="1" w:styleId="255">
    <w:name w:val="xl71"/>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50" w:beforeAutospacing="1" w:afterLines="30" w:afterAutospacing="1" w:line="312" w:lineRule="auto"/>
      <w:ind w:firstLine="200" w:firstLineChars="200"/>
      <w:jc w:val="center"/>
      <w:textAlignment w:val="center"/>
    </w:pPr>
    <w:rPr>
      <w:rFonts w:ascii="宋体" w:hAnsi="宋体" w:eastAsia="宋体" w:cs="宋体"/>
      <w:color w:val="000000"/>
      <w:kern w:val="0"/>
      <w:sz w:val="20"/>
      <w:szCs w:val="20"/>
    </w:rPr>
  </w:style>
  <w:style w:type="paragraph" w:customStyle="1" w:styleId="256">
    <w:name w:val="xl74"/>
    <w:basedOn w:val="1"/>
    <w:qFormat/>
    <w:uiPriority w:val="0"/>
    <w:pPr>
      <w:widowControl/>
      <w:pBdr>
        <w:top w:val="single" w:color="auto" w:sz="4" w:space="0"/>
        <w:left w:val="single" w:color="auto" w:sz="4" w:space="0"/>
        <w:right w:val="single" w:color="auto" w:sz="4" w:space="0"/>
      </w:pBdr>
      <w:adjustRightInd w:val="0"/>
      <w:snapToGrid w:val="0"/>
      <w:spacing w:beforeLines="50" w:beforeAutospacing="1" w:afterLines="30" w:afterAutospacing="1" w:line="312" w:lineRule="auto"/>
      <w:ind w:firstLine="200" w:firstLineChars="200"/>
      <w:jc w:val="center"/>
      <w:textAlignment w:val="center"/>
    </w:pPr>
    <w:rPr>
      <w:rFonts w:ascii="宋体" w:hAnsi="宋体" w:eastAsia="宋体" w:cs="宋体"/>
      <w:kern w:val="0"/>
      <w:sz w:val="20"/>
      <w:szCs w:val="20"/>
    </w:rPr>
  </w:style>
  <w:style w:type="paragraph" w:customStyle="1" w:styleId="257">
    <w:name w:val="xl75"/>
    <w:basedOn w:val="1"/>
    <w:qFormat/>
    <w:uiPriority w:val="0"/>
    <w:pPr>
      <w:widowControl/>
      <w:pBdr>
        <w:left w:val="single" w:color="auto" w:sz="4" w:space="0"/>
        <w:bottom w:val="single" w:color="auto" w:sz="4" w:space="0"/>
        <w:right w:val="single" w:color="auto" w:sz="4" w:space="0"/>
      </w:pBdr>
      <w:adjustRightInd w:val="0"/>
      <w:snapToGrid w:val="0"/>
      <w:spacing w:beforeLines="50" w:beforeAutospacing="1" w:afterLines="30" w:afterAutospacing="1" w:line="312" w:lineRule="auto"/>
      <w:ind w:firstLine="200" w:firstLineChars="200"/>
      <w:jc w:val="center"/>
      <w:textAlignment w:val="center"/>
    </w:pPr>
    <w:rPr>
      <w:rFonts w:ascii="宋体" w:hAnsi="宋体" w:eastAsia="宋体" w:cs="宋体"/>
      <w:kern w:val="0"/>
      <w:sz w:val="20"/>
      <w:szCs w:val="20"/>
    </w:rPr>
  </w:style>
  <w:style w:type="paragraph" w:customStyle="1" w:styleId="258">
    <w:name w:val="xl76"/>
    <w:basedOn w:val="1"/>
    <w:qFormat/>
    <w:uiPriority w:val="0"/>
    <w:pPr>
      <w:widowControl/>
      <w:pBdr>
        <w:top w:val="single" w:color="auto" w:sz="4" w:space="0"/>
        <w:left w:val="single" w:color="auto" w:sz="4" w:space="0"/>
        <w:right w:val="single" w:color="auto" w:sz="4" w:space="0"/>
      </w:pBdr>
      <w:adjustRightInd w:val="0"/>
      <w:snapToGrid w:val="0"/>
      <w:spacing w:beforeLines="50" w:beforeAutospacing="1" w:afterLines="30" w:afterAutospacing="1" w:line="312" w:lineRule="auto"/>
      <w:ind w:firstLine="200" w:firstLineChars="200"/>
      <w:jc w:val="center"/>
      <w:textAlignment w:val="center"/>
    </w:pPr>
    <w:rPr>
      <w:rFonts w:ascii="宋体" w:hAnsi="宋体" w:eastAsia="宋体" w:cs="宋体"/>
      <w:color w:val="000000"/>
      <w:kern w:val="0"/>
      <w:sz w:val="20"/>
      <w:szCs w:val="20"/>
    </w:rPr>
  </w:style>
  <w:style w:type="paragraph" w:customStyle="1" w:styleId="259">
    <w:name w:val="xl77"/>
    <w:basedOn w:val="1"/>
    <w:qFormat/>
    <w:uiPriority w:val="0"/>
    <w:pPr>
      <w:widowControl/>
      <w:pBdr>
        <w:left w:val="single" w:color="auto" w:sz="4" w:space="0"/>
        <w:bottom w:val="single" w:color="auto" w:sz="4" w:space="0"/>
        <w:right w:val="single" w:color="auto" w:sz="4" w:space="0"/>
      </w:pBdr>
      <w:adjustRightInd w:val="0"/>
      <w:snapToGrid w:val="0"/>
      <w:spacing w:beforeLines="50" w:beforeAutospacing="1" w:afterLines="30" w:afterAutospacing="1" w:line="312" w:lineRule="auto"/>
      <w:ind w:firstLine="200" w:firstLineChars="200"/>
      <w:jc w:val="center"/>
      <w:textAlignment w:val="center"/>
    </w:pPr>
    <w:rPr>
      <w:rFonts w:ascii="宋体" w:hAnsi="宋体" w:eastAsia="宋体" w:cs="宋体"/>
      <w:color w:val="000000"/>
      <w:kern w:val="0"/>
      <w:sz w:val="20"/>
      <w:szCs w:val="20"/>
    </w:rPr>
  </w:style>
  <w:style w:type="paragraph" w:customStyle="1" w:styleId="260">
    <w:name w:val="xl79"/>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50" w:beforeAutospacing="1" w:afterLines="30" w:afterAutospacing="1" w:line="312" w:lineRule="auto"/>
      <w:ind w:firstLine="200" w:firstLineChars="200"/>
      <w:jc w:val="center"/>
    </w:pPr>
    <w:rPr>
      <w:rFonts w:ascii="楷体_GB2312" w:hAnsi="宋体" w:eastAsia="楷体_GB2312" w:cs="宋体"/>
      <w:b/>
      <w:bCs/>
      <w:color w:val="000000"/>
      <w:kern w:val="0"/>
      <w:sz w:val="18"/>
      <w:szCs w:val="18"/>
    </w:rPr>
  </w:style>
  <w:style w:type="paragraph" w:customStyle="1" w:styleId="261">
    <w:name w:val="xl80"/>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50" w:beforeAutospacing="1" w:afterLines="30" w:afterAutospacing="1" w:line="312" w:lineRule="auto"/>
      <w:ind w:firstLine="200" w:firstLineChars="200"/>
      <w:jc w:val="center"/>
    </w:pPr>
    <w:rPr>
      <w:rFonts w:ascii="楷体_GB2312" w:hAnsi="宋体" w:eastAsia="楷体_GB2312" w:cs="宋体"/>
      <w:color w:val="000000"/>
      <w:kern w:val="0"/>
      <w:sz w:val="18"/>
      <w:szCs w:val="18"/>
    </w:rPr>
  </w:style>
  <w:style w:type="paragraph" w:customStyle="1" w:styleId="262">
    <w:name w:val="xl81"/>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50" w:beforeAutospacing="1" w:afterLines="30" w:afterAutospacing="1" w:line="312" w:lineRule="auto"/>
      <w:ind w:firstLine="200" w:firstLineChars="200"/>
      <w:jc w:val="left"/>
    </w:pPr>
    <w:rPr>
      <w:rFonts w:ascii="Calibri" w:hAnsi="Calibri" w:eastAsia="宋体" w:cs="Calibri"/>
      <w:kern w:val="0"/>
      <w:sz w:val="20"/>
      <w:szCs w:val="20"/>
    </w:rPr>
  </w:style>
  <w:style w:type="paragraph" w:customStyle="1" w:styleId="263">
    <w:name w:val="xl82"/>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50" w:beforeAutospacing="1" w:afterLines="30" w:afterAutospacing="1" w:line="312" w:lineRule="auto"/>
      <w:ind w:firstLine="200" w:firstLineChars="200"/>
      <w:jc w:val="center"/>
    </w:pPr>
    <w:rPr>
      <w:rFonts w:ascii="楷体_GB2312" w:hAnsi="宋体" w:eastAsia="楷体_GB2312" w:cs="宋体"/>
      <w:kern w:val="0"/>
      <w:sz w:val="18"/>
      <w:szCs w:val="18"/>
    </w:rPr>
  </w:style>
  <w:style w:type="paragraph" w:customStyle="1" w:styleId="264">
    <w:name w:val="xl83"/>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50" w:beforeAutospacing="1" w:afterLines="30" w:afterAutospacing="1" w:line="312" w:lineRule="auto"/>
      <w:ind w:firstLine="200" w:firstLineChars="200"/>
      <w:jc w:val="center"/>
    </w:pPr>
    <w:rPr>
      <w:rFonts w:ascii="楷体_GB2312" w:hAnsi="宋体" w:eastAsia="楷体_GB2312" w:cs="宋体"/>
      <w:color w:val="C00000"/>
      <w:kern w:val="0"/>
      <w:sz w:val="18"/>
      <w:szCs w:val="18"/>
    </w:rPr>
  </w:style>
  <w:style w:type="paragraph" w:customStyle="1" w:styleId="265">
    <w:name w:val="xl84"/>
    <w:basedOn w:val="1"/>
    <w:qFormat/>
    <w:uiPriority w:val="0"/>
    <w:pPr>
      <w:widowControl/>
      <w:pBdr>
        <w:left w:val="single" w:color="auto" w:sz="4" w:space="0"/>
        <w:right w:val="single" w:color="auto" w:sz="4" w:space="0"/>
      </w:pBdr>
      <w:shd w:val="clear" w:color="000000" w:fill="8DB4E3"/>
      <w:adjustRightInd w:val="0"/>
      <w:snapToGrid w:val="0"/>
      <w:spacing w:beforeLines="50" w:beforeAutospacing="1" w:afterLines="30" w:afterAutospacing="1" w:line="312" w:lineRule="auto"/>
      <w:ind w:firstLine="200" w:firstLineChars="200"/>
      <w:jc w:val="center"/>
      <w:textAlignment w:val="center"/>
    </w:pPr>
    <w:rPr>
      <w:rFonts w:ascii="楷体_GB2312" w:hAnsi="宋体" w:eastAsia="楷体_GB2312" w:cs="宋体"/>
      <w:b/>
      <w:bCs/>
      <w:color w:val="000000"/>
      <w:kern w:val="0"/>
      <w:sz w:val="24"/>
      <w:szCs w:val="21"/>
    </w:rPr>
  </w:style>
  <w:style w:type="paragraph" w:customStyle="1" w:styleId="266">
    <w:name w:val="xl85"/>
    <w:basedOn w:val="1"/>
    <w:qFormat/>
    <w:uiPriority w:val="0"/>
    <w:pPr>
      <w:widowControl/>
      <w:pBdr>
        <w:top w:val="single" w:color="auto" w:sz="4" w:space="0"/>
        <w:left w:val="single" w:color="auto" w:sz="4" w:space="0"/>
      </w:pBdr>
      <w:shd w:val="clear" w:color="000000" w:fill="8DB4E3"/>
      <w:adjustRightInd w:val="0"/>
      <w:snapToGrid w:val="0"/>
      <w:spacing w:beforeLines="50" w:beforeAutospacing="1" w:afterLines="30" w:afterAutospacing="1" w:line="312" w:lineRule="auto"/>
      <w:ind w:firstLine="200" w:firstLineChars="200"/>
      <w:jc w:val="center"/>
      <w:textAlignment w:val="center"/>
    </w:pPr>
    <w:rPr>
      <w:rFonts w:ascii="楷体_GB2312" w:hAnsi="宋体" w:eastAsia="楷体_GB2312" w:cs="宋体"/>
      <w:b/>
      <w:bCs/>
      <w:color w:val="000000"/>
      <w:kern w:val="0"/>
      <w:sz w:val="24"/>
      <w:szCs w:val="21"/>
    </w:rPr>
  </w:style>
  <w:style w:type="paragraph" w:customStyle="1" w:styleId="267">
    <w:name w:val="xl86"/>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50" w:beforeAutospacing="1" w:afterLines="30" w:afterAutospacing="1" w:line="312" w:lineRule="auto"/>
      <w:ind w:firstLine="200" w:firstLineChars="200"/>
      <w:jc w:val="center"/>
    </w:pPr>
    <w:rPr>
      <w:rFonts w:ascii="楷体_GB2312" w:hAnsi="宋体" w:eastAsia="楷体_GB2312" w:cs="宋体"/>
      <w:b/>
      <w:bCs/>
      <w:color w:val="000000"/>
      <w:kern w:val="0"/>
      <w:sz w:val="18"/>
      <w:szCs w:val="18"/>
    </w:rPr>
  </w:style>
  <w:style w:type="paragraph" w:customStyle="1" w:styleId="268">
    <w:name w:val="xl90"/>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50" w:beforeAutospacing="1" w:afterLines="30" w:afterAutospacing="1" w:line="312" w:lineRule="auto"/>
      <w:ind w:firstLine="200" w:firstLineChars="200"/>
      <w:jc w:val="center"/>
    </w:pPr>
    <w:rPr>
      <w:rFonts w:ascii="楷体_GB2312" w:hAnsi="宋体" w:eastAsia="楷体_GB2312" w:cs="宋体"/>
      <w:color w:val="C00000"/>
      <w:kern w:val="0"/>
      <w:sz w:val="18"/>
      <w:szCs w:val="18"/>
    </w:rPr>
  </w:style>
  <w:style w:type="paragraph" w:customStyle="1" w:styleId="269">
    <w:name w:val="font6"/>
    <w:basedOn w:val="1"/>
    <w:qFormat/>
    <w:uiPriority w:val="0"/>
    <w:pPr>
      <w:widowControl/>
      <w:adjustRightInd w:val="0"/>
      <w:snapToGrid w:val="0"/>
      <w:spacing w:beforeLines="50" w:beforeAutospacing="1" w:afterLines="30" w:afterAutospacing="1" w:line="312" w:lineRule="auto"/>
      <w:ind w:firstLine="200" w:firstLineChars="200"/>
      <w:jc w:val="left"/>
    </w:pPr>
    <w:rPr>
      <w:rFonts w:ascii="宋体" w:hAnsi="宋体" w:eastAsia="宋体" w:cs="宋体"/>
      <w:kern w:val="0"/>
      <w:sz w:val="20"/>
      <w:szCs w:val="20"/>
    </w:rPr>
  </w:style>
  <w:style w:type="paragraph" w:customStyle="1" w:styleId="270">
    <w:name w:val="font7"/>
    <w:basedOn w:val="1"/>
    <w:qFormat/>
    <w:uiPriority w:val="0"/>
    <w:pPr>
      <w:widowControl/>
      <w:adjustRightInd w:val="0"/>
      <w:snapToGrid w:val="0"/>
      <w:spacing w:beforeLines="50" w:beforeAutospacing="1" w:afterLines="30" w:afterAutospacing="1" w:line="312" w:lineRule="auto"/>
      <w:ind w:firstLine="200" w:firstLineChars="200"/>
      <w:jc w:val="left"/>
    </w:pPr>
    <w:rPr>
      <w:rFonts w:ascii="宋体" w:hAnsi="宋体" w:eastAsia="宋体" w:cs="宋体"/>
      <w:b/>
      <w:bCs/>
      <w:color w:val="000000"/>
      <w:kern w:val="0"/>
      <w:sz w:val="20"/>
      <w:szCs w:val="20"/>
    </w:rPr>
  </w:style>
  <w:style w:type="paragraph" w:customStyle="1" w:styleId="271">
    <w:name w:val="font8"/>
    <w:basedOn w:val="1"/>
    <w:qFormat/>
    <w:uiPriority w:val="0"/>
    <w:pPr>
      <w:widowControl/>
      <w:adjustRightInd w:val="0"/>
      <w:snapToGrid w:val="0"/>
      <w:spacing w:beforeLines="50" w:beforeAutospacing="1" w:afterLines="30" w:afterAutospacing="1" w:line="312" w:lineRule="auto"/>
      <w:ind w:firstLine="200" w:firstLineChars="200"/>
      <w:jc w:val="left"/>
    </w:pPr>
    <w:rPr>
      <w:rFonts w:ascii="宋体" w:hAnsi="宋体" w:eastAsia="宋体" w:cs="宋体"/>
      <w:b/>
      <w:bCs/>
      <w:color w:val="000000"/>
      <w:kern w:val="0"/>
      <w:sz w:val="22"/>
    </w:rPr>
  </w:style>
  <w:style w:type="paragraph" w:customStyle="1" w:styleId="272">
    <w:name w:val="font9"/>
    <w:basedOn w:val="1"/>
    <w:qFormat/>
    <w:uiPriority w:val="0"/>
    <w:pPr>
      <w:widowControl/>
      <w:adjustRightInd w:val="0"/>
      <w:snapToGrid w:val="0"/>
      <w:spacing w:beforeLines="50" w:beforeAutospacing="1" w:afterLines="30" w:afterAutospacing="1" w:line="312" w:lineRule="auto"/>
      <w:ind w:firstLine="200" w:firstLineChars="200"/>
      <w:jc w:val="left"/>
    </w:pPr>
    <w:rPr>
      <w:rFonts w:ascii="宋体" w:hAnsi="宋体" w:eastAsia="宋体" w:cs="宋体"/>
      <w:kern w:val="0"/>
      <w:sz w:val="18"/>
      <w:szCs w:val="18"/>
    </w:rPr>
  </w:style>
  <w:style w:type="paragraph" w:customStyle="1" w:styleId="273">
    <w:name w:val="font11"/>
    <w:basedOn w:val="1"/>
    <w:qFormat/>
    <w:uiPriority w:val="0"/>
    <w:pPr>
      <w:widowControl/>
      <w:adjustRightInd w:val="0"/>
      <w:snapToGrid w:val="0"/>
      <w:spacing w:beforeLines="50" w:beforeAutospacing="1" w:afterLines="30" w:afterAutospacing="1" w:line="312" w:lineRule="auto"/>
      <w:ind w:firstLine="200" w:firstLineChars="200"/>
      <w:jc w:val="left"/>
    </w:pPr>
    <w:rPr>
      <w:rFonts w:ascii="宋体" w:hAnsi="宋体" w:eastAsia="宋体" w:cs="宋体"/>
      <w:color w:val="000000"/>
      <w:kern w:val="0"/>
      <w:sz w:val="20"/>
      <w:szCs w:val="20"/>
    </w:rPr>
  </w:style>
  <w:style w:type="paragraph" w:customStyle="1" w:styleId="274">
    <w:name w:val="font12"/>
    <w:basedOn w:val="1"/>
    <w:qFormat/>
    <w:uiPriority w:val="0"/>
    <w:pPr>
      <w:widowControl/>
      <w:adjustRightInd w:val="0"/>
      <w:snapToGrid w:val="0"/>
      <w:spacing w:beforeLines="50" w:beforeAutospacing="1" w:afterLines="30" w:afterAutospacing="1" w:line="312" w:lineRule="auto"/>
      <w:ind w:firstLine="200" w:firstLineChars="200"/>
      <w:jc w:val="left"/>
    </w:pPr>
    <w:rPr>
      <w:rFonts w:ascii="宋体" w:hAnsi="宋体" w:eastAsia="宋体" w:cs="宋体"/>
      <w:color w:val="000000"/>
      <w:kern w:val="0"/>
      <w:sz w:val="22"/>
    </w:rPr>
  </w:style>
  <w:style w:type="character" w:customStyle="1" w:styleId="275">
    <w:name w:val="批注文字 Char1"/>
    <w:basedOn w:val="45"/>
    <w:qFormat/>
    <w:uiPriority w:val="99"/>
  </w:style>
  <w:style w:type="table" w:customStyle="1" w:styleId="276">
    <w:name w:val="网格型1"/>
    <w:basedOn w:val="43"/>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77">
    <w:name w:val="z表格文字"/>
    <w:basedOn w:val="278"/>
    <w:link w:val="280"/>
    <w:qFormat/>
    <w:uiPriority w:val="0"/>
    <w:pPr>
      <w:snapToGrid w:val="0"/>
      <w:spacing w:line="240" w:lineRule="auto"/>
      <w:ind w:firstLine="0" w:firstLineChars="0"/>
    </w:pPr>
    <w:rPr>
      <w:rFonts w:ascii="楷体_GB2312" w:hAnsi="华文中宋"/>
      <w:snapToGrid w:val="0"/>
      <w:sz w:val="24"/>
    </w:rPr>
  </w:style>
  <w:style w:type="paragraph" w:customStyle="1" w:styleId="278">
    <w:name w:val="Z正文"/>
    <w:basedOn w:val="2"/>
    <w:link w:val="279"/>
    <w:qFormat/>
    <w:uiPriority w:val="0"/>
    <w:pPr>
      <w:widowControl w:val="0"/>
      <w:adjustRightInd/>
      <w:snapToGrid/>
      <w:spacing w:line="500" w:lineRule="exact"/>
    </w:pPr>
    <w:rPr>
      <w:rFonts w:ascii="Times New Roman" w:hAnsi="Times New Roman"/>
      <w:sz w:val="28"/>
      <w:szCs w:val="20"/>
    </w:rPr>
  </w:style>
  <w:style w:type="character" w:customStyle="1" w:styleId="279">
    <w:name w:val="Z正文 Char"/>
    <w:basedOn w:val="150"/>
    <w:link w:val="278"/>
    <w:qFormat/>
    <w:uiPriority w:val="0"/>
    <w:rPr>
      <w:rFonts w:ascii="Times New Roman" w:hAnsi="Times New Roman" w:eastAsia="宋体" w:cs="Times New Roman"/>
      <w:kern w:val="0"/>
      <w:sz w:val="28"/>
      <w:szCs w:val="20"/>
    </w:rPr>
  </w:style>
  <w:style w:type="character" w:customStyle="1" w:styleId="280">
    <w:name w:val="z表格文字 Char"/>
    <w:basedOn w:val="279"/>
    <w:link w:val="277"/>
    <w:qFormat/>
    <w:uiPriority w:val="0"/>
    <w:rPr>
      <w:rFonts w:ascii="楷体_GB2312" w:hAnsi="华文中宋" w:eastAsia="宋体" w:cs="Times New Roman"/>
      <w:snapToGrid w:val="0"/>
      <w:kern w:val="0"/>
      <w:sz w:val="24"/>
      <w:szCs w:val="20"/>
    </w:rPr>
  </w:style>
  <w:style w:type="paragraph" w:customStyle="1" w:styleId="281">
    <w:name w:val="Z表格标题"/>
    <w:basedOn w:val="1"/>
    <w:qFormat/>
    <w:uiPriority w:val="0"/>
    <w:pPr>
      <w:numPr>
        <w:ilvl w:val="8"/>
        <w:numId w:val="1"/>
      </w:numPr>
      <w:tabs>
        <w:tab w:val="left" w:pos="180"/>
      </w:tabs>
      <w:adjustRightInd w:val="0"/>
      <w:snapToGrid w:val="0"/>
      <w:spacing w:before="240" w:after="120"/>
      <w:ind w:left="7020" w:hanging="7704"/>
      <w:jc w:val="center"/>
      <w:outlineLvl w:val="8"/>
    </w:pPr>
    <w:rPr>
      <w:rFonts w:ascii="黑体" w:hAnsi="Times New Roman" w:eastAsia="黑体" w:cs="Times New Roman"/>
      <w:sz w:val="24"/>
      <w:szCs w:val="20"/>
    </w:rPr>
  </w:style>
  <w:style w:type="character" w:customStyle="1" w:styleId="282">
    <w:name w:val="Z表格标题 Char"/>
    <w:basedOn w:val="45"/>
    <w:qFormat/>
    <w:uiPriority w:val="0"/>
    <w:rPr>
      <w:rFonts w:ascii="黑体" w:eastAsia="黑体"/>
      <w:kern w:val="2"/>
      <w:sz w:val="24"/>
      <w:lang w:val="en-US" w:eastAsia="zh-CN" w:bidi="ar-SA"/>
    </w:rPr>
  </w:style>
  <w:style w:type="paragraph" w:customStyle="1" w:styleId="283">
    <w:name w:val="Z章标题"/>
    <w:basedOn w:val="4"/>
    <w:next w:val="4"/>
    <w:qFormat/>
    <w:uiPriority w:val="0"/>
    <w:pPr>
      <w:numPr>
        <w:ilvl w:val="0"/>
        <w:numId w:val="1"/>
      </w:numPr>
      <w:spacing w:line="360" w:lineRule="auto"/>
      <w:jc w:val="center"/>
    </w:pPr>
    <w:rPr>
      <w:rFonts w:ascii="Times New Roman" w:hAnsi="Times New Roman" w:eastAsia="仿宋_GB2312" w:cs="Times New Roman"/>
      <w:sz w:val="36"/>
    </w:rPr>
  </w:style>
  <w:style w:type="paragraph" w:customStyle="1" w:styleId="284">
    <w:name w:val="Z节标题"/>
    <w:basedOn w:val="283"/>
    <w:qFormat/>
    <w:uiPriority w:val="0"/>
    <w:pPr>
      <w:numPr>
        <w:ilvl w:val="1"/>
        <w:numId w:val="0"/>
      </w:numPr>
      <w:spacing w:before="300" w:after="100" w:afterAutospacing="1" w:line="240" w:lineRule="auto"/>
      <w:ind w:left="578" w:hanging="578"/>
      <w:jc w:val="left"/>
      <w:outlineLvl w:val="1"/>
    </w:pPr>
    <w:rPr>
      <w:rFonts w:eastAsia="黑体"/>
      <w:b w:val="0"/>
      <w:sz w:val="32"/>
    </w:rPr>
  </w:style>
  <w:style w:type="paragraph" w:customStyle="1" w:styleId="285">
    <w:name w:val="Z小节标题"/>
    <w:basedOn w:val="284"/>
    <w:next w:val="1"/>
    <w:qFormat/>
    <w:uiPriority w:val="0"/>
    <w:pPr>
      <w:numPr>
        <w:ilvl w:val="2"/>
        <w:numId w:val="0"/>
      </w:numPr>
      <w:spacing w:before="240"/>
      <w:outlineLvl w:val="2"/>
    </w:pPr>
    <w:rPr>
      <w:sz w:val="28"/>
      <w:szCs w:val="28"/>
    </w:rPr>
  </w:style>
  <w:style w:type="paragraph" w:customStyle="1" w:styleId="286">
    <w:name w:val="Z小小节标题"/>
    <w:basedOn w:val="285"/>
    <w:qFormat/>
    <w:uiPriority w:val="0"/>
    <w:pPr>
      <w:numPr>
        <w:ilvl w:val="3"/>
        <w:numId w:val="0"/>
      </w:numPr>
      <w:spacing w:before="200"/>
      <w:outlineLvl w:val="3"/>
    </w:pPr>
    <w:rPr>
      <w:rFonts w:eastAsia="宋体"/>
      <w:b/>
    </w:rPr>
  </w:style>
  <w:style w:type="table" w:customStyle="1" w:styleId="287">
    <w:name w:val="清单表 21"/>
    <w:basedOn w:val="43"/>
    <w:qFormat/>
    <w:uiPriority w:val="47"/>
    <w:tblPr>
      <w:tblBorders>
        <w:top w:val="single" w:color="666666" w:sz="4" w:space="0"/>
        <w:bottom w:val="single" w:color="666666" w:sz="4" w:space="0"/>
        <w:insideH w:val="single" w:color="666666"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CCCCCC"/>
      </w:tcPr>
    </w:tblStylePr>
    <w:tblStylePr w:type="band1Horz">
      <w:tcPr>
        <w:shd w:val="clear" w:color="auto" w:fill="CCCCCC"/>
      </w:tcPr>
    </w:tblStylePr>
  </w:style>
  <w:style w:type="table" w:customStyle="1" w:styleId="288">
    <w:name w:val="无格式表格 21"/>
    <w:basedOn w:val="43"/>
    <w:qFormat/>
    <w:uiPriority w:val="42"/>
    <w:tblPr>
      <w:tblBorders>
        <w:top w:val="single" w:color="7E7E7E" w:sz="4" w:space="0"/>
        <w:bottom w:val="single" w:color="7E7E7E" w:sz="4" w:space="0"/>
      </w:tblBorders>
    </w:tblPr>
    <w:tblStylePr w:type="firstRow">
      <w:rPr>
        <w:b/>
        <w:bCs/>
      </w:rPr>
      <w:tcPr>
        <w:tcBorders>
          <w:bottom w:val="single" w:color="7E7E7E" w:sz="4" w:space="0"/>
        </w:tcBorders>
      </w:tcPr>
    </w:tblStylePr>
    <w:tblStylePr w:type="lastRow">
      <w:rPr>
        <w:b/>
        <w:bCs/>
      </w:rPr>
      <w:tcPr>
        <w:tcBorders>
          <w:top w:val="single" w:color="7E7E7E" w:sz="4" w:space="0"/>
        </w:tcBorders>
      </w:tcPr>
    </w:tblStylePr>
    <w:tblStylePr w:type="firstCol">
      <w:rPr>
        <w:b/>
        <w:bCs/>
      </w:rPr>
    </w:tblStylePr>
    <w:tblStylePr w:type="lastCol">
      <w:rPr>
        <w:b/>
        <w:bCs/>
      </w:rPr>
    </w:tblStylePr>
    <w:tblStylePr w:type="band1Vert">
      <w:tcPr>
        <w:tcBorders>
          <w:left w:val="single" w:color="7E7E7E" w:sz="4" w:space="0"/>
          <w:right w:val="single" w:color="7E7E7E" w:sz="4" w:space="0"/>
        </w:tcBorders>
      </w:tcPr>
    </w:tblStylePr>
    <w:tblStylePr w:type="band2Vert">
      <w:tcPr>
        <w:tcBorders>
          <w:left w:val="single" w:color="7E7E7E" w:sz="4" w:space="0"/>
          <w:right w:val="single" w:color="7E7E7E" w:sz="4" w:space="0"/>
        </w:tcBorders>
      </w:tcPr>
    </w:tblStylePr>
    <w:tblStylePr w:type="band1Horz">
      <w:tcPr>
        <w:tcBorders>
          <w:top w:val="single" w:color="7E7E7E" w:sz="4" w:space="0"/>
          <w:bottom w:val="single" w:color="7E7E7E" w:sz="4" w:space="0"/>
        </w:tcBorders>
      </w:tcPr>
    </w:tblStylePr>
  </w:style>
  <w:style w:type="paragraph" w:customStyle="1" w:styleId="289">
    <w:name w:val="修订1"/>
    <w:qFormat/>
    <w:uiPriority w:val="99"/>
    <w:rPr>
      <w:rFonts w:ascii="Calibri" w:hAnsi="Calibri" w:eastAsia="宋体" w:cs="宋体"/>
      <w:kern w:val="2"/>
      <w:sz w:val="21"/>
      <w:szCs w:val="22"/>
      <w:lang w:val="en-US" w:eastAsia="zh-CN" w:bidi="ar-SA"/>
    </w:rPr>
  </w:style>
  <w:style w:type="character" w:customStyle="1" w:styleId="290">
    <w:name w:val="副标题 字符"/>
    <w:basedOn w:val="45"/>
    <w:qFormat/>
    <w:uiPriority w:val="0"/>
    <w:rPr>
      <w:b/>
      <w:bCs/>
      <w:kern w:val="28"/>
      <w:sz w:val="32"/>
      <w:szCs w:val="32"/>
    </w:rPr>
  </w:style>
  <w:style w:type="paragraph" w:customStyle="1" w:styleId="291">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customStyle="1" w:styleId="292">
    <w:name w:val="无格式表格 22"/>
    <w:basedOn w:val="43"/>
    <w:qFormat/>
    <w:uiPriority w:val="42"/>
    <w:rPr>
      <w:rFonts w:eastAsia="Times New Roman"/>
    </w:rPr>
    <w:tblPr>
      <w:tblBorders>
        <w:top w:val="single" w:color="7E7E7E" w:sz="4" w:space="0"/>
        <w:bottom w:val="single" w:color="7E7E7E" w:sz="4" w:space="0"/>
      </w:tblBorders>
    </w:tblPr>
    <w:tblStylePr w:type="firstRow">
      <w:rPr>
        <w:b/>
        <w:bCs/>
      </w:rPr>
      <w:tcPr>
        <w:tcBorders>
          <w:bottom w:val="single" w:color="7E7E7E" w:sz="4" w:space="0"/>
        </w:tcBorders>
      </w:tcPr>
    </w:tblStylePr>
    <w:tblStylePr w:type="lastRow">
      <w:rPr>
        <w:b/>
        <w:bCs/>
      </w:rPr>
      <w:tcPr>
        <w:tcBorders>
          <w:top w:val="single" w:color="7E7E7E" w:sz="4" w:space="0"/>
        </w:tcBorders>
      </w:tcPr>
    </w:tblStylePr>
    <w:tblStylePr w:type="firstCol">
      <w:rPr>
        <w:b/>
        <w:bCs/>
      </w:rPr>
    </w:tblStylePr>
    <w:tblStylePr w:type="lastCol">
      <w:rPr>
        <w:b/>
        <w:bCs/>
      </w:rPr>
    </w:tblStylePr>
    <w:tblStylePr w:type="band1Vert">
      <w:tcPr>
        <w:tcBorders>
          <w:left w:val="single" w:color="7E7E7E" w:sz="4" w:space="0"/>
          <w:right w:val="single" w:color="7E7E7E" w:sz="4" w:space="0"/>
        </w:tcBorders>
      </w:tcPr>
    </w:tblStylePr>
    <w:tblStylePr w:type="band2Vert">
      <w:tcPr>
        <w:tcBorders>
          <w:left w:val="single" w:color="7E7E7E" w:sz="4" w:space="0"/>
          <w:right w:val="single" w:color="7E7E7E" w:sz="4" w:space="0"/>
        </w:tcBorders>
      </w:tcPr>
    </w:tblStylePr>
    <w:tblStylePr w:type="band1Horz">
      <w:tcPr>
        <w:tcBorders>
          <w:top w:val="single" w:color="7E7E7E" w:sz="4" w:space="0"/>
          <w:bottom w:val="single" w:color="7E7E7E" w:sz="4" w:space="0"/>
        </w:tcBorders>
      </w:tcPr>
    </w:tblStylePr>
  </w:style>
  <w:style w:type="table" w:customStyle="1" w:styleId="293">
    <w:name w:val="清单表 22"/>
    <w:basedOn w:val="43"/>
    <w:qFormat/>
    <w:uiPriority w:val="47"/>
    <w:rPr>
      <w:rFonts w:eastAsia="Times New Roman"/>
    </w:rPr>
    <w:tblPr>
      <w:tblBorders>
        <w:top w:val="single" w:color="666666" w:sz="4" w:space="0"/>
        <w:bottom w:val="single" w:color="666666" w:sz="4" w:space="0"/>
        <w:insideH w:val="single" w:color="666666"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CCCCCC"/>
      </w:tcPr>
    </w:tblStylePr>
    <w:tblStylePr w:type="band1Horz">
      <w:tcPr>
        <w:shd w:val="clear" w:color="auto" w:fill="CCCCCC"/>
      </w:tcPr>
    </w:tblStylePr>
  </w:style>
  <w:style w:type="character" w:customStyle="1" w:styleId="294">
    <w:name w:val="未处理的提及1"/>
    <w:basedOn w:val="45"/>
    <w:qFormat/>
    <w:uiPriority w:val="99"/>
    <w:rPr>
      <w:color w:val="808080"/>
      <w:shd w:val="clear" w:color="auto" w:fill="E6E6E6"/>
    </w:rPr>
  </w:style>
  <w:style w:type="character" w:customStyle="1" w:styleId="295">
    <w:name w:val="f"/>
    <w:basedOn w:val="45"/>
    <w:qFormat/>
    <w:uiPriority w:val="0"/>
  </w:style>
  <w:style w:type="table" w:customStyle="1" w:styleId="296">
    <w:name w:val="三线表"/>
    <w:basedOn w:val="43"/>
    <w:qFormat/>
    <w:uiPriority w:val="42"/>
    <w:tblPr>
      <w:tblBorders>
        <w:top w:val="single" w:color="000000" w:sz="4" w:space="0"/>
        <w:bottom w:val="single" w:color="000000" w:sz="4" w:space="0"/>
        <w:insideH w:val="single" w:color="000000" w:sz="4" w:space="0"/>
      </w:tblBorders>
    </w:tblPr>
    <w:tblStylePr w:type="firstRow">
      <w:rPr>
        <w:b/>
        <w:bCs/>
      </w:rPr>
      <w:tcPr>
        <w:tcBorders>
          <w:bottom w:val="single" w:color="7E7E7E" w:sz="4" w:space="0"/>
        </w:tcBorders>
      </w:tcPr>
    </w:tblStylePr>
    <w:tblStylePr w:type="lastRow">
      <w:rPr>
        <w:b/>
        <w:bCs/>
      </w:rPr>
      <w:tcPr>
        <w:tcBorders>
          <w:top w:val="single" w:color="7E7E7E" w:sz="4" w:space="0"/>
        </w:tcBorders>
      </w:tcPr>
    </w:tblStylePr>
    <w:tblStylePr w:type="firstCol">
      <w:rPr>
        <w:b/>
        <w:bCs/>
      </w:rPr>
    </w:tblStylePr>
    <w:tblStylePr w:type="lastCol">
      <w:rPr>
        <w:b/>
        <w:bCs/>
      </w:rPr>
    </w:tblStylePr>
    <w:tblStylePr w:type="band1Vert">
      <w:tcPr>
        <w:tcBorders>
          <w:left w:val="single" w:color="7E7E7E" w:sz="4" w:space="0"/>
          <w:right w:val="single" w:color="7E7E7E" w:sz="4" w:space="0"/>
        </w:tcBorders>
      </w:tcPr>
    </w:tblStylePr>
    <w:tblStylePr w:type="band2Vert">
      <w:tcPr>
        <w:tcBorders>
          <w:left w:val="single" w:color="7E7E7E" w:sz="4" w:space="0"/>
          <w:right w:val="single" w:color="7E7E7E" w:sz="4" w:space="0"/>
        </w:tcBorders>
      </w:tcPr>
    </w:tblStylePr>
    <w:tblStylePr w:type="band1Horz">
      <w:tcPr>
        <w:tcBorders>
          <w:top w:val="single" w:color="7E7E7E" w:sz="4" w:space="0"/>
          <w:bottom w:val="single" w:color="7E7E7E" w:sz="4" w:space="0"/>
        </w:tcBorders>
      </w:tcPr>
    </w:tblStylePr>
  </w:style>
  <w:style w:type="table" w:customStyle="1" w:styleId="297">
    <w:name w:val="无格式表格 23"/>
    <w:basedOn w:val="43"/>
    <w:qFormat/>
    <w:uiPriority w:val="42"/>
    <w:rPr>
      <w:rFonts w:eastAsia="Times New Roman"/>
    </w:rPr>
    <w:tblPr>
      <w:tblBorders>
        <w:top w:val="single" w:color="7E7E7E" w:sz="4" w:space="0"/>
        <w:bottom w:val="single" w:color="7E7E7E" w:sz="4" w:space="0"/>
      </w:tblBorders>
    </w:tblPr>
    <w:tblStylePr w:type="firstRow">
      <w:rPr>
        <w:b/>
        <w:bCs/>
      </w:rPr>
      <w:tcPr>
        <w:tcBorders>
          <w:bottom w:val="single" w:color="7E7E7E" w:sz="4" w:space="0"/>
        </w:tcBorders>
      </w:tcPr>
    </w:tblStylePr>
    <w:tblStylePr w:type="lastRow">
      <w:rPr>
        <w:b/>
        <w:bCs/>
      </w:rPr>
      <w:tcPr>
        <w:tcBorders>
          <w:top w:val="single" w:color="7E7E7E" w:sz="4" w:space="0"/>
        </w:tcBorders>
      </w:tcPr>
    </w:tblStylePr>
    <w:tblStylePr w:type="firstCol">
      <w:rPr>
        <w:b/>
        <w:bCs/>
      </w:rPr>
    </w:tblStylePr>
    <w:tblStylePr w:type="lastCol">
      <w:rPr>
        <w:b/>
        <w:bCs/>
      </w:rPr>
    </w:tblStylePr>
    <w:tblStylePr w:type="band1Vert">
      <w:tcPr>
        <w:tcBorders>
          <w:left w:val="single" w:color="7E7E7E" w:sz="4" w:space="0"/>
          <w:right w:val="single" w:color="7E7E7E" w:sz="4" w:space="0"/>
        </w:tcBorders>
      </w:tcPr>
    </w:tblStylePr>
    <w:tblStylePr w:type="band2Vert">
      <w:tcPr>
        <w:tcBorders>
          <w:left w:val="single" w:color="7E7E7E" w:sz="4" w:space="0"/>
          <w:right w:val="single" w:color="7E7E7E" w:sz="4" w:space="0"/>
        </w:tcBorders>
      </w:tcPr>
    </w:tblStylePr>
    <w:tblStylePr w:type="band1Horz">
      <w:tcPr>
        <w:tcBorders>
          <w:top w:val="single" w:color="7E7E7E" w:sz="4" w:space="0"/>
          <w:bottom w:val="single" w:color="7E7E7E" w:sz="4" w:space="0"/>
        </w:tcBorders>
      </w:tcPr>
    </w:tblStylePr>
  </w:style>
  <w:style w:type="table" w:customStyle="1" w:styleId="298">
    <w:name w:val="清单表 23"/>
    <w:basedOn w:val="43"/>
    <w:qFormat/>
    <w:uiPriority w:val="47"/>
    <w:rPr>
      <w:rFonts w:eastAsia="Times New Roman"/>
    </w:rPr>
    <w:tblPr>
      <w:tblBorders>
        <w:top w:val="single" w:color="666666" w:sz="4" w:space="0"/>
        <w:bottom w:val="single" w:color="666666" w:sz="4" w:space="0"/>
        <w:insideH w:val="single" w:color="666666"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CCCCCC"/>
      </w:tcPr>
    </w:tblStylePr>
    <w:tblStylePr w:type="band1Horz">
      <w:tcPr>
        <w:shd w:val="clear" w:color="auto" w:fill="CCCCCC"/>
      </w:tcPr>
    </w:tblStylePr>
  </w:style>
  <w:style w:type="table" w:customStyle="1" w:styleId="299">
    <w:name w:val="网格型浅色1"/>
    <w:basedOn w:val="43"/>
    <w:qFormat/>
    <w:uiPriority w:val="40"/>
    <w:tblPr>
      <w:tblBorders>
        <w:top w:val="single" w:color="BEBEBE" w:sz="4" w:space="0"/>
        <w:left w:val="single" w:color="BEBEBE" w:sz="4" w:space="0"/>
        <w:bottom w:val="single" w:color="BEBEBE" w:sz="4" w:space="0"/>
        <w:right w:val="single" w:color="BEBEBE" w:sz="4" w:space="0"/>
        <w:insideH w:val="single" w:color="BEBEBE" w:sz="4" w:space="0"/>
        <w:insideV w:val="single" w:color="BEBEBE" w:sz="4" w:space="0"/>
      </w:tblBorders>
    </w:tblPr>
  </w:style>
  <w:style w:type="table" w:customStyle="1" w:styleId="300">
    <w:name w:val="样式5"/>
    <w:basedOn w:val="296"/>
    <w:qFormat/>
    <w:uiPriority w:val="99"/>
    <w:tblStylePr w:type="firstRow">
      <w:rPr>
        <w:b/>
        <w:bCs/>
      </w:rPr>
      <w:tcPr>
        <w:tcBorders>
          <w:bottom w:val="single" w:color="7E7E7E" w:sz="4" w:space="0"/>
        </w:tcBorders>
      </w:tcPr>
    </w:tblStylePr>
    <w:tblStylePr w:type="lastRow">
      <w:rPr>
        <w:b/>
        <w:bCs/>
      </w:rPr>
      <w:tcPr>
        <w:tcBorders>
          <w:top w:val="single" w:color="7E7E7E" w:sz="4" w:space="0"/>
        </w:tcBorders>
      </w:tcPr>
    </w:tblStylePr>
    <w:tblStylePr w:type="firstCol">
      <w:rPr>
        <w:b/>
        <w:bCs/>
      </w:rPr>
    </w:tblStylePr>
    <w:tblStylePr w:type="lastCol">
      <w:rPr>
        <w:b/>
        <w:bCs/>
      </w:rPr>
    </w:tblStylePr>
    <w:tblStylePr w:type="band1Vert">
      <w:tcPr>
        <w:tcBorders>
          <w:left w:val="single" w:color="7E7E7E" w:sz="4" w:space="0"/>
          <w:right w:val="single" w:color="7E7E7E" w:sz="4" w:space="0"/>
        </w:tcBorders>
      </w:tcPr>
    </w:tblStylePr>
    <w:tblStylePr w:type="band2Vert">
      <w:tcPr>
        <w:tcBorders>
          <w:left w:val="single" w:color="7E7E7E" w:sz="4" w:space="0"/>
          <w:right w:val="single" w:color="7E7E7E" w:sz="4" w:space="0"/>
        </w:tcBorders>
      </w:tcPr>
    </w:tblStylePr>
    <w:tblStylePr w:type="band1Horz">
      <w:tcPr>
        <w:tcBorders>
          <w:top w:val="single" w:color="7E7E7E" w:sz="4" w:space="0"/>
          <w:bottom w:val="single" w:color="7E7E7E" w:sz="4" w:space="0"/>
        </w:tcBorders>
      </w:tcPr>
    </w:tblStylePr>
  </w:style>
  <w:style w:type="paragraph" w:customStyle="1" w:styleId="301">
    <w:name w:val="TOC 标题2"/>
    <w:basedOn w:val="4"/>
    <w:next w:val="1"/>
    <w:qFormat/>
    <w:uiPriority w:val="39"/>
    <w:pPr>
      <w:widowControl/>
      <w:spacing w:before="480" w:after="0" w:line="276" w:lineRule="auto"/>
      <w:jc w:val="left"/>
      <w:outlineLvl w:val="9"/>
    </w:pPr>
    <w:rPr>
      <w:rFonts w:ascii="Cambria" w:hAnsi="Cambria" w:eastAsia="宋体" w:cs="宋体"/>
      <w:color w:val="376092"/>
      <w:kern w:val="0"/>
      <w:sz w:val="28"/>
      <w:szCs w:val="28"/>
    </w:rPr>
  </w:style>
  <w:style w:type="paragraph" w:customStyle="1" w:styleId="302">
    <w:name w:val="BodyTextIndent2"/>
    <w:basedOn w:val="1"/>
    <w:qFormat/>
    <w:uiPriority w:val="0"/>
    <w:pPr>
      <w:spacing w:after="120" w:line="480" w:lineRule="auto"/>
      <w:ind w:left="420" w:leftChars="200"/>
      <w:textAlignment w:val="baseline"/>
    </w:pPr>
    <w:rPr>
      <w:rFonts w:ascii="Times New Roman" w:hAnsi="Times New Roman"/>
    </w:rPr>
  </w:style>
  <w:style w:type="paragraph" w:customStyle="1" w:styleId="303">
    <w:name w:val="图表"/>
    <w:basedOn w:val="1"/>
    <w:link w:val="304"/>
    <w:qFormat/>
    <w:uiPriority w:val="0"/>
    <w:pPr>
      <w:jc w:val="center"/>
    </w:pPr>
    <w:rPr>
      <w:rFonts w:ascii="宋体" w:hAnsi="宋体" w:eastAsia="宋体"/>
      <w:b/>
      <w:sz w:val="24"/>
    </w:rPr>
  </w:style>
  <w:style w:type="character" w:customStyle="1" w:styleId="304">
    <w:name w:val="图表 字符"/>
    <w:basedOn w:val="45"/>
    <w:link w:val="303"/>
    <w:qFormat/>
    <w:uiPriority w:val="0"/>
    <w:rPr>
      <w:rFonts w:ascii="宋体" w:hAnsi="宋体" w:eastAsia="宋体"/>
      <w:b/>
      <w:kern w:val="2"/>
      <w:sz w:val="24"/>
      <w:szCs w:val="22"/>
    </w:rPr>
  </w:style>
  <w:style w:type="table" w:customStyle="1" w:styleId="305">
    <w:name w:val="网格型2"/>
    <w:basedOn w:val="43"/>
    <w:qFormat/>
    <w:uiPriority w:val="0"/>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6">
    <w:name w:val="网格型3"/>
    <w:basedOn w:val="43"/>
    <w:qFormat/>
    <w:uiPriority w:val="0"/>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07">
    <w:name w:val="修订2"/>
    <w:qFormat/>
    <w:uiPriority w:val="99"/>
    <w:rPr>
      <w:rFonts w:ascii="Calibri" w:hAnsi="Calibri" w:eastAsia="宋体" w:cs="宋体"/>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GDJKY</Company>
  <Pages>1</Pages>
  <Words>22715</Words>
  <Characters>23660</Characters>
  <Paragraphs>1505</Paragraphs>
  <TotalTime>8</TotalTime>
  <ScaleCrop>false</ScaleCrop>
  <LinksUpToDate>false</LinksUpToDate>
  <CharactersWithSpaces>23968</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2023-03-03T07:20:00Z</dcterms:created>
  <dc:creator>admin</dc:creator>
  <cp:lastModifiedBy>超</cp:lastModifiedBy>
  <cp:lastPrinted>2023-04-19T01:51:00Z</cp:lastPrinted>
  <dcterms:modified xsi:type="dcterms:W3CDTF">2024-04-08T08:15:14Z</dcterms:modified>
  <dc:title>中山市绿色建筑发展专项规划（2022-2035）</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32DA2BB24D7E41419C3C74FD68B0F8DF</vt:lpwstr>
  </property>
</Properties>
</file>