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rPr>
        <w:t>招标项目</w:t>
      </w:r>
      <w:r>
        <w:rPr>
          <w:rFonts w:hint="eastAsia" w:ascii="黑体" w:hAnsi="黑体" w:eastAsia="黑体" w:cs="黑体"/>
          <w:sz w:val="44"/>
          <w:szCs w:val="44"/>
          <w:lang w:eastAsia="zh-CN"/>
        </w:rPr>
        <w:t>自查</w:t>
      </w:r>
      <w:r>
        <w:rPr>
          <w:rFonts w:hint="eastAsia" w:ascii="黑体" w:hAnsi="黑体" w:eastAsia="黑体" w:cs="黑体"/>
          <w:sz w:val="44"/>
          <w:szCs w:val="44"/>
        </w:rPr>
        <w:t>表</w:t>
      </w:r>
    </w:p>
    <w:p>
      <w:pPr>
        <w:jc w:val="both"/>
        <w:rPr>
          <w:rFonts w:hint="eastAsia" w:ascii="黑体" w:hAnsi="黑体" w:eastAsia="黑体" w:cs="黑体"/>
          <w:sz w:val="22"/>
          <w:szCs w:val="22"/>
          <w:lang w:val="en-US" w:eastAsia="zh-CN"/>
        </w:rPr>
      </w:pPr>
      <w:r>
        <w:rPr>
          <w:rFonts w:hint="eastAsia" w:ascii="黑体" w:hAnsi="黑体" w:eastAsia="黑体" w:cs="黑体"/>
          <w:sz w:val="22"/>
          <w:szCs w:val="22"/>
          <w:lang w:val="en-US" w:eastAsia="zh-CN"/>
        </w:rPr>
        <w:t>项目名称：                      招标人：</w:t>
      </w:r>
    </w:p>
    <w:p>
      <w:pPr>
        <w:jc w:val="both"/>
        <w:rPr>
          <w:rFonts w:hint="default" w:ascii="黑体" w:hAnsi="黑体" w:eastAsia="黑体" w:cs="黑体"/>
          <w:sz w:val="22"/>
          <w:szCs w:val="22"/>
          <w:lang w:val="en-US" w:eastAsia="zh-CN"/>
        </w:rPr>
      </w:pPr>
      <w:r>
        <w:rPr>
          <w:rFonts w:hint="eastAsia" w:ascii="黑体" w:hAnsi="黑体" w:eastAsia="黑体" w:cs="黑体"/>
          <w:sz w:val="22"/>
          <w:szCs w:val="22"/>
          <w:lang w:val="en-US" w:eastAsia="zh-CN"/>
        </w:rPr>
        <w:t>招标代理机构：                  开标时间：                 合同签订时间：</w:t>
      </w:r>
    </w:p>
    <w:tbl>
      <w:tblPr>
        <w:tblStyle w:val="4"/>
        <w:tblW w:w="108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846"/>
        <w:gridCol w:w="4688"/>
        <w:gridCol w:w="2512"/>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trPr>
        <w:tc>
          <w:tcPr>
            <w:tcW w:w="10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流程</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b/>
                <w:bCs/>
                <w:sz w:val="24"/>
                <w:szCs w:val="24"/>
                <w:vertAlign w:val="baseline"/>
                <w:lang w:val="en-US" w:eastAsia="zh-CN"/>
              </w:rPr>
            </w:pPr>
            <w:r>
              <w:rPr>
                <w:rFonts w:hint="eastAsia"/>
                <w:b/>
                <w:bCs/>
                <w:sz w:val="24"/>
                <w:szCs w:val="24"/>
                <w:vertAlign w:val="baseline"/>
                <w:lang w:val="en-US" w:eastAsia="zh-CN"/>
              </w:rPr>
              <w:t>序号</w:t>
            </w:r>
          </w:p>
        </w:tc>
        <w:tc>
          <w:tcPr>
            <w:tcW w:w="46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b/>
                <w:bCs/>
                <w:sz w:val="24"/>
                <w:szCs w:val="24"/>
                <w:vertAlign w:val="baseline"/>
                <w:lang w:eastAsia="zh-CN"/>
              </w:rPr>
            </w:pPr>
            <w:r>
              <w:rPr>
                <w:rFonts w:hint="eastAsia"/>
                <w:b/>
                <w:bCs/>
                <w:sz w:val="24"/>
                <w:szCs w:val="24"/>
                <w:vertAlign w:val="baseline"/>
                <w:lang w:eastAsia="zh-CN"/>
              </w:rPr>
              <w:t>检查内容</w:t>
            </w:r>
          </w:p>
        </w:tc>
        <w:tc>
          <w:tcPr>
            <w:tcW w:w="25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b/>
                <w:bCs/>
                <w:sz w:val="24"/>
                <w:szCs w:val="24"/>
                <w:vertAlign w:val="baseline"/>
                <w:lang w:eastAsia="zh-CN"/>
              </w:rPr>
            </w:pPr>
            <w:r>
              <w:rPr>
                <w:rFonts w:hint="eastAsia"/>
                <w:b/>
                <w:bCs/>
                <w:sz w:val="24"/>
                <w:szCs w:val="24"/>
                <w:vertAlign w:val="baseline"/>
                <w:lang w:eastAsia="zh-CN"/>
              </w:rPr>
              <w:t>自查结果</w:t>
            </w:r>
          </w:p>
        </w:tc>
        <w:tc>
          <w:tcPr>
            <w:tcW w:w="1688"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sz w:val="24"/>
                <w:szCs w:val="24"/>
                <w:vertAlign w:val="baseline"/>
                <w:lang w:eastAsia="zh-CN"/>
              </w:rPr>
            </w:pPr>
            <w:r>
              <w:rPr>
                <w:rFonts w:hint="eastAsia"/>
                <w:b/>
                <w:bCs/>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8" w:hRule="atLeast"/>
        </w:trPr>
        <w:tc>
          <w:tcPr>
            <w:tcW w:w="109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cs="黑体"/>
                <w:b w:val="0"/>
                <w:bCs w:val="0"/>
                <w:sz w:val="22"/>
                <w:szCs w:val="22"/>
                <w:vertAlign w:val="baseline"/>
                <w:lang w:val="en-US" w:eastAsia="zh-CN"/>
              </w:rPr>
            </w:pPr>
            <w:r>
              <w:rPr>
                <w:rFonts w:hint="eastAsia" w:eastAsia="宋体" w:cs="黑体"/>
                <w:b w:val="0"/>
                <w:bCs w:val="0"/>
                <w:sz w:val="22"/>
                <w:szCs w:val="22"/>
                <w:vertAlign w:val="baseline"/>
                <w:lang w:val="en-US" w:eastAsia="zh-CN"/>
              </w:rPr>
              <w:t>招标</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24"/>
                <w:szCs w:val="24"/>
                <w:vertAlign w:val="baseline"/>
                <w:lang w:val="en-US" w:eastAsia="zh-CN"/>
              </w:rPr>
            </w:pPr>
            <w:r>
              <w:rPr>
                <w:rFonts w:hint="eastAsia" w:eastAsia="宋体" w:cs="黑体"/>
                <w:b w:val="0"/>
                <w:bCs w:val="0"/>
                <w:sz w:val="22"/>
                <w:szCs w:val="22"/>
                <w:vertAlign w:val="baseline"/>
                <w:lang w:val="en-US" w:eastAsia="zh-CN"/>
              </w:rPr>
              <w:t>计划</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1</w:t>
            </w:r>
          </w:p>
        </w:tc>
        <w:tc>
          <w:tcPr>
            <w:tcW w:w="468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vertAlign w:val="baseline"/>
                <w:lang w:eastAsia="zh-CN"/>
              </w:rPr>
            </w:pPr>
            <w:r>
              <w:rPr>
                <w:rFonts w:hint="eastAsia" w:ascii="宋体" w:hAnsi="宋体" w:eastAsia="宋体" w:cs="宋体"/>
                <w:sz w:val="22"/>
                <w:szCs w:val="22"/>
                <w:vertAlign w:val="baseline"/>
                <w:lang w:val="en-US" w:eastAsia="zh-CN"/>
              </w:rPr>
              <w:t>2023年1月1日后发布招标公告的依法必须招标的工程建设项目，是否按规定提前发布招标计划</w:t>
            </w:r>
          </w:p>
        </w:tc>
        <w:tc>
          <w:tcPr>
            <w:tcW w:w="251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Calibri" w:hAnsi="Calibri" w:cs="Calibri"/>
                <w:sz w:val="40"/>
                <w:szCs w:val="40"/>
                <w:vertAlign w:val="baseline"/>
                <w:lang w:val="en" w:eastAsia="zh-CN"/>
              </w:rPr>
            </w:pPr>
            <w:r>
              <w:rPr>
                <w:rFonts w:hint="eastAsia" w:cs="Calibri"/>
                <w:sz w:val="28"/>
                <w:szCs w:val="28"/>
                <w:vertAlign w:val="baseline"/>
                <w:lang w:val="en" w:eastAsia="zh-CN"/>
              </w:rPr>
              <w:t>□</w:t>
            </w:r>
            <w:r>
              <w:rPr>
                <w:rFonts w:hint="eastAsia"/>
                <w:sz w:val="22"/>
                <w:szCs w:val="22"/>
                <w:vertAlign w:val="baseline"/>
                <w:lang w:val="en-US" w:eastAsia="zh-CN"/>
              </w:rPr>
              <w:t>存在违法违规情形</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b/>
                <w:bCs/>
                <w:sz w:val="24"/>
                <w:szCs w:val="24"/>
                <w:vertAlign w:val="baseline"/>
                <w:lang w:eastAsia="zh-CN"/>
              </w:rPr>
            </w:pPr>
            <w:r>
              <w:rPr>
                <w:rFonts w:hint="eastAsia" w:cs="Calibri"/>
                <w:sz w:val="28"/>
                <w:szCs w:val="28"/>
                <w:vertAlign w:val="baseline"/>
                <w:lang w:val="en" w:eastAsia="zh-CN"/>
              </w:rPr>
              <w:t>□</w:t>
            </w:r>
            <w:r>
              <w:rPr>
                <w:rFonts w:hint="eastAsia"/>
                <w:sz w:val="22"/>
                <w:szCs w:val="22"/>
                <w:vertAlign w:val="baseline"/>
                <w:lang w:val="en-US" w:eastAsia="zh-CN"/>
              </w:rPr>
              <w:t>未查出违法违规情形</w:t>
            </w:r>
          </w:p>
        </w:tc>
        <w:tc>
          <w:tcPr>
            <w:tcW w:w="168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s="Calibri"/>
                <w:sz w:val="28"/>
                <w:szCs w:val="28"/>
                <w:vertAlign w:val="baseli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8" w:hRule="atLeast"/>
        </w:trPr>
        <w:tc>
          <w:tcPr>
            <w:tcW w:w="109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2"/>
                <w:szCs w:val="22"/>
                <w:vertAlign w:val="baseline"/>
                <w:lang w:val="en-US" w:eastAsia="zh-CN"/>
              </w:rPr>
            </w:pPr>
            <w:r>
              <w:rPr>
                <w:rFonts w:hint="eastAsia"/>
                <w:sz w:val="22"/>
                <w:szCs w:val="22"/>
                <w:vertAlign w:val="baseline"/>
                <w:lang w:val="en-US" w:eastAsia="zh-CN"/>
              </w:rPr>
              <w:t>招标公告（资格预审公告）发布</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2</w:t>
            </w:r>
          </w:p>
        </w:tc>
        <w:tc>
          <w:tcPr>
            <w:tcW w:w="46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招标方式合法合规性</w:t>
            </w:r>
          </w:p>
        </w:tc>
        <w:tc>
          <w:tcPr>
            <w:tcW w:w="251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Calibri" w:hAnsi="Calibri" w:cs="Calibri"/>
                <w:sz w:val="40"/>
                <w:szCs w:val="40"/>
                <w:vertAlign w:val="baseline"/>
                <w:lang w:val="en" w:eastAsia="zh-CN"/>
              </w:rPr>
            </w:pPr>
            <w:r>
              <w:rPr>
                <w:rFonts w:hint="eastAsia" w:cs="Calibri"/>
                <w:sz w:val="28"/>
                <w:szCs w:val="28"/>
                <w:vertAlign w:val="baseline"/>
                <w:lang w:val="en" w:eastAsia="zh-CN"/>
              </w:rPr>
              <w:t>□</w:t>
            </w:r>
            <w:r>
              <w:rPr>
                <w:rFonts w:hint="eastAsia"/>
                <w:sz w:val="22"/>
                <w:szCs w:val="22"/>
                <w:vertAlign w:val="baseline"/>
                <w:lang w:val="en-US" w:eastAsia="zh-CN"/>
              </w:rPr>
              <w:t>存在违法违规情形</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eastAsia="宋体"/>
                <w:sz w:val="22"/>
                <w:szCs w:val="22"/>
                <w:vertAlign w:val="baseline"/>
                <w:lang w:val="en" w:eastAsia="zh-CN"/>
              </w:rPr>
            </w:pPr>
            <w:r>
              <w:rPr>
                <w:rFonts w:hint="eastAsia" w:cs="Calibri"/>
                <w:sz w:val="28"/>
                <w:szCs w:val="28"/>
                <w:vertAlign w:val="baseline"/>
                <w:lang w:val="en" w:eastAsia="zh-CN"/>
              </w:rPr>
              <w:t>□</w:t>
            </w:r>
            <w:r>
              <w:rPr>
                <w:rFonts w:hint="eastAsia"/>
                <w:sz w:val="22"/>
                <w:szCs w:val="22"/>
                <w:vertAlign w:val="baseline"/>
                <w:lang w:val="en-US" w:eastAsia="zh-CN"/>
              </w:rPr>
              <w:t>未查出违法违规情形</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eastAsia="宋体"/>
                <w:sz w:val="22"/>
                <w:szCs w:val="22"/>
                <w:vertAlign w:val="baseli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1" w:hRule="atLeast"/>
        </w:trPr>
        <w:tc>
          <w:tcPr>
            <w:tcW w:w="109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2"/>
                <w:szCs w:val="22"/>
                <w:vertAlign w:val="baseline"/>
                <w:lang w:val="en-US" w:eastAsia="zh-CN"/>
              </w:rPr>
            </w:pP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3</w:t>
            </w:r>
          </w:p>
        </w:tc>
        <w:tc>
          <w:tcPr>
            <w:tcW w:w="46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eastAsia="zh-CN"/>
              </w:rPr>
              <w:t>招标公告（</w:t>
            </w:r>
            <w:r>
              <w:rPr>
                <w:rFonts w:hint="eastAsia" w:ascii="宋体" w:hAnsi="宋体" w:eastAsia="宋体" w:cs="宋体"/>
                <w:color w:val="auto"/>
                <w:sz w:val="22"/>
                <w:szCs w:val="22"/>
                <w:vertAlign w:val="baseline"/>
                <w:lang w:val="en-US" w:eastAsia="zh-CN"/>
              </w:rPr>
              <w:t>资格预审公告</w:t>
            </w:r>
            <w:r>
              <w:rPr>
                <w:rFonts w:hint="eastAsia" w:ascii="宋体" w:hAnsi="宋体" w:eastAsia="宋体" w:cs="宋体"/>
                <w:color w:val="auto"/>
                <w:sz w:val="22"/>
                <w:szCs w:val="22"/>
                <w:vertAlign w:val="baseline"/>
                <w:lang w:eastAsia="zh-CN"/>
              </w:rPr>
              <w:t>）</w:t>
            </w:r>
            <w:r>
              <w:rPr>
                <w:rFonts w:hint="eastAsia" w:ascii="宋体" w:hAnsi="宋体" w:eastAsia="宋体" w:cs="宋体"/>
                <w:color w:val="auto"/>
                <w:sz w:val="22"/>
                <w:szCs w:val="22"/>
                <w:vertAlign w:val="baseline"/>
                <w:lang w:val="en-US" w:eastAsia="zh-CN"/>
              </w:rPr>
              <w:t>发布的合法合规性（方式、网址、内容一致性、时限等）</w:t>
            </w:r>
          </w:p>
        </w:tc>
        <w:tc>
          <w:tcPr>
            <w:tcW w:w="251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Calibri" w:hAnsi="Calibri" w:cs="Calibri"/>
                <w:sz w:val="40"/>
                <w:szCs w:val="40"/>
                <w:vertAlign w:val="baseline"/>
                <w:lang w:val="en" w:eastAsia="zh-CN"/>
              </w:rPr>
            </w:pPr>
            <w:r>
              <w:rPr>
                <w:rFonts w:hint="eastAsia" w:cs="Calibri"/>
                <w:sz w:val="28"/>
                <w:szCs w:val="28"/>
                <w:vertAlign w:val="baseline"/>
                <w:lang w:val="en" w:eastAsia="zh-CN"/>
              </w:rPr>
              <w:t>□</w:t>
            </w:r>
            <w:r>
              <w:rPr>
                <w:rFonts w:hint="eastAsia"/>
                <w:sz w:val="22"/>
                <w:szCs w:val="22"/>
                <w:vertAlign w:val="baseline"/>
                <w:lang w:val="en-US" w:eastAsia="zh-CN"/>
              </w:rPr>
              <w:t>存在违法违规情形</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sz w:val="22"/>
                <w:szCs w:val="22"/>
                <w:vertAlign w:val="baseline"/>
                <w:lang w:val="en"/>
              </w:rPr>
            </w:pPr>
            <w:r>
              <w:rPr>
                <w:rFonts w:hint="eastAsia" w:cs="Calibri"/>
                <w:sz w:val="28"/>
                <w:szCs w:val="28"/>
                <w:vertAlign w:val="baseline"/>
                <w:lang w:val="en" w:eastAsia="zh-CN"/>
              </w:rPr>
              <w:t>□</w:t>
            </w:r>
            <w:r>
              <w:rPr>
                <w:rFonts w:hint="eastAsia"/>
                <w:sz w:val="22"/>
                <w:szCs w:val="22"/>
                <w:vertAlign w:val="baseline"/>
                <w:lang w:val="en-US" w:eastAsia="zh-CN"/>
              </w:rPr>
              <w:t>未查出违法违规情形</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sz w:val="22"/>
                <w:szCs w:val="22"/>
                <w:vertAlign w:val="baseli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09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2"/>
                <w:szCs w:val="22"/>
                <w:vertAlign w:val="baseline"/>
                <w:lang w:val="en-US" w:eastAsia="zh-CN"/>
              </w:rPr>
            </w:pP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4</w:t>
            </w:r>
          </w:p>
        </w:tc>
        <w:tc>
          <w:tcPr>
            <w:tcW w:w="468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招标文件（包括招标公告、资格预审公告）内容的合法合规性</w:t>
            </w:r>
          </w:p>
        </w:tc>
        <w:tc>
          <w:tcPr>
            <w:tcW w:w="251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Calibri" w:hAnsi="Calibri" w:cs="Calibri"/>
                <w:sz w:val="40"/>
                <w:szCs w:val="40"/>
                <w:vertAlign w:val="baseline"/>
                <w:lang w:val="en" w:eastAsia="zh-CN"/>
              </w:rPr>
            </w:pPr>
            <w:r>
              <w:rPr>
                <w:rFonts w:hint="eastAsia" w:cs="Calibri"/>
                <w:sz w:val="28"/>
                <w:szCs w:val="28"/>
                <w:vertAlign w:val="baseline"/>
                <w:lang w:val="en" w:eastAsia="zh-CN"/>
              </w:rPr>
              <w:t>□</w:t>
            </w:r>
            <w:r>
              <w:rPr>
                <w:rFonts w:hint="eastAsia"/>
                <w:sz w:val="22"/>
                <w:szCs w:val="22"/>
                <w:vertAlign w:val="baseline"/>
                <w:lang w:val="en-US" w:eastAsia="zh-CN"/>
              </w:rPr>
              <w:t>存在违法违规情形</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sz w:val="22"/>
                <w:szCs w:val="22"/>
                <w:vertAlign w:val="baseline"/>
                <w:lang w:val="en"/>
              </w:rPr>
            </w:pPr>
            <w:r>
              <w:rPr>
                <w:rFonts w:hint="eastAsia" w:cs="Calibri"/>
                <w:sz w:val="28"/>
                <w:szCs w:val="28"/>
                <w:vertAlign w:val="baseline"/>
                <w:lang w:val="en" w:eastAsia="zh-CN"/>
              </w:rPr>
              <w:t>□</w:t>
            </w:r>
            <w:r>
              <w:rPr>
                <w:rFonts w:hint="eastAsia"/>
                <w:sz w:val="22"/>
                <w:szCs w:val="22"/>
                <w:vertAlign w:val="baseline"/>
                <w:lang w:val="en-US" w:eastAsia="zh-CN"/>
              </w:rPr>
              <w:t>未查出违法违规情形</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sz w:val="22"/>
                <w:szCs w:val="22"/>
                <w:vertAlign w:val="baseline"/>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3" w:hRule="atLeast"/>
        </w:trPr>
        <w:tc>
          <w:tcPr>
            <w:tcW w:w="109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2"/>
                <w:szCs w:val="22"/>
                <w:vertAlign w:val="baseline"/>
                <w:lang w:val="en-US" w:eastAsia="zh-CN"/>
              </w:rPr>
            </w:pPr>
            <w:r>
              <w:rPr>
                <w:rFonts w:hint="eastAsia"/>
                <w:sz w:val="22"/>
                <w:szCs w:val="22"/>
                <w:vertAlign w:val="baseline"/>
                <w:lang w:val="en-US" w:eastAsia="zh-CN"/>
              </w:rPr>
              <w:t>开标</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5</w:t>
            </w:r>
          </w:p>
        </w:tc>
        <w:tc>
          <w:tcPr>
            <w:tcW w:w="46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开标时间、地点的合法合规性</w:t>
            </w:r>
          </w:p>
        </w:tc>
        <w:tc>
          <w:tcPr>
            <w:tcW w:w="251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Calibri" w:hAnsi="Calibri" w:cs="Calibri"/>
                <w:sz w:val="40"/>
                <w:szCs w:val="40"/>
                <w:vertAlign w:val="baseline"/>
                <w:lang w:val="en" w:eastAsia="zh-CN"/>
              </w:rPr>
            </w:pPr>
            <w:r>
              <w:rPr>
                <w:rFonts w:hint="eastAsia" w:cs="Calibri"/>
                <w:sz w:val="28"/>
                <w:szCs w:val="28"/>
                <w:vertAlign w:val="baseline"/>
                <w:lang w:val="en" w:eastAsia="zh-CN"/>
              </w:rPr>
              <w:t>□</w:t>
            </w:r>
            <w:r>
              <w:rPr>
                <w:rFonts w:hint="eastAsia"/>
                <w:sz w:val="22"/>
                <w:szCs w:val="22"/>
                <w:vertAlign w:val="baseline"/>
                <w:lang w:val="en-US" w:eastAsia="zh-CN"/>
              </w:rPr>
              <w:t>存在违法违规情形</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2"/>
                <w:szCs w:val="22"/>
                <w:vertAlign w:val="baseline"/>
              </w:rPr>
            </w:pPr>
            <w:r>
              <w:rPr>
                <w:rFonts w:hint="eastAsia" w:cs="Calibri"/>
                <w:sz w:val="28"/>
                <w:szCs w:val="28"/>
                <w:vertAlign w:val="baseline"/>
                <w:lang w:val="en" w:eastAsia="zh-CN"/>
              </w:rPr>
              <w:t>□</w:t>
            </w:r>
            <w:r>
              <w:rPr>
                <w:rFonts w:hint="eastAsia"/>
                <w:sz w:val="22"/>
                <w:szCs w:val="22"/>
                <w:vertAlign w:val="baseline"/>
                <w:lang w:val="en-US" w:eastAsia="zh-CN"/>
              </w:rPr>
              <w:t>未查出违法违规情形</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7" w:hRule="atLeast"/>
        </w:trPr>
        <w:tc>
          <w:tcPr>
            <w:tcW w:w="109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2"/>
                <w:szCs w:val="22"/>
                <w:vertAlign w:val="baseline"/>
                <w:lang w:val="en-US" w:eastAsia="zh-CN"/>
              </w:rPr>
            </w:pP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6</w:t>
            </w:r>
          </w:p>
        </w:tc>
        <w:tc>
          <w:tcPr>
            <w:tcW w:w="46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选定的招标投标交易场所的合法合规性</w:t>
            </w:r>
          </w:p>
        </w:tc>
        <w:tc>
          <w:tcPr>
            <w:tcW w:w="251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Calibri" w:hAnsi="Calibri" w:cs="Calibri"/>
                <w:sz w:val="40"/>
                <w:szCs w:val="40"/>
                <w:vertAlign w:val="baseline"/>
                <w:lang w:val="en" w:eastAsia="zh-CN"/>
              </w:rPr>
            </w:pPr>
            <w:r>
              <w:rPr>
                <w:rFonts w:hint="eastAsia" w:cs="Calibri"/>
                <w:sz w:val="28"/>
                <w:szCs w:val="28"/>
                <w:vertAlign w:val="baseline"/>
                <w:lang w:val="en" w:eastAsia="zh-CN"/>
              </w:rPr>
              <w:t>□</w:t>
            </w:r>
            <w:r>
              <w:rPr>
                <w:rFonts w:hint="eastAsia"/>
                <w:sz w:val="22"/>
                <w:szCs w:val="22"/>
                <w:vertAlign w:val="baseline"/>
                <w:lang w:val="en-US" w:eastAsia="zh-CN"/>
              </w:rPr>
              <w:t>存在违法违规情形</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sz w:val="22"/>
                <w:szCs w:val="22"/>
                <w:vertAlign w:val="baseline"/>
              </w:rPr>
            </w:pPr>
            <w:r>
              <w:rPr>
                <w:rFonts w:hint="eastAsia" w:cs="Calibri"/>
                <w:sz w:val="28"/>
                <w:szCs w:val="28"/>
                <w:vertAlign w:val="baseline"/>
                <w:lang w:val="en" w:eastAsia="zh-CN"/>
              </w:rPr>
              <w:t>□</w:t>
            </w:r>
            <w:r>
              <w:rPr>
                <w:rFonts w:hint="eastAsia"/>
                <w:sz w:val="22"/>
                <w:szCs w:val="22"/>
                <w:vertAlign w:val="baseline"/>
                <w:lang w:val="en-US" w:eastAsia="zh-CN"/>
              </w:rPr>
              <w:t>未查出违法违规情形</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9" w:hRule="atLeast"/>
        </w:trPr>
        <w:tc>
          <w:tcPr>
            <w:tcW w:w="109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2"/>
                <w:szCs w:val="22"/>
                <w:vertAlign w:val="baseline"/>
                <w:lang w:val="en-US" w:eastAsia="zh-CN"/>
              </w:rPr>
            </w:pP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7</w:t>
            </w:r>
          </w:p>
        </w:tc>
        <w:tc>
          <w:tcPr>
            <w:tcW w:w="46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both"/>
              <w:textAlignment w:val="auto"/>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开标过程中的合法合规性，包括但不限于：</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 xml:space="preserve">1. </w:t>
            </w:r>
            <w:r>
              <w:rPr>
                <w:rFonts w:hint="eastAsia" w:ascii="宋体" w:hAnsi="宋体" w:eastAsia="宋体" w:cs="宋体"/>
                <w:color w:val="auto"/>
                <w:sz w:val="22"/>
                <w:szCs w:val="22"/>
                <w:vertAlign w:val="baseline"/>
                <w:lang w:val="en-US" w:eastAsia="zh-CN"/>
              </w:rPr>
              <w:t>在开标环节是否要求投标人的法定代表人必须到场，不接受经授权委托的投标人代表到场；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 xml:space="preserve">2. </w:t>
            </w:r>
            <w:r>
              <w:rPr>
                <w:rFonts w:hint="eastAsia" w:ascii="宋体" w:hAnsi="宋体" w:eastAsia="宋体" w:cs="宋体"/>
                <w:color w:val="auto"/>
                <w:sz w:val="22"/>
                <w:szCs w:val="22"/>
                <w:vertAlign w:val="baseline"/>
                <w:lang w:val="en-US" w:eastAsia="zh-CN"/>
              </w:rPr>
              <w:t>对投标人在开标现场提出的异议，是否现场作出答复，并制作记录；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 xml:space="preserve">3. </w:t>
            </w:r>
            <w:r>
              <w:rPr>
                <w:rFonts w:hint="eastAsia" w:ascii="宋体" w:hAnsi="宋体" w:eastAsia="宋体" w:cs="宋体"/>
                <w:color w:val="auto"/>
                <w:sz w:val="22"/>
                <w:szCs w:val="22"/>
                <w:vertAlign w:val="baseline"/>
                <w:lang w:val="en-US" w:eastAsia="zh-CN"/>
              </w:rPr>
              <w:t>是否对开标过程进行记录并存档备查</w:t>
            </w:r>
            <w:r>
              <w:rPr>
                <w:rFonts w:hint="eastAsia" w:ascii="宋体" w:hAnsi="宋体" w:cs="宋体"/>
                <w:color w:val="auto"/>
                <w:sz w:val="22"/>
                <w:szCs w:val="22"/>
                <w:vertAlign w:val="baseline"/>
                <w:lang w:val="en-US" w:eastAsia="zh-CN"/>
              </w:rPr>
              <w:t>。</w:t>
            </w:r>
          </w:p>
        </w:tc>
        <w:tc>
          <w:tcPr>
            <w:tcW w:w="251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Calibri" w:hAnsi="Calibri" w:cs="Calibri"/>
                <w:sz w:val="40"/>
                <w:szCs w:val="40"/>
                <w:vertAlign w:val="baseline"/>
                <w:lang w:val="en" w:eastAsia="zh-CN"/>
              </w:rPr>
            </w:pPr>
            <w:r>
              <w:rPr>
                <w:rFonts w:hint="eastAsia" w:cs="Calibri"/>
                <w:sz w:val="28"/>
                <w:szCs w:val="28"/>
                <w:vertAlign w:val="baseline"/>
                <w:lang w:val="en" w:eastAsia="zh-CN"/>
              </w:rPr>
              <w:t>□</w:t>
            </w:r>
            <w:r>
              <w:rPr>
                <w:rFonts w:hint="eastAsia"/>
                <w:sz w:val="22"/>
                <w:szCs w:val="22"/>
                <w:vertAlign w:val="baseline"/>
                <w:lang w:val="en-US" w:eastAsia="zh-CN"/>
              </w:rPr>
              <w:t>存在违法违规情形</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2"/>
                <w:szCs w:val="22"/>
                <w:vertAlign w:val="baseline"/>
              </w:rPr>
            </w:pPr>
            <w:r>
              <w:rPr>
                <w:rFonts w:hint="eastAsia" w:cs="Calibri"/>
                <w:sz w:val="28"/>
                <w:szCs w:val="28"/>
                <w:vertAlign w:val="baseline"/>
                <w:lang w:val="en" w:eastAsia="zh-CN"/>
              </w:rPr>
              <w:t>□</w:t>
            </w:r>
            <w:r>
              <w:rPr>
                <w:rFonts w:hint="eastAsia"/>
                <w:sz w:val="22"/>
                <w:szCs w:val="22"/>
                <w:vertAlign w:val="baseline"/>
                <w:lang w:val="en-US" w:eastAsia="zh-CN"/>
              </w:rPr>
              <w:t>未查出违法违规情形</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7" w:hRule="atLeast"/>
        </w:trPr>
        <w:tc>
          <w:tcPr>
            <w:tcW w:w="109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2"/>
                <w:szCs w:val="22"/>
                <w:vertAlign w:val="baseline"/>
                <w:lang w:val="en-US" w:eastAsia="zh-CN"/>
              </w:rPr>
            </w:pPr>
            <w:r>
              <w:rPr>
                <w:rFonts w:hint="eastAsia"/>
                <w:sz w:val="22"/>
                <w:szCs w:val="22"/>
                <w:vertAlign w:val="baseline"/>
                <w:lang w:val="en-US" w:eastAsia="zh-CN"/>
              </w:rPr>
              <w:t>评标</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8</w:t>
            </w:r>
          </w:p>
        </w:tc>
        <w:tc>
          <w:tcPr>
            <w:tcW w:w="46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评标委员会组建的合法合规性</w:t>
            </w:r>
          </w:p>
        </w:tc>
        <w:tc>
          <w:tcPr>
            <w:tcW w:w="251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Calibri" w:hAnsi="Calibri" w:cs="Calibri"/>
                <w:sz w:val="40"/>
                <w:szCs w:val="40"/>
                <w:vertAlign w:val="baseline"/>
                <w:lang w:val="en" w:eastAsia="zh-CN"/>
              </w:rPr>
            </w:pPr>
            <w:r>
              <w:rPr>
                <w:rFonts w:hint="eastAsia" w:cs="Calibri"/>
                <w:sz w:val="28"/>
                <w:szCs w:val="28"/>
                <w:vertAlign w:val="baseline"/>
                <w:lang w:val="en" w:eastAsia="zh-CN"/>
              </w:rPr>
              <w:t>□</w:t>
            </w:r>
            <w:r>
              <w:rPr>
                <w:rFonts w:hint="eastAsia"/>
                <w:sz w:val="22"/>
                <w:szCs w:val="22"/>
                <w:vertAlign w:val="baseline"/>
                <w:lang w:val="en-US" w:eastAsia="zh-CN"/>
              </w:rPr>
              <w:t>存在违法违规情形</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sz w:val="22"/>
                <w:szCs w:val="22"/>
                <w:vertAlign w:val="baseline"/>
              </w:rPr>
            </w:pPr>
            <w:r>
              <w:rPr>
                <w:rFonts w:hint="eastAsia" w:cs="Calibri"/>
                <w:sz w:val="28"/>
                <w:szCs w:val="28"/>
                <w:vertAlign w:val="baseline"/>
                <w:lang w:val="en" w:eastAsia="zh-CN"/>
              </w:rPr>
              <w:t>□</w:t>
            </w:r>
            <w:r>
              <w:rPr>
                <w:rFonts w:hint="eastAsia"/>
                <w:sz w:val="22"/>
                <w:szCs w:val="22"/>
                <w:vertAlign w:val="baseline"/>
                <w:lang w:val="en-US" w:eastAsia="zh-CN"/>
              </w:rPr>
              <w:t>未查出违法违规情形</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109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2"/>
                <w:szCs w:val="22"/>
                <w:vertAlign w:val="baseline"/>
                <w:lang w:val="en-US" w:eastAsia="zh-CN"/>
              </w:rPr>
            </w:pP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9</w:t>
            </w:r>
          </w:p>
        </w:tc>
        <w:tc>
          <w:tcPr>
            <w:tcW w:w="46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评标委员会评审过程的合法合规性</w:t>
            </w:r>
          </w:p>
        </w:tc>
        <w:tc>
          <w:tcPr>
            <w:tcW w:w="251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Calibri" w:hAnsi="Calibri" w:cs="Calibri"/>
                <w:sz w:val="40"/>
                <w:szCs w:val="40"/>
                <w:vertAlign w:val="baseline"/>
                <w:lang w:val="en" w:eastAsia="zh-CN"/>
              </w:rPr>
            </w:pPr>
            <w:r>
              <w:rPr>
                <w:rFonts w:hint="eastAsia" w:cs="Calibri"/>
                <w:sz w:val="28"/>
                <w:szCs w:val="28"/>
                <w:vertAlign w:val="baseline"/>
                <w:lang w:val="en" w:eastAsia="zh-CN"/>
              </w:rPr>
              <w:t>□</w:t>
            </w:r>
            <w:r>
              <w:rPr>
                <w:rFonts w:hint="eastAsia"/>
                <w:sz w:val="22"/>
                <w:szCs w:val="22"/>
                <w:vertAlign w:val="baseline"/>
                <w:lang w:val="en-US" w:eastAsia="zh-CN"/>
              </w:rPr>
              <w:t>存在违法违规情形</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2"/>
                <w:szCs w:val="22"/>
                <w:vertAlign w:val="baseline"/>
              </w:rPr>
            </w:pPr>
            <w:r>
              <w:rPr>
                <w:rFonts w:hint="eastAsia" w:cs="Calibri"/>
                <w:sz w:val="28"/>
                <w:szCs w:val="28"/>
                <w:vertAlign w:val="baseline"/>
                <w:lang w:val="en" w:eastAsia="zh-CN"/>
              </w:rPr>
              <w:t>□</w:t>
            </w:r>
            <w:r>
              <w:rPr>
                <w:rFonts w:hint="eastAsia"/>
                <w:sz w:val="22"/>
                <w:szCs w:val="22"/>
                <w:vertAlign w:val="baseline"/>
                <w:lang w:val="en-US" w:eastAsia="zh-CN"/>
              </w:rPr>
              <w:t>未查出违法违规情形</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8" w:hRule="atLeast"/>
        </w:trPr>
        <w:tc>
          <w:tcPr>
            <w:tcW w:w="109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2"/>
                <w:szCs w:val="22"/>
                <w:vertAlign w:val="baseline"/>
                <w:lang w:val="en-US" w:eastAsia="zh-CN"/>
              </w:rPr>
            </w:pPr>
            <w:r>
              <w:rPr>
                <w:rFonts w:hint="eastAsia"/>
                <w:sz w:val="22"/>
                <w:szCs w:val="22"/>
                <w:vertAlign w:val="baseline"/>
                <w:lang w:val="en-US" w:eastAsia="zh-CN"/>
              </w:rPr>
              <w:t>定标</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10</w:t>
            </w:r>
          </w:p>
        </w:tc>
        <w:tc>
          <w:tcPr>
            <w:tcW w:w="46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定标委员会组建的合法合规性</w:t>
            </w:r>
          </w:p>
        </w:tc>
        <w:tc>
          <w:tcPr>
            <w:tcW w:w="251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Calibri" w:hAnsi="Calibri" w:cs="Calibri"/>
                <w:sz w:val="40"/>
                <w:szCs w:val="40"/>
                <w:vertAlign w:val="baseline"/>
                <w:lang w:val="en" w:eastAsia="zh-CN"/>
              </w:rPr>
            </w:pPr>
            <w:r>
              <w:rPr>
                <w:rFonts w:hint="eastAsia" w:cs="Calibri"/>
                <w:sz w:val="28"/>
                <w:szCs w:val="28"/>
                <w:vertAlign w:val="baseline"/>
                <w:lang w:val="en" w:eastAsia="zh-CN"/>
              </w:rPr>
              <w:t>□</w:t>
            </w:r>
            <w:r>
              <w:rPr>
                <w:rFonts w:hint="eastAsia"/>
                <w:sz w:val="22"/>
                <w:szCs w:val="22"/>
                <w:vertAlign w:val="baseline"/>
                <w:lang w:val="en-US" w:eastAsia="zh-CN"/>
              </w:rPr>
              <w:t>存在违法违规情形</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2"/>
                <w:szCs w:val="22"/>
                <w:vertAlign w:val="baseline"/>
                <w:lang w:val="en-US" w:eastAsia="zh-CN"/>
              </w:rPr>
            </w:pPr>
            <w:r>
              <w:rPr>
                <w:rFonts w:hint="eastAsia" w:cs="Calibri"/>
                <w:sz w:val="28"/>
                <w:szCs w:val="28"/>
                <w:vertAlign w:val="baseline"/>
                <w:lang w:val="en" w:eastAsia="zh-CN"/>
              </w:rPr>
              <w:t>□</w:t>
            </w:r>
            <w:r>
              <w:rPr>
                <w:rFonts w:hint="eastAsia"/>
                <w:sz w:val="22"/>
                <w:szCs w:val="22"/>
                <w:vertAlign w:val="baseline"/>
                <w:lang w:val="en-US" w:eastAsia="zh-CN"/>
              </w:rPr>
              <w:t>未查出违法违规情形</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8" w:hRule="atLeast"/>
        </w:trPr>
        <w:tc>
          <w:tcPr>
            <w:tcW w:w="109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2"/>
                <w:szCs w:val="22"/>
                <w:vertAlign w:val="baseline"/>
                <w:lang w:val="en-US" w:eastAsia="zh-CN"/>
              </w:rPr>
            </w:pP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11</w:t>
            </w:r>
          </w:p>
        </w:tc>
        <w:tc>
          <w:tcPr>
            <w:tcW w:w="46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定标委员会定标过程的合法合规性</w:t>
            </w:r>
          </w:p>
        </w:tc>
        <w:tc>
          <w:tcPr>
            <w:tcW w:w="251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Calibri" w:hAnsi="Calibri" w:cs="Calibri"/>
                <w:sz w:val="40"/>
                <w:szCs w:val="40"/>
                <w:vertAlign w:val="baseline"/>
                <w:lang w:val="en" w:eastAsia="zh-CN"/>
              </w:rPr>
            </w:pPr>
            <w:r>
              <w:rPr>
                <w:rFonts w:hint="eastAsia" w:cs="Calibri"/>
                <w:sz w:val="28"/>
                <w:szCs w:val="28"/>
                <w:vertAlign w:val="baseline"/>
                <w:lang w:val="en" w:eastAsia="zh-CN"/>
              </w:rPr>
              <w:t>□</w:t>
            </w:r>
            <w:r>
              <w:rPr>
                <w:rFonts w:hint="eastAsia"/>
                <w:sz w:val="22"/>
                <w:szCs w:val="22"/>
                <w:vertAlign w:val="baseline"/>
                <w:lang w:val="en-US" w:eastAsia="zh-CN"/>
              </w:rPr>
              <w:t>存在违法违规情形</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2"/>
                <w:szCs w:val="22"/>
                <w:vertAlign w:val="baseline"/>
                <w:lang w:val="en-US" w:eastAsia="zh-CN"/>
              </w:rPr>
            </w:pPr>
            <w:r>
              <w:rPr>
                <w:rFonts w:hint="eastAsia" w:cs="Calibri"/>
                <w:sz w:val="28"/>
                <w:szCs w:val="28"/>
                <w:vertAlign w:val="baseline"/>
                <w:lang w:val="en" w:eastAsia="zh-CN"/>
              </w:rPr>
              <w:t>□</w:t>
            </w:r>
            <w:r>
              <w:rPr>
                <w:rFonts w:hint="eastAsia"/>
                <w:sz w:val="22"/>
                <w:szCs w:val="22"/>
                <w:vertAlign w:val="baseline"/>
                <w:lang w:val="en-US" w:eastAsia="zh-CN"/>
              </w:rPr>
              <w:t>未查出违法违规情形</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6" w:hRule="atLeast"/>
        </w:trPr>
        <w:tc>
          <w:tcPr>
            <w:tcW w:w="109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2"/>
                <w:szCs w:val="22"/>
                <w:vertAlign w:val="baseline"/>
                <w:lang w:val="en-US" w:eastAsia="zh-CN"/>
              </w:rPr>
            </w:pPr>
            <w:r>
              <w:rPr>
                <w:rFonts w:hint="eastAsia"/>
                <w:sz w:val="22"/>
                <w:szCs w:val="22"/>
                <w:vertAlign w:val="baseline"/>
                <w:lang w:val="en-US" w:eastAsia="zh-CN"/>
              </w:rPr>
              <w:t>公示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2"/>
                <w:szCs w:val="22"/>
                <w:vertAlign w:val="baseline"/>
                <w:lang w:val="en-US" w:eastAsia="zh-CN"/>
              </w:rPr>
            </w:pPr>
            <w:r>
              <w:rPr>
                <w:rFonts w:hint="eastAsia"/>
                <w:sz w:val="22"/>
                <w:szCs w:val="22"/>
                <w:vertAlign w:val="baseline"/>
                <w:lang w:val="en-US" w:eastAsia="zh-CN"/>
              </w:rPr>
              <w:t>公开</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12</w:t>
            </w:r>
          </w:p>
        </w:tc>
        <w:tc>
          <w:tcPr>
            <w:tcW w:w="46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公开中标候选人投标文件的合法合规性</w:t>
            </w:r>
          </w:p>
        </w:tc>
        <w:tc>
          <w:tcPr>
            <w:tcW w:w="251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Calibri" w:hAnsi="Calibri" w:cs="Calibri"/>
                <w:sz w:val="40"/>
                <w:szCs w:val="40"/>
                <w:vertAlign w:val="baseline"/>
                <w:lang w:val="en" w:eastAsia="zh-CN"/>
              </w:rPr>
            </w:pPr>
            <w:r>
              <w:rPr>
                <w:rFonts w:hint="eastAsia" w:cs="Calibri"/>
                <w:sz w:val="28"/>
                <w:szCs w:val="28"/>
                <w:vertAlign w:val="baseline"/>
                <w:lang w:val="en" w:eastAsia="zh-CN"/>
              </w:rPr>
              <w:t>□</w:t>
            </w:r>
            <w:r>
              <w:rPr>
                <w:rFonts w:hint="eastAsia"/>
                <w:sz w:val="22"/>
                <w:szCs w:val="22"/>
                <w:vertAlign w:val="baseline"/>
                <w:lang w:val="en-US" w:eastAsia="zh-CN"/>
              </w:rPr>
              <w:t>存在违法违规情形</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sz w:val="22"/>
                <w:szCs w:val="22"/>
                <w:vertAlign w:val="baseline"/>
              </w:rPr>
            </w:pPr>
            <w:r>
              <w:rPr>
                <w:rFonts w:hint="eastAsia" w:cs="Calibri"/>
                <w:sz w:val="28"/>
                <w:szCs w:val="28"/>
                <w:vertAlign w:val="baseline"/>
                <w:lang w:val="en" w:eastAsia="zh-CN"/>
              </w:rPr>
              <w:t>□</w:t>
            </w:r>
            <w:r>
              <w:rPr>
                <w:rFonts w:hint="eastAsia"/>
                <w:sz w:val="22"/>
                <w:szCs w:val="22"/>
                <w:vertAlign w:val="baseline"/>
                <w:lang w:val="en-US" w:eastAsia="zh-CN"/>
              </w:rPr>
              <w:t>未查出违法违规情形</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trPr>
        <w:tc>
          <w:tcPr>
            <w:tcW w:w="109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2"/>
                <w:szCs w:val="22"/>
                <w:vertAlign w:val="baseline"/>
                <w:lang w:val="en-US" w:eastAsia="zh-CN"/>
              </w:rPr>
            </w:pP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13</w:t>
            </w:r>
          </w:p>
        </w:tc>
        <w:tc>
          <w:tcPr>
            <w:tcW w:w="46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中标候选人公示的合法合规性</w:t>
            </w:r>
          </w:p>
        </w:tc>
        <w:tc>
          <w:tcPr>
            <w:tcW w:w="251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Calibri" w:hAnsi="Calibri" w:cs="Calibri"/>
                <w:sz w:val="40"/>
                <w:szCs w:val="40"/>
                <w:vertAlign w:val="baseline"/>
                <w:lang w:val="en" w:eastAsia="zh-CN"/>
              </w:rPr>
            </w:pPr>
            <w:r>
              <w:rPr>
                <w:rFonts w:hint="eastAsia" w:cs="Calibri"/>
                <w:sz w:val="28"/>
                <w:szCs w:val="28"/>
                <w:vertAlign w:val="baseline"/>
                <w:lang w:val="en" w:eastAsia="zh-CN"/>
              </w:rPr>
              <w:t>□</w:t>
            </w:r>
            <w:r>
              <w:rPr>
                <w:rFonts w:hint="eastAsia"/>
                <w:sz w:val="22"/>
                <w:szCs w:val="22"/>
                <w:vertAlign w:val="baseline"/>
                <w:lang w:val="en-US" w:eastAsia="zh-CN"/>
              </w:rPr>
              <w:t>存在违法违规情形</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2"/>
                <w:szCs w:val="22"/>
                <w:vertAlign w:val="baseline"/>
              </w:rPr>
            </w:pPr>
            <w:r>
              <w:rPr>
                <w:rFonts w:hint="eastAsia" w:cs="Calibri"/>
                <w:sz w:val="28"/>
                <w:szCs w:val="28"/>
                <w:vertAlign w:val="baseline"/>
                <w:lang w:val="en" w:eastAsia="zh-CN"/>
              </w:rPr>
              <w:t>□</w:t>
            </w:r>
            <w:r>
              <w:rPr>
                <w:rFonts w:hint="eastAsia"/>
                <w:sz w:val="22"/>
                <w:szCs w:val="22"/>
                <w:vertAlign w:val="baseline"/>
                <w:lang w:val="en-US" w:eastAsia="zh-CN"/>
              </w:rPr>
              <w:t>未查出违法违规情形</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trPr>
        <w:tc>
          <w:tcPr>
            <w:tcW w:w="109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2"/>
                <w:szCs w:val="22"/>
                <w:vertAlign w:val="baseline"/>
                <w:lang w:val="en-US" w:eastAsia="zh-CN"/>
              </w:rPr>
            </w:pP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14</w:t>
            </w:r>
          </w:p>
        </w:tc>
        <w:tc>
          <w:tcPr>
            <w:tcW w:w="46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公开合同订立及履行信息的合法合规性</w:t>
            </w:r>
          </w:p>
        </w:tc>
        <w:tc>
          <w:tcPr>
            <w:tcW w:w="251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Calibri" w:hAnsi="Calibri" w:cs="Calibri"/>
                <w:sz w:val="40"/>
                <w:szCs w:val="40"/>
                <w:vertAlign w:val="baseline"/>
                <w:lang w:val="en" w:eastAsia="zh-CN"/>
              </w:rPr>
            </w:pPr>
            <w:r>
              <w:rPr>
                <w:rFonts w:hint="eastAsia" w:cs="Calibri"/>
                <w:sz w:val="28"/>
                <w:szCs w:val="28"/>
                <w:vertAlign w:val="baseline"/>
                <w:lang w:val="en" w:eastAsia="zh-CN"/>
              </w:rPr>
              <w:t>□</w:t>
            </w:r>
            <w:r>
              <w:rPr>
                <w:rFonts w:hint="eastAsia"/>
                <w:sz w:val="22"/>
                <w:szCs w:val="22"/>
                <w:vertAlign w:val="baseline"/>
                <w:lang w:val="en-US" w:eastAsia="zh-CN"/>
              </w:rPr>
              <w:t>存在违法违规情形</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2"/>
                <w:szCs w:val="22"/>
                <w:vertAlign w:val="baseline"/>
                <w:lang w:val="en-US" w:eastAsia="zh-CN"/>
              </w:rPr>
            </w:pPr>
            <w:r>
              <w:rPr>
                <w:rFonts w:hint="eastAsia" w:cs="Calibri"/>
                <w:sz w:val="28"/>
                <w:szCs w:val="28"/>
                <w:vertAlign w:val="baseline"/>
                <w:lang w:val="en" w:eastAsia="zh-CN"/>
              </w:rPr>
              <w:t>□</w:t>
            </w:r>
            <w:r>
              <w:rPr>
                <w:rFonts w:hint="eastAsia"/>
                <w:sz w:val="22"/>
                <w:szCs w:val="22"/>
                <w:vertAlign w:val="baseline"/>
                <w:lang w:val="en-US" w:eastAsia="zh-CN"/>
              </w:rPr>
              <w:t>未查出违法违规情形</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7" w:hRule="atLeast"/>
        </w:trPr>
        <w:tc>
          <w:tcPr>
            <w:tcW w:w="109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2"/>
                <w:szCs w:val="22"/>
                <w:vertAlign w:val="baseline"/>
                <w:lang w:val="en-US" w:eastAsia="zh-CN"/>
              </w:rPr>
            </w:pPr>
            <w:r>
              <w:rPr>
                <w:rFonts w:hint="eastAsia"/>
                <w:sz w:val="22"/>
                <w:szCs w:val="22"/>
                <w:vertAlign w:val="baseline"/>
                <w:lang w:val="en-US" w:eastAsia="zh-CN"/>
              </w:rPr>
              <w:t>其他</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15</w:t>
            </w:r>
          </w:p>
        </w:tc>
        <w:tc>
          <w:tcPr>
            <w:tcW w:w="46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投标保证金</w:t>
            </w:r>
            <w:r>
              <w:rPr>
                <w:rFonts w:hint="eastAsia" w:ascii="宋体" w:hAnsi="宋体" w:cs="宋体"/>
                <w:color w:val="auto"/>
                <w:sz w:val="22"/>
                <w:szCs w:val="22"/>
                <w:vertAlign w:val="baseline"/>
                <w:lang w:val="en-US" w:eastAsia="zh-CN"/>
              </w:rPr>
              <w:t>、履约保证金、工程质量保证金</w:t>
            </w:r>
            <w:r>
              <w:rPr>
                <w:rFonts w:hint="eastAsia" w:ascii="宋体" w:hAnsi="宋体" w:eastAsia="宋体" w:cs="宋体"/>
                <w:color w:val="auto"/>
                <w:sz w:val="22"/>
                <w:szCs w:val="22"/>
                <w:vertAlign w:val="baseline"/>
                <w:lang w:val="en-US" w:eastAsia="zh-CN"/>
              </w:rPr>
              <w:t>收取及返还的合法合规性</w:t>
            </w:r>
          </w:p>
        </w:tc>
        <w:tc>
          <w:tcPr>
            <w:tcW w:w="251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Calibri" w:hAnsi="Calibri" w:cs="Calibri"/>
                <w:sz w:val="40"/>
                <w:szCs w:val="40"/>
                <w:vertAlign w:val="baseline"/>
                <w:lang w:val="en" w:eastAsia="zh-CN"/>
              </w:rPr>
            </w:pPr>
            <w:r>
              <w:rPr>
                <w:rFonts w:hint="eastAsia" w:cs="Calibri"/>
                <w:sz w:val="28"/>
                <w:szCs w:val="28"/>
                <w:vertAlign w:val="baseline"/>
                <w:lang w:val="en" w:eastAsia="zh-CN"/>
              </w:rPr>
              <w:t>□</w:t>
            </w:r>
            <w:r>
              <w:rPr>
                <w:rFonts w:hint="eastAsia"/>
                <w:sz w:val="22"/>
                <w:szCs w:val="22"/>
                <w:vertAlign w:val="baseline"/>
                <w:lang w:val="en-US" w:eastAsia="zh-CN"/>
              </w:rPr>
              <w:t>存在违法违规情形</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sz w:val="22"/>
                <w:szCs w:val="22"/>
                <w:vertAlign w:val="baseline"/>
              </w:rPr>
            </w:pPr>
            <w:r>
              <w:rPr>
                <w:rFonts w:hint="eastAsia" w:cs="Calibri"/>
                <w:sz w:val="28"/>
                <w:szCs w:val="28"/>
                <w:vertAlign w:val="baseline"/>
                <w:lang w:val="en" w:eastAsia="zh-CN"/>
              </w:rPr>
              <w:t>□</w:t>
            </w:r>
            <w:r>
              <w:rPr>
                <w:rFonts w:hint="eastAsia"/>
                <w:sz w:val="22"/>
                <w:szCs w:val="22"/>
                <w:vertAlign w:val="baseline"/>
                <w:lang w:val="en-US" w:eastAsia="zh-CN"/>
              </w:rPr>
              <w:t>未查出违法违规情形</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3" w:hRule="atLeast"/>
        </w:trPr>
        <w:tc>
          <w:tcPr>
            <w:tcW w:w="109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2"/>
                <w:szCs w:val="22"/>
                <w:vertAlign w:val="baseline"/>
                <w:lang w:val="en-US" w:eastAsia="zh-CN"/>
              </w:rPr>
            </w:pP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16</w:t>
            </w:r>
          </w:p>
        </w:tc>
        <w:tc>
          <w:tcPr>
            <w:tcW w:w="46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招标代理机构及其人员招标代理过程中的合法合规性</w:t>
            </w:r>
          </w:p>
        </w:tc>
        <w:tc>
          <w:tcPr>
            <w:tcW w:w="251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Calibri" w:hAnsi="Calibri" w:cs="Calibri"/>
                <w:sz w:val="40"/>
                <w:szCs w:val="40"/>
                <w:vertAlign w:val="baseline"/>
                <w:lang w:val="en" w:eastAsia="zh-CN"/>
              </w:rPr>
            </w:pPr>
            <w:r>
              <w:rPr>
                <w:rFonts w:hint="eastAsia" w:cs="Calibri"/>
                <w:sz w:val="28"/>
                <w:szCs w:val="28"/>
                <w:vertAlign w:val="baseline"/>
                <w:lang w:val="en" w:eastAsia="zh-CN"/>
              </w:rPr>
              <w:t>□</w:t>
            </w:r>
            <w:r>
              <w:rPr>
                <w:rFonts w:hint="eastAsia"/>
                <w:sz w:val="22"/>
                <w:szCs w:val="22"/>
                <w:vertAlign w:val="baseline"/>
                <w:lang w:val="en-US" w:eastAsia="zh-CN"/>
              </w:rPr>
              <w:t>存在违法违规情形</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2"/>
                <w:szCs w:val="22"/>
                <w:vertAlign w:val="baseline"/>
              </w:rPr>
            </w:pPr>
            <w:r>
              <w:rPr>
                <w:rFonts w:hint="eastAsia" w:cs="Calibri"/>
                <w:sz w:val="28"/>
                <w:szCs w:val="28"/>
                <w:vertAlign w:val="baseline"/>
                <w:lang w:val="en" w:eastAsia="zh-CN"/>
              </w:rPr>
              <w:t>□</w:t>
            </w:r>
            <w:r>
              <w:rPr>
                <w:rFonts w:hint="eastAsia"/>
                <w:sz w:val="22"/>
                <w:szCs w:val="22"/>
                <w:vertAlign w:val="baseline"/>
                <w:lang w:val="en-US" w:eastAsia="zh-CN"/>
              </w:rPr>
              <w:t>未查出违法违规情形</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0" w:hRule="atLeast"/>
        </w:trPr>
        <w:tc>
          <w:tcPr>
            <w:tcW w:w="109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2"/>
                <w:szCs w:val="22"/>
                <w:vertAlign w:val="baseline"/>
                <w:lang w:val="en-US" w:eastAsia="zh-CN"/>
              </w:rPr>
            </w:pP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17</w:t>
            </w:r>
          </w:p>
        </w:tc>
        <w:tc>
          <w:tcPr>
            <w:tcW w:w="46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招标人处理异议过程的合法合规性</w:t>
            </w:r>
          </w:p>
        </w:tc>
        <w:tc>
          <w:tcPr>
            <w:tcW w:w="251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Calibri" w:hAnsi="Calibri" w:cs="Calibri"/>
                <w:sz w:val="40"/>
                <w:szCs w:val="40"/>
                <w:vertAlign w:val="baseline"/>
                <w:lang w:val="en" w:eastAsia="zh-CN"/>
              </w:rPr>
            </w:pPr>
            <w:r>
              <w:rPr>
                <w:rFonts w:hint="eastAsia" w:cs="Calibri"/>
                <w:sz w:val="28"/>
                <w:szCs w:val="28"/>
                <w:vertAlign w:val="baseline"/>
                <w:lang w:val="en" w:eastAsia="zh-CN"/>
              </w:rPr>
              <w:t>□</w:t>
            </w:r>
            <w:r>
              <w:rPr>
                <w:rFonts w:hint="eastAsia"/>
                <w:sz w:val="22"/>
                <w:szCs w:val="22"/>
                <w:vertAlign w:val="baseline"/>
                <w:lang w:val="en-US" w:eastAsia="zh-CN"/>
              </w:rPr>
              <w:t>存在违法违规情形</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sz w:val="22"/>
                <w:szCs w:val="22"/>
                <w:vertAlign w:val="baseline"/>
              </w:rPr>
            </w:pPr>
            <w:r>
              <w:rPr>
                <w:rFonts w:hint="eastAsia" w:cs="Calibri"/>
                <w:sz w:val="28"/>
                <w:szCs w:val="28"/>
                <w:vertAlign w:val="baseline"/>
                <w:lang w:val="en" w:eastAsia="zh-CN"/>
              </w:rPr>
              <w:t>□</w:t>
            </w:r>
            <w:r>
              <w:rPr>
                <w:rFonts w:hint="eastAsia"/>
                <w:sz w:val="22"/>
                <w:szCs w:val="22"/>
                <w:vertAlign w:val="baseline"/>
                <w:lang w:val="en-US" w:eastAsia="zh-CN"/>
              </w:rPr>
              <w:t>未查出违法违规情形</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trPr>
        <w:tc>
          <w:tcPr>
            <w:tcW w:w="109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2"/>
                <w:szCs w:val="22"/>
                <w:vertAlign w:val="baseline"/>
                <w:lang w:val="en-US" w:eastAsia="zh-CN"/>
              </w:rPr>
            </w:pP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18</w:t>
            </w:r>
          </w:p>
        </w:tc>
        <w:tc>
          <w:tcPr>
            <w:tcW w:w="46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招标人向有关行政监督部门提交招标投标情况的书面报告的合法合规性</w:t>
            </w:r>
          </w:p>
        </w:tc>
        <w:tc>
          <w:tcPr>
            <w:tcW w:w="251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Calibri" w:hAnsi="Calibri" w:cs="Calibri"/>
                <w:sz w:val="40"/>
                <w:szCs w:val="40"/>
                <w:vertAlign w:val="baseline"/>
                <w:lang w:val="en" w:eastAsia="zh-CN"/>
              </w:rPr>
            </w:pPr>
            <w:r>
              <w:rPr>
                <w:rFonts w:hint="eastAsia" w:cs="Calibri"/>
                <w:sz w:val="28"/>
                <w:szCs w:val="28"/>
                <w:vertAlign w:val="baseline"/>
                <w:lang w:val="en" w:eastAsia="zh-CN"/>
              </w:rPr>
              <w:t>□</w:t>
            </w:r>
            <w:r>
              <w:rPr>
                <w:rFonts w:hint="eastAsia"/>
                <w:sz w:val="22"/>
                <w:szCs w:val="22"/>
                <w:vertAlign w:val="baseline"/>
                <w:lang w:val="en-US" w:eastAsia="zh-CN"/>
              </w:rPr>
              <w:t>存在违法违规情形</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2"/>
                <w:szCs w:val="22"/>
                <w:vertAlign w:val="baseline"/>
              </w:rPr>
            </w:pPr>
            <w:r>
              <w:rPr>
                <w:rFonts w:hint="eastAsia" w:cs="Calibri"/>
                <w:sz w:val="28"/>
                <w:szCs w:val="28"/>
                <w:vertAlign w:val="baseline"/>
                <w:lang w:val="en" w:eastAsia="zh-CN"/>
              </w:rPr>
              <w:t>□</w:t>
            </w:r>
            <w:r>
              <w:rPr>
                <w:rFonts w:hint="eastAsia"/>
                <w:sz w:val="22"/>
                <w:szCs w:val="22"/>
                <w:vertAlign w:val="baseline"/>
                <w:lang w:val="en-US" w:eastAsia="zh-CN"/>
              </w:rPr>
              <w:t>未查出违法违规情形</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trPr>
        <w:tc>
          <w:tcPr>
            <w:tcW w:w="109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2"/>
                <w:szCs w:val="22"/>
                <w:vertAlign w:val="baseline"/>
                <w:lang w:val="en-US" w:eastAsia="zh-CN"/>
              </w:rPr>
            </w:pP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 w:eastAsia="zh-CN"/>
              </w:rPr>
              <w:t>1</w:t>
            </w:r>
            <w:r>
              <w:rPr>
                <w:rFonts w:hint="eastAsia" w:ascii="宋体" w:hAnsi="宋体" w:eastAsia="宋体" w:cs="宋体"/>
                <w:sz w:val="22"/>
                <w:szCs w:val="22"/>
                <w:vertAlign w:val="baseline"/>
                <w:lang w:val="en-US" w:eastAsia="zh-CN"/>
              </w:rPr>
              <w:t>9</w:t>
            </w:r>
          </w:p>
        </w:tc>
        <w:tc>
          <w:tcPr>
            <w:tcW w:w="46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招标人和中标人签订中标合同的合法合规性</w:t>
            </w:r>
          </w:p>
        </w:tc>
        <w:tc>
          <w:tcPr>
            <w:tcW w:w="251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Calibri" w:hAnsi="Calibri" w:cs="Calibri"/>
                <w:sz w:val="40"/>
                <w:szCs w:val="40"/>
                <w:vertAlign w:val="baseline"/>
                <w:lang w:val="en" w:eastAsia="zh-CN"/>
              </w:rPr>
            </w:pPr>
            <w:r>
              <w:rPr>
                <w:rFonts w:hint="eastAsia" w:cs="Calibri"/>
                <w:sz w:val="28"/>
                <w:szCs w:val="28"/>
                <w:vertAlign w:val="baseline"/>
                <w:lang w:val="en" w:eastAsia="zh-CN"/>
              </w:rPr>
              <w:t>□</w:t>
            </w:r>
            <w:r>
              <w:rPr>
                <w:rFonts w:hint="eastAsia"/>
                <w:sz w:val="22"/>
                <w:szCs w:val="22"/>
                <w:vertAlign w:val="baseline"/>
                <w:lang w:val="en-US" w:eastAsia="zh-CN"/>
              </w:rPr>
              <w:t>存在违法违规情形</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alibri" w:hAnsi="Calibri" w:eastAsia="宋体" w:cs="黑体"/>
                <w:kern w:val="2"/>
                <w:sz w:val="22"/>
                <w:szCs w:val="22"/>
                <w:vertAlign w:val="baseline"/>
                <w:lang w:val="en-US" w:eastAsia="zh-CN" w:bidi="ar-SA"/>
              </w:rPr>
            </w:pPr>
            <w:r>
              <w:rPr>
                <w:rFonts w:hint="eastAsia" w:cs="Calibri"/>
                <w:sz w:val="28"/>
                <w:szCs w:val="28"/>
                <w:vertAlign w:val="baseline"/>
                <w:lang w:val="en" w:eastAsia="zh-CN"/>
              </w:rPr>
              <w:t>□</w:t>
            </w:r>
            <w:r>
              <w:rPr>
                <w:rFonts w:hint="eastAsia"/>
                <w:sz w:val="22"/>
                <w:szCs w:val="22"/>
                <w:vertAlign w:val="baseline"/>
                <w:lang w:val="en-US" w:eastAsia="zh-CN"/>
              </w:rPr>
              <w:t>未查出违法违规情形</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alibri" w:hAnsi="Calibri" w:eastAsia="宋体" w:cs="黑体"/>
                <w:kern w:val="2"/>
                <w:sz w:val="22"/>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2" w:hRule="atLeast"/>
        </w:trPr>
        <w:tc>
          <w:tcPr>
            <w:tcW w:w="109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2"/>
                <w:szCs w:val="22"/>
                <w:vertAlign w:val="baseline"/>
                <w:lang w:val="en-US" w:eastAsia="zh-CN"/>
              </w:rPr>
            </w:pP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20</w:t>
            </w:r>
          </w:p>
        </w:tc>
        <w:tc>
          <w:tcPr>
            <w:tcW w:w="46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2"/>
                <w:szCs w:val="22"/>
                <w:vertAlign w:val="baseline"/>
                <w:lang w:val="en" w:eastAsia="zh-CN"/>
              </w:rPr>
            </w:pPr>
            <w:r>
              <w:rPr>
                <w:rFonts w:hint="eastAsia" w:ascii="宋体" w:hAnsi="宋体" w:eastAsia="宋体" w:cs="宋体"/>
                <w:sz w:val="22"/>
                <w:szCs w:val="22"/>
                <w:vertAlign w:val="baseline"/>
                <w:lang w:val="en" w:eastAsia="zh-CN"/>
              </w:rPr>
              <w:t>招标人是否完成</w:t>
            </w:r>
            <w:r>
              <w:rPr>
                <w:rFonts w:hint="eastAsia" w:ascii="宋体" w:hAnsi="宋体" w:eastAsia="宋体" w:cs="宋体"/>
                <w:sz w:val="22"/>
                <w:szCs w:val="22"/>
                <w:lang w:val="en"/>
              </w:rPr>
              <w:t>中山市建设工程企业管理和诚信平台电子诚信档案登记</w:t>
            </w:r>
          </w:p>
        </w:tc>
        <w:tc>
          <w:tcPr>
            <w:tcW w:w="251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Calibri" w:hAnsi="Calibri" w:cs="Calibri"/>
                <w:sz w:val="40"/>
                <w:szCs w:val="40"/>
                <w:vertAlign w:val="baseline"/>
                <w:lang w:val="en" w:eastAsia="zh-CN"/>
              </w:rPr>
            </w:pPr>
            <w:r>
              <w:rPr>
                <w:rFonts w:hint="eastAsia" w:cs="Calibri"/>
                <w:sz w:val="28"/>
                <w:szCs w:val="28"/>
                <w:vertAlign w:val="baseline"/>
                <w:lang w:val="en" w:eastAsia="zh-CN"/>
              </w:rPr>
              <w:t>□</w:t>
            </w:r>
            <w:r>
              <w:rPr>
                <w:rFonts w:hint="eastAsia"/>
                <w:sz w:val="22"/>
                <w:szCs w:val="22"/>
                <w:vertAlign w:val="baseline"/>
                <w:lang w:val="en-US" w:eastAsia="zh-CN"/>
              </w:rPr>
              <w:t>存在违法违规情形</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z w:val="22"/>
                <w:szCs w:val="22"/>
                <w:vertAlign w:val="baseline"/>
                <w:lang w:val="en-US" w:eastAsia="zh-CN"/>
              </w:rPr>
            </w:pPr>
            <w:r>
              <w:rPr>
                <w:rFonts w:hint="eastAsia" w:cs="Calibri"/>
                <w:sz w:val="28"/>
                <w:szCs w:val="28"/>
                <w:vertAlign w:val="baseline"/>
                <w:lang w:val="en" w:eastAsia="zh-CN"/>
              </w:rPr>
              <w:t>□</w:t>
            </w:r>
            <w:r>
              <w:rPr>
                <w:rFonts w:hint="eastAsia"/>
                <w:sz w:val="22"/>
                <w:szCs w:val="22"/>
                <w:vertAlign w:val="baseline"/>
                <w:lang w:val="en-US" w:eastAsia="zh-CN"/>
              </w:rPr>
              <w:t>未查出违法违规情形</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7" w:hRule="atLeast"/>
        </w:trPr>
        <w:tc>
          <w:tcPr>
            <w:tcW w:w="10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2"/>
                <w:szCs w:val="22"/>
                <w:vertAlign w:val="baseline"/>
                <w:lang w:val="en-US" w:eastAsia="zh-CN"/>
              </w:rPr>
            </w:pPr>
            <w:r>
              <w:rPr>
                <w:rFonts w:hint="eastAsia"/>
                <w:sz w:val="22"/>
                <w:szCs w:val="22"/>
                <w:vertAlign w:val="baseline"/>
                <w:lang w:val="en-US" w:eastAsia="zh-CN"/>
              </w:rPr>
              <w:t>违法违规行为的说明</w:t>
            </w:r>
          </w:p>
        </w:tc>
        <w:tc>
          <w:tcPr>
            <w:tcW w:w="973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z w:val="22"/>
                <w:szCs w:val="22"/>
                <w:vertAlign w:val="baseline"/>
                <w:lang w:val="en-US" w:eastAsia="zh-CN"/>
              </w:rPr>
            </w:pPr>
          </w:p>
        </w:tc>
      </w:tr>
    </w:tbl>
    <w:p>
      <w:pPr>
        <w:jc w:val="both"/>
        <w:rPr>
          <w:rFonts w:hint="eastAsia" w:ascii="仿宋" w:hAnsi="仿宋" w:eastAsia="仿宋" w:cs="仿宋"/>
          <w:sz w:val="22"/>
          <w:szCs w:val="22"/>
          <w:lang w:val="en-US" w:eastAsia="zh-CN"/>
        </w:rPr>
      </w:pPr>
      <w:r>
        <w:rPr>
          <w:rFonts w:hint="eastAsia" w:ascii="仿宋" w:hAnsi="仿宋" w:eastAsia="仿宋" w:cs="仿宋"/>
          <w:color w:val="auto"/>
          <w:sz w:val="22"/>
          <w:szCs w:val="22"/>
          <w:lang w:val="en-US" w:eastAsia="zh-CN"/>
        </w:rPr>
        <w:t>自查单</w:t>
      </w:r>
      <w:r>
        <w:rPr>
          <w:rFonts w:hint="eastAsia" w:ascii="仿宋" w:hAnsi="仿宋" w:eastAsia="仿宋" w:cs="仿宋"/>
          <w:sz w:val="22"/>
          <w:szCs w:val="22"/>
          <w:lang w:val="en-US" w:eastAsia="zh-CN"/>
        </w:rPr>
        <w:t xml:space="preserve">位（盖章）：                                    自查人员（签名）：    </w:t>
      </w:r>
    </w:p>
    <w:p>
      <w:pPr>
        <w:jc w:val="both"/>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联系电话：</w:t>
      </w:r>
      <w:bookmarkStart w:id="0" w:name="_GoBack"/>
      <w:bookmarkEnd w:id="0"/>
    </w:p>
    <w:sectPr>
      <w:headerReference r:id="rId3" w:type="default"/>
      <w:footerReference r:id="rId4" w:type="default"/>
      <w:pgSz w:w="11906" w:h="16838"/>
      <w:pgMar w:top="1440" w:right="822" w:bottom="1042" w:left="76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00"/>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DE7EED"/>
    <w:rsid w:val="07FF1996"/>
    <w:rsid w:val="0BEFD6D0"/>
    <w:rsid w:val="17FA75EF"/>
    <w:rsid w:val="276FEBAF"/>
    <w:rsid w:val="375C9E22"/>
    <w:rsid w:val="3B5AC6A9"/>
    <w:rsid w:val="3FDE7EED"/>
    <w:rsid w:val="3FFFD6B3"/>
    <w:rsid w:val="3FFFFCFD"/>
    <w:rsid w:val="4EDF053F"/>
    <w:rsid w:val="4FD8DA20"/>
    <w:rsid w:val="50BE8C2C"/>
    <w:rsid w:val="59FF90AF"/>
    <w:rsid w:val="5CFF5CBE"/>
    <w:rsid w:val="5F7DF918"/>
    <w:rsid w:val="5FF5F15F"/>
    <w:rsid w:val="68FB0D71"/>
    <w:rsid w:val="6F16750A"/>
    <w:rsid w:val="73FF4D1A"/>
    <w:rsid w:val="7733E33C"/>
    <w:rsid w:val="777F1812"/>
    <w:rsid w:val="777FE567"/>
    <w:rsid w:val="77DFFBAA"/>
    <w:rsid w:val="7D7431CF"/>
    <w:rsid w:val="7D7F011E"/>
    <w:rsid w:val="7DFB85E1"/>
    <w:rsid w:val="8E1EF7E2"/>
    <w:rsid w:val="8EF7EC2E"/>
    <w:rsid w:val="8FBFC7B4"/>
    <w:rsid w:val="9FC7808B"/>
    <w:rsid w:val="A351004B"/>
    <w:rsid w:val="AF3FF619"/>
    <w:rsid w:val="AF5DE5E3"/>
    <w:rsid w:val="B1FFA75D"/>
    <w:rsid w:val="B6DB0B68"/>
    <w:rsid w:val="B6EC97C7"/>
    <w:rsid w:val="B9F7FA70"/>
    <w:rsid w:val="BB1D4D29"/>
    <w:rsid w:val="BB8F7F68"/>
    <w:rsid w:val="BFDF9CC7"/>
    <w:rsid w:val="CBEE316D"/>
    <w:rsid w:val="DD6E4781"/>
    <w:rsid w:val="DEBDF030"/>
    <w:rsid w:val="DEFF45A8"/>
    <w:rsid w:val="DF7C616D"/>
    <w:rsid w:val="E71F9E99"/>
    <w:rsid w:val="EB7A4C6D"/>
    <w:rsid w:val="ED73484C"/>
    <w:rsid w:val="EFFF0442"/>
    <w:rsid w:val="F3AF83FE"/>
    <w:rsid w:val="F3BDAA2E"/>
    <w:rsid w:val="F3F6D8D6"/>
    <w:rsid w:val="F771FF9D"/>
    <w:rsid w:val="F7774B17"/>
    <w:rsid w:val="F77F8EF4"/>
    <w:rsid w:val="F7B7D3F5"/>
    <w:rsid w:val="F7CDC2F7"/>
    <w:rsid w:val="F9AA358F"/>
    <w:rsid w:val="F9BE42DC"/>
    <w:rsid w:val="FD5F59BB"/>
    <w:rsid w:val="FD91B149"/>
    <w:rsid w:val="FFD44E9D"/>
    <w:rsid w:val="FFDDB9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2022-09-12T17:49:00Z</dcterms:created>
  <dc:creator>user</dc:creator>
  <cp:lastModifiedBy>user</cp:lastModifiedBy>
  <cp:lastPrinted>2023-05-25T07:10:00Z</cp:lastPrinted>
  <dcterms:modified xsi:type="dcterms:W3CDTF">2024-04-09T10:35:14Z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