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eastAsia="CESI黑体-GB2312"/>
          <w:sz w:val="32"/>
          <w:szCs w:val="32"/>
          <w:lang w:eastAsia="zh-CN"/>
        </w:rPr>
      </w:pPr>
      <w:r>
        <w:rPr>
          <w:rFonts w:hint="eastAsia" w:ascii="CESI黑体-GB2312" w:hAnsi="CESI黑体-GB2312" w:eastAsia="CESI黑体-GB2312" w:cs="CESI黑体-GB2312"/>
          <w:sz w:val="32"/>
          <w:szCs w:val="32"/>
        </w:rPr>
        <w:t>附件</w:t>
      </w:r>
      <w:r>
        <w:rPr>
          <w:rFonts w:hint="eastAsia" w:ascii="CESI黑体-GB2312" w:hAnsi="CESI黑体-GB2312" w:eastAsia="CESI黑体-GB2312" w:cs="CESI黑体-GB2312"/>
          <w:sz w:val="32"/>
          <w:szCs w:val="32"/>
          <w:lang w:eastAsia="zh-CN"/>
        </w:rPr>
        <w:t>：</w:t>
      </w:r>
      <w:bookmarkStart w:id="0" w:name="_GoBack"/>
      <w:bookmarkEnd w:id="0"/>
    </w:p>
    <w:p>
      <w:pPr>
        <w:jc w:val="center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中山市建设工程造价指数（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2024年上半年</w:t>
      </w:r>
      <w:r>
        <w:rPr>
          <w:rFonts w:hint="eastAsia" w:ascii="黑体" w:hAnsi="黑体" w:eastAsia="黑体" w:cs="黑体"/>
          <w:sz w:val="36"/>
          <w:szCs w:val="36"/>
        </w:rPr>
        <w:t>）</w:t>
      </w:r>
    </w:p>
    <w:p>
      <w:pPr>
        <w:jc w:val="center"/>
        <w:rPr>
          <w:rFonts w:hint="eastAsia" w:ascii="黑体" w:hAnsi="黑体" w:eastAsia="黑体" w:cs="黑体"/>
          <w:sz w:val="24"/>
          <w:szCs w:val="24"/>
          <w:lang w:eastAsia="zh-CN"/>
        </w:rPr>
      </w:pPr>
    </w:p>
    <w:p>
      <w:pPr>
        <w:jc w:val="left"/>
        <w:rPr>
          <w:rFonts w:hint="eastAsia" w:ascii="黑体" w:hAnsi="黑体" w:eastAsia="黑体" w:cs="黑体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sz w:val="28"/>
          <w:szCs w:val="28"/>
          <w:lang w:eastAsia="zh-CN"/>
        </w:rPr>
        <w:t>表一：</w:t>
      </w:r>
    </w:p>
    <w:p>
      <w:pPr>
        <w:jc w:val="center"/>
        <w:rPr>
          <w:rFonts w:hint="eastAsia" w:ascii="黑体" w:hAnsi="黑体" w:eastAsia="黑体" w:cs="黑体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sz w:val="28"/>
          <w:szCs w:val="28"/>
          <w:lang w:eastAsia="zh-CN"/>
        </w:rPr>
        <w:t>适用于执行广东省建设工程计价依据（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2018</w:t>
      </w:r>
      <w:r>
        <w:rPr>
          <w:rFonts w:hint="eastAsia" w:ascii="黑体" w:hAnsi="黑体" w:eastAsia="黑体" w:cs="黑体"/>
          <w:sz w:val="28"/>
          <w:szCs w:val="28"/>
          <w:lang w:eastAsia="zh-CN"/>
        </w:rPr>
        <w:t>）的建筑工程</w:t>
      </w:r>
    </w:p>
    <w:tbl>
      <w:tblPr>
        <w:tblStyle w:val="11"/>
        <w:tblW w:w="80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93"/>
        <w:gridCol w:w="38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93" w:type="dxa"/>
          </w:tcPr>
          <w:p>
            <w:pPr>
              <w:jc w:val="center"/>
              <w:rPr>
                <w:rFonts w:ascii="仿宋_GB2312" w:eastAsia="仿宋_GB2312" w:cs="宋体"/>
                <w:sz w:val="32"/>
                <w:szCs w:val="32"/>
              </w:rPr>
            </w:pPr>
            <w:r>
              <w:rPr>
                <w:rFonts w:hint="eastAsia" w:ascii="仿宋_GB2312" w:eastAsia="仿宋_GB2312" w:cs="宋体"/>
                <w:sz w:val="32"/>
                <w:szCs w:val="32"/>
              </w:rPr>
              <w:t>年份</w:t>
            </w:r>
          </w:p>
        </w:tc>
        <w:tc>
          <w:tcPr>
            <w:tcW w:w="3821" w:type="dxa"/>
          </w:tcPr>
          <w:p>
            <w:pPr>
              <w:jc w:val="center"/>
              <w:rPr>
                <w:rFonts w:ascii="仿宋_GB2312" w:eastAsia="仿宋_GB2312" w:cs="宋体"/>
                <w:sz w:val="32"/>
                <w:szCs w:val="32"/>
              </w:rPr>
            </w:pPr>
            <w:r>
              <w:rPr>
                <w:rFonts w:hint="eastAsia" w:ascii="仿宋_GB2312" w:eastAsia="仿宋_GB2312" w:cs="宋体"/>
                <w:sz w:val="32"/>
                <w:szCs w:val="32"/>
              </w:rPr>
              <w:t>建筑工程造价指数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93" w:type="dxa"/>
            <w:vAlign w:val="center"/>
          </w:tcPr>
          <w:p>
            <w:pPr>
              <w:jc w:val="center"/>
              <w:rPr>
                <w:rFonts w:ascii="仿宋_GB2312" w:eastAsia="仿宋_GB2312" w:cs="宋体"/>
                <w:sz w:val="32"/>
                <w:szCs w:val="32"/>
              </w:rPr>
            </w:pPr>
            <w:r>
              <w:rPr>
                <w:rFonts w:hint="eastAsia" w:ascii="仿宋_GB2312" w:eastAsia="仿宋_GB2312" w:cs="宋体"/>
                <w:sz w:val="32"/>
                <w:szCs w:val="32"/>
              </w:rPr>
              <w:t>2017年1-6月</w:t>
            </w:r>
          </w:p>
        </w:tc>
        <w:tc>
          <w:tcPr>
            <w:tcW w:w="3821" w:type="dxa"/>
          </w:tcPr>
          <w:p>
            <w:pPr>
              <w:jc w:val="center"/>
              <w:rPr>
                <w:rFonts w:ascii="仿宋_GB2312" w:eastAsia="仿宋_GB2312" w:cs="宋体"/>
                <w:sz w:val="32"/>
                <w:szCs w:val="32"/>
              </w:rPr>
            </w:pPr>
            <w:r>
              <w:rPr>
                <w:rFonts w:hint="eastAsia" w:ascii="仿宋_GB2312" w:eastAsia="仿宋_GB2312" w:cs="宋体"/>
                <w:sz w:val="32"/>
                <w:szCs w:val="32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93" w:type="dxa"/>
            <w:vAlign w:val="center"/>
          </w:tcPr>
          <w:p>
            <w:pPr>
              <w:jc w:val="center"/>
              <w:rPr>
                <w:rFonts w:hint="default" w:ascii="仿宋_GB2312" w:eastAsia="仿宋_GB2312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 w:cs="宋体"/>
                <w:sz w:val="32"/>
                <w:szCs w:val="32"/>
                <w:lang w:val="en-US" w:eastAsia="zh-CN"/>
              </w:rPr>
              <w:t>2019年3-12月</w:t>
            </w:r>
          </w:p>
        </w:tc>
        <w:tc>
          <w:tcPr>
            <w:tcW w:w="3821" w:type="dxa"/>
          </w:tcPr>
          <w:p>
            <w:pPr>
              <w:jc w:val="center"/>
              <w:rPr>
                <w:rFonts w:hint="default" w:ascii="仿宋_GB2312" w:eastAsia="仿宋_GB2312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 w:cs="宋体"/>
                <w:sz w:val="32"/>
                <w:szCs w:val="32"/>
                <w:lang w:val="en-US" w:eastAsia="zh-CN"/>
              </w:rPr>
              <w:t>120.81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93" w:type="dxa"/>
            <w:vAlign w:val="center"/>
          </w:tcPr>
          <w:p>
            <w:pPr>
              <w:jc w:val="center"/>
              <w:rPr>
                <w:rFonts w:hint="default" w:ascii="仿宋_GB2312" w:eastAsia="仿宋_GB2312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 w:cs="宋体"/>
                <w:sz w:val="32"/>
                <w:szCs w:val="32"/>
                <w:lang w:val="en-US" w:eastAsia="zh-CN"/>
              </w:rPr>
              <w:t>2020年</w:t>
            </w:r>
          </w:p>
        </w:tc>
        <w:tc>
          <w:tcPr>
            <w:tcW w:w="3821" w:type="dxa"/>
          </w:tcPr>
          <w:p>
            <w:pPr>
              <w:jc w:val="center"/>
              <w:rPr>
                <w:rFonts w:hint="default" w:ascii="仿宋_GB2312" w:eastAsia="仿宋_GB2312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 w:cs="宋体"/>
                <w:sz w:val="32"/>
                <w:szCs w:val="32"/>
                <w:lang w:val="en-US" w:eastAsia="zh-CN"/>
              </w:rPr>
              <w:t>119.07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93" w:type="dxa"/>
            <w:vAlign w:val="center"/>
          </w:tcPr>
          <w:p>
            <w:pPr>
              <w:jc w:val="center"/>
              <w:rPr>
                <w:rFonts w:hint="default" w:ascii="仿宋_GB2312" w:eastAsia="仿宋_GB2312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 w:cs="宋体"/>
                <w:sz w:val="32"/>
                <w:szCs w:val="32"/>
                <w:lang w:val="en-US" w:eastAsia="zh-CN"/>
              </w:rPr>
              <w:t>2021年</w:t>
            </w:r>
          </w:p>
        </w:tc>
        <w:tc>
          <w:tcPr>
            <w:tcW w:w="3821" w:type="dxa"/>
          </w:tcPr>
          <w:p>
            <w:pPr>
              <w:jc w:val="center"/>
              <w:rPr>
                <w:rFonts w:hint="default" w:ascii="仿宋_GB2312" w:eastAsia="仿宋_GB2312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 w:cs="宋体"/>
                <w:sz w:val="32"/>
                <w:szCs w:val="32"/>
                <w:lang w:val="en-US" w:eastAsia="zh-CN"/>
              </w:rPr>
              <w:t>125.43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93" w:type="dxa"/>
            <w:vAlign w:val="center"/>
          </w:tcPr>
          <w:p>
            <w:pPr>
              <w:jc w:val="center"/>
              <w:rPr>
                <w:rFonts w:hint="default" w:ascii="仿宋_GB2312" w:eastAsia="仿宋_GB2312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 w:cs="宋体"/>
                <w:sz w:val="32"/>
                <w:szCs w:val="32"/>
                <w:lang w:val="en-US" w:eastAsia="zh-CN"/>
              </w:rPr>
              <w:t>2022年</w:t>
            </w:r>
          </w:p>
        </w:tc>
        <w:tc>
          <w:tcPr>
            <w:tcW w:w="3821" w:type="dxa"/>
          </w:tcPr>
          <w:p>
            <w:pPr>
              <w:jc w:val="center"/>
              <w:rPr>
                <w:rFonts w:hint="default" w:ascii="仿宋_GB2312" w:eastAsia="仿宋_GB2312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 w:cs="宋体"/>
                <w:sz w:val="32"/>
                <w:szCs w:val="32"/>
                <w:lang w:val="en-US" w:eastAsia="zh-CN"/>
              </w:rPr>
              <w:t>121.62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93" w:type="dxa"/>
            <w:vAlign w:val="center"/>
          </w:tcPr>
          <w:p>
            <w:pPr>
              <w:jc w:val="center"/>
              <w:rPr>
                <w:rFonts w:hint="default" w:ascii="仿宋_GB2312" w:eastAsia="仿宋_GB2312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 w:cs="宋体"/>
                <w:sz w:val="32"/>
                <w:szCs w:val="32"/>
                <w:lang w:val="en-US" w:eastAsia="zh-CN"/>
              </w:rPr>
              <w:t>2023年1-6月</w:t>
            </w:r>
          </w:p>
        </w:tc>
        <w:tc>
          <w:tcPr>
            <w:tcW w:w="3821" w:type="dxa"/>
          </w:tcPr>
          <w:p>
            <w:pPr>
              <w:jc w:val="center"/>
              <w:rPr>
                <w:rFonts w:hint="default" w:ascii="仿宋_GB2312" w:eastAsia="仿宋_GB2312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 w:cs="宋体"/>
                <w:sz w:val="32"/>
                <w:szCs w:val="32"/>
                <w:lang w:val="en-US" w:eastAsia="zh-CN"/>
              </w:rPr>
              <w:t>118.73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93" w:type="dxa"/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 w:cs="宋体"/>
                <w:color w:val="auto"/>
                <w:sz w:val="32"/>
                <w:szCs w:val="32"/>
                <w:lang w:val="en-US" w:eastAsia="zh-CN"/>
              </w:rPr>
              <w:t>2023年7-12月</w:t>
            </w:r>
          </w:p>
        </w:tc>
        <w:tc>
          <w:tcPr>
            <w:tcW w:w="3821" w:type="dxa"/>
          </w:tcPr>
          <w:p>
            <w:pPr>
              <w:jc w:val="center"/>
              <w:rPr>
                <w:rFonts w:hint="default" w:ascii="仿宋_GB2312" w:eastAsia="仿宋_GB2312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 w:cs="宋体"/>
                <w:color w:val="auto"/>
                <w:sz w:val="32"/>
                <w:szCs w:val="32"/>
                <w:lang w:val="en-US" w:eastAsia="zh-CN"/>
              </w:rPr>
              <w:t>117.50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93" w:type="dxa"/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 w:cs="宋体"/>
                <w:color w:val="auto"/>
                <w:sz w:val="32"/>
                <w:szCs w:val="32"/>
                <w:lang w:val="en-US" w:eastAsia="zh-CN"/>
              </w:rPr>
              <w:t>2024年1-6月</w:t>
            </w:r>
          </w:p>
        </w:tc>
        <w:tc>
          <w:tcPr>
            <w:tcW w:w="3821" w:type="dxa"/>
          </w:tcPr>
          <w:p>
            <w:pPr>
              <w:jc w:val="center"/>
              <w:rPr>
                <w:rFonts w:hint="default" w:ascii="仿宋_GB2312" w:eastAsia="仿宋_GB2312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 w:cs="宋体"/>
                <w:color w:val="auto"/>
                <w:sz w:val="32"/>
                <w:szCs w:val="32"/>
                <w:lang w:val="en-US" w:eastAsia="zh-CN"/>
              </w:rPr>
              <w:t>114.33</w:t>
            </w:r>
          </w:p>
        </w:tc>
      </w:tr>
    </w:tbl>
    <w:p>
      <w:pPr>
        <w:widowControl/>
        <w:jc w:val="left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备注：</w:t>
      </w:r>
    </w:p>
    <w:p>
      <w:pPr>
        <w:widowControl/>
        <w:ind w:firstLine="960" w:firstLineChars="3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.</w:t>
      </w:r>
      <w:r>
        <w:rPr>
          <w:rFonts w:hint="eastAsia" w:ascii="仿宋_GB2312" w:eastAsia="仿宋_GB2312"/>
          <w:sz w:val="32"/>
          <w:szCs w:val="32"/>
        </w:rPr>
        <w:t>本</w:t>
      </w:r>
      <w:r>
        <w:rPr>
          <w:rFonts w:hint="eastAsia" w:ascii="仿宋_GB2312" w:eastAsia="仿宋_GB2312"/>
          <w:sz w:val="32"/>
          <w:szCs w:val="32"/>
          <w:lang w:eastAsia="zh-CN"/>
        </w:rPr>
        <w:t>建筑工程造价</w:t>
      </w:r>
      <w:r>
        <w:rPr>
          <w:rFonts w:hint="eastAsia" w:ascii="仿宋_GB2312" w:eastAsia="仿宋_GB2312"/>
          <w:sz w:val="32"/>
          <w:szCs w:val="32"/>
        </w:rPr>
        <w:t>指数以2017年1-6月份的平均价格作为基数100，采用增值税一般计税方法测算。</w:t>
      </w:r>
    </w:p>
    <w:p>
      <w:pPr>
        <w:widowControl/>
        <w:ind w:firstLine="960" w:firstLineChars="300"/>
        <w:jc w:val="left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.</w:t>
      </w:r>
      <w:r>
        <w:rPr>
          <w:rFonts w:hint="eastAsia" w:ascii="仿宋_GB2312" w:eastAsia="仿宋_GB2312"/>
          <w:sz w:val="32"/>
          <w:szCs w:val="32"/>
        </w:rPr>
        <w:t>采用建筑工程的施工图预算进行测算，不包括水电安装、市政工程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</w:p>
    <w:p>
      <w:pPr>
        <w:pStyle w:val="5"/>
        <w:rPr>
          <w:rFonts w:hint="eastAsia"/>
        </w:rPr>
      </w:pPr>
    </w:p>
    <w:p>
      <w:pPr>
        <w:jc w:val="left"/>
        <w:rPr>
          <w:rFonts w:hint="eastAsia" w:ascii="黑体" w:hAnsi="黑体" w:eastAsia="黑体" w:cs="黑体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sz w:val="28"/>
          <w:szCs w:val="28"/>
          <w:lang w:eastAsia="zh-CN"/>
        </w:rPr>
        <w:t>表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二</w:t>
      </w:r>
      <w:r>
        <w:rPr>
          <w:rFonts w:hint="eastAsia" w:ascii="黑体" w:hAnsi="黑体" w:eastAsia="黑体" w:cs="黑体"/>
          <w:sz w:val="28"/>
          <w:szCs w:val="28"/>
          <w:lang w:eastAsia="zh-CN"/>
        </w:rPr>
        <w:t>：</w:t>
      </w:r>
    </w:p>
    <w:p>
      <w:pPr>
        <w:jc w:val="center"/>
        <w:rPr>
          <w:rFonts w:hint="eastAsia" w:ascii="黑体" w:hAnsi="黑体" w:eastAsia="黑体" w:cs="黑体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sz w:val="28"/>
          <w:szCs w:val="28"/>
          <w:lang w:eastAsia="zh-CN"/>
        </w:rPr>
        <w:t>适用于执行广东省建设工程计价依据（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2018</w:t>
      </w:r>
      <w:r>
        <w:rPr>
          <w:rFonts w:hint="eastAsia" w:ascii="黑体" w:hAnsi="黑体" w:eastAsia="黑体" w:cs="黑体"/>
          <w:sz w:val="28"/>
          <w:szCs w:val="28"/>
          <w:lang w:eastAsia="zh-CN"/>
        </w:rPr>
        <w:t>）的市政道路工程</w:t>
      </w:r>
    </w:p>
    <w:tbl>
      <w:tblPr>
        <w:tblStyle w:val="11"/>
        <w:tblW w:w="80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93"/>
        <w:gridCol w:w="38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93" w:type="dxa"/>
          </w:tcPr>
          <w:p>
            <w:pPr>
              <w:jc w:val="center"/>
              <w:rPr>
                <w:rFonts w:ascii="仿宋_GB2312" w:eastAsia="仿宋_GB2312" w:cs="宋体"/>
                <w:sz w:val="32"/>
                <w:szCs w:val="32"/>
              </w:rPr>
            </w:pPr>
            <w:r>
              <w:rPr>
                <w:rFonts w:hint="eastAsia" w:ascii="仿宋_GB2312" w:eastAsia="仿宋_GB2312" w:cs="宋体"/>
                <w:sz w:val="32"/>
                <w:szCs w:val="32"/>
              </w:rPr>
              <w:t>年份</w:t>
            </w:r>
          </w:p>
        </w:tc>
        <w:tc>
          <w:tcPr>
            <w:tcW w:w="3821" w:type="dxa"/>
          </w:tcPr>
          <w:p>
            <w:pPr>
              <w:jc w:val="center"/>
              <w:rPr>
                <w:rFonts w:ascii="仿宋_GB2312" w:eastAsia="仿宋_GB2312" w:cs="宋体"/>
                <w:sz w:val="32"/>
                <w:szCs w:val="32"/>
              </w:rPr>
            </w:pPr>
            <w:r>
              <w:rPr>
                <w:rFonts w:hint="eastAsia" w:ascii="仿宋_GB2312" w:eastAsia="仿宋_GB2312" w:cs="宋体"/>
                <w:sz w:val="32"/>
                <w:szCs w:val="32"/>
                <w:lang w:eastAsia="zh-CN"/>
              </w:rPr>
              <w:t>市政道路</w:t>
            </w:r>
            <w:r>
              <w:rPr>
                <w:rFonts w:hint="eastAsia" w:ascii="仿宋_GB2312" w:eastAsia="仿宋_GB2312" w:cs="宋体"/>
                <w:sz w:val="32"/>
                <w:szCs w:val="32"/>
              </w:rPr>
              <w:t>工程造价指数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93" w:type="dxa"/>
            <w:vAlign w:val="center"/>
          </w:tcPr>
          <w:p>
            <w:pPr>
              <w:jc w:val="center"/>
              <w:rPr>
                <w:rFonts w:hint="default" w:ascii="仿宋_GB2312" w:eastAsia="仿宋_GB2312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 w:cs="宋体"/>
                <w:sz w:val="32"/>
                <w:szCs w:val="32"/>
                <w:lang w:val="en-US" w:eastAsia="zh-CN"/>
              </w:rPr>
              <w:t>2019年</w:t>
            </w:r>
          </w:p>
        </w:tc>
        <w:tc>
          <w:tcPr>
            <w:tcW w:w="3821" w:type="dxa"/>
          </w:tcPr>
          <w:p>
            <w:pPr>
              <w:jc w:val="center"/>
              <w:rPr>
                <w:rFonts w:hint="default" w:ascii="仿宋_GB2312" w:eastAsia="仿宋_GB2312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 w:cs="宋体"/>
                <w:sz w:val="32"/>
                <w:szCs w:val="32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93" w:type="dxa"/>
            <w:vAlign w:val="center"/>
          </w:tcPr>
          <w:p>
            <w:pPr>
              <w:jc w:val="center"/>
              <w:rPr>
                <w:rFonts w:hint="default" w:ascii="仿宋_GB2312" w:eastAsia="仿宋_GB2312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 w:cs="宋体"/>
                <w:sz w:val="32"/>
                <w:szCs w:val="32"/>
                <w:lang w:val="en-US" w:eastAsia="zh-CN"/>
              </w:rPr>
              <w:t>2020年</w:t>
            </w:r>
          </w:p>
        </w:tc>
        <w:tc>
          <w:tcPr>
            <w:tcW w:w="3821" w:type="dxa"/>
          </w:tcPr>
          <w:p>
            <w:pPr>
              <w:jc w:val="center"/>
              <w:rPr>
                <w:rFonts w:hint="default" w:ascii="仿宋_GB2312" w:eastAsia="仿宋_GB2312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 w:cs="宋体"/>
                <w:sz w:val="32"/>
                <w:szCs w:val="32"/>
                <w:lang w:val="en-US" w:eastAsia="zh-CN"/>
              </w:rPr>
              <w:t>100.08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93" w:type="dxa"/>
            <w:vAlign w:val="center"/>
          </w:tcPr>
          <w:p>
            <w:pPr>
              <w:jc w:val="center"/>
              <w:rPr>
                <w:rFonts w:hint="default" w:ascii="仿宋_GB2312" w:eastAsia="仿宋_GB2312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 w:cs="宋体"/>
                <w:sz w:val="32"/>
                <w:szCs w:val="32"/>
                <w:lang w:val="en-US" w:eastAsia="zh-CN"/>
              </w:rPr>
              <w:t>2021年</w:t>
            </w:r>
          </w:p>
        </w:tc>
        <w:tc>
          <w:tcPr>
            <w:tcW w:w="3821" w:type="dxa"/>
          </w:tcPr>
          <w:p>
            <w:pPr>
              <w:jc w:val="center"/>
              <w:rPr>
                <w:rFonts w:hint="default" w:ascii="仿宋_GB2312" w:eastAsia="仿宋_GB2312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 w:cs="宋体"/>
                <w:sz w:val="32"/>
                <w:szCs w:val="32"/>
                <w:lang w:val="en-US" w:eastAsia="zh-CN"/>
              </w:rPr>
              <w:t>102.87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93" w:type="dxa"/>
            <w:vAlign w:val="center"/>
          </w:tcPr>
          <w:p>
            <w:pPr>
              <w:jc w:val="center"/>
              <w:rPr>
                <w:rFonts w:hint="default" w:ascii="仿宋_GB2312" w:eastAsia="仿宋_GB2312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 w:cs="宋体"/>
                <w:sz w:val="32"/>
                <w:szCs w:val="32"/>
                <w:lang w:val="en-US" w:eastAsia="zh-CN"/>
              </w:rPr>
              <w:t>2022年</w:t>
            </w:r>
          </w:p>
        </w:tc>
        <w:tc>
          <w:tcPr>
            <w:tcW w:w="3821" w:type="dxa"/>
          </w:tcPr>
          <w:p>
            <w:pPr>
              <w:jc w:val="center"/>
              <w:rPr>
                <w:rFonts w:hint="default" w:ascii="仿宋_GB2312" w:eastAsia="仿宋_GB2312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 w:cs="宋体"/>
                <w:sz w:val="32"/>
                <w:szCs w:val="32"/>
                <w:lang w:val="en-US" w:eastAsia="zh-CN"/>
              </w:rPr>
              <w:t>101.37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93" w:type="dxa"/>
            <w:vAlign w:val="center"/>
          </w:tcPr>
          <w:p>
            <w:pPr>
              <w:jc w:val="center"/>
              <w:rPr>
                <w:rFonts w:hint="default" w:ascii="仿宋_GB2312" w:eastAsia="仿宋_GB2312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 w:cs="宋体"/>
                <w:sz w:val="32"/>
                <w:szCs w:val="32"/>
                <w:lang w:val="en-US" w:eastAsia="zh-CN"/>
              </w:rPr>
              <w:t>2023年1-6月</w:t>
            </w:r>
          </w:p>
        </w:tc>
        <w:tc>
          <w:tcPr>
            <w:tcW w:w="3821" w:type="dxa"/>
          </w:tcPr>
          <w:p>
            <w:pPr>
              <w:jc w:val="center"/>
              <w:rPr>
                <w:rFonts w:hint="default" w:ascii="仿宋_GB2312" w:eastAsia="仿宋_GB2312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 w:cs="宋体"/>
                <w:sz w:val="32"/>
                <w:szCs w:val="32"/>
                <w:lang w:val="en-US" w:eastAsia="zh-CN"/>
              </w:rPr>
              <w:t>99.44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93" w:type="dxa"/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 w:cs="宋体"/>
                <w:sz w:val="32"/>
                <w:szCs w:val="32"/>
                <w:lang w:val="en-US" w:eastAsia="zh-CN"/>
              </w:rPr>
              <w:t>2023年7-12月</w:t>
            </w:r>
          </w:p>
        </w:tc>
        <w:tc>
          <w:tcPr>
            <w:tcW w:w="3821" w:type="dxa"/>
          </w:tcPr>
          <w:p>
            <w:pPr>
              <w:jc w:val="center"/>
              <w:rPr>
                <w:rFonts w:hint="default" w:ascii="仿宋_GB2312" w:eastAsia="仿宋_GB2312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 w:cs="宋体"/>
                <w:sz w:val="32"/>
                <w:szCs w:val="32"/>
                <w:lang w:val="en-US" w:eastAsia="zh-CN"/>
              </w:rPr>
              <w:t>97.73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93" w:type="dxa"/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 w:cs="宋体"/>
                <w:color w:val="auto"/>
                <w:sz w:val="32"/>
                <w:szCs w:val="32"/>
                <w:lang w:val="en-US" w:eastAsia="zh-CN"/>
              </w:rPr>
              <w:t>2024年1-6月</w:t>
            </w:r>
          </w:p>
        </w:tc>
        <w:tc>
          <w:tcPr>
            <w:tcW w:w="3821" w:type="dxa"/>
          </w:tcPr>
          <w:p>
            <w:pPr>
              <w:jc w:val="center"/>
              <w:rPr>
                <w:rFonts w:hint="default" w:ascii="仿宋_GB2312" w:eastAsia="仿宋_GB2312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 w:cs="宋体"/>
                <w:color w:val="auto"/>
                <w:sz w:val="32"/>
                <w:szCs w:val="32"/>
                <w:lang w:val="en-US" w:eastAsia="zh-CN"/>
              </w:rPr>
              <w:t>96.23</w:t>
            </w:r>
          </w:p>
        </w:tc>
      </w:tr>
    </w:tbl>
    <w:p>
      <w:pPr>
        <w:widowControl/>
        <w:ind w:firstLine="0" w:firstLineChars="0"/>
        <w:jc w:val="left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备注：</w:t>
      </w:r>
    </w:p>
    <w:p>
      <w:pPr>
        <w:widowControl/>
        <w:ind w:firstLine="960" w:firstLineChars="3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</w:t>
      </w:r>
      <w:r>
        <w:rPr>
          <w:rFonts w:hint="default" w:ascii="仿宋_GB2312" w:eastAsia="仿宋_GB2312"/>
          <w:sz w:val="32"/>
          <w:szCs w:val="32"/>
        </w:rPr>
        <w:t>.</w:t>
      </w:r>
      <w:r>
        <w:rPr>
          <w:rFonts w:hint="eastAsia" w:ascii="仿宋_GB2312" w:eastAsia="仿宋_GB2312"/>
          <w:sz w:val="32"/>
          <w:szCs w:val="32"/>
        </w:rPr>
        <w:t>本</w:t>
      </w:r>
      <w:r>
        <w:rPr>
          <w:rFonts w:hint="eastAsia" w:ascii="仿宋_GB2312" w:eastAsia="仿宋_GB2312"/>
          <w:sz w:val="32"/>
          <w:szCs w:val="32"/>
          <w:lang w:eastAsia="zh-CN"/>
        </w:rPr>
        <w:t>市政道路</w:t>
      </w:r>
      <w:r>
        <w:rPr>
          <w:rFonts w:hint="eastAsia" w:ascii="仿宋_GB2312" w:eastAsia="仿宋_GB2312"/>
          <w:sz w:val="32"/>
          <w:szCs w:val="32"/>
        </w:rPr>
        <w:t>工程</w:t>
      </w:r>
      <w:r>
        <w:rPr>
          <w:rFonts w:hint="eastAsia" w:ascii="仿宋_GB2312" w:eastAsia="仿宋_GB2312"/>
          <w:sz w:val="32"/>
          <w:szCs w:val="32"/>
          <w:lang w:eastAsia="zh-CN"/>
        </w:rPr>
        <w:t>造价</w:t>
      </w:r>
      <w:r>
        <w:rPr>
          <w:rFonts w:hint="eastAsia" w:ascii="仿宋_GB2312" w:eastAsia="仿宋_GB2312"/>
          <w:sz w:val="32"/>
          <w:szCs w:val="32"/>
        </w:rPr>
        <w:t>指数以201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9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eastAsia="zh-CN"/>
        </w:rPr>
        <w:t>的</w:t>
      </w:r>
      <w:r>
        <w:rPr>
          <w:rFonts w:hint="eastAsia" w:ascii="仿宋_GB2312" w:eastAsia="仿宋_GB2312"/>
          <w:sz w:val="32"/>
          <w:szCs w:val="32"/>
        </w:rPr>
        <w:t>平均价格作为基数100，采用增值税一般计税方法测算。</w:t>
      </w:r>
    </w:p>
    <w:p>
      <w:pPr>
        <w:widowControl/>
        <w:ind w:firstLine="960" w:firstLineChars="300"/>
        <w:jc w:val="left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2.采用</w:t>
      </w:r>
      <w:r>
        <w:rPr>
          <w:rFonts w:hint="eastAsia" w:ascii="仿宋_GB2312" w:eastAsia="仿宋_GB2312"/>
          <w:sz w:val="32"/>
          <w:szCs w:val="32"/>
          <w:lang w:eastAsia="zh-CN"/>
        </w:rPr>
        <w:t>市政道路</w:t>
      </w:r>
      <w:r>
        <w:rPr>
          <w:rFonts w:hint="eastAsia" w:ascii="仿宋_GB2312" w:eastAsia="仿宋_GB2312"/>
          <w:sz w:val="32"/>
          <w:szCs w:val="32"/>
        </w:rPr>
        <w:t>工程的施工图预算进行测算，</w:t>
      </w:r>
      <w:r>
        <w:rPr>
          <w:rFonts w:hint="eastAsia" w:ascii="仿宋_GB2312" w:eastAsia="仿宋_GB2312"/>
          <w:sz w:val="32"/>
          <w:szCs w:val="32"/>
          <w:lang w:eastAsia="zh-CN"/>
        </w:rPr>
        <w:t>测算综合考虑已</w:t>
      </w:r>
      <w:r>
        <w:rPr>
          <w:rFonts w:hint="eastAsia" w:ascii="仿宋_GB2312" w:eastAsia="仿宋_GB2312"/>
          <w:sz w:val="32"/>
          <w:szCs w:val="32"/>
        </w:rPr>
        <w:t>包括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市政道路、给排水、交通设施、路灯和绿化工程等主要施工内容，</w:t>
      </w:r>
      <w:r>
        <w:rPr>
          <w:rFonts w:hint="eastAsia" w:ascii="仿宋_GB2312" w:eastAsia="仿宋_GB2312"/>
          <w:sz w:val="32"/>
          <w:szCs w:val="32"/>
          <w:lang w:eastAsia="zh-CN"/>
        </w:rPr>
        <w:t>不包括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市政道路特殊路段的软基处理工程、桥梁工程（含跨江桥、人行天桥和立交高架桥）及隧道工程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</w:p>
    <w:p>
      <w:pPr>
        <w:pStyle w:val="3"/>
        <w:ind w:left="0" w:leftChars="0" w:firstLine="0" w:firstLineChars="0"/>
        <w:jc w:val="left"/>
        <w:rPr>
          <w:rFonts w:hint="eastAsia" w:ascii="黑体" w:hAnsi="黑体" w:eastAsia="黑体" w:cs="黑体"/>
          <w:sz w:val="36"/>
          <w:szCs w:val="36"/>
        </w:rPr>
      </w:pPr>
    </w:p>
    <w:p>
      <w:pPr>
        <w:jc w:val="left"/>
        <w:rPr>
          <w:rFonts w:hint="eastAsia"/>
        </w:rPr>
      </w:pPr>
    </w:p>
    <w:p>
      <w:pPr>
        <w:jc w:val="left"/>
        <w:rPr>
          <w:rFonts w:hint="eastAsia" w:ascii="黑体" w:hAnsi="黑体" w:eastAsia="黑体" w:cs="黑体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sz w:val="28"/>
          <w:szCs w:val="28"/>
          <w:lang w:eastAsia="zh-CN"/>
        </w:rPr>
        <w:br w:type="page"/>
      </w:r>
    </w:p>
    <w:p>
      <w:pPr>
        <w:jc w:val="left"/>
        <w:rPr>
          <w:rFonts w:hint="eastAsia" w:ascii="黑体" w:hAnsi="黑体" w:eastAsia="黑体" w:cs="黑体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sz w:val="28"/>
          <w:szCs w:val="28"/>
          <w:lang w:eastAsia="zh-CN"/>
        </w:rPr>
        <w:t>表三：</w:t>
      </w:r>
    </w:p>
    <w:p>
      <w:pPr>
        <w:jc w:val="center"/>
        <w:rPr>
          <w:rFonts w:hint="eastAsia" w:ascii="黑体" w:hAnsi="黑体" w:eastAsia="黑体" w:cs="黑体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sz w:val="28"/>
          <w:szCs w:val="28"/>
          <w:lang w:eastAsia="zh-CN"/>
        </w:rPr>
        <w:t>适用于执行广东省建设工程计价依据（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2010</w:t>
      </w:r>
      <w:r>
        <w:rPr>
          <w:rFonts w:hint="eastAsia" w:ascii="黑体" w:hAnsi="黑体" w:eastAsia="黑体" w:cs="黑体"/>
          <w:sz w:val="28"/>
          <w:szCs w:val="28"/>
          <w:lang w:eastAsia="zh-CN"/>
        </w:rPr>
        <w:t>）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的建筑工程</w:t>
      </w:r>
    </w:p>
    <w:tbl>
      <w:tblPr>
        <w:tblStyle w:val="11"/>
        <w:tblW w:w="80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93"/>
        <w:gridCol w:w="38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93" w:type="dxa"/>
          </w:tcPr>
          <w:p>
            <w:pPr>
              <w:jc w:val="center"/>
              <w:rPr>
                <w:rFonts w:ascii="仿宋_GB2312" w:eastAsia="仿宋_GB2312" w:cs="宋体"/>
                <w:sz w:val="32"/>
                <w:szCs w:val="32"/>
              </w:rPr>
            </w:pPr>
            <w:r>
              <w:rPr>
                <w:rFonts w:hint="eastAsia" w:ascii="仿宋_GB2312" w:eastAsia="仿宋_GB2312" w:cs="宋体"/>
                <w:sz w:val="32"/>
                <w:szCs w:val="32"/>
              </w:rPr>
              <w:t>年份</w:t>
            </w:r>
          </w:p>
        </w:tc>
        <w:tc>
          <w:tcPr>
            <w:tcW w:w="3821" w:type="dxa"/>
          </w:tcPr>
          <w:p>
            <w:pPr>
              <w:jc w:val="center"/>
              <w:rPr>
                <w:rFonts w:ascii="仿宋_GB2312" w:eastAsia="仿宋_GB2312" w:cs="宋体"/>
                <w:sz w:val="32"/>
                <w:szCs w:val="32"/>
              </w:rPr>
            </w:pPr>
            <w:r>
              <w:rPr>
                <w:rFonts w:hint="eastAsia" w:ascii="仿宋_GB2312" w:eastAsia="仿宋_GB2312" w:cs="宋体"/>
                <w:sz w:val="32"/>
                <w:szCs w:val="32"/>
              </w:rPr>
              <w:t>建筑工程造价指数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93" w:type="dxa"/>
            <w:vAlign w:val="center"/>
          </w:tcPr>
          <w:p>
            <w:pPr>
              <w:jc w:val="center"/>
              <w:rPr>
                <w:rFonts w:ascii="仿宋_GB2312" w:eastAsia="仿宋_GB2312" w:cs="宋体"/>
                <w:sz w:val="32"/>
                <w:szCs w:val="32"/>
              </w:rPr>
            </w:pPr>
            <w:r>
              <w:rPr>
                <w:rFonts w:hint="eastAsia" w:ascii="仿宋_GB2312" w:eastAsia="仿宋_GB2312" w:cs="宋体"/>
                <w:sz w:val="32"/>
                <w:szCs w:val="32"/>
              </w:rPr>
              <w:t>2011年</w:t>
            </w:r>
          </w:p>
        </w:tc>
        <w:tc>
          <w:tcPr>
            <w:tcW w:w="3821" w:type="dxa"/>
            <w:vAlign w:val="center"/>
          </w:tcPr>
          <w:p>
            <w:pPr>
              <w:jc w:val="center"/>
              <w:rPr>
                <w:rFonts w:ascii="仿宋_GB2312" w:eastAsia="仿宋_GB2312" w:cs="宋体"/>
                <w:sz w:val="32"/>
                <w:szCs w:val="32"/>
              </w:rPr>
            </w:pPr>
            <w:r>
              <w:rPr>
                <w:rFonts w:hint="eastAsia" w:ascii="仿宋_GB2312" w:eastAsia="仿宋_GB2312" w:cs="宋体"/>
                <w:sz w:val="32"/>
                <w:szCs w:val="32"/>
              </w:rPr>
              <w:t>91.42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93" w:type="dxa"/>
            <w:vAlign w:val="center"/>
          </w:tcPr>
          <w:p>
            <w:pPr>
              <w:jc w:val="center"/>
              <w:rPr>
                <w:rFonts w:ascii="仿宋_GB2312" w:eastAsia="仿宋_GB2312" w:cs="宋体"/>
                <w:sz w:val="32"/>
                <w:szCs w:val="32"/>
              </w:rPr>
            </w:pPr>
            <w:r>
              <w:rPr>
                <w:rFonts w:hint="eastAsia" w:ascii="仿宋_GB2312" w:eastAsia="仿宋_GB2312" w:cs="宋体"/>
                <w:sz w:val="32"/>
                <w:szCs w:val="32"/>
              </w:rPr>
              <w:t>2012年</w:t>
            </w:r>
          </w:p>
        </w:tc>
        <w:tc>
          <w:tcPr>
            <w:tcW w:w="3821" w:type="dxa"/>
            <w:vAlign w:val="center"/>
          </w:tcPr>
          <w:p>
            <w:pPr>
              <w:jc w:val="center"/>
              <w:rPr>
                <w:rFonts w:ascii="仿宋_GB2312" w:eastAsia="仿宋_GB2312" w:cs="宋体"/>
                <w:sz w:val="32"/>
                <w:szCs w:val="32"/>
              </w:rPr>
            </w:pPr>
            <w:r>
              <w:rPr>
                <w:rFonts w:hint="eastAsia" w:ascii="仿宋_GB2312" w:eastAsia="仿宋_GB2312" w:cs="宋体"/>
                <w:sz w:val="32"/>
                <w:szCs w:val="32"/>
              </w:rPr>
              <w:t>89.81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4193" w:type="dxa"/>
            <w:vAlign w:val="center"/>
          </w:tcPr>
          <w:p>
            <w:pPr>
              <w:jc w:val="center"/>
              <w:rPr>
                <w:rFonts w:ascii="仿宋_GB2312" w:eastAsia="仿宋_GB2312" w:cs="宋体"/>
                <w:sz w:val="32"/>
                <w:szCs w:val="32"/>
              </w:rPr>
            </w:pPr>
            <w:r>
              <w:rPr>
                <w:rFonts w:hint="eastAsia" w:ascii="仿宋_GB2312" w:eastAsia="仿宋_GB2312" w:cs="宋体"/>
                <w:sz w:val="32"/>
                <w:szCs w:val="32"/>
              </w:rPr>
              <w:t>2013年</w:t>
            </w:r>
          </w:p>
        </w:tc>
        <w:tc>
          <w:tcPr>
            <w:tcW w:w="3821" w:type="dxa"/>
            <w:vAlign w:val="center"/>
          </w:tcPr>
          <w:p>
            <w:pPr>
              <w:jc w:val="center"/>
              <w:rPr>
                <w:rFonts w:ascii="仿宋_GB2312" w:eastAsia="仿宋_GB2312" w:cs="宋体"/>
                <w:sz w:val="32"/>
                <w:szCs w:val="32"/>
              </w:rPr>
            </w:pPr>
            <w:r>
              <w:rPr>
                <w:rFonts w:hint="eastAsia" w:ascii="仿宋_GB2312" w:eastAsia="仿宋_GB2312" w:cs="宋体"/>
                <w:sz w:val="32"/>
                <w:szCs w:val="32"/>
              </w:rPr>
              <w:t>90.49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93" w:type="dxa"/>
            <w:vAlign w:val="center"/>
          </w:tcPr>
          <w:p>
            <w:pPr>
              <w:jc w:val="center"/>
              <w:rPr>
                <w:rFonts w:ascii="仿宋_GB2312" w:eastAsia="仿宋_GB2312" w:cs="宋体"/>
                <w:sz w:val="32"/>
                <w:szCs w:val="32"/>
              </w:rPr>
            </w:pPr>
            <w:r>
              <w:rPr>
                <w:rFonts w:hint="eastAsia" w:ascii="仿宋_GB2312" w:eastAsia="仿宋_GB2312" w:cs="宋体"/>
                <w:sz w:val="32"/>
                <w:szCs w:val="32"/>
              </w:rPr>
              <w:t>2014年</w:t>
            </w:r>
          </w:p>
        </w:tc>
        <w:tc>
          <w:tcPr>
            <w:tcW w:w="3821" w:type="dxa"/>
            <w:vAlign w:val="center"/>
          </w:tcPr>
          <w:p>
            <w:pPr>
              <w:jc w:val="center"/>
              <w:rPr>
                <w:rFonts w:ascii="仿宋_GB2312" w:eastAsia="仿宋_GB2312" w:cs="宋体"/>
                <w:sz w:val="32"/>
                <w:szCs w:val="32"/>
              </w:rPr>
            </w:pPr>
            <w:r>
              <w:rPr>
                <w:rFonts w:hint="eastAsia" w:ascii="仿宋_GB2312" w:eastAsia="仿宋_GB2312" w:cs="宋体"/>
                <w:sz w:val="32"/>
                <w:szCs w:val="32"/>
              </w:rPr>
              <w:t>91.54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93" w:type="dxa"/>
            <w:vAlign w:val="center"/>
          </w:tcPr>
          <w:p>
            <w:pPr>
              <w:jc w:val="center"/>
              <w:rPr>
                <w:rFonts w:ascii="仿宋_GB2312" w:eastAsia="仿宋_GB2312" w:cs="宋体"/>
                <w:sz w:val="32"/>
                <w:szCs w:val="32"/>
              </w:rPr>
            </w:pPr>
            <w:r>
              <w:rPr>
                <w:rFonts w:hint="eastAsia" w:ascii="仿宋_GB2312" w:eastAsia="仿宋_GB2312" w:cs="宋体"/>
                <w:sz w:val="32"/>
                <w:szCs w:val="32"/>
              </w:rPr>
              <w:t>2015年</w:t>
            </w:r>
          </w:p>
        </w:tc>
        <w:tc>
          <w:tcPr>
            <w:tcW w:w="3821" w:type="dxa"/>
            <w:vAlign w:val="center"/>
          </w:tcPr>
          <w:p>
            <w:pPr>
              <w:jc w:val="center"/>
              <w:rPr>
                <w:rFonts w:ascii="仿宋_GB2312" w:eastAsia="仿宋_GB2312" w:cs="宋体"/>
                <w:sz w:val="32"/>
                <w:szCs w:val="32"/>
              </w:rPr>
            </w:pPr>
            <w:r>
              <w:rPr>
                <w:rFonts w:hint="eastAsia" w:ascii="仿宋_GB2312" w:eastAsia="仿宋_GB2312" w:cs="宋体"/>
                <w:sz w:val="32"/>
                <w:szCs w:val="32"/>
              </w:rPr>
              <w:t>91.43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93" w:type="dxa"/>
            <w:vAlign w:val="center"/>
          </w:tcPr>
          <w:p>
            <w:pPr>
              <w:jc w:val="center"/>
              <w:rPr>
                <w:rFonts w:ascii="仿宋_GB2312" w:eastAsia="仿宋_GB2312" w:cs="宋体"/>
                <w:sz w:val="32"/>
                <w:szCs w:val="32"/>
              </w:rPr>
            </w:pPr>
            <w:r>
              <w:rPr>
                <w:rFonts w:hint="eastAsia" w:ascii="仿宋_GB2312" w:eastAsia="仿宋_GB2312" w:cs="宋体"/>
                <w:sz w:val="32"/>
                <w:szCs w:val="32"/>
              </w:rPr>
              <w:t>2016年</w:t>
            </w:r>
          </w:p>
        </w:tc>
        <w:tc>
          <w:tcPr>
            <w:tcW w:w="3821" w:type="dxa"/>
            <w:vAlign w:val="center"/>
          </w:tcPr>
          <w:p>
            <w:pPr>
              <w:jc w:val="center"/>
              <w:rPr>
                <w:rFonts w:ascii="仿宋_GB2312" w:eastAsia="仿宋_GB2312" w:cs="宋体"/>
                <w:sz w:val="32"/>
                <w:szCs w:val="32"/>
              </w:rPr>
            </w:pPr>
            <w:r>
              <w:rPr>
                <w:rFonts w:hint="eastAsia" w:ascii="仿宋_GB2312" w:eastAsia="仿宋_GB2312" w:cs="宋体"/>
                <w:sz w:val="32"/>
                <w:szCs w:val="32"/>
              </w:rPr>
              <w:t>93.24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4193" w:type="dxa"/>
            <w:vAlign w:val="center"/>
          </w:tcPr>
          <w:p>
            <w:pPr>
              <w:jc w:val="center"/>
              <w:rPr>
                <w:rFonts w:ascii="仿宋_GB2312" w:eastAsia="仿宋_GB2312" w:cs="宋体"/>
                <w:sz w:val="32"/>
                <w:szCs w:val="32"/>
              </w:rPr>
            </w:pPr>
            <w:r>
              <w:rPr>
                <w:rFonts w:hint="eastAsia" w:ascii="仿宋_GB2312" w:eastAsia="仿宋_GB2312" w:cs="宋体"/>
                <w:sz w:val="32"/>
                <w:szCs w:val="32"/>
              </w:rPr>
              <w:t>2017年1-6月</w:t>
            </w:r>
          </w:p>
        </w:tc>
        <w:tc>
          <w:tcPr>
            <w:tcW w:w="3821" w:type="dxa"/>
          </w:tcPr>
          <w:p>
            <w:pPr>
              <w:jc w:val="center"/>
              <w:rPr>
                <w:rFonts w:ascii="仿宋_GB2312" w:eastAsia="仿宋_GB2312" w:cs="宋体"/>
                <w:sz w:val="32"/>
                <w:szCs w:val="32"/>
              </w:rPr>
            </w:pPr>
            <w:r>
              <w:rPr>
                <w:rFonts w:hint="eastAsia" w:ascii="仿宋_GB2312" w:eastAsia="仿宋_GB2312" w:cs="宋体"/>
                <w:sz w:val="32"/>
                <w:szCs w:val="32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93" w:type="dxa"/>
            <w:vAlign w:val="center"/>
          </w:tcPr>
          <w:p>
            <w:pPr>
              <w:jc w:val="center"/>
              <w:rPr>
                <w:rFonts w:ascii="仿宋_GB2312" w:eastAsia="仿宋_GB2312" w:cs="宋体"/>
                <w:sz w:val="32"/>
                <w:szCs w:val="32"/>
              </w:rPr>
            </w:pPr>
            <w:r>
              <w:rPr>
                <w:rFonts w:hint="eastAsia" w:ascii="仿宋_GB2312" w:eastAsia="仿宋_GB2312" w:cs="宋体"/>
                <w:sz w:val="32"/>
                <w:szCs w:val="32"/>
              </w:rPr>
              <w:t>2017年7-12月</w:t>
            </w:r>
          </w:p>
        </w:tc>
        <w:tc>
          <w:tcPr>
            <w:tcW w:w="3821" w:type="dxa"/>
          </w:tcPr>
          <w:p>
            <w:pPr>
              <w:jc w:val="center"/>
              <w:rPr>
                <w:rFonts w:ascii="仿宋_GB2312" w:eastAsia="仿宋_GB2312" w:cs="宋体"/>
                <w:sz w:val="32"/>
                <w:szCs w:val="32"/>
              </w:rPr>
            </w:pPr>
            <w:r>
              <w:rPr>
                <w:rFonts w:hint="eastAsia" w:ascii="仿宋_GB2312" w:eastAsia="仿宋_GB2312" w:cs="宋体"/>
                <w:sz w:val="32"/>
                <w:szCs w:val="32"/>
              </w:rPr>
              <w:t>103.03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93" w:type="dxa"/>
            <w:vAlign w:val="center"/>
          </w:tcPr>
          <w:p>
            <w:pPr>
              <w:jc w:val="center"/>
              <w:rPr>
                <w:rFonts w:ascii="仿宋_GB2312" w:eastAsia="仿宋_GB2312" w:cs="宋体"/>
                <w:sz w:val="32"/>
                <w:szCs w:val="32"/>
              </w:rPr>
            </w:pPr>
            <w:r>
              <w:rPr>
                <w:rFonts w:hint="eastAsia" w:ascii="仿宋_GB2312" w:eastAsia="仿宋_GB2312" w:cs="宋体"/>
                <w:sz w:val="32"/>
                <w:szCs w:val="32"/>
              </w:rPr>
              <w:t>2017年</w:t>
            </w:r>
          </w:p>
        </w:tc>
        <w:tc>
          <w:tcPr>
            <w:tcW w:w="3821" w:type="dxa"/>
          </w:tcPr>
          <w:p>
            <w:pPr>
              <w:jc w:val="center"/>
              <w:rPr>
                <w:rFonts w:ascii="仿宋_GB2312" w:eastAsia="仿宋_GB2312" w:cs="宋体"/>
                <w:sz w:val="32"/>
                <w:szCs w:val="32"/>
              </w:rPr>
            </w:pPr>
            <w:r>
              <w:rPr>
                <w:rFonts w:hint="eastAsia" w:ascii="仿宋_GB2312" w:eastAsia="仿宋_GB2312" w:cs="宋体"/>
                <w:sz w:val="32"/>
                <w:szCs w:val="32"/>
              </w:rPr>
              <w:t>101.54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93" w:type="dxa"/>
            <w:vAlign w:val="center"/>
          </w:tcPr>
          <w:p>
            <w:pPr>
              <w:jc w:val="center"/>
              <w:rPr>
                <w:rFonts w:ascii="仿宋_GB2312" w:eastAsia="仿宋_GB2312" w:cs="宋体"/>
                <w:sz w:val="32"/>
                <w:szCs w:val="32"/>
              </w:rPr>
            </w:pPr>
            <w:r>
              <w:rPr>
                <w:rFonts w:hint="eastAsia" w:ascii="仿宋_GB2312" w:eastAsia="仿宋_GB2312" w:cs="宋体"/>
                <w:sz w:val="32"/>
                <w:szCs w:val="32"/>
              </w:rPr>
              <w:t>2018年1-6月</w:t>
            </w:r>
          </w:p>
        </w:tc>
        <w:tc>
          <w:tcPr>
            <w:tcW w:w="3821" w:type="dxa"/>
          </w:tcPr>
          <w:p>
            <w:pPr>
              <w:jc w:val="center"/>
              <w:rPr>
                <w:rFonts w:ascii="仿宋_GB2312" w:eastAsia="仿宋_GB2312" w:cs="宋体"/>
                <w:sz w:val="32"/>
                <w:szCs w:val="32"/>
              </w:rPr>
            </w:pPr>
            <w:r>
              <w:rPr>
                <w:rFonts w:hint="eastAsia" w:ascii="仿宋_GB2312" w:eastAsia="仿宋_GB2312" w:cs="宋体"/>
                <w:sz w:val="32"/>
                <w:szCs w:val="32"/>
              </w:rPr>
              <w:t>104.36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4193" w:type="dxa"/>
            <w:vAlign w:val="center"/>
          </w:tcPr>
          <w:p>
            <w:pPr>
              <w:jc w:val="center"/>
              <w:rPr>
                <w:rFonts w:ascii="仿宋_GB2312" w:eastAsia="仿宋_GB2312" w:cs="宋体"/>
                <w:sz w:val="32"/>
                <w:szCs w:val="32"/>
              </w:rPr>
            </w:pPr>
            <w:r>
              <w:rPr>
                <w:rFonts w:hint="eastAsia" w:ascii="仿宋_GB2312" w:eastAsia="仿宋_GB2312" w:cs="宋体"/>
                <w:sz w:val="32"/>
                <w:szCs w:val="32"/>
              </w:rPr>
              <w:t>2018年7-12月</w:t>
            </w:r>
          </w:p>
        </w:tc>
        <w:tc>
          <w:tcPr>
            <w:tcW w:w="3821" w:type="dxa"/>
          </w:tcPr>
          <w:p>
            <w:pPr>
              <w:jc w:val="center"/>
              <w:rPr>
                <w:rFonts w:ascii="仿宋_GB2312" w:eastAsia="仿宋_GB2312" w:cs="宋体"/>
                <w:sz w:val="32"/>
                <w:szCs w:val="32"/>
              </w:rPr>
            </w:pPr>
            <w:r>
              <w:rPr>
                <w:rFonts w:hint="eastAsia" w:ascii="仿宋_GB2312" w:eastAsia="仿宋_GB2312" w:cs="宋体"/>
                <w:sz w:val="32"/>
                <w:szCs w:val="32"/>
              </w:rPr>
              <w:t>114.12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93" w:type="dxa"/>
            <w:vAlign w:val="center"/>
          </w:tcPr>
          <w:p>
            <w:pPr>
              <w:jc w:val="center"/>
              <w:rPr>
                <w:rFonts w:ascii="仿宋_GB2312" w:eastAsia="仿宋_GB2312" w:cs="宋体"/>
                <w:sz w:val="32"/>
                <w:szCs w:val="32"/>
              </w:rPr>
            </w:pPr>
            <w:r>
              <w:rPr>
                <w:rFonts w:hint="eastAsia" w:ascii="仿宋_GB2312" w:eastAsia="仿宋_GB2312" w:cs="宋体"/>
                <w:sz w:val="32"/>
                <w:szCs w:val="32"/>
              </w:rPr>
              <w:t>2018年</w:t>
            </w:r>
          </w:p>
        </w:tc>
        <w:tc>
          <w:tcPr>
            <w:tcW w:w="3821" w:type="dxa"/>
          </w:tcPr>
          <w:p>
            <w:pPr>
              <w:jc w:val="center"/>
              <w:rPr>
                <w:rFonts w:ascii="仿宋_GB2312" w:eastAsia="仿宋_GB2312" w:cs="宋体"/>
                <w:sz w:val="32"/>
                <w:szCs w:val="32"/>
              </w:rPr>
            </w:pPr>
            <w:r>
              <w:rPr>
                <w:rFonts w:hint="eastAsia" w:ascii="仿宋_GB2312" w:eastAsia="仿宋_GB2312" w:cs="宋体"/>
                <w:sz w:val="32"/>
                <w:szCs w:val="32"/>
              </w:rPr>
              <w:t>108.17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93" w:type="dxa"/>
            <w:vAlign w:val="center"/>
          </w:tcPr>
          <w:p>
            <w:pPr>
              <w:jc w:val="center"/>
              <w:rPr>
                <w:rFonts w:hint="default" w:ascii="仿宋_GB2312" w:eastAsia="仿宋_GB2312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 w:cs="宋体"/>
                <w:sz w:val="32"/>
                <w:szCs w:val="32"/>
                <w:lang w:val="en-US" w:eastAsia="zh-CN"/>
              </w:rPr>
              <w:t>2019年</w:t>
            </w:r>
          </w:p>
        </w:tc>
        <w:tc>
          <w:tcPr>
            <w:tcW w:w="3821" w:type="dxa"/>
          </w:tcPr>
          <w:p>
            <w:pPr>
              <w:jc w:val="center"/>
              <w:rPr>
                <w:rFonts w:hint="default" w:ascii="仿宋_GB2312" w:eastAsia="仿宋_GB2312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 w:cs="宋体"/>
                <w:sz w:val="32"/>
                <w:szCs w:val="32"/>
                <w:lang w:val="en-US" w:eastAsia="zh-CN"/>
              </w:rPr>
              <w:t>113.65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93" w:type="dxa"/>
            <w:vAlign w:val="center"/>
          </w:tcPr>
          <w:p>
            <w:pPr>
              <w:jc w:val="center"/>
              <w:rPr>
                <w:rFonts w:hint="default" w:ascii="仿宋_GB2312" w:eastAsia="仿宋_GB2312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 w:cs="宋体"/>
                <w:sz w:val="32"/>
                <w:szCs w:val="32"/>
                <w:lang w:val="en-US" w:eastAsia="zh-CN"/>
              </w:rPr>
              <w:t>2020年</w:t>
            </w:r>
          </w:p>
        </w:tc>
        <w:tc>
          <w:tcPr>
            <w:tcW w:w="3821" w:type="dxa"/>
          </w:tcPr>
          <w:p>
            <w:pPr>
              <w:jc w:val="center"/>
              <w:rPr>
                <w:rFonts w:hint="default" w:ascii="仿宋_GB2312" w:eastAsia="仿宋_GB2312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 w:cs="宋体"/>
                <w:sz w:val="32"/>
                <w:szCs w:val="32"/>
                <w:lang w:val="en-US" w:eastAsia="zh-CN"/>
              </w:rPr>
              <w:t>112.00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93" w:type="dxa"/>
            <w:vAlign w:val="center"/>
          </w:tcPr>
          <w:p>
            <w:pPr>
              <w:jc w:val="center"/>
              <w:rPr>
                <w:rFonts w:hint="default" w:ascii="仿宋_GB2312" w:eastAsia="仿宋_GB2312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 w:cs="宋体"/>
                <w:sz w:val="32"/>
                <w:szCs w:val="32"/>
                <w:lang w:val="en-US" w:eastAsia="zh-CN"/>
              </w:rPr>
              <w:t>2021年</w:t>
            </w:r>
          </w:p>
        </w:tc>
        <w:tc>
          <w:tcPr>
            <w:tcW w:w="3821" w:type="dxa"/>
          </w:tcPr>
          <w:p>
            <w:pPr>
              <w:jc w:val="center"/>
              <w:rPr>
                <w:rFonts w:hint="default" w:ascii="仿宋_GB2312" w:eastAsia="仿宋_GB2312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 w:cs="宋体"/>
                <w:sz w:val="32"/>
                <w:szCs w:val="32"/>
                <w:lang w:val="en-US" w:eastAsia="zh-CN"/>
              </w:rPr>
              <w:t>118.65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93" w:type="dxa"/>
            <w:vAlign w:val="center"/>
          </w:tcPr>
          <w:p>
            <w:pPr>
              <w:jc w:val="center"/>
              <w:rPr>
                <w:rFonts w:hint="default" w:ascii="仿宋_GB2312" w:eastAsia="仿宋_GB2312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 w:cs="宋体"/>
                <w:sz w:val="32"/>
                <w:szCs w:val="32"/>
                <w:lang w:val="en-US" w:eastAsia="zh-CN"/>
              </w:rPr>
              <w:t>2022年</w:t>
            </w:r>
          </w:p>
        </w:tc>
        <w:tc>
          <w:tcPr>
            <w:tcW w:w="3821" w:type="dxa"/>
          </w:tcPr>
          <w:p>
            <w:pPr>
              <w:jc w:val="center"/>
              <w:rPr>
                <w:rFonts w:hint="default" w:ascii="仿宋_GB2312" w:eastAsia="仿宋_GB2312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 w:cs="宋体"/>
                <w:sz w:val="32"/>
                <w:szCs w:val="32"/>
                <w:lang w:val="en-US" w:eastAsia="zh-CN"/>
              </w:rPr>
              <w:t>114.09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93" w:type="dxa"/>
            <w:vAlign w:val="center"/>
          </w:tcPr>
          <w:p>
            <w:pPr>
              <w:jc w:val="center"/>
              <w:rPr>
                <w:rFonts w:hint="default" w:ascii="仿宋_GB2312" w:eastAsia="仿宋_GB2312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 w:cs="宋体"/>
                <w:sz w:val="32"/>
                <w:szCs w:val="32"/>
                <w:lang w:val="en-US" w:eastAsia="zh-CN"/>
              </w:rPr>
              <w:t>2023年1-6月</w:t>
            </w:r>
          </w:p>
        </w:tc>
        <w:tc>
          <w:tcPr>
            <w:tcW w:w="3821" w:type="dxa"/>
          </w:tcPr>
          <w:p>
            <w:pPr>
              <w:jc w:val="center"/>
              <w:rPr>
                <w:rFonts w:hint="default" w:ascii="仿宋_GB2312" w:eastAsia="仿宋_GB2312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 w:cs="宋体"/>
                <w:sz w:val="32"/>
                <w:szCs w:val="32"/>
                <w:lang w:val="en-US" w:eastAsia="zh-CN"/>
              </w:rPr>
              <w:t>111.62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93" w:type="dxa"/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 w:cs="宋体"/>
                <w:color w:val="auto"/>
                <w:sz w:val="32"/>
                <w:szCs w:val="32"/>
                <w:lang w:val="en-US" w:eastAsia="zh-CN"/>
              </w:rPr>
              <w:t>2023年7-12月</w:t>
            </w:r>
          </w:p>
        </w:tc>
        <w:tc>
          <w:tcPr>
            <w:tcW w:w="3821" w:type="dxa"/>
          </w:tcPr>
          <w:p>
            <w:pPr>
              <w:jc w:val="center"/>
              <w:rPr>
                <w:rFonts w:hint="default" w:ascii="仿宋_GB2312" w:eastAsia="仿宋_GB2312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 w:cs="宋体"/>
                <w:color w:val="auto"/>
                <w:sz w:val="32"/>
                <w:szCs w:val="32"/>
                <w:lang w:val="en-US" w:eastAsia="zh-CN"/>
              </w:rPr>
              <w:t>110.23</w:t>
            </w:r>
          </w:p>
        </w:tc>
      </w:tr>
    </w:tbl>
    <w:p>
      <w:pPr>
        <w:widowControl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备注：</w:t>
      </w:r>
    </w:p>
    <w:p>
      <w:pPr>
        <w:widowControl/>
        <w:ind w:firstLine="960" w:firstLineChars="3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</w:t>
      </w:r>
      <w:r>
        <w:rPr>
          <w:rFonts w:hint="default" w:ascii="仿宋_GB2312" w:eastAsia="仿宋_GB2312"/>
          <w:sz w:val="32"/>
          <w:szCs w:val="32"/>
        </w:rPr>
        <w:t>.</w:t>
      </w:r>
      <w:r>
        <w:rPr>
          <w:rFonts w:hint="eastAsia" w:ascii="仿宋_GB2312" w:eastAsia="仿宋_GB2312"/>
          <w:sz w:val="32"/>
          <w:szCs w:val="32"/>
        </w:rPr>
        <w:t>本</w:t>
      </w:r>
      <w:r>
        <w:rPr>
          <w:rFonts w:hint="eastAsia" w:ascii="仿宋_GB2312" w:eastAsia="仿宋_GB2312"/>
          <w:sz w:val="32"/>
          <w:szCs w:val="32"/>
          <w:lang w:eastAsia="zh-CN"/>
        </w:rPr>
        <w:t>建筑</w:t>
      </w:r>
      <w:r>
        <w:rPr>
          <w:rFonts w:hint="eastAsia" w:ascii="仿宋_GB2312" w:eastAsia="仿宋_GB2312"/>
          <w:sz w:val="32"/>
          <w:szCs w:val="32"/>
        </w:rPr>
        <w:t>工程</w:t>
      </w:r>
      <w:r>
        <w:rPr>
          <w:rFonts w:hint="eastAsia" w:ascii="仿宋_GB2312" w:eastAsia="仿宋_GB2312"/>
          <w:sz w:val="32"/>
          <w:szCs w:val="32"/>
          <w:lang w:eastAsia="zh-CN"/>
        </w:rPr>
        <w:t>造价</w:t>
      </w:r>
      <w:r>
        <w:rPr>
          <w:rFonts w:hint="eastAsia" w:ascii="仿宋_GB2312" w:eastAsia="仿宋_GB2312"/>
          <w:sz w:val="32"/>
          <w:szCs w:val="32"/>
        </w:rPr>
        <w:t>指数以2017年1-6月份的平均价格作为基数100，采用增值税一般计税方法测算。</w:t>
      </w:r>
    </w:p>
    <w:p>
      <w:pPr>
        <w:widowControl/>
        <w:ind w:firstLine="960" w:firstLineChars="300"/>
        <w:jc w:val="left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2</w:t>
      </w:r>
      <w:r>
        <w:rPr>
          <w:rFonts w:hint="default" w:ascii="仿宋_GB2312" w:eastAsia="仿宋_GB2312"/>
          <w:sz w:val="32"/>
          <w:szCs w:val="32"/>
        </w:rPr>
        <w:t>.</w:t>
      </w:r>
      <w:r>
        <w:rPr>
          <w:rFonts w:hint="eastAsia" w:ascii="仿宋_GB2312" w:eastAsia="仿宋_GB2312"/>
          <w:sz w:val="32"/>
          <w:szCs w:val="32"/>
        </w:rPr>
        <w:t>采用建筑工程的施工图预算进行测算，不包括水电安装、市政工程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</w:p>
    <w:p>
      <w:pPr>
        <w:widowControl/>
        <w:ind w:firstLine="960" w:firstLineChars="300"/>
        <w:jc w:val="left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3</w:t>
      </w:r>
      <w:r>
        <w:rPr>
          <w:rFonts w:hint="eastAsia" w:ascii="仿宋_GB2312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.2024年不再发布“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eastAsia="zh-CN"/>
        </w:rPr>
        <w:t>适用于执行广东省建设工程计价依据（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val="en-US" w:eastAsia="zh-CN"/>
        </w:rPr>
        <w:t>2010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eastAsia="zh-CN"/>
        </w:rPr>
        <w:t>）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val="en-US" w:eastAsia="zh-CN"/>
        </w:rPr>
        <w:t>的建筑工程</w:t>
      </w:r>
      <w:r>
        <w:rPr>
          <w:rFonts w:hint="eastAsia" w:ascii="仿宋_GB2312" w:eastAsia="仿宋_GB2312" w:cs="Times New Roman"/>
          <w:color w:val="auto"/>
          <w:sz w:val="32"/>
          <w:szCs w:val="32"/>
          <w:lang w:val="en-US" w:eastAsia="zh-CN"/>
        </w:rPr>
        <w:t>”</w:t>
      </w:r>
      <w:r>
        <w:rPr>
          <w:rFonts w:hint="eastAsia" w:ascii="仿宋_GB2312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的指数，2024年之后的指数可参考表一“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eastAsia="zh-CN"/>
        </w:rPr>
        <w:t>适用于执行广东省建设工程计价依据（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val="en-US" w:eastAsia="zh-CN"/>
        </w:rPr>
        <w:t>2018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eastAsia="zh-CN"/>
        </w:rPr>
        <w:t>）的建筑工程</w:t>
      </w:r>
      <w:r>
        <w:rPr>
          <w:rFonts w:hint="eastAsia" w:ascii="仿宋_GB2312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”中相应指数</w:t>
      </w:r>
      <w:r>
        <w:rPr>
          <w:rFonts w:hint="eastAsia" w:ascii="仿宋_GB2312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/（1+6.28%）进行换算。</w:t>
      </w:r>
    </w:p>
    <w:p>
      <w:pPr>
        <w:widowControl/>
        <w:jc w:val="left"/>
        <w:rPr>
          <w:sz w:val="28"/>
          <w:szCs w:val="28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3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ESI黑体-GB2312">
    <w:altName w:val="黑体"/>
    <w:panose1 w:val="02000500000000000000"/>
    <w:charset w:val="86"/>
    <w:family w:val="auto"/>
    <w:pitch w:val="default"/>
    <w:sig w:usb0="00000000" w:usb1="00000000" w:usb2="00000012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 xml:space="preserve">— </w:t>
                          </w:r>
                          <w:r>
                            <w:rPr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sz w:val="1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2" o:spid="_x0000_s1026" o:spt="1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— </w:t>
                    </w:r>
                    <w:r>
                      <w:rPr>
                        <w:sz w:val="18"/>
                      </w:rPr>
                      <w:fldChar w:fldCharType="begin"/>
                    </w:r>
                    <w:r>
                      <w:rPr>
                        <w:sz w:val="18"/>
                      </w:rPr>
                      <w:instrText xml:space="preserve"> PAGE  \* MERGEFORMAT </w:instrText>
                    </w:r>
                    <w:r>
                      <w:rPr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sz w:val="18"/>
                      </w:rPr>
                      <w:fldChar w:fldCharType="end"/>
                    </w:r>
                    <w:r>
                      <w:rPr>
                        <w:sz w:val="18"/>
                      </w:rPr>
                      <w:t xml:space="preserve"> —</w:t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trackRevisions w:val="1"/>
  <w:documentProtection w:edit="trackedChanges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UyNzg3N2IzNmJkNWFkODg3OTA5YmQxZjAxZTBkZDUifQ=="/>
  </w:docVars>
  <w:rsids>
    <w:rsidRoot w:val="00000000"/>
    <w:rsid w:val="03832E21"/>
    <w:rsid w:val="04450B4C"/>
    <w:rsid w:val="05F10EC9"/>
    <w:rsid w:val="08DC0463"/>
    <w:rsid w:val="0AF6A3D5"/>
    <w:rsid w:val="0CA368A8"/>
    <w:rsid w:val="10FE4578"/>
    <w:rsid w:val="16BA5173"/>
    <w:rsid w:val="177B1550"/>
    <w:rsid w:val="17EB2F8D"/>
    <w:rsid w:val="1E3C7685"/>
    <w:rsid w:val="25A34480"/>
    <w:rsid w:val="25C94BFD"/>
    <w:rsid w:val="291F3A4F"/>
    <w:rsid w:val="377C1E26"/>
    <w:rsid w:val="378E4A1C"/>
    <w:rsid w:val="42E238DE"/>
    <w:rsid w:val="46623B73"/>
    <w:rsid w:val="4955135A"/>
    <w:rsid w:val="4EAB3A17"/>
    <w:rsid w:val="50D80789"/>
    <w:rsid w:val="52D732EE"/>
    <w:rsid w:val="54A86FC3"/>
    <w:rsid w:val="5EFD797E"/>
    <w:rsid w:val="5FBD30B9"/>
    <w:rsid w:val="60E45DEE"/>
    <w:rsid w:val="655CAE52"/>
    <w:rsid w:val="6DA93256"/>
    <w:rsid w:val="6E185E2D"/>
    <w:rsid w:val="6F9F6DE1"/>
    <w:rsid w:val="76BF6310"/>
    <w:rsid w:val="7B1B01F1"/>
    <w:rsid w:val="7B7F8E1D"/>
    <w:rsid w:val="7D2665F9"/>
    <w:rsid w:val="7D7D2C5C"/>
    <w:rsid w:val="7DAFFE3B"/>
    <w:rsid w:val="7DF71CF6"/>
    <w:rsid w:val="7DFCF782"/>
    <w:rsid w:val="94BFC403"/>
    <w:rsid w:val="BA7B23C6"/>
    <w:rsid w:val="C3900013"/>
    <w:rsid w:val="EED5FF09"/>
    <w:rsid w:val="FC75B443"/>
    <w:rsid w:val="FFFE8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39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4"/>
    <w:basedOn w:val="1"/>
    <w:next w:val="1"/>
    <w:qFormat/>
    <w:uiPriority w:val="0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12">
    <w:name w:val="Default Paragraph Font"/>
    <w:qFormat/>
    <w:uiPriority w:val="1"/>
  </w:style>
  <w:style w:type="table" w:default="1" w:styleId="10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99"/>
    <w:pPr>
      <w:spacing w:after="120"/>
    </w:pPr>
    <w:rPr>
      <w:rFonts w:ascii="Times New Roman" w:hAnsi="Times New Roman" w:eastAsia="宋体" w:cs="Times New Roman"/>
    </w:rPr>
  </w:style>
  <w:style w:type="paragraph" w:styleId="3">
    <w:name w:val="toc 5"/>
    <w:basedOn w:val="1"/>
    <w:next w:val="1"/>
    <w:qFormat/>
    <w:uiPriority w:val="39"/>
    <w:pPr>
      <w:suppressAutoHyphens/>
      <w:ind w:left="1680" w:leftChars="800"/>
    </w:pPr>
    <w:rPr>
      <w:rFonts w:eastAsia="宋体"/>
      <w:kern w:val="1"/>
      <w:sz w:val="21"/>
      <w:szCs w:val="24"/>
      <w:lang w:eastAsia="ar-SA"/>
    </w:rPr>
  </w:style>
  <w:style w:type="paragraph" w:styleId="5">
    <w:name w:val="toa heading"/>
    <w:basedOn w:val="1"/>
    <w:next w:val="1"/>
    <w:qFormat/>
    <w:uiPriority w:val="0"/>
    <w:pPr>
      <w:spacing w:before="120"/>
    </w:pPr>
    <w:rPr>
      <w:rFonts w:ascii="Arial" w:hAnsi="Arial" w:eastAsia="宋体" w:cs="Times New Roman"/>
      <w:sz w:val="24"/>
    </w:rPr>
  </w:style>
  <w:style w:type="paragraph" w:styleId="6">
    <w:name w:val="Date"/>
    <w:basedOn w:val="1"/>
    <w:next w:val="1"/>
    <w:link w:val="14"/>
    <w:qFormat/>
    <w:uiPriority w:val="0"/>
    <w:pPr>
      <w:ind w:left="100" w:leftChars="2500"/>
    </w:pPr>
  </w:style>
  <w:style w:type="paragraph" w:styleId="7">
    <w:name w:val="Balloon Text"/>
    <w:basedOn w:val="1"/>
    <w:link w:val="13"/>
    <w:qFormat/>
    <w:uiPriority w:val="0"/>
    <w:rPr>
      <w:sz w:val="18"/>
      <w:szCs w:val="18"/>
    </w:rPr>
  </w:style>
  <w:style w:type="paragraph" w:styleId="8">
    <w:name w:val="footer"/>
    <w:basedOn w:val="1"/>
    <w:link w:val="1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1">
    <w:name w:val="Table Grid"/>
    <w:basedOn w:val="10"/>
    <w:qFormat/>
    <w:uiPriority w:val="59"/>
    <w:rPr>
      <w:rFonts w:ascii="Calibri" w:hAnsi="Calibri" w:eastAsia="宋体" w:cs="宋体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批注框文本 Char"/>
    <w:basedOn w:val="12"/>
    <w:link w:val="7"/>
    <w:qFormat/>
    <w:uiPriority w:val="0"/>
    <w:rPr>
      <w:kern w:val="2"/>
      <w:sz w:val="18"/>
      <w:szCs w:val="18"/>
    </w:rPr>
  </w:style>
  <w:style w:type="character" w:customStyle="1" w:styleId="14">
    <w:name w:val="日期 Char"/>
    <w:basedOn w:val="12"/>
    <w:link w:val="6"/>
    <w:qFormat/>
    <w:uiPriority w:val="0"/>
    <w:rPr>
      <w:kern w:val="2"/>
      <w:sz w:val="21"/>
      <w:szCs w:val="24"/>
    </w:rPr>
  </w:style>
  <w:style w:type="character" w:customStyle="1" w:styleId="15">
    <w:name w:val="页眉 Char"/>
    <w:basedOn w:val="12"/>
    <w:link w:val="9"/>
    <w:qFormat/>
    <w:uiPriority w:val="0"/>
    <w:rPr>
      <w:kern w:val="2"/>
      <w:sz w:val="18"/>
      <w:szCs w:val="18"/>
    </w:rPr>
  </w:style>
  <w:style w:type="character" w:customStyle="1" w:styleId="16">
    <w:name w:val="页脚 Char"/>
    <w:basedOn w:val="12"/>
    <w:link w:val="8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855</Words>
  <Characters>1200</Characters>
  <Paragraphs>142</Paragraphs>
  <TotalTime>40</TotalTime>
  <ScaleCrop>false</ScaleCrop>
  <LinksUpToDate>false</LinksUpToDate>
  <CharactersWithSpaces>1231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2019-04-09T15:02:00Z</dcterms:created>
  <dc:creator>USER</dc:creator>
  <cp:lastModifiedBy>超</cp:lastModifiedBy>
  <cp:lastPrinted>2022-10-18T14:53:00Z</cp:lastPrinted>
  <dcterms:modified xsi:type="dcterms:W3CDTF">2024-09-18T01:09:52Z</dcterms:modified>
  <dc:title>中山市住房和城乡建设局文件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0C7B499F9CC9A9D750E7E366CFC7CC7F</vt:lpwstr>
  </property>
</Properties>
</file>