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12" w:lineRule="auto"/>
        <w:ind w:right="440"/>
        <w:jc w:val="right"/>
        <w:rPr>
          <w:rFonts w:ascii="Times New Roman" w:hAnsi="Times New Roman" w:eastAsia="仿宋" w:cs="Times New Roman"/>
          <w:sz w:val="44"/>
          <w:szCs w:val="44"/>
        </w:rPr>
      </w:pPr>
      <w:bookmarkStart w:id="115" w:name="_GoBack"/>
      <w:bookmarkEnd w:id="115"/>
    </w:p>
    <w:p>
      <w:pPr>
        <w:adjustRightInd w:val="0"/>
        <w:snapToGrid w:val="0"/>
        <w:spacing w:line="312" w:lineRule="auto"/>
        <w:jc w:val="right"/>
        <w:rPr>
          <w:rFonts w:ascii="Times New Roman" w:hAnsi="Times New Roman" w:eastAsia="仿宋" w:cs="Times New Roman"/>
          <w:sz w:val="44"/>
          <w:szCs w:val="44"/>
        </w:rPr>
      </w:pPr>
    </w:p>
    <w:p>
      <w:pPr>
        <w:adjustRightInd w:val="0"/>
        <w:snapToGrid w:val="0"/>
        <w:spacing w:line="312" w:lineRule="auto"/>
        <w:jc w:val="right"/>
        <w:rPr>
          <w:rFonts w:ascii="Times New Roman" w:hAnsi="Times New Roman" w:eastAsia="仿宋" w:cs="Times New Roman"/>
          <w:sz w:val="44"/>
          <w:szCs w:val="44"/>
        </w:rPr>
      </w:pPr>
    </w:p>
    <w:p>
      <w:pPr>
        <w:adjustRightInd w:val="0"/>
        <w:snapToGrid w:val="0"/>
        <w:spacing w:line="312" w:lineRule="auto"/>
        <w:jc w:val="center"/>
        <w:rPr>
          <w:rFonts w:ascii="Times New Roman" w:hAnsi="Times New Roman" w:eastAsia="仿宋" w:cs="Times New Roman"/>
          <w:b/>
          <w:sz w:val="84"/>
          <w:szCs w:val="84"/>
        </w:rPr>
      </w:pPr>
      <w:r>
        <w:rPr>
          <w:rFonts w:hint="eastAsia" w:ascii="方正小标宋_GBK" w:hAnsi="方正小标宋_GBK" w:eastAsia="方正小标宋_GBK" w:cs="方正小标宋_GBK"/>
          <w:b w:val="0"/>
          <w:bCs/>
          <w:sz w:val="84"/>
          <w:szCs w:val="84"/>
        </w:rPr>
        <w:t>中山市绿色建筑发展专项规划</w:t>
      </w:r>
      <w:r>
        <w:rPr>
          <w:rFonts w:ascii="Times New Roman" w:hAnsi="Times New Roman" w:eastAsia="仿宋" w:cs="Times New Roman"/>
          <w:b/>
          <w:sz w:val="84"/>
          <w:szCs w:val="84"/>
        </w:rPr>
        <w:t>（20</w:t>
      </w:r>
      <w:r>
        <w:rPr>
          <w:rFonts w:hint="eastAsia" w:ascii="Times New Roman" w:hAnsi="Times New Roman" w:eastAsia="仿宋" w:cs="Times New Roman"/>
          <w:b/>
          <w:sz w:val="84"/>
          <w:szCs w:val="84"/>
        </w:rPr>
        <w:t>22</w:t>
      </w:r>
      <w:r>
        <w:rPr>
          <w:rFonts w:ascii="Times New Roman" w:hAnsi="Times New Roman" w:eastAsia="仿宋" w:cs="Times New Roman"/>
          <w:b/>
          <w:sz w:val="84"/>
          <w:szCs w:val="84"/>
        </w:rPr>
        <w:t>-2035）</w:t>
      </w:r>
    </w:p>
    <w:p>
      <w:pPr>
        <w:adjustRightInd w:val="0"/>
        <w:snapToGrid w:val="0"/>
        <w:spacing w:line="312" w:lineRule="auto"/>
        <w:jc w:val="center"/>
        <w:rPr>
          <w:rFonts w:hint="eastAsia" w:ascii="方正小标宋_GBK" w:hAnsi="方正小标宋_GBK" w:eastAsia="方正小标宋_GBK" w:cs="方正小标宋_GBK"/>
          <w:b w:val="0"/>
          <w:bCs/>
          <w:sz w:val="84"/>
          <w:szCs w:val="84"/>
          <w:lang w:eastAsia="zh-CN"/>
        </w:rPr>
      </w:pPr>
      <w:r>
        <w:rPr>
          <w:rFonts w:hint="eastAsia" w:ascii="方正小标宋_GBK" w:hAnsi="方正小标宋_GBK" w:eastAsia="方正小标宋_GBK" w:cs="方正小标宋_GBK"/>
          <w:b w:val="0"/>
          <w:bCs/>
          <w:sz w:val="84"/>
          <w:szCs w:val="84"/>
          <w:lang w:eastAsia="zh-CN"/>
        </w:rPr>
        <w:t>文本</w:t>
      </w:r>
    </w:p>
    <w:p>
      <w:pPr>
        <w:pStyle w:val="2"/>
      </w:pPr>
    </w:p>
    <w:p>
      <w:pPr>
        <w:adjustRightInd w:val="0"/>
        <w:snapToGrid w:val="0"/>
        <w:spacing w:line="312" w:lineRule="auto"/>
        <w:jc w:val="left"/>
        <w:rPr>
          <w:rFonts w:ascii="Times New Roman" w:hAnsi="Times New Roman" w:eastAsia="仿宋" w:cs="Times New Roman"/>
          <w:sz w:val="44"/>
          <w:szCs w:val="44"/>
        </w:rPr>
      </w:pPr>
      <w:r>
        <w:rPr>
          <w:rFonts w:ascii="Times New Roman" w:hAnsi="Times New Roman" w:eastAsia="仿宋" w:cs="Times New Roman"/>
          <w:sz w:val="44"/>
          <w:szCs w:val="44"/>
        </w:rPr>
        <w:tab/>
      </w:r>
    </w:p>
    <w:p>
      <w:pPr>
        <w:adjustRightInd w:val="0"/>
        <w:snapToGrid w:val="0"/>
        <w:spacing w:line="312" w:lineRule="auto"/>
        <w:jc w:val="left"/>
        <w:rPr>
          <w:rFonts w:ascii="Times New Roman" w:hAnsi="Times New Roman" w:eastAsia="仿宋" w:cs="Times New Roman"/>
          <w:sz w:val="44"/>
          <w:szCs w:val="44"/>
        </w:rPr>
      </w:pPr>
    </w:p>
    <w:p>
      <w:pPr>
        <w:adjustRightInd w:val="0"/>
        <w:snapToGrid w:val="0"/>
        <w:spacing w:line="312" w:lineRule="auto"/>
        <w:jc w:val="left"/>
        <w:rPr>
          <w:rFonts w:ascii="Times New Roman" w:hAnsi="Times New Roman" w:eastAsia="仿宋" w:cs="Times New Roman"/>
          <w:sz w:val="44"/>
          <w:szCs w:val="44"/>
        </w:rPr>
      </w:pPr>
    </w:p>
    <w:p>
      <w:pPr>
        <w:adjustRightInd w:val="0"/>
        <w:snapToGrid w:val="0"/>
        <w:spacing w:line="312" w:lineRule="auto"/>
        <w:jc w:val="left"/>
        <w:rPr>
          <w:rFonts w:ascii="Times New Roman" w:hAnsi="Times New Roman" w:eastAsia="仿宋" w:cs="Times New Roman"/>
        </w:rPr>
      </w:pPr>
    </w:p>
    <w:p>
      <w:pPr>
        <w:adjustRightInd w:val="0"/>
        <w:snapToGrid w:val="0"/>
        <w:spacing w:line="312" w:lineRule="auto"/>
        <w:jc w:val="left"/>
        <w:rPr>
          <w:rFonts w:ascii="Times New Roman" w:hAnsi="Times New Roman" w:eastAsia="仿宋" w:cs="Times New Roman"/>
        </w:rPr>
      </w:pPr>
    </w:p>
    <w:p>
      <w:pPr>
        <w:adjustRightInd w:val="0"/>
        <w:snapToGrid w:val="0"/>
        <w:spacing w:line="312" w:lineRule="auto"/>
        <w:jc w:val="center"/>
        <w:rPr>
          <w:rFonts w:ascii="Times New Roman" w:hAnsi="Times New Roman" w:eastAsia="仿宋" w:cs="Times New Roman"/>
          <w:sz w:val="44"/>
          <w:szCs w:val="44"/>
        </w:rPr>
      </w:pPr>
      <w:r>
        <w:rPr>
          <w:rFonts w:hint="eastAsia" w:ascii="Times New Roman" w:hAnsi="Times New Roman" w:eastAsia="仿宋" w:cs="Times New Roman"/>
          <w:sz w:val="44"/>
          <w:szCs w:val="44"/>
        </w:rPr>
        <w:t>二〇二三年</w:t>
      </w:r>
      <w:r>
        <w:rPr>
          <w:rFonts w:hint="eastAsia" w:ascii="Times New Roman" w:hAnsi="Times New Roman" w:eastAsia="仿宋" w:cs="Times New Roman"/>
          <w:sz w:val="44"/>
          <w:szCs w:val="44"/>
          <w:lang w:val="en-US" w:eastAsia="zh-CN"/>
        </w:rPr>
        <w:t>四</w:t>
      </w:r>
      <w:r>
        <w:rPr>
          <w:rFonts w:hint="eastAsia" w:ascii="Times New Roman" w:hAnsi="Times New Roman" w:eastAsia="仿宋" w:cs="Times New Roman"/>
          <w:sz w:val="44"/>
          <w:szCs w:val="44"/>
        </w:rPr>
        <w:t>月</w:t>
      </w:r>
    </w:p>
    <w:p>
      <w:pPr>
        <w:adjustRightInd w:val="0"/>
        <w:snapToGrid w:val="0"/>
        <w:spacing w:line="312" w:lineRule="auto"/>
        <w:jc w:val="right"/>
        <w:rPr>
          <w:rFonts w:ascii="Times New Roman" w:hAnsi="Times New Roman" w:eastAsia="微软雅黑" w:cs="Times New Roman"/>
          <w:sz w:val="44"/>
          <w:szCs w:val="44"/>
        </w:rPr>
        <w:sectPr>
          <w:headerReference r:id="rId4" w:type="first"/>
          <w:footerReference r:id="rId6" w:type="first"/>
          <w:headerReference r:id="rId3" w:type="default"/>
          <w:footerReference r:id="rId5" w:type="default"/>
          <w:pgSz w:w="11906" w:h="16838"/>
          <w:pgMar w:top="1440" w:right="1797" w:bottom="1440" w:left="1797" w:header="567" w:footer="992" w:gutter="0"/>
          <w:cols w:space="425" w:num="1"/>
          <w:titlePg/>
          <w:docGrid w:type="linesAndChars" w:linePitch="312" w:charSpace="0"/>
        </w:sectPr>
      </w:pPr>
    </w:p>
    <w:p>
      <w:pPr>
        <w:adjustRightInd w:val="0"/>
        <w:snapToGrid w:val="0"/>
        <w:spacing w:line="312" w:lineRule="auto"/>
        <w:ind w:left="0" w:leftChars="0"/>
        <w:jc w:val="center"/>
        <w:rPr>
          <w:rFonts w:ascii="黑体" w:hAnsi="黑体" w:eastAsia="黑体" w:cs="Times New Roman"/>
          <w:b/>
          <w:bCs/>
          <w:sz w:val="44"/>
          <w:szCs w:val="44"/>
        </w:rPr>
      </w:pPr>
      <w:r>
        <w:rPr>
          <w:rFonts w:hint="eastAsia" w:ascii="黑体" w:hAnsi="黑体" w:eastAsia="黑体" w:cs="Times New Roman"/>
          <w:b/>
          <w:bCs/>
          <w:sz w:val="44"/>
          <w:szCs w:val="44"/>
        </w:rPr>
        <w:t>目</w:t>
      </w:r>
      <w:r>
        <w:rPr>
          <w:rFonts w:ascii="黑体" w:hAnsi="黑体" w:eastAsia="黑体" w:cs="Times New Roman"/>
          <w:b/>
          <w:bCs/>
          <w:sz w:val="44"/>
          <w:szCs w:val="44"/>
        </w:rPr>
        <w:t xml:space="preserve">    </w:t>
      </w:r>
      <w:r>
        <w:rPr>
          <w:rFonts w:hint="eastAsia" w:ascii="黑体" w:hAnsi="黑体" w:eastAsia="黑体" w:cs="Times New Roman"/>
          <w:b/>
          <w:bCs/>
          <w:sz w:val="44"/>
          <w:szCs w:val="44"/>
        </w:rPr>
        <w:t>录</w:t>
      </w:r>
    </w:p>
    <w:p>
      <w:pPr>
        <w:pStyle w:val="28"/>
        <w:ind w:left="0" w:leftChars="0"/>
        <w:rPr>
          <w:rFonts w:eastAsia="宋体" w:cs="宋体"/>
          <w:b w:val="0"/>
          <w:bCs w:val="0"/>
          <w:caps w:val="0"/>
          <w:sz w:val="21"/>
          <w:u w:val="none"/>
        </w:rPr>
      </w:pPr>
      <w:r>
        <w:rPr>
          <w:rFonts w:ascii="Times New Roman" w:hAnsi="Times New Roman" w:eastAsia="仿宋" w:cs="Times New Roman"/>
          <w:b w:val="0"/>
          <w:sz w:val="44"/>
          <w:szCs w:val="44"/>
        </w:rPr>
        <w:fldChar w:fldCharType="begin"/>
      </w:r>
      <w:r>
        <w:rPr>
          <w:rFonts w:ascii="Times New Roman" w:hAnsi="Times New Roman" w:eastAsia="仿宋" w:cs="Times New Roman"/>
          <w:b w:val="0"/>
          <w:sz w:val="44"/>
          <w:szCs w:val="44"/>
        </w:rPr>
        <w:instrText xml:space="preserve"> TOC \o "1-2" \h \z \u </w:instrText>
      </w:r>
      <w:r>
        <w:rPr>
          <w:rFonts w:ascii="Times New Roman" w:hAnsi="Times New Roman" w:eastAsia="仿宋" w:cs="Times New Roman"/>
          <w:b w:val="0"/>
          <w:sz w:val="44"/>
          <w:szCs w:val="44"/>
        </w:rPr>
        <w:fldChar w:fldCharType="separate"/>
      </w:r>
      <w:r>
        <w:fldChar w:fldCharType="begin"/>
      </w:r>
      <w:r>
        <w:instrText xml:space="preserve"> HYPERLINK \l "_Toc124321363" </w:instrText>
      </w:r>
      <w:r>
        <w:fldChar w:fldCharType="separate"/>
      </w:r>
      <w:r>
        <w:rPr>
          <w:rStyle w:val="51"/>
          <w:rFonts w:ascii="Times New Roman" w:hAnsi="Times New Roman" w:cs="Times New Roman"/>
          <w:color w:val="auto"/>
        </w:rPr>
        <w:t>第一章　总 则</w:t>
      </w:r>
      <w:r>
        <w:tab/>
      </w:r>
      <w:r>
        <w:fldChar w:fldCharType="begin"/>
      </w:r>
      <w:r>
        <w:instrText xml:space="preserve"> PAGEREF _Toc124321363 \h </w:instrText>
      </w:r>
      <w:r>
        <w:fldChar w:fldCharType="separate"/>
      </w:r>
      <w:r>
        <w:t>1</w:t>
      </w:r>
      <w:r>
        <w:fldChar w:fldCharType="end"/>
      </w:r>
      <w:r>
        <w:fldChar w:fldCharType="end"/>
      </w:r>
    </w:p>
    <w:p>
      <w:pPr>
        <w:pStyle w:val="36"/>
        <w:tabs>
          <w:tab w:val="right" w:leader="dot" w:pos="10244"/>
        </w:tabs>
        <w:ind w:left="0" w:leftChars="0"/>
        <w:rPr>
          <w:rFonts w:eastAsia="宋体" w:cs="宋体"/>
          <w:b w:val="0"/>
          <w:bCs w:val="0"/>
          <w:smallCaps w:val="0"/>
          <w:sz w:val="21"/>
        </w:rPr>
      </w:pPr>
      <w:r>
        <w:fldChar w:fldCharType="begin"/>
      </w:r>
      <w:r>
        <w:instrText xml:space="preserve"> HYPERLINK \l "_Toc124321364" </w:instrText>
      </w:r>
      <w:r>
        <w:fldChar w:fldCharType="separate"/>
      </w:r>
      <w:r>
        <w:rPr>
          <w:rStyle w:val="51"/>
          <w:rFonts w:ascii="Times New Roman" w:hAnsi="Times New Roman" w:cs="Times New Roman"/>
          <w:b w:val="0"/>
          <w:bCs w:val="0"/>
          <w:color w:val="auto"/>
        </w:rPr>
        <w:t>第1条 规划背景</w:t>
      </w:r>
      <w:r>
        <w:rPr>
          <w:b w:val="0"/>
          <w:bCs w:val="0"/>
        </w:rPr>
        <w:tab/>
      </w:r>
      <w:r>
        <w:rPr>
          <w:b w:val="0"/>
          <w:bCs w:val="0"/>
        </w:rPr>
        <w:fldChar w:fldCharType="begin"/>
      </w:r>
      <w:r>
        <w:rPr>
          <w:b w:val="0"/>
          <w:bCs w:val="0"/>
        </w:rPr>
        <w:instrText xml:space="preserve"> PAGEREF _Toc124321364 \h </w:instrText>
      </w:r>
      <w:r>
        <w:rPr>
          <w:b w:val="0"/>
          <w:bCs w:val="0"/>
        </w:rPr>
        <w:fldChar w:fldCharType="separate"/>
      </w:r>
      <w:r>
        <w:rPr>
          <w:b w:val="0"/>
          <w:bCs w:val="0"/>
        </w:rPr>
        <w:t>1</w:t>
      </w:r>
      <w:r>
        <w:rPr>
          <w:b w:val="0"/>
          <w:bCs w:val="0"/>
        </w:rPr>
        <w:fldChar w:fldCharType="end"/>
      </w:r>
      <w:r>
        <w:rPr>
          <w:b w:val="0"/>
          <w:bCs w:val="0"/>
        </w:rPr>
        <w:fldChar w:fldCharType="end"/>
      </w:r>
    </w:p>
    <w:p>
      <w:pPr>
        <w:pStyle w:val="36"/>
        <w:tabs>
          <w:tab w:val="right" w:leader="dot" w:pos="10244"/>
        </w:tabs>
        <w:ind w:left="0" w:leftChars="0"/>
        <w:rPr>
          <w:rFonts w:eastAsia="宋体" w:cs="宋体"/>
          <w:b w:val="0"/>
          <w:bCs w:val="0"/>
          <w:smallCaps w:val="0"/>
          <w:sz w:val="21"/>
        </w:rPr>
      </w:pPr>
      <w:r>
        <w:fldChar w:fldCharType="begin"/>
      </w:r>
      <w:r>
        <w:instrText xml:space="preserve"> HYPERLINK \l "_Toc124321365" </w:instrText>
      </w:r>
      <w:r>
        <w:fldChar w:fldCharType="separate"/>
      </w:r>
      <w:r>
        <w:rPr>
          <w:rStyle w:val="51"/>
          <w:rFonts w:ascii="Times New Roman" w:hAnsi="Times New Roman" w:cs="Times New Roman"/>
          <w:b w:val="0"/>
          <w:bCs w:val="0"/>
          <w:color w:val="auto"/>
        </w:rPr>
        <w:t>第2条 目的原则</w:t>
      </w:r>
      <w:r>
        <w:rPr>
          <w:b w:val="0"/>
          <w:bCs w:val="0"/>
        </w:rPr>
        <w:tab/>
      </w:r>
      <w:r>
        <w:rPr>
          <w:b w:val="0"/>
          <w:bCs w:val="0"/>
        </w:rPr>
        <w:fldChar w:fldCharType="begin"/>
      </w:r>
      <w:r>
        <w:rPr>
          <w:b w:val="0"/>
          <w:bCs w:val="0"/>
        </w:rPr>
        <w:instrText xml:space="preserve"> PAGEREF _Toc124321365 \h </w:instrText>
      </w:r>
      <w:r>
        <w:rPr>
          <w:b w:val="0"/>
          <w:bCs w:val="0"/>
        </w:rPr>
        <w:fldChar w:fldCharType="separate"/>
      </w:r>
      <w:r>
        <w:rPr>
          <w:b w:val="0"/>
          <w:bCs w:val="0"/>
        </w:rPr>
        <w:t>1</w:t>
      </w:r>
      <w:r>
        <w:rPr>
          <w:b w:val="0"/>
          <w:bCs w:val="0"/>
        </w:rPr>
        <w:fldChar w:fldCharType="end"/>
      </w:r>
      <w:r>
        <w:rPr>
          <w:b w:val="0"/>
          <w:bCs w:val="0"/>
        </w:rPr>
        <w:fldChar w:fldCharType="end"/>
      </w:r>
    </w:p>
    <w:p>
      <w:pPr>
        <w:pStyle w:val="36"/>
        <w:tabs>
          <w:tab w:val="right" w:leader="dot" w:pos="10244"/>
        </w:tabs>
        <w:ind w:left="0" w:leftChars="0"/>
        <w:rPr>
          <w:rFonts w:eastAsia="宋体" w:cs="宋体"/>
          <w:b w:val="0"/>
          <w:bCs w:val="0"/>
          <w:smallCaps w:val="0"/>
          <w:sz w:val="21"/>
        </w:rPr>
      </w:pPr>
      <w:r>
        <w:fldChar w:fldCharType="begin"/>
      </w:r>
      <w:r>
        <w:instrText xml:space="preserve"> HYPERLINK \l "_Toc124321366" </w:instrText>
      </w:r>
      <w:r>
        <w:fldChar w:fldCharType="separate"/>
      </w:r>
      <w:r>
        <w:rPr>
          <w:rStyle w:val="51"/>
          <w:rFonts w:ascii="Times New Roman" w:hAnsi="Times New Roman" w:cs="Times New Roman"/>
          <w:b w:val="0"/>
          <w:bCs w:val="0"/>
          <w:color w:val="auto"/>
        </w:rPr>
        <w:t>第3条 规划依据</w:t>
      </w:r>
      <w:r>
        <w:rPr>
          <w:b w:val="0"/>
          <w:bCs w:val="0"/>
        </w:rPr>
        <w:tab/>
      </w:r>
      <w:r>
        <w:rPr>
          <w:b w:val="0"/>
          <w:bCs w:val="0"/>
        </w:rPr>
        <w:fldChar w:fldCharType="begin"/>
      </w:r>
      <w:r>
        <w:rPr>
          <w:b w:val="0"/>
          <w:bCs w:val="0"/>
        </w:rPr>
        <w:instrText xml:space="preserve"> PAGEREF _Toc124321366 \h </w:instrText>
      </w:r>
      <w:r>
        <w:rPr>
          <w:b w:val="0"/>
          <w:bCs w:val="0"/>
        </w:rPr>
        <w:fldChar w:fldCharType="separate"/>
      </w:r>
      <w:r>
        <w:rPr>
          <w:b w:val="0"/>
          <w:bCs w:val="0"/>
        </w:rPr>
        <w:t>1</w:t>
      </w:r>
      <w:r>
        <w:rPr>
          <w:b w:val="0"/>
          <w:bCs w:val="0"/>
        </w:rPr>
        <w:fldChar w:fldCharType="end"/>
      </w:r>
      <w:r>
        <w:rPr>
          <w:b w:val="0"/>
          <w:bCs w:val="0"/>
        </w:rPr>
        <w:fldChar w:fldCharType="end"/>
      </w:r>
    </w:p>
    <w:p>
      <w:pPr>
        <w:pStyle w:val="36"/>
        <w:tabs>
          <w:tab w:val="right" w:leader="dot" w:pos="10244"/>
        </w:tabs>
        <w:ind w:left="0" w:leftChars="0"/>
        <w:rPr>
          <w:rFonts w:eastAsia="宋体" w:cs="宋体"/>
          <w:b w:val="0"/>
          <w:bCs w:val="0"/>
          <w:smallCaps w:val="0"/>
          <w:sz w:val="21"/>
        </w:rPr>
      </w:pPr>
      <w:r>
        <w:fldChar w:fldCharType="begin"/>
      </w:r>
      <w:r>
        <w:instrText xml:space="preserve"> HYPERLINK \l "_Toc124321367" </w:instrText>
      </w:r>
      <w:r>
        <w:fldChar w:fldCharType="separate"/>
      </w:r>
      <w:r>
        <w:rPr>
          <w:rStyle w:val="51"/>
          <w:rFonts w:ascii="Times New Roman" w:hAnsi="Times New Roman" w:cs="Times New Roman"/>
          <w:b w:val="0"/>
          <w:bCs w:val="0"/>
          <w:color w:val="auto"/>
        </w:rPr>
        <w:t>第4条 规划期限</w:t>
      </w:r>
      <w:r>
        <w:rPr>
          <w:b w:val="0"/>
          <w:bCs w:val="0"/>
        </w:rPr>
        <w:tab/>
      </w:r>
      <w:r>
        <w:rPr>
          <w:b w:val="0"/>
          <w:bCs w:val="0"/>
        </w:rPr>
        <w:fldChar w:fldCharType="begin"/>
      </w:r>
      <w:r>
        <w:rPr>
          <w:b w:val="0"/>
          <w:bCs w:val="0"/>
        </w:rPr>
        <w:instrText xml:space="preserve"> PAGEREF _Toc124321367 \h </w:instrText>
      </w:r>
      <w:r>
        <w:rPr>
          <w:b w:val="0"/>
          <w:bCs w:val="0"/>
        </w:rPr>
        <w:fldChar w:fldCharType="separate"/>
      </w:r>
      <w:r>
        <w:rPr>
          <w:b w:val="0"/>
          <w:bCs w:val="0"/>
        </w:rPr>
        <w:t>3</w:t>
      </w:r>
      <w:r>
        <w:rPr>
          <w:b w:val="0"/>
          <w:bCs w:val="0"/>
        </w:rPr>
        <w:fldChar w:fldCharType="end"/>
      </w:r>
      <w:r>
        <w:rPr>
          <w:b w:val="0"/>
          <w:bCs w:val="0"/>
        </w:rPr>
        <w:fldChar w:fldCharType="end"/>
      </w:r>
    </w:p>
    <w:p>
      <w:pPr>
        <w:pStyle w:val="36"/>
        <w:tabs>
          <w:tab w:val="right" w:leader="dot" w:pos="10244"/>
        </w:tabs>
        <w:ind w:left="0" w:leftChars="0"/>
        <w:rPr>
          <w:rFonts w:eastAsia="宋体" w:cs="宋体"/>
          <w:b w:val="0"/>
          <w:bCs w:val="0"/>
          <w:smallCaps w:val="0"/>
          <w:sz w:val="21"/>
        </w:rPr>
      </w:pPr>
      <w:r>
        <w:fldChar w:fldCharType="begin"/>
      </w:r>
      <w:r>
        <w:instrText xml:space="preserve"> HYPERLINK \l "_Toc124321368" </w:instrText>
      </w:r>
      <w:r>
        <w:fldChar w:fldCharType="separate"/>
      </w:r>
      <w:r>
        <w:rPr>
          <w:rStyle w:val="51"/>
          <w:rFonts w:ascii="Times New Roman" w:hAnsi="Times New Roman" w:cs="Times New Roman"/>
          <w:b w:val="0"/>
          <w:bCs w:val="0"/>
          <w:color w:val="auto"/>
        </w:rPr>
        <w:t>第5条 规划范围</w:t>
      </w:r>
      <w:r>
        <w:rPr>
          <w:b w:val="0"/>
          <w:bCs w:val="0"/>
        </w:rPr>
        <w:tab/>
      </w:r>
      <w:r>
        <w:rPr>
          <w:b w:val="0"/>
          <w:bCs w:val="0"/>
        </w:rPr>
        <w:fldChar w:fldCharType="begin"/>
      </w:r>
      <w:r>
        <w:rPr>
          <w:b w:val="0"/>
          <w:bCs w:val="0"/>
        </w:rPr>
        <w:instrText xml:space="preserve"> PAGEREF _Toc124321368 \h </w:instrText>
      </w:r>
      <w:r>
        <w:rPr>
          <w:b w:val="0"/>
          <w:bCs w:val="0"/>
        </w:rPr>
        <w:fldChar w:fldCharType="separate"/>
      </w:r>
      <w:r>
        <w:rPr>
          <w:b w:val="0"/>
          <w:bCs w:val="0"/>
        </w:rPr>
        <w:t>3</w:t>
      </w:r>
      <w:r>
        <w:rPr>
          <w:b w:val="0"/>
          <w:bCs w:val="0"/>
        </w:rPr>
        <w:fldChar w:fldCharType="end"/>
      </w:r>
      <w:r>
        <w:rPr>
          <w:b w:val="0"/>
          <w:bCs w:val="0"/>
        </w:rPr>
        <w:fldChar w:fldCharType="end"/>
      </w:r>
    </w:p>
    <w:p>
      <w:pPr>
        <w:pStyle w:val="28"/>
        <w:ind w:left="0" w:leftChars="0"/>
        <w:rPr>
          <w:rFonts w:eastAsia="宋体" w:cs="宋体"/>
          <w:b w:val="0"/>
          <w:bCs w:val="0"/>
          <w:caps w:val="0"/>
          <w:sz w:val="21"/>
          <w:u w:val="none"/>
        </w:rPr>
      </w:pPr>
      <w:r>
        <w:fldChar w:fldCharType="begin"/>
      </w:r>
      <w:r>
        <w:instrText xml:space="preserve"> HYPERLINK \l "_Toc124321369" </w:instrText>
      </w:r>
      <w:r>
        <w:fldChar w:fldCharType="separate"/>
      </w:r>
      <w:r>
        <w:rPr>
          <w:rStyle w:val="51"/>
          <w:rFonts w:ascii="Times New Roman" w:hAnsi="Times New Roman" w:cs="Times New Roman"/>
          <w:color w:val="auto"/>
        </w:rPr>
        <w:t>第二章 发展定位与目标</w:t>
      </w:r>
      <w:r>
        <w:tab/>
      </w:r>
      <w:r>
        <w:fldChar w:fldCharType="begin"/>
      </w:r>
      <w:r>
        <w:instrText xml:space="preserve"> PAGEREF _Toc124321369 \h </w:instrText>
      </w:r>
      <w:r>
        <w:fldChar w:fldCharType="separate"/>
      </w:r>
      <w:r>
        <w:t>4</w:t>
      </w:r>
      <w:r>
        <w:fldChar w:fldCharType="end"/>
      </w:r>
      <w:r>
        <w:fldChar w:fldCharType="end"/>
      </w:r>
    </w:p>
    <w:p>
      <w:pPr>
        <w:pStyle w:val="36"/>
        <w:tabs>
          <w:tab w:val="right" w:leader="dot" w:pos="10244"/>
        </w:tabs>
        <w:ind w:left="0" w:leftChars="0"/>
        <w:rPr>
          <w:rFonts w:eastAsia="宋体" w:cs="宋体"/>
          <w:b w:val="0"/>
          <w:bCs w:val="0"/>
          <w:smallCaps w:val="0"/>
          <w:sz w:val="21"/>
        </w:rPr>
      </w:pPr>
      <w:r>
        <w:fldChar w:fldCharType="begin"/>
      </w:r>
      <w:r>
        <w:instrText xml:space="preserve"> HYPERLINK \l "_Toc124321370" </w:instrText>
      </w:r>
      <w:r>
        <w:fldChar w:fldCharType="separate"/>
      </w:r>
      <w:r>
        <w:rPr>
          <w:rStyle w:val="51"/>
          <w:rFonts w:ascii="Times New Roman" w:hAnsi="Times New Roman" w:cs="Times New Roman"/>
          <w:b w:val="0"/>
          <w:bCs w:val="0"/>
          <w:color w:val="auto"/>
        </w:rPr>
        <w:t>第6条 发展定位</w:t>
      </w:r>
      <w:r>
        <w:rPr>
          <w:b w:val="0"/>
          <w:bCs w:val="0"/>
        </w:rPr>
        <w:tab/>
      </w:r>
      <w:r>
        <w:rPr>
          <w:b w:val="0"/>
          <w:bCs w:val="0"/>
        </w:rPr>
        <w:fldChar w:fldCharType="begin"/>
      </w:r>
      <w:r>
        <w:rPr>
          <w:b w:val="0"/>
          <w:bCs w:val="0"/>
        </w:rPr>
        <w:instrText xml:space="preserve"> PAGEREF _Toc124321370 \h </w:instrText>
      </w:r>
      <w:r>
        <w:rPr>
          <w:b w:val="0"/>
          <w:bCs w:val="0"/>
        </w:rPr>
        <w:fldChar w:fldCharType="separate"/>
      </w:r>
      <w:r>
        <w:rPr>
          <w:b w:val="0"/>
          <w:bCs w:val="0"/>
        </w:rPr>
        <w:t>4</w:t>
      </w:r>
      <w:r>
        <w:rPr>
          <w:b w:val="0"/>
          <w:bCs w:val="0"/>
        </w:rPr>
        <w:fldChar w:fldCharType="end"/>
      </w:r>
      <w:r>
        <w:rPr>
          <w:b w:val="0"/>
          <w:bCs w:val="0"/>
        </w:rPr>
        <w:fldChar w:fldCharType="end"/>
      </w:r>
    </w:p>
    <w:p>
      <w:pPr>
        <w:pStyle w:val="36"/>
        <w:tabs>
          <w:tab w:val="right" w:leader="dot" w:pos="10244"/>
        </w:tabs>
        <w:ind w:left="0" w:leftChars="0"/>
        <w:rPr>
          <w:rFonts w:eastAsia="宋体" w:cs="宋体"/>
          <w:b w:val="0"/>
          <w:bCs w:val="0"/>
          <w:smallCaps w:val="0"/>
          <w:sz w:val="21"/>
        </w:rPr>
      </w:pPr>
      <w:r>
        <w:fldChar w:fldCharType="begin"/>
      </w:r>
      <w:r>
        <w:instrText xml:space="preserve"> HYPERLINK \l "_Toc124321371" </w:instrText>
      </w:r>
      <w:r>
        <w:fldChar w:fldCharType="separate"/>
      </w:r>
      <w:r>
        <w:rPr>
          <w:rStyle w:val="51"/>
          <w:rFonts w:ascii="Times New Roman" w:hAnsi="Times New Roman" w:cs="Times New Roman"/>
          <w:b w:val="0"/>
          <w:bCs w:val="0"/>
          <w:color w:val="auto"/>
        </w:rPr>
        <w:t>第7条 总体目标</w:t>
      </w:r>
      <w:r>
        <w:rPr>
          <w:b w:val="0"/>
          <w:bCs w:val="0"/>
        </w:rPr>
        <w:tab/>
      </w:r>
      <w:r>
        <w:rPr>
          <w:b w:val="0"/>
          <w:bCs w:val="0"/>
        </w:rPr>
        <w:fldChar w:fldCharType="begin"/>
      </w:r>
      <w:r>
        <w:rPr>
          <w:b w:val="0"/>
          <w:bCs w:val="0"/>
        </w:rPr>
        <w:instrText xml:space="preserve"> PAGEREF _Toc124321371 \h </w:instrText>
      </w:r>
      <w:r>
        <w:rPr>
          <w:b w:val="0"/>
          <w:bCs w:val="0"/>
        </w:rPr>
        <w:fldChar w:fldCharType="separate"/>
      </w:r>
      <w:r>
        <w:rPr>
          <w:b w:val="0"/>
          <w:bCs w:val="0"/>
        </w:rPr>
        <w:t>4</w:t>
      </w:r>
      <w:r>
        <w:rPr>
          <w:b w:val="0"/>
          <w:bCs w:val="0"/>
        </w:rPr>
        <w:fldChar w:fldCharType="end"/>
      </w:r>
      <w:r>
        <w:rPr>
          <w:b w:val="0"/>
          <w:bCs w:val="0"/>
        </w:rPr>
        <w:fldChar w:fldCharType="end"/>
      </w:r>
    </w:p>
    <w:p>
      <w:pPr>
        <w:pStyle w:val="36"/>
        <w:tabs>
          <w:tab w:val="right" w:leader="dot" w:pos="10244"/>
        </w:tabs>
        <w:ind w:left="0" w:leftChars="0"/>
        <w:rPr>
          <w:rFonts w:eastAsia="宋体" w:cs="宋体"/>
          <w:b w:val="0"/>
          <w:bCs w:val="0"/>
          <w:smallCaps w:val="0"/>
          <w:sz w:val="21"/>
        </w:rPr>
      </w:pPr>
      <w:r>
        <w:fldChar w:fldCharType="begin"/>
      </w:r>
      <w:r>
        <w:instrText xml:space="preserve"> HYPERLINK \l "_Toc124321372" </w:instrText>
      </w:r>
      <w:r>
        <w:fldChar w:fldCharType="separate"/>
      </w:r>
      <w:r>
        <w:rPr>
          <w:rStyle w:val="51"/>
          <w:rFonts w:ascii="Times New Roman" w:hAnsi="Times New Roman" w:cs="Times New Roman"/>
          <w:b w:val="0"/>
          <w:bCs w:val="0"/>
          <w:color w:val="auto"/>
        </w:rPr>
        <w:t>第8条 近期目标</w:t>
      </w:r>
      <w:r>
        <w:rPr>
          <w:b w:val="0"/>
          <w:bCs w:val="0"/>
        </w:rPr>
        <w:tab/>
      </w:r>
      <w:r>
        <w:rPr>
          <w:b w:val="0"/>
          <w:bCs w:val="0"/>
        </w:rPr>
        <w:fldChar w:fldCharType="begin"/>
      </w:r>
      <w:r>
        <w:rPr>
          <w:b w:val="0"/>
          <w:bCs w:val="0"/>
        </w:rPr>
        <w:instrText xml:space="preserve"> PAGEREF _Toc124321372 \h </w:instrText>
      </w:r>
      <w:r>
        <w:rPr>
          <w:b w:val="0"/>
          <w:bCs w:val="0"/>
        </w:rPr>
        <w:fldChar w:fldCharType="separate"/>
      </w:r>
      <w:r>
        <w:rPr>
          <w:b w:val="0"/>
          <w:bCs w:val="0"/>
        </w:rPr>
        <w:t>4</w:t>
      </w:r>
      <w:r>
        <w:rPr>
          <w:b w:val="0"/>
          <w:bCs w:val="0"/>
        </w:rPr>
        <w:fldChar w:fldCharType="end"/>
      </w:r>
      <w:r>
        <w:rPr>
          <w:b w:val="0"/>
          <w:bCs w:val="0"/>
        </w:rPr>
        <w:fldChar w:fldCharType="end"/>
      </w:r>
    </w:p>
    <w:p>
      <w:pPr>
        <w:pStyle w:val="36"/>
        <w:tabs>
          <w:tab w:val="right" w:leader="dot" w:pos="10244"/>
        </w:tabs>
        <w:ind w:left="0" w:leftChars="0"/>
        <w:rPr>
          <w:rFonts w:eastAsia="宋体" w:cs="宋体"/>
          <w:b w:val="0"/>
          <w:bCs w:val="0"/>
          <w:smallCaps w:val="0"/>
          <w:sz w:val="21"/>
        </w:rPr>
      </w:pPr>
      <w:r>
        <w:fldChar w:fldCharType="begin"/>
      </w:r>
      <w:r>
        <w:instrText xml:space="preserve"> HYPERLINK \l "_Toc124321373" </w:instrText>
      </w:r>
      <w:r>
        <w:fldChar w:fldCharType="separate"/>
      </w:r>
      <w:r>
        <w:rPr>
          <w:rStyle w:val="51"/>
          <w:rFonts w:ascii="Times New Roman" w:hAnsi="Times New Roman" w:cs="Times New Roman"/>
          <w:b w:val="0"/>
          <w:bCs w:val="0"/>
          <w:color w:val="auto"/>
        </w:rPr>
        <w:t>第9条 远期目标</w:t>
      </w:r>
      <w:r>
        <w:rPr>
          <w:b w:val="0"/>
          <w:bCs w:val="0"/>
        </w:rPr>
        <w:tab/>
      </w:r>
      <w:r>
        <w:rPr>
          <w:b w:val="0"/>
          <w:bCs w:val="0"/>
        </w:rPr>
        <w:fldChar w:fldCharType="begin"/>
      </w:r>
      <w:r>
        <w:rPr>
          <w:b w:val="0"/>
          <w:bCs w:val="0"/>
        </w:rPr>
        <w:instrText xml:space="preserve"> PAGEREF _Toc124321373 \h </w:instrText>
      </w:r>
      <w:r>
        <w:rPr>
          <w:b w:val="0"/>
          <w:bCs w:val="0"/>
        </w:rPr>
        <w:fldChar w:fldCharType="separate"/>
      </w:r>
      <w:r>
        <w:rPr>
          <w:b w:val="0"/>
          <w:bCs w:val="0"/>
        </w:rPr>
        <w:t>5</w:t>
      </w:r>
      <w:r>
        <w:rPr>
          <w:b w:val="0"/>
          <w:bCs w:val="0"/>
        </w:rPr>
        <w:fldChar w:fldCharType="end"/>
      </w:r>
      <w:r>
        <w:rPr>
          <w:b w:val="0"/>
          <w:bCs w:val="0"/>
        </w:rPr>
        <w:fldChar w:fldCharType="end"/>
      </w:r>
    </w:p>
    <w:p>
      <w:pPr>
        <w:pStyle w:val="28"/>
        <w:ind w:left="0" w:leftChars="0"/>
        <w:rPr>
          <w:rFonts w:eastAsia="宋体" w:cs="宋体"/>
          <w:b w:val="0"/>
          <w:bCs w:val="0"/>
          <w:caps w:val="0"/>
          <w:sz w:val="21"/>
          <w:u w:val="none"/>
        </w:rPr>
      </w:pPr>
      <w:r>
        <w:fldChar w:fldCharType="begin"/>
      </w:r>
      <w:r>
        <w:instrText xml:space="preserve"> HYPERLINK \l "_Toc124321374" </w:instrText>
      </w:r>
      <w:r>
        <w:fldChar w:fldCharType="separate"/>
      </w:r>
      <w:r>
        <w:rPr>
          <w:rStyle w:val="51"/>
          <w:rFonts w:ascii="Times New Roman" w:hAnsi="Times New Roman" w:cs="Times New Roman"/>
          <w:color w:val="auto"/>
        </w:rPr>
        <w:t>第三章 重点任务</w:t>
      </w:r>
      <w:r>
        <w:tab/>
      </w:r>
      <w:r>
        <w:fldChar w:fldCharType="begin"/>
      </w:r>
      <w:r>
        <w:instrText xml:space="preserve"> PAGEREF _Toc124321374 \h </w:instrText>
      </w:r>
      <w:r>
        <w:fldChar w:fldCharType="separate"/>
      </w:r>
      <w:r>
        <w:t>7</w:t>
      </w:r>
      <w:r>
        <w:fldChar w:fldCharType="end"/>
      </w:r>
      <w:r>
        <w:fldChar w:fldCharType="end"/>
      </w:r>
    </w:p>
    <w:p>
      <w:pPr>
        <w:pStyle w:val="36"/>
        <w:tabs>
          <w:tab w:val="right" w:leader="dot" w:pos="10244"/>
        </w:tabs>
        <w:ind w:left="0" w:leftChars="0"/>
        <w:rPr>
          <w:rFonts w:eastAsia="宋体" w:cs="宋体"/>
          <w:b w:val="0"/>
          <w:bCs w:val="0"/>
          <w:smallCaps w:val="0"/>
          <w:sz w:val="21"/>
        </w:rPr>
      </w:pPr>
      <w:r>
        <w:fldChar w:fldCharType="begin"/>
      </w:r>
      <w:r>
        <w:instrText xml:space="preserve"> HYPERLINK \l "_Toc124321375" </w:instrText>
      </w:r>
      <w:r>
        <w:fldChar w:fldCharType="separate"/>
      </w:r>
      <w:r>
        <w:rPr>
          <w:rStyle w:val="51"/>
          <w:rFonts w:ascii="Times New Roman" w:hAnsi="Times New Roman" w:cs="Times New Roman"/>
          <w:b w:val="0"/>
          <w:bCs w:val="0"/>
          <w:color w:val="auto"/>
        </w:rPr>
        <w:t>第10条 引领绿色建筑高品质发展</w:t>
      </w:r>
      <w:r>
        <w:rPr>
          <w:b w:val="0"/>
          <w:bCs w:val="0"/>
        </w:rPr>
        <w:tab/>
      </w:r>
      <w:r>
        <w:rPr>
          <w:b w:val="0"/>
          <w:bCs w:val="0"/>
        </w:rPr>
        <w:fldChar w:fldCharType="begin"/>
      </w:r>
      <w:r>
        <w:rPr>
          <w:b w:val="0"/>
          <w:bCs w:val="0"/>
        </w:rPr>
        <w:instrText xml:space="preserve"> PAGEREF _Toc124321375 \h </w:instrText>
      </w:r>
      <w:r>
        <w:rPr>
          <w:b w:val="0"/>
          <w:bCs w:val="0"/>
        </w:rPr>
        <w:fldChar w:fldCharType="separate"/>
      </w:r>
      <w:r>
        <w:rPr>
          <w:b w:val="0"/>
          <w:bCs w:val="0"/>
        </w:rPr>
        <w:t>7</w:t>
      </w:r>
      <w:r>
        <w:rPr>
          <w:b w:val="0"/>
          <w:bCs w:val="0"/>
        </w:rPr>
        <w:fldChar w:fldCharType="end"/>
      </w:r>
      <w:r>
        <w:rPr>
          <w:b w:val="0"/>
          <w:bCs w:val="0"/>
        </w:rPr>
        <w:fldChar w:fldCharType="end"/>
      </w:r>
    </w:p>
    <w:p>
      <w:pPr>
        <w:pStyle w:val="36"/>
        <w:tabs>
          <w:tab w:val="right" w:leader="dot" w:pos="10244"/>
        </w:tabs>
        <w:ind w:left="0" w:leftChars="0"/>
        <w:rPr>
          <w:rFonts w:eastAsia="宋体" w:cs="宋体"/>
          <w:b w:val="0"/>
          <w:bCs w:val="0"/>
          <w:smallCaps w:val="0"/>
          <w:sz w:val="21"/>
        </w:rPr>
      </w:pPr>
      <w:r>
        <w:fldChar w:fldCharType="begin"/>
      </w:r>
      <w:r>
        <w:instrText xml:space="preserve"> HYPERLINK \l "_Toc124321376" </w:instrText>
      </w:r>
      <w:r>
        <w:fldChar w:fldCharType="separate"/>
      </w:r>
      <w:r>
        <w:rPr>
          <w:rStyle w:val="51"/>
          <w:rFonts w:ascii="Times New Roman" w:hAnsi="Times New Roman" w:cs="Times New Roman"/>
          <w:b w:val="0"/>
          <w:bCs w:val="0"/>
          <w:color w:val="auto"/>
        </w:rPr>
        <w:t>第11条 加快既有建筑节能绿色化改造</w:t>
      </w:r>
      <w:r>
        <w:rPr>
          <w:b w:val="0"/>
          <w:bCs w:val="0"/>
        </w:rPr>
        <w:tab/>
      </w:r>
      <w:r>
        <w:rPr>
          <w:b w:val="0"/>
          <w:bCs w:val="0"/>
        </w:rPr>
        <w:fldChar w:fldCharType="begin"/>
      </w:r>
      <w:r>
        <w:rPr>
          <w:b w:val="0"/>
          <w:bCs w:val="0"/>
        </w:rPr>
        <w:instrText xml:space="preserve"> PAGEREF _Toc124321376 \h </w:instrText>
      </w:r>
      <w:r>
        <w:rPr>
          <w:b w:val="0"/>
          <w:bCs w:val="0"/>
        </w:rPr>
        <w:fldChar w:fldCharType="separate"/>
      </w:r>
      <w:r>
        <w:rPr>
          <w:b w:val="0"/>
          <w:bCs w:val="0"/>
        </w:rPr>
        <w:t>9</w:t>
      </w:r>
      <w:r>
        <w:rPr>
          <w:b w:val="0"/>
          <w:bCs w:val="0"/>
        </w:rPr>
        <w:fldChar w:fldCharType="end"/>
      </w:r>
      <w:r>
        <w:rPr>
          <w:b w:val="0"/>
          <w:bCs w:val="0"/>
        </w:rPr>
        <w:fldChar w:fldCharType="end"/>
      </w:r>
    </w:p>
    <w:p>
      <w:pPr>
        <w:pStyle w:val="36"/>
        <w:tabs>
          <w:tab w:val="right" w:leader="dot" w:pos="10244"/>
        </w:tabs>
        <w:ind w:left="0" w:leftChars="0"/>
        <w:rPr>
          <w:rFonts w:eastAsia="宋体" w:cs="宋体"/>
          <w:b w:val="0"/>
          <w:bCs w:val="0"/>
          <w:smallCaps w:val="0"/>
          <w:sz w:val="21"/>
        </w:rPr>
      </w:pPr>
      <w:r>
        <w:fldChar w:fldCharType="begin"/>
      </w:r>
      <w:r>
        <w:instrText xml:space="preserve"> HYPERLINK \l "_Toc124321377" </w:instrText>
      </w:r>
      <w:r>
        <w:fldChar w:fldCharType="separate"/>
      </w:r>
      <w:r>
        <w:rPr>
          <w:rStyle w:val="51"/>
          <w:rFonts w:ascii="Times New Roman" w:hAnsi="Times New Roman" w:cs="Times New Roman"/>
          <w:b w:val="0"/>
          <w:bCs w:val="0"/>
          <w:color w:val="auto"/>
        </w:rPr>
        <w:t>第12条 提升工业建筑绿色低碳水平</w:t>
      </w:r>
      <w:r>
        <w:rPr>
          <w:b w:val="0"/>
          <w:bCs w:val="0"/>
        </w:rPr>
        <w:tab/>
      </w:r>
      <w:r>
        <w:rPr>
          <w:b w:val="0"/>
          <w:bCs w:val="0"/>
        </w:rPr>
        <w:fldChar w:fldCharType="begin"/>
      </w:r>
      <w:r>
        <w:rPr>
          <w:b w:val="0"/>
          <w:bCs w:val="0"/>
        </w:rPr>
        <w:instrText xml:space="preserve"> PAGEREF _Toc124321377 \h </w:instrText>
      </w:r>
      <w:r>
        <w:rPr>
          <w:b w:val="0"/>
          <w:bCs w:val="0"/>
        </w:rPr>
        <w:fldChar w:fldCharType="separate"/>
      </w:r>
      <w:r>
        <w:rPr>
          <w:b w:val="0"/>
          <w:bCs w:val="0"/>
        </w:rPr>
        <w:t>10</w:t>
      </w:r>
      <w:r>
        <w:rPr>
          <w:b w:val="0"/>
          <w:bCs w:val="0"/>
        </w:rPr>
        <w:fldChar w:fldCharType="end"/>
      </w:r>
      <w:r>
        <w:rPr>
          <w:b w:val="0"/>
          <w:bCs w:val="0"/>
        </w:rPr>
        <w:fldChar w:fldCharType="end"/>
      </w:r>
    </w:p>
    <w:p>
      <w:pPr>
        <w:pStyle w:val="36"/>
        <w:tabs>
          <w:tab w:val="right" w:leader="dot" w:pos="10244"/>
        </w:tabs>
        <w:ind w:left="0" w:leftChars="0"/>
        <w:rPr>
          <w:rFonts w:eastAsia="宋体" w:cs="宋体"/>
          <w:b w:val="0"/>
          <w:bCs w:val="0"/>
          <w:smallCaps w:val="0"/>
          <w:sz w:val="21"/>
        </w:rPr>
      </w:pPr>
      <w:r>
        <w:fldChar w:fldCharType="begin"/>
      </w:r>
      <w:r>
        <w:instrText xml:space="preserve"> HYPERLINK \l "_Toc124321378" </w:instrText>
      </w:r>
      <w:r>
        <w:fldChar w:fldCharType="separate"/>
      </w:r>
      <w:r>
        <w:rPr>
          <w:rStyle w:val="51"/>
          <w:rFonts w:ascii="Times New Roman" w:hAnsi="Times New Roman" w:cs="Times New Roman"/>
          <w:b w:val="0"/>
          <w:bCs w:val="0"/>
          <w:color w:val="auto"/>
        </w:rPr>
        <w:t>第13条 建设绿色城市人居环境</w:t>
      </w:r>
      <w:r>
        <w:rPr>
          <w:b w:val="0"/>
          <w:bCs w:val="0"/>
        </w:rPr>
        <w:tab/>
      </w:r>
      <w:r>
        <w:rPr>
          <w:b w:val="0"/>
          <w:bCs w:val="0"/>
        </w:rPr>
        <w:fldChar w:fldCharType="begin"/>
      </w:r>
      <w:r>
        <w:rPr>
          <w:b w:val="0"/>
          <w:bCs w:val="0"/>
        </w:rPr>
        <w:instrText xml:space="preserve"> PAGEREF _Toc124321378 \h </w:instrText>
      </w:r>
      <w:r>
        <w:rPr>
          <w:b w:val="0"/>
          <w:bCs w:val="0"/>
        </w:rPr>
        <w:fldChar w:fldCharType="separate"/>
      </w:r>
      <w:r>
        <w:rPr>
          <w:b w:val="0"/>
          <w:bCs w:val="0"/>
        </w:rPr>
        <w:t>11</w:t>
      </w:r>
      <w:r>
        <w:rPr>
          <w:b w:val="0"/>
          <w:bCs w:val="0"/>
        </w:rPr>
        <w:fldChar w:fldCharType="end"/>
      </w:r>
      <w:r>
        <w:rPr>
          <w:b w:val="0"/>
          <w:bCs w:val="0"/>
        </w:rPr>
        <w:fldChar w:fldCharType="end"/>
      </w:r>
    </w:p>
    <w:p>
      <w:pPr>
        <w:pStyle w:val="36"/>
        <w:tabs>
          <w:tab w:val="right" w:leader="dot" w:pos="10244"/>
        </w:tabs>
        <w:ind w:left="0" w:leftChars="0"/>
        <w:rPr>
          <w:rFonts w:eastAsia="宋体" w:cs="宋体"/>
          <w:b w:val="0"/>
          <w:bCs w:val="0"/>
          <w:smallCaps w:val="0"/>
          <w:sz w:val="21"/>
        </w:rPr>
      </w:pPr>
      <w:r>
        <w:fldChar w:fldCharType="begin"/>
      </w:r>
      <w:r>
        <w:instrText xml:space="preserve"> HYPERLINK \l "_Toc124321379" </w:instrText>
      </w:r>
      <w:r>
        <w:fldChar w:fldCharType="separate"/>
      </w:r>
      <w:r>
        <w:rPr>
          <w:rStyle w:val="51"/>
          <w:rFonts w:ascii="Times New Roman" w:hAnsi="Times New Roman" w:cs="Times New Roman"/>
          <w:b w:val="0"/>
          <w:bCs w:val="0"/>
          <w:color w:val="auto"/>
        </w:rPr>
        <w:t>第14条 建立绿色建筑技术体系</w:t>
      </w:r>
      <w:r>
        <w:rPr>
          <w:b w:val="0"/>
          <w:bCs w:val="0"/>
        </w:rPr>
        <w:tab/>
      </w:r>
      <w:r>
        <w:rPr>
          <w:b w:val="0"/>
          <w:bCs w:val="0"/>
        </w:rPr>
        <w:fldChar w:fldCharType="begin"/>
      </w:r>
      <w:r>
        <w:rPr>
          <w:b w:val="0"/>
          <w:bCs w:val="0"/>
        </w:rPr>
        <w:instrText xml:space="preserve"> PAGEREF _Toc124321379 \h </w:instrText>
      </w:r>
      <w:r>
        <w:rPr>
          <w:b w:val="0"/>
          <w:bCs w:val="0"/>
        </w:rPr>
        <w:fldChar w:fldCharType="separate"/>
      </w:r>
      <w:r>
        <w:rPr>
          <w:b w:val="0"/>
          <w:bCs w:val="0"/>
        </w:rPr>
        <w:t>14</w:t>
      </w:r>
      <w:r>
        <w:rPr>
          <w:b w:val="0"/>
          <w:bCs w:val="0"/>
        </w:rPr>
        <w:fldChar w:fldCharType="end"/>
      </w:r>
      <w:r>
        <w:rPr>
          <w:b w:val="0"/>
          <w:bCs w:val="0"/>
        </w:rPr>
        <w:fldChar w:fldCharType="end"/>
      </w:r>
    </w:p>
    <w:p>
      <w:pPr>
        <w:pStyle w:val="36"/>
        <w:tabs>
          <w:tab w:val="right" w:leader="dot" w:pos="10244"/>
        </w:tabs>
        <w:ind w:left="0" w:leftChars="0"/>
        <w:rPr>
          <w:rFonts w:eastAsia="宋体" w:cs="宋体"/>
          <w:b w:val="0"/>
          <w:bCs w:val="0"/>
          <w:smallCaps w:val="0"/>
          <w:sz w:val="21"/>
        </w:rPr>
      </w:pPr>
      <w:r>
        <w:fldChar w:fldCharType="begin"/>
      </w:r>
      <w:r>
        <w:instrText xml:space="preserve"> HYPERLINK \l "_Toc124321380" </w:instrText>
      </w:r>
      <w:r>
        <w:fldChar w:fldCharType="separate"/>
      </w:r>
      <w:r>
        <w:rPr>
          <w:rStyle w:val="51"/>
          <w:rFonts w:ascii="Times New Roman" w:hAnsi="Times New Roman" w:cs="Times New Roman"/>
          <w:b w:val="0"/>
          <w:bCs w:val="0"/>
          <w:color w:val="auto"/>
        </w:rPr>
        <w:t>第15条 推动绿色产业发展</w:t>
      </w:r>
      <w:r>
        <w:rPr>
          <w:b w:val="0"/>
          <w:bCs w:val="0"/>
        </w:rPr>
        <w:tab/>
      </w:r>
      <w:r>
        <w:rPr>
          <w:b w:val="0"/>
          <w:bCs w:val="0"/>
        </w:rPr>
        <w:fldChar w:fldCharType="begin"/>
      </w:r>
      <w:r>
        <w:rPr>
          <w:b w:val="0"/>
          <w:bCs w:val="0"/>
        </w:rPr>
        <w:instrText xml:space="preserve"> PAGEREF _Toc124321380 \h </w:instrText>
      </w:r>
      <w:r>
        <w:rPr>
          <w:b w:val="0"/>
          <w:bCs w:val="0"/>
        </w:rPr>
        <w:fldChar w:fldCharType="separate"/>
      </w:r>
      <w:r>
        <w:rPr>
          <w:b w:val="0"/>
          <w:bCs w:val="0"/>
        </w:rPr>
        <w:t>17</w:t>
      </w:r>
      <w:r>
        <w:rPr>
          <w:b w:val="0"/>
          <w:bCs w:val="0"/>
        </w:rPr>
        <w:fldChar w:fldCharType="end"/>
      </w:r>
      <w:r>
        <w:rPr>
          <w:b w:val="0"/>
          <w:bCs w:val="0"/>
        </w:rPr>
        <w:fldChar w:fldCharType="end"/>
      </w:r>
    </w:p>
    <w:p>
      <w:pPr>
        <w:pStyle w:val="28"/>
        <w:ind w:left="0" w:leftChars="0"/>
        <w:rPr>
          <w:rFonts w:eastAsia="宋体" w:cs="宋体"/>
          <w:b w:val="0"/>
          <w:bCs w:val="0"/>
          <w:caps w:val="0"/>
          <w:sz w:val="21"/>
          <w:u w:val="none"/>
        </w:rPr>
      </w:pPr>
      <w:r>
        <w:fldChar w:fldCharType="begin"/>
      </w:r>
      <w:r>
        <w:instrText xml:space="preserve"> HYPERLINK \l "_Toc124321381" </w:instrText>
      </w:r>
      <w:r>
        <w:fldChar w:fldCharType="separate"/>
      </w:r>
      <w:r>
        <w:rPr>
          <w:rStyle w:val="51"/>
          <w:rFonts w:ascii="Times New Roman" w:hAnsi="Times New Roman" w:cs="Times New Roman"/>
          <w:color w:val="auto"/>
        </w:rPr>
        <w:t>第四章 规划分区与要求</w:t>
      </w:r>
      <w:r>
        <w:tab/>
      </w:r>
      <w:r>
        <w:fldChar w:fldCharType="begin"/>
      </w:r>
      <w:r>
        <w:instrText xml:space="preserve"> PAGEREF _Toc124321381 \h </w:instrText>
      </w:r>
      <w:r>
        <w:fldChar w:fldCharType="separate"/>
      </w:r>
      <w:r>
        <w:t>20</w:t>
      </w:r>
      <w:r>
        <w:fldChar w:fldCharType="end"/>
      </w:r>
      <w:r>
        <w:fldChar w:fldCharType="end"/>
      </w:r>
    </w:p>
    <w:p>
      <w:pPr>
        <w:pStyle w:val="36"/>
        <w:tabs>
          <w:tab w:val="right" w:leader="dot" w:pos="10244"/>
        </w:tabs>
        <w:ind w:left="0" w:leftChars="0"/>
        <w:rPr>
          <w:b w:val="0"/>
          <w:bCs w:val="0"/>
        </w:rPr>
      </w:pPr>
      <w:r>
        <w:fldChar w:fldCharType="begin"/>
      </w:r>
      <w:r>
        <w:instrText xml:space="preserve"> HYPERLINK \l "_Toc124321382" </w:instrText>
      </w:r>
      <w:r>
        <w:fldChar w:fldCharType="separate"/>
      </w:r>
      <w:r>
        <w:rPr>
          <w:rStyle w:val="51"/>
          <w:rFonts w:ascii="Times New Roman" w:hAnsi="Times New Roman" w:cs="Times New Roman"/>
          <w:b w:val="0"/>
          <w:bCs w:val="0"/>
          <w:color w:val="auto"/>
        </w:rPr>
        <w:t>第16条 发展组团</w:t>
      </w:r>
      <w:r>
        <w:rPr>
          <w:b w:val="0"/>
          <w:bCs w:val="0"/>
        </w:rPr>
        <w:tab/>
      </w:r>
      <w:r>
        <w:rPr>
          <w:b w:val="0"/>
          <w:bCs w:val="0"/>
        </w:rPr>
        <w:fldChar w:fldCharType="begin"/>
      </w:r>
      <w:r>
        <w:rPr>
          <w:b w:val="0"/>
          <w:bCs w:val="0"/>
        </w:rPr>
        <w:instrText xml:space="preserve"> PAGEREF _Toc124321382 \h </w:instrText>
      </w:r>
      <w:r>
        <w:rPr>
          <w:b w:val="0"/>
          <w:bCs w:val="0"/>
        </w:rPr>
        <w:fldChar w:fldCharType="separate"/>
      </w:r>
      <w:r>
        <w:rPr>
          <w:b w:val="0"/>
          <w:bCs w:val="0"/>
        </w:rPr>
        <w:t>20</w:t>
      </w:r>
      <w:r>
        <w:rPr>
          <w:b w:val="0"/>
          <w:bCs w:val="0"/>
        </w:rPr>
        <w:fldChar w:fldCharType="end"/>
      </w:r>
      <w:r>
        <w:rPr>
          <w:b w:val="0"/>
          <w:bCs w:val="0"/>
        </w:rPr>
        <w:fldChar w:fldCharType="end"/>
      </w:r>
    </w:p>
    <w:p>
      <w:pPr>
        <w:spacing w:before="240" w:after="240"/>
        <w:ind w:left="0" w:leftChars="0"/>
      </w:pPr>
    </w:p>
    <w:p>
      <w:pPr>
        <w:pStyle w:val="36"/>
        <w:tabs>
          <w:tab w:val="right" w:leader="dot" w:pos="10244"/>
        </w:tabs>
        <w:ind w:left="0" w:leftChars="0"/>
        <w:rPr>
          <w:rFonts w:eastAsia="宋体" w:cs="宋体"/>
          <w:b w:val="0"/>
          <w:bCs w:val="0"/>
          <w:smallCaps w:val="0"/>
          <w:sz w:val="21"/>
        </w:rPr>
      </w:pPr>
      <w:r>
        <w:fldChar w:fldCharType="begin"/>
      </w:r>
      <w:r>
        <w:instrText xml:space="preserve"> HYPERLINK \l "_Toc124321383" </w:instrText>
      </w:r>
      <w:r>
        <w:fldChar w:fldCharType="separate"/>
      </w:r>
      <w:r>
        <w:rPr>
          <w:rStyle w:val="51"/>
          <w:rFonts w:ascii="Times New Roman" w:hAnsi="Times New Roman" w:cs="Times New Roman"/>
          <w:b w:val="0"/>
          <w:bCs w:val="0"/>
          <w:color w:val="auto"/>
        </w:rPr>
        <w:t>第17条 目标单元</w:t>
      </w:r>
      <w:r>
        <w:rPr>
          <w:b w:val="0"/>
          <w:bCs w:val="0"/>
        </w:rPr>
        <w:tab/>
      </w:r>
      <w:r>
        <w:rPr>
          <w:b w:val="0"/>
          <w:bCs w:val="0"/>
        </w:rPr>
        <w:fldChar w:fldCharType="begin"/>
      </w:r>
      <w:r>
        <w:rPr>
          <w:b w:val="0"/>
          <w:bCs w:val="0"/>
        </w:rPr>
        <w:instrText xml:space="preserve"> PAGEREF _Toc124321383 \h </w:instrText>
      </w:r>
      <w:r>
        <w:rPr>
          <w:b w:val="0"/>
          <w:bCs w:val="0"/>
        </w:rPr>
        <w:fldChar w:fldCharType="separate"/>
      </w:r>
      <w:r>
        <w:rPr>
          <w:b w:val="0"/>
          <w:bCs w:val="0"/>
        </w:rPr>
        <w:t>21</w:t>
      </w:r>
      <w:r>
        <w:rPr>
          <w:b w:val="0"/>
          <w:bCs w:val="0"/>
        </w:rPr>
        <w:fldChar w:fldCharType="end"/>
      </w:r>
      <w:r>
        <w:rPr>
          <w:b w:val="0"/>
          <w:bCs w:val="0"/>
        </w:rPr>
        <w:fldChar w:fldCharType="end"/>
      </w:r>
    </w:p>
    <w:p>
      <w:pPr>
        <w:pStyle w:val="36"/>
        <w:tabs>
          <w:tab w:val="right" w:leader="dot" w:pos="10244"/>
        </w:tabs>
        <w:ind w:left="0" w:leftChars="0"/>
        <w:rPr>
          <w:rFonts w:eastAsia="宋体" w:cs="宋体"/>
          <w:b w:val="0"/>
          <w:bCs w:val="0"/>
          <w:smallCaps w:val="0"/>
          <w:sz w:val="21"/>
        </w:rPr>
      </w:pPr>
      <w:r>
        <w:fldChar w:fldCharType="begin"/>
      </w:r>
      <w:r>
        <w:instrText xml:space="preserve"> HYPERLINK \l "_Toc124321384" </w:instrText>
      </w:r>
      <w:r>
        <w:fldChar w:fldCharType="separate"/>
      </w:r>
      <w:r>
        <w:rPr>
          <w:rStyle w:val="51"/>
          <w:rFonts w:ascii="Times New Roman" w:hAnsi="Times New Roman" w:cs="Times New Roman"/>
          <w:b w:val="0"/>
          <w:bCs w:val="0"/>
          <w:color w:val="auto"/>
        </w:rPr>
        <w:t>第18条 重点发展区域</w:t>
      </w:r>
      <w:r>
        <w:rPr>
          <w:b w:val="0"/>
          <w:bCs w:val="0"/>
        </w:rPr>
        <w:tab/>
      </w:r>
      <w:r>
        <w:rPr>
          <w:b w:val="0"/>
          <w:bCs w:val="0"/>
        </w:rPr>
        <w:fldChar w:fldCharType="begin"/>
      </w:r>
      <w:r>
        <w:rPr>
          <w:b w:val="0"/>
          <w:bCs w:val="0"/>
        </w:rPr>
        <w:instrText xml:space="preserve"> PAGEREF _Toc124321384 \h </w:instrText>
      </w:r>
      <w:r>
        <w:rPr>
          <w:b w:val="0"/>
          <w:bCs w:val="0"/>
        </w:rPr>
        <w:fldChar w:fldCharType="separate"/>
      </w:r>
      <w:r>
        <w:rPr>
          <w:b w:val="0"/>
          <w:bCs w:val="0"/>
        </w:rPr>
        <w:t>27</w:t>
      </w:r>
      <w:r>
        <w:rPr>
          <w:b w:val="0"/>
          <w:bCs w:val="0"/>
        </w:rPr>
        <w:fldChar w:fldCharType="end"/>
      </w:r>
      <w:r>
        <w:rPr>
          <w:b w:val="0"/>
          <w:bCs w:val="0"/>
        </w:rPr>
        <w:fldChar w:fldCharType="end"/>
      </w:r>
    </w:p>
    <w:p>
      <w:pPr>
        <w:pStyle w:val="28"/>
        <w:ind w:left="0" w:leftChars="0"/>
        <w:rPr>
          <w:rFonts w:eastAsia="宋体" w:cs="宋体"/>
          <w:b w:val="0"/>
          <w:bCs w:val="0"/>
          <w:caps w:val="0"/>
          <w:sz w:val="21"/>
          <w:u w:val="none"/>
        </w:rPr>
      </w:pPr>
      <w:r>
        <w:fldChar w:fldCharType="begin"/>
      </w:r>
      <w:r>
        <w:instrText xml:space="preserve"> HYPERLINK \l "_Toc124321385" </w:instrText>
      </w:r>
      <w:r>
        <w:fldChar w:fldCharType="separate"/>
      </w:r>
      <w:r>
        <w:rPr>
          <w:rStyle w:val="51"/>
          <w:rFonts w:ascii="Times New Roman" w:hAnsi="Times New Roman" w:cs="Times New Roman"/>
          <w:color w:val="auto"/>
        </w:rPr>
        <w:t>第五章 实施保障</w:t>
      </w:r>
      <w:r>
        <w:tab/>
      </w:r>
      <w:r>
        <w:fldChar w:fldCharType="begin"/>
      </w:r>
      <w:r>
        <w:instrText xml:space="preserve"> PAGEREF _Toc124321385 \h </w:instrText>
      </w:r>
      <w:r>
        <w:fldChar w:fldCharType="separate"/>
      </w:r>
      <w:r>
        <w:t>28</w:t>
      </w:r>
      <w:r>
        <w:fldChar w:fldCharType="end"/>
      </w:r>
      <w:r>
        <w:fldChar w:fldCharType="end"/>
      </w:r>
    </w:p>
    <w:p>
      <w:pPr>
        <w:pStyle w:val="36"/>
        <w:tabs>
          <w:tab w:val="right" w:leader="dot" w:pos="10244"/>
        </w:tabs>
        <w:ind w:left="0" w:leftChars="0"/>
        <w:rPr>
          <w:rFonts w:eastAsia="宋体" w:cs="宋体"/>
          <w:b w:val="0"/>
          <w:bCs w:val="0"/>
          <w:smallCaps w:val="0"/>
          <w:sz w:val="21"/>
        </w:rPr>
      </w:pPr>
      <w:r>
        <w:fldChar w:fldCharType="begin"/>
      </w:r>
      <w:r>
        <w:instrText xml:space="preserve"> HYPERLINK \l "_Toc124321386" </w:instrText>
      </w:r>
      <w:r>
        <w:fldChar w:fldCharType="separate"/>
      </w:r>
      <w:r>
        <w:rPr>
          <w:rStyle w:val="51"/>
          <w:rFonts w:ascii="Times New Roman" w:hAnsi="Times New Roman" w:cs="Times New Roman"/>
          <w:b w:val="0"/>
          <w:bCs w:val="0"/>
          <w:color w:val="auto"/>
        </w:rPr>
        <w:t>第19条 组织实施</w:t>
      </w:r>
      <w:r>
        <w:rPr>
          <w:b w:val="0"/>
          <w:bCs w:val="0"/>
        </w:rPr>
        <w:tab/>
      </w:r>
      <w:r>
        <w:rPr>
          <w:b w:val="0"/>
          <w:bCs w:val="0"/>
        </w:rPr>
        <w:fldChar w:fldCharType="begin"/>
      </w:r>
      <w:r>
        <w:rPr>
          <w:b w:val="0"/>
          <w:bCs w:val="0"/>
        </w:rPr>
        <w:instrText xml:space="preserve"> PAGEREF _Toc124321386 \h </w:instrText>
      </w:r>
      <w:r>
        <w:rPr>
          <w:b w:val="0"/>
          <w:bCs w:val="0"/>
        </w:rPr>
        <w:fldChar w:fldCharType="separate"/>
      </w:r>
      <w:r>
        <w:rPr>
          <w:b w:val="0"/>
          <w:bCs w:val="0"/>
        </w:rPr>
        <w:t>28</w:t>
      </w:r>
      <w:r>
        <w:rPr>
          <w:b w:val="0"/>
          <w:bCs w:val="0"/>
        </w:rPr>
        <w:fldChar w:fldCharType="end"/>
      </w:r>
      <w:r>
        <w:rPr>
          <w:b w:val="0"/>
          <w:bCs w:val="0"/>
        </w:rPr>
        <w:fldChar w:fldCharType="end"/>
      </w:r>
    </w:p>
    <w:p>
      <w:pPr>
        <w:pStyle w:val="36"/>
        <w:tabs>
          <w:tab w:val="right" w:leader="dot" w:pos="10244"/>
        </w:tabs>
        <w:ind w:left="0" w:leftChars="0"/>
        <w:rPr>
          <w:rFonts w:eastAsia="宋体" w:cs="宋体"/>
          <w:b w:val="0"/>
          <w:bCs w:val="0"/>
          <w:smallCaps w:val="0"/>
          <w:sz w:val="21"/>
        </w:rPr>
      </w:pPr>
      <w:r>
        <w:fldChar w:fldCharType="begin"/>
      </w:r>
      <w:r>
        <w:instrText xml:space="preserve"> HYPERLINK \l "_Toc124321387" </w:instrText>
      </w:r>
      <w:r>
        <w:fldChar w:fldCharType="separate"/>
      </w:r>
      <w:r>
        <w:rPr>
          <w:rStyle w:val="51"/>
          <w:rFonts w:ascii="Times New Roman" w:hAnsi="Times New Roman" w:cs="Times New Roman"/>
          <w:b w:val="0"/>
          <w:bCs w:val="0"/>
          <w:color w:val="auto"/>
        </w:rPr>
        <w:t>第20条 保障措施</w:t>
      </w:r>
      <w:r>
        <w:rPr>
          <w:b w:val="0"/>
          <w:bCs w:val="0"/>
        </w:rPr>
        <w:tab/>
      </w:r>
      <w:r>
        <w:rPr>
          <w:b w:val="0"/>
          <w:bCs w:val="0"/>
        </w:rPr>
        <w:fldChar w:fldCharType="begin"/>
      </w:r>
      <w:r>
        <w:rPr>
          <w:b w:val="0"/>
          <w:bCs w:val="0"/>
        </w:rPr>
        <w:instrText xml:space="preserve"> PAGEREF _Toc124321387 \h </w:instrText>
      </w:r>
      <w:r>
        <w:rPr>
          <w:b w:val="0"/>
          <w:bCs w:val="0"/>
        </w:rPr>
        <w:fldChar w:fldCharType="separate"/>
      </w:r>
      <w:r>
        <w:rPr>
          <w:b w:val="0"/>
          <w:bCs w:val="0"/>
        </w:rPr>
        <w:t>30</w:t>
      </w:r>
      <w:r>
        <w:rPr>
          <w:b w:val="0"/>
          <w:bCs w:val="0"/>
        </w:rPr>
        <w:fldChar w:fldCharType="end"/>
      </w:r>
      <w:r>
        <w:rPr>
          <w:b w:val="0"/>
          <w:bCs w:val="0"/>
        </w:rPr>
        <w:fldChar w:fldCharType="end"/>
      </w:r>
    </w:p>
    <w:p>
      <w:pPr>
        <w:pStyle w:val="28"/>
        <w:ind w:left="0" w:leftChars="0"/>
        <w:rPr>
          <w:rFonts w:eastAsia="宋体" w:cs="宋体"/>
          <w:b w:val="0"/>
          <w:bCs w:val="0"/>
          <w:caps w:val="0"/>
          <w:sz w:val="21"/>
          <w:u w:val="none"/>
        </w:rPr>
      </w:pPr>
      <w:r>
        <w:fldChar w:fldCharType="begin"/>
      </w:r>
      <w:r>
        <w:instrText xml:space="preserve"> HYPERLINK \l "_Toc124321388" </w:instrText>
      </w:r>
      <w:r>
        <w:fldChar w:fldCharType="separate"/>
      </w:r>
      <w:r>
        <w:rPr>
          <w:rStyle w:val="51"/>
          <w:rFonts w:ascii="Times New Roman" w:hAnsi="Times New Roman" w:cs="Times New Roman"/>
          <w:color w:val="auto"/>
        </w:rPr>
        <w:t>第六章 近期主要工作</w:t>
      </w:r>
      <w:r>
        <w:tab/>
      </w:r>
      <w:r>
        <w:fldChar w:fldCharType="begin"/>
      </w:r>
      <w:r>
        <w:instrText xml:space="preserve"> PAGEREF _Toc124321388 \h </w:instrText>
      </w:r>
      <w:r>
        <w:fldChar w:fldCharType="separate"/>
      </w:r>
      <w:r>
        <w:t>32</w:t>
      </w:r>
      <w:r>
        <w:fldChar w:fldCharType="end"/>
      </w:r>
      <w:r>
        <w:fldChar w:fldCharType="end"/>
      </w:r>
    </w:p>
    <w:p>
      <w:pPr>
        <w:pStyle w:val="36"/>
        <w:tabs>
          <w:tab w:val="right" w:leader="dot" w:pos="10244"/>
        </w:tabs>
        <w:ind w:left="0" w:leftChars="0"/>
        <w:rPr>
          <w:rFonts w:eastAsia="宋体" w:cs="宋体"/>
          <w:b w:val="0"/>
          <w:bCs w:val="0"/>
          <w:smallCaps w:val="0"/>
          <w:sz w:val="21"/>
        </w:rPr>
      </w:pPr>
      <w:r>
        <w:fldChar w:fldCharType="begin"/>
      </w:r>
      <w:r>
        <w:instrText xml:space="preserve"> HYPERLINK \l "_Toc124321389" </w:instrText>
      </w:r>
      <w:r>
        <w:fldChar w:fldCharType="separate"/>
      </w:r>
      <w:r>
        <w:rPr>
          <w:rStyle w:val="51"/>
          <w:rFonts w:ascii="Times New Roman" w:hAnsi="Times New Roman" w:cs="Times New Roman"/>
          <w:b w:val="0"/>
          <w:bCs w:val="0"/>
          <w:color w:val="auto"/>
        </w:rPr>
        <w:t>第21条 近期重点工作</w:t>
      </w:r>
      <w:r>
        <w:rPr>
          <w:b w:val="0"/>
          <w:bCs w:val="0"/>
        </w:rPr>
        <w:tab/>
      </w:r>
      <w:r>
        <w:rPr>
          <w:b w:val="0"/>
          <w:bCs w:val="0"/>
        </w:rPr>
        <w:fldChar w:fldCharType="begin"/>
      </w:r>
      <w:r>
        <w:rPr>
          <w:b w:val="0"/>
          <w:bCs w:val="0"/>
        </w:rPr>
        <w:instrText xml:space="preserve"> PAGEREF _Toc124321389 \h </w:instrText>
      </w:r>
      <w:r>
        <w:rPr>
          <w:b w:val="0"/>
          <w:bCs w:val="0"/>
        </w:rPr>
        <w:fldChar w:fldCharType="separate"/>
      </w:r>
      <w:r>
        <w:rPr>
          <w:b w:val="0"/>
          <w:bCs w:val="0"/>
        </w:rPr>
        <w:t>32</w:t>
      </w:r>
      <w:r>
        <w:rPr>
          <w:b w:val="0"/>
          <w:bCs w:val="0"/>
        </w:rPr>
        <w:fldChar w:fldCharType="end"/>
      </w:r>
      <w:r>
        <w:rPr>
          <w:b w:val="0"/>
          <w:bCs w:val="0"/>
        </w:rPr>
        <w:fldChar w:fldCharType="end"/>
      </w:r>
    </w:p>
    <w:p>
      <w:pPr>
        <w:pStyle w:val="36"/>
        <w:tabs>
          <w:tab w:val="right" w:leader="dot" w:pos="10244"/>
        </w:tabs>
        <w:ind w:left="0" w:leftChars="0"/>
        <w:rPr>
          <w:rFonts w:eastAsia="宋体" w:cs="宋体"/>
          <w:b w:val="0"/>
          <w:bCs w:val="0"/>
          <w:smallCaps w:val="0"/>
          <w:sz w:val="21"/>
        </w:rPr>
      </w:pPr>
      <w:r>
        <w:fldChar w:fldCharType="begin"/>
      </w:r>
      <w:r>
        <w:instrText xml:space="preserve"> HYPERLINK \l "_Toc124321390" </w:instrText>
      </w:r>
      <w:r>
        <w:fldChar w:fldCharType="separate"/>
      </w:r>
      <w:r>
        <w:rPr>
          <w:rStyle w:val="51"/>
          <w:rFonts w:ascii="Times New Roman" w:hAnsi="Times New Roman" w:cs="Times New Roman"/>
          <w:b w:val="0"/>
          <w:bCs w:val="0"/>
          <w:color w:val="auto"/>
        </w:rPr>
        <w:t>第22条 工业建筑绿色技术推荐示范项目列表</w:t>
      </w:r>
      <w:r>
        <w:rPr>
          <w:b w:val="0"/>
          <w:bCs w:val="0"/>
        </w:rPr>
        <w:tab/>
      </w:r>
      <w:r>
        <w:rPr>
          <w:b w:val="0"/>
          <w:bCs w:val="0"/>
        </w:rPr>
        <w:fldChar w:fldCharType="begin"/>
      </w:r>
      <w:r>
        <w:rPr>
          <w:b w:val="0"/>
          <w:bCs w:val="0"/>
        </w:rPr>
        <w:instrText xml:space="preserve"> PAGEREF _Toc124321390 \h </w:instrText>
      </w:r>
      <w:r>
        <w:rPr>
          <w:b w:val="0"/>
          <w:bCs w:val="0"/>
        </w:rPr>
        <w:fldChar w:fldCharType="separate"/>
      </w:r>
      <w:r>
        <w:rPr>
          <w:b w:val="0"/>
          <w:bCs w:val="0"/>
        </w:rPr>
        <w:t>33</w:t>
      </w:r>
      <w:r>
        <w:rPr>
          <w:b w:val="0"/>
          <w:bCs w:val="0"/>
        </w:rPr>
        <w:fldChar w:fldCharType="end"/>
      </w:r>
      <w:r>
        <w:rPr>
          <w:b w:val="0"/>
          <w:bCs w:val="0"/>
        </w:rPr>
        <w:fldChar w:fldCharType="end"/>
      </w:r>
    </w:p>
    <w:p>
      <w:pPr>
        <w:adjustRightInd w:val="0"/>
        <w:snapToGrid w:val="0"/>
        <w:spacing w:line="312" w:lineRule="auto"/>
        <w:ind w:left="0" w:leftChars="0"/>
        <w:jc w:val="left"/>
        <w:rPr>
          <w:rFonts w:ascii="Times New Roman" w:hAnsi="Times New Roman" w:eastAsia="仿宋" w:cs="Times New Roman"/>
          <w:sz w:val="44"/>
          <w:szCs w:val="44"/>
        </w:rPr>
      </w:pPr>
      <w:r>
        <w:rPr>
          <w:rFonts w:ascii="Times New Roman" w:hAnsi="Times New Roman" w:eastAsia="仿宋" w:cs="Times New Roman"/>
          <w:szCs w:val="44"/>
        </w:rPr>
        <w:fldChar w:fldCharType="end"/>
      </w:r>
    </w:p>
    <w:p>
      <w:pPr>
        <w:adjustRightInd w:val="0"/>
        <w:snapToGrid w:val="0"/>
        <w:spacing w:line="312" w:lineRule="auto"/>
        <w:rPr>
          <w:rFonts w:ascii="Times New Roman" w:hAnsi="Times New Roman" w:eastAsia="仿宋" w:cs="Times New Roman"/>
          <w:sz w:val="24"/>
          <w:szCs w:val="24"/>
        </w:rPr>
        <w:sectPr>
          <w:pgSz w:w="11906" w:h="16838"/>
          <w:pgMar w:top="1440" w:right="720" w:bottom="1440" w:left="873" w:header="851" w:footer="992" w:gutter="0"/>
          <w:cols w:space="0" w:num="1"/>
          <w:rtlGutter w:val="0"/>
          <w:docGrid w:type="linesAndChars" w:linePitch="312" w:charSpace="735"/>
        </w:sectPr>
      </w:pPr>
    </w:p>
    <w:p>
      <w:pPr>
        <w:adjustRightInd w:val="0"/>
        <w:snapToGrid w:val="0"/>
        <w:spacing w:line="312" w:lineRule="auto"/>
        <w:rPr>
          <w:rFonts w:ascii="Times New Roman" w:hAnsi="Times New Roman" w:eastAsia="仿宋" w:cs="Times New Roman"/>
          <w:sz w:val="24"/>
          <w:szCs w:val="24"/>
        </w:rPr>
      </w:pPr>
    </w:p>
    <w:p>
      <w:pPr>
        <w:pStyle w:val="4"/>
        <w:spacing w:before="0" w:after="0"/>
        <w:jc w:val="center"/>
        <w:rPr>
          <w:rFonts w:ascii="Times New Roman" w:hAnsi="Times New Roman" w:eastAsia="黑体" w:cs="Times New Roman"/>
          <w:sz w:val="36"/>
          <w:szCs w:val="36"/>
        </w:rPr>
      </w:pPr>
      <w:bookmarkStart w:id="0" w:name="_Toc493355615"/>
      <w:r>
        <w:rPr>
          <w:rFonts w:ascii="Times New Roman" w:hAnsi="Times New Roman" w:eastAsia="黑体" w:cs="Times New Roman"/>
          <w:sz w:val="36"/>
          <w:szCs w:val="36"/>
        </w:rPr>
        <w:t xml:space="preserve"> </w:t>
      </w:r>
      <w:bookmarkEnd w:id="0"/>
      <w:bookmarkStart w:id="1" w:name="_Toc124321363"/>
      <w:bookmarkStart w:id="2" w:name="_Toc525718495"/>
      <w:bookmarkStart w:id="3" w:name="_Toc501619201"/>
      <w:r>
        <w:rPr>
          <w:rFonts w:hint="eastAsia" w:ascii="Times New Roman" w:hAnsi="Times New Roman" w:eastAsia="黑体" w:cs="Times New Roman"/>
          <w:sz w:val="36"/>
          <w:szCs w:val="36"/>
        </w:rPr>
        <w:t>第一章　总</w:t>
      </w:r>
      <w:r>
        <w:rPr>
          <w:rFonts w:ascii="Times New Roman" w:hAnsi="Times New Roman" w:eastAsia="黑体" w:cs="Times New Roman"/>
          <w:sz w:val="36"/>
          <w:szCs w:val="36"/>
        </w:rPr>
        <w:t xml:space="preserve"> </w:t>
      </w:r>
      <w:r>
        <w:rPr>
          <w:rFonts w:hint="eastAsia" w:ascii="Times New Roman" w:hAnsi="Times New Roman" w:eastAsia="黑体" w:cs="Times New Roman"/>
          <w:sz w:val="36"/>
          <w:szCs w:val="36"/>
        </w:rPr>
        <w:t>则</w:t>
      </w:r>
      <w:bookmarkEnd w:id="1"/>
      <w:bookmarkEnd w:id="2"/>
      <w:bookmarkEnd w:id="3"/>
    </w:p>
    <w:p>
      <w:pPr>
        <w:pStyle w:val="5"/>
        <w:rPr>
          <w:rFonts w:ascii="Times New Roman" w:hAnsi="Times New Roman" w:eastAsia="仿宋" w:cs="Times New Roman"/>
          <w:sz w:val="30"/>
          <w:szCs w:val="30"/>
        </w:rPr>
      </w:pPr>
      <w:bookmarkStart w:id="4" w:name="_Toc124321364"/>
      <w:bookmarkStart w:id="5" w:name="_Toc525718496"/>
      <w:bookmarkStart w:id="6" w:name="_Toc501619202"/>
      <w:bookmarkStart w:id="7" w:name="_Toc493355616"/>
      <w:r>
        <w:rPr>
          <w:rFonts w:hint="eastAsia" w:ascii="Times New Roman" w:hAnsi="Times New Roman" w:eastAsia="仿宋" w:cs="Times New Roman"/>
          <w:sz w:val="30"/>
          <w:szCs w:val="30"/>
        </w:rPr>
        <w:t>第</w:t>
      </w:r>
      <w:r>
        <w:rPr>
          <w:rFonts w:ascii="Times New Roman" w:hAnsi="Times New Roman" w:eastAsia="仿宋" w:cs="Times New Roman"/>
          <w:sz w:val="30"/>
          <w:szCs w:val="30"/>
        </w:rPr>
        <w:t>1</w:t>
      </w:r>
      <w:r>
        <w:rPr>
          <w:rFonts w:hint="eastAsia" w:ascii="Times New Roman" w:hAnsi="Times New Roman" w:eastAsia="仿宋" w:cs="Times New Roman"/>
          <w:sz w:val="30"/>
          <w:szCs w:val="30"/>
        </w:rPr>
        <w:t>条</w:t>
      </w:r>
      <w:r>
        <w:rPr>
          <w:rFonts w:ascii="Times New Roman" w:hAnsi="Times New Roman" w:eastAsia="仿宋" w:cs="Times New Roman"/>
          <w:sz w:val="30"/>
          <w:szCs w:val="30"/>
        </w:rPr>
        <w:t xml:space="preserve"> </w:t>
      </w:r>
      <w:r>
        <w:rPr>
          <w:rFonts w:hint="eastAsia" w:ascii="Times New Roman" w:hAnsi="Times New Roman" w:eastAsia="仿宋" w:cs="Times New Roman"/>
          <w:sz w:val="30"/>
          <w:szCs w:val="30"/>
        </w:rPr>
        <w:t>规划背景</w:t>
      </w:r>
      <w:bookmarkEnd w:id="4"/>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bookmarkStart w:id="8" w:name="_Hlk97739460"/>
      <w:r>
        <w:rPr>
          <w:rFonts w:ascii="Times New Roman" w:hAnsi="Times New Roman" w:eastAsia="仿宋" w:cs="Times New Roman"/>
          <w:sz w:val="24"/>
        </w:rPr>
        <w:t>《广东省绿色建筑条例》</w:t>
      </w:r>
      <w:bookmarkEnd w:id="8"/>
      <w:r>
        <w:rPr>
          <w:rFonts w:ascii="Times New Roman" w:hAnsi="Times New Roman" w:eastAsia="仿宋" w:cs="Times New Roman"/>
          <w:sz w:val="24"/>
        </w:rPr>
        <w:t>提出</w:t>
      </w:r>
      <w:r>
        <w:rPr>
          <w:rFonts w:hint="eastAsia" w:ascii="Times New Roman" w:hAnsi="Times New Roman" w:eastAsia="仿宋" w:cs="Times New Roman"/>
          <w:sz w:val="24"/>
        </w:rPr>
        <w:t>“</w:t>
      </w:r>
      <w:r>
        <w:rPr>
          <w:rFonts w:ascii="Times New Roman" w:hAnsi="Times New Roman" w:eastAsia="仿宋" w:cs="Times New Roman"/>
          <w:sz w:val="24"/>
        </w:rPr>
        <w:t>地级以上市、县级人民政府住房城乡建设主管部门应当会同发展改革、自然资源等主管部门组织编制本行政区域的绿色建筑发展专项规划，报本级人民政府批准并向社会公开。</w:t>
      </w:r>
      <w:r>
        <w:rPr>
          <w:rFonts w:hint="eastAsia" w:ascii="Times New Roman" w:hAnsi="Times New Roman" w:eastAsia="仿宋" w:cs="Times New Roman"/>
          <w:sz w:val="24"/>
        </w:rPr>
        <w:t>”为认真贯彻落实国家、省市对绿色建筑的相关发展要求，促进中山市绿色建筑高质量有序发展，组织编制本绿色建筑发展专项规划。</w:t>
      </w:r>
    </w:p>
    <w:p>
      <w:pPr>
        <w:pStyle w:val="5"/>
        <w:rPr>
          <w:rFonts w:ascii="Times New Roman" w:hAnsi="Times New Roman" w:eastAsia="仿宋" w:cs="Times New Roman"/>
          <w:sz w:val="30"/>
          <w:szCs w:val="30"/>
        </w:rPr>
      </w:pPr>
      <w:bookmarkStart w:id="9" w:name="_Toc124321365"/>
      <w:r>
        <w:rPr>
          <w:rFonts w:hint="eastAsia" w:ascii="Times New Roman" w:hAnsi="Times New Roman" w:eastAsia="仿宋" w:cs="Times New Roman"/>
          <w:sz w:val="30"/>
          <w:szCs w:val="30"/>
        </w:rPr>
        <w:t>第</w:t>
      </w:r>
      <w:r>
        <w:rPr>
          <w:rFonts w:ascii="Times New Roman" w:hAnsi="Times New Roman" w:eastAsia="仿宋" w:cs="Times New Roman"/>
          <w:sz w:val="30"/>
          <w:szCs w:val="30"/>
        </w:rPr>
        <w:t>2</w:t>
      </w:r>
      <w:r>
        <w:rPr>
          <w:rFonts w:hint="eastAsia" w:ascii="Times New Roman" w:hAnsi="Times New Roman" w:eastAsia="仿宋" w:cs="Times New Roman"/>
          <w:sz w:val="30"/>
          <w:szCs w:val="30"/>
        </w:rPr>
        <w:t>条</w:t>
      </w:r>
      <w:r>
        <w:rPr>
          <w:rFonts w:ascii="Times New Roman" w:hAnsi="Times New Roman" w:eastAsia="仿宋" w:cs="Times New Roman"/>
          <w:sz w:val="30"/>
          <w:szCs w:val="30"/>
        </w:rPr>
        <w:t xml:space="preserve"> </w:t>
      </w:r>
      <w:bookmarkEnd w:id="5"/>
      <w:bookmarkEnd w:id="6"/>
      <w:bookmarkEnd w:id="7"/>
      <w:r>
        <w:rPr>
          <w:rFonts w:hint="eastAsia" w:ascii="Times New Roman" w:hAnsi="Times New Roman" w:eastAsia="仿宋" w:cs="Times New Roman"/>
          <w:sz w:val="30"/>
          <w:szCs w:val="30"/>
        </w:rPr>
        <w:t>目的原则</w:t>
      </w:r>
      <w:bookmarkEnd w:id="9"/>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本规划以习近平新时代中国特色社会主义思想为指导，深入贯彻绿色发展理念，贯彻落实广东省建筑节能与绿色建筑发展“十四五”规划要求，坚持“因地制宜、适度超前、统筹兼顾、突出重点”的原则，明确中山市绿色建筑发展目标、分区与任务，促进中山市建筑低碳绿色发展。</w:t>
      </w:r>
    </w:p>
    <w:p>
      <w:pPr>
        <w:pStyle w:val="5"/>
        <w:rPr>
          <w:rFonts w:ascii="Times New Roman" w:hAnsi="Times New Roman" w:eastAsia="仿宋" w:cs="Times New Roman"/>
          <w:sz w:val="30"/>
          <w:szCs w:val="30"/>
        </w:rPr>
      </w:pPr>
      <w:bookmarkStart w:id="10" w:name="_Toc525718500"/>
      <w:bookmarkStart w:id="11" w:name="_Toc124321366"/>
      <w:r>
        <w:rPr>
          <w:rFonts w:hint="eastAsia" w:ascii="Times New Roman" w:hAnsi="Times New Roman" w:eastAsia="仿宋" w:cs="Times New Roman"/>
          <w:sz w:val="30"/>
          <w:szCs w:val="30"/>
        </w:rPr>
        <w:t>第3条</w:t>
      </w:r>
      <w:r>
        <w:rPr>
          <w:rFonts w:ascii="Times New Roman" w:hAnsi="Times New Roman" w:eastAsia="仿宋" w:cs="Times New Roman"/>
          <w:sz w:val="30"/>
          <w:szCs w:val="30"/>
        </w:rPr>
        <w:t xml:space="preserve"> </w:t>
      </w:r>
      <w:r>
        <w:rPr>
          <w:rFonts w:hint="eastAsia" w:ascii="Times New Roman" w:hAnsi="Times New Roman" w:eastAsia="仿宋" w:cs="Times New Roman"/>
          <w:sz w:val="30"/>
          <w:szCs w:val="30"/>
        </w:rPr>
        <w:t>规划依据</w:t>
      </w:r>
      <w:bookmarkEnd w:id="10"/>
      <w:bookmarkEnd w:id="11"/>
    </w:p>
    <w:p>
      <w:pPr>
        <w:tabs>
          <w:tab w:val="left" w:pos="1680"/>
        </w:tabs>
        <w:adjustRightInd w:val="0"/>
        <w:snapToGrid w:val="0"/>
        <w:spacing w:before="93" w:beforeLines="30" w:after="93" w:afterLines="30" w:line="360" w:lineRule="auto"/>
        <w:ind w:firstLine="480" w:firstLineChars="200"/>
        <w:rPr>
          <w:rFonts w:hint="eastAsia" w:ascii="Times New Roman" w:hAnsi="Times New Roman" w:eastAsia="仿宋" w:cs="Times New Roman"/>
          <w:sz w:val="24"/>
          <w:lang w:eastAsia="zh-CN"/>
        </w:rPr>
      </w:pPr>
      <w:r>
        <w:rPr>
          <w:rFonts w:hint="eastAsia" w:ascii="Times New Roman" w:hAnsi="Times New Roman" w:eastAsia="仿宋" w:cs="Times New Roman"/>
          <w:sz w:val="24"/>
        </w:rPr>
        <w:t>1</w:t>
      </w:r>
      <w:r>
        <w:rPr>
          <w:rFonts w:hint="default" w:ascii="Times New Roman" w:hAnsi="Times New Roman" w:eastAsia="仿宋" w:cs="Times New Roman"/>
          <w:sz w:val="24"/>
        </w:rPr>
        <w:t>.</w:t>
      </w:r>
      <w:r>
        <w:rPr>
          <w:rFonts w:hint="eastAsia" w:ascii="Times New Roman" w:hAnsi="Times New Roman" w:eastAsia="仿宋" w:cs="Times New Roman"/>
          <w:sz w:val="24"/>
        </w:rPr>
        <w:t>《中华人民共和国城乡规划法》</w:t>
      </w:r>
    </w:p>
    <w:p>
      <w:pPr>
        <w:tabs>
          <w:tab w:val="left" w:pos="1680"/>
        </w:tabs>
        <w:adjustRightInd w:val="0"/>
        <w:snapToGrid w:val="0"/>
        <w:spacing w:before="93" w:beforeLines="30" w:after="93" w:afterLines="30" w:line="360" w:lineRule="auto"/>
        <w:ind w:firstLine="480" w:firstLineChars="200"/>
        <w:rPr>
          <w:rFonts w:hint="default" w:ascii="Times New Roman" w:hAnsi="Times New Roman" w:eastAsia="仿宋" w:cs="Times New Roman"/>
          <w:sz w:val="24"/>
          <w:lang w:val="en-US" w:eastAsia="zh-CN"/>
        </w:rPr>
      </w:pPr>
      <w:r>
        <w:rPr>
          <w:rFonts w:hint="eastAsia" w:ascii="Times New Roman" w:hAnsi="Times New Roman" w:eastAsia="仿宋" w:cs="Times New Roman"/>
          <w:sz w:val="24"/>
        </w:rPr>
        <w:t>2</w:t>
      </w:r>
      <w:r>
        <w:rPr>
          <w:rFonts w:hint="default" w:ascii="Times New Roman" w:hAnsi="Times New Roman" w:eastAsia="仿宋" w:cs="Times New Roman"/>
          <w:sz w:val="24"/>
        </w:rPr>
        <w:t>.</w:t>
      </w:r>
      <w:r>
        <w:rPr>
          <w:rFonts w:hint="eastAsia" w:ascii="Times New Roman" w:hAnsi="Times New Roman" w:eastAsia="仿宋" w:cs="Times New Roman"/>
          <w:sz w:val="24"/>
        </w:rPr>
        <w:t>《民用建筑节能条例》</w:t>
      </w:r>
    </w:p>
    <w:p>
      <w:pPr>
        <w:tabs>
          <w:tab w:val="left" w:pos="1680"/>
        </w:tabs>
        <w:adjustRightInd w:val="0"/>
        <w:snapToGrid w:val="0"/>
        <w:spacing w:before="93" w:beforeLines="30" w:after="93" w:afterLines="30" w:line="360" w:lineRule="auto"/>
        <w:ind w:firstLine="480" w:firstLineChars="200"/>
        <w:rPr>
          <w:rFonts w:hint="default" w:ascii="Times New Roman" w:hAnsi="Times New Roman" w:eastAsia="仿宋" w:cs="Times New Roman"/>
          <w:sz w:val="24"/>
          <w:lang w:val="en-US" w:eastAsia="zh-CN"/>
        </w:rPr>
      </w:pPr>
      <w:r>
        <w:rPr>
          <w:rFonts w:hint="eastAsia" w:ascii="Times New Roman" w:hAnsi="Times New Roman" w:eastAsia="仿宋" w:cs="Times New Roman"/>
          <w:sz w:val="24"/>
        </w:rPr>
        <w:t>3</w:t>
      </w:r>
      <w:r>
        <w:rPr>
          <w:rFonts w:hint="default" w:ascii="Times New Roman" w:hAnsi="Times New Roman" w:eastAsia="仿宋" w:cs="Times New Roman"/>
          <w:sz w:val="24"/>
        </w:rPr>
        <w:t>.</w:t>
      </w:r>
      <w:r>
        <w:rPr>
          <w:rFonts w:hint="eastAsia" w:ascii="Times New Roman" w:hAnsi="Times New Roman" w:eastAsia="仿宋" w:cs="Times New Roman"/>
          <w:sz w:val="24"/>
        </w:rPr>
        <w:t>《广东省城乡规划条例》</w:t>
      </w:r>
    </w:p>
    <w:p>
      <w:pPr>
        <w:tabs>
          <w:tab w:val="left" w:pos="1680"/>
        </w:tabs>
        <w:adjustRightInd w:val="0"/>
        <w:snapToGrid w:val="0"/>
        <w:spacing w:before="93" w:beforeLines="30" w:after="93" w:afterLines="30" w:line="360" w:lineRule="auto"/>
        <w:ind w:firstLine="480" w:firstLineChars="200"/>
        <w:rPr>
          <w:rFonts w:hint="default" w:ascii="Times New Roman" w:hAnsi="Times New Roman" w:eastAsia="仿宋" w:cs="Times New Roman"/>
          <w:sz w:val="24"/>
          <w:lang w:val="en-US" w:eastAsia="zh-CN"/>
        </w:rPr>
      </w:pPr>
      <w:bookmarkStart w:id="12" w:name="_Toc525718501"/>
      <w:r>
        <w:rPr>
          <w:rFonts w:hint="eastAsia" w:ascii="Times New Roman" w:hAnsi="Times New Roman" w:eastAsia="仿宋" w:cs="Times New Roman"/>
          <w:sz w:val="24"/>
        </w:rPr>
        <w:t>4</w:t>
      </w:r>
      <w:r>
        <w:rPr>
          <w:rFonts w:hint="default" w:ascii="Times New Roman" w:hAnsi="Times New Roman" w:eastAsia="仿宋" w:cs="Times New Roman"/>
          <w:sz w:val="24"/>
        </w:rPr>
        <w:t>.</w:t>
      </w:r>
      <w:r>
        <w:rPr>
          <w:rFonts w:hint="eastAsia" w:ascii="Times New Roman" w:hAnsi="Times New Roman" w:eastAsia="仿宋" w:cs="Times New Roman"/>
          <w:sz w:val="24"/>
        </w:rPr>
        <w:t>《广东省绿色建筑条例》</w:t>
      </w:r>
    </w:p>
    <w:bookmarkEnd w:id="12"/>
    <w:p>
      <w:pPr>
        <w:tabs>
          <w:tab w:val="left" w:pos="1680"/>
        </w:tabs>
        <w:adjustRightInd w:val="0"/>
        <w:snapToGrid w:val="0"/>
        <w:spacing w:before="93" w:beforeLines="30" w:after="93" w:afterLines="30" w:line="360" w:lineRule="auto"/>
        <w:ind w:firstLine="480" w:firstLineChars="200"/>
        <w:rPr>
          <w:rFonts w:hint="default" w:ascii="Times New Roman" w:hAnsi="Times New Roman" w:eastAsia="仿宋" w:cs="Times New Roman"/>
          <w:sz w:val="24"/>
          <w:lang w:val="en-US"/>
        </w:rPr>
      </w:pPr>
      <w:r>
        <w:rPr>
          <w:rFonts w:hint="eastAsia" w:ascii="Times New Roman" w:hAnsi="Times New Roman" w:eastAsia="仿宋" w:cs="Times New Roman"/>
          <w:sz w:val="24"/>
        </w:rPr>
        <w:t>5</w:t>
      </w:r>
      <w:r>
        <w:rPr>
          <w:rFonts w:hint="default" w:ascii="Times New Roman" w:hAnsi="Times New Roman" w:eastAsia="仿宋" w:cs="Times New Roman"/>
          <w:sz w:val="24"/>
        </w:rPr>
        <w:t>.</w:t>
      </w:r>
      <w:r>
        <w:rPr>
          <w:rFonts w:hint="eastAsia" w:ascii="Times New Roman" w:hAnsi="Times New Roman" w:eastAsia="仿宋" w:cs="Times New Roman"/>
          <w:sz w:val="24"/>
        </w:rPr>
        <w:t>《住房和城乡建设部 国家发展改革委 教育部 工业和信息化部 人民银行 国管局 银保监会关于印发绿色建筑创建行动方案的通知》</w:t>
      </w:r>
      <w:r>
        <w:rPr>
          <w:rFonts w:hint="eastAsia" w:ascii="Times New Roman" w:hAnsi="Times New Roman" w:eastAsia="仿宋" w:cs="Times New Roman"/>
          <w:sz w:val="24"/>
          <w:lang w:eastAsia="zh-CN"/>
        </w:rPr>
        <w:t>（</w:t>
      </w:r>
      <w:r>
        <w:rPr>
          <w:rFonts w:hint="eastAsia" w:ascii="Times New Roman" w:hAnsi="Times New Roman" w:eastAsia="仿宋" w:cs="Times New Roman"/>
          <w:sz w:val="24"/>
        </w:rPr>
        <w:t>建标〔2020〕65号</w:t>
      </w:r>
      <w:r>
        <w:rPr>
          <w:rFonts w:hint="eastAsia" w:ascii="Times New Roman" w:hAnsi="Times New Roman" w:eastAsia="仿宋" w:cs="Times New Roman"/>
          <w:sz w:val="24"/>
          <w:lang w:eastAsia="zh-CN"/>
        </w:rPr>
        <w:t>）</w:t>
      </w:r>
    </w:p>
    <w:p>
      <w:pPr>
        <w:tabs>
          <w:tab w:val="left" w:pos="1680"/>
        </w:tabs>
        <w:adjustRightInd w:val="0"/>
        <w:snapToGrid w:val="0"/>
        <w:spacing w:before="93" w:beforeLines="30" w:after="93" w:afterLines="30" w:line="360" w:lineRule="auto"/>
        <w:ind w:firstLine="480" w:firstLineChars="200"/>
        <w:rPr>
          <w:rFonts w:hint="eastAsia" w:ascii="Times New Roman" w:hAnsi="Times New Roman" w:eastAsia="仿宋" w:cs="Times New Roman"/>
          <w:sz w:val="24"/>
        </w:rPr>
      </w:pPr>
      <w:r>
        <w:rPr>
          <w:rFonts w:hint="eastAsia" w:ascii="Times New Roman" w:hAnsi="Times New Roman" w:eastAsia="仿宋" w:cs="Times New Roman"/>
          <w:sz w:val="24"/>
        </w:rPr>
        <w:t>6</w:t>
      </w:r>
      <w:r>
        <w:rPr>
          <w:rFonts w:hint="default" w:ascii="Times New Roman" w:hAnsi="Times New Roman" w:eastAsia="仿宋" w:cs="Times New Roman"/>
          <w:sz w:val="24"/>
        </w:rPr>
        <w:t>.</w:t>
      </w:r>
      <w:r>
        <w:rPr>
          <w:rFonts w:hint="eastAsia" w:ascii="Times New Roman" w:hAnsi="Times New Roman" w:eastAsia="仿宋" w:cs="Times New Roman"/>
          <w:sz w:val="24"/>
        </w:rPr>
        <w:t>《中共中央办公厅 国务院办公厅印发〈关于推动城乡建设绿色发展的意见〉》</w:t>
      </w:r>
    </w:p>
    <w:p>
      <w:pPr>
        <w:tabs>
          <w:tab w:val="left" w:pos="1680"/>
        </w:tabs>
        <w:adjustRightInd w:val="0"/>
        <w:snapToGrid w:val="0"/>
        <w:spacing w:before="93" w:beforeLines="30" w:after="93" w:afterLines="30" w:line="360" w:lineRule="auto"/>
        <w:ind w:firstLine="480" w:firstLineChars="200"/>
        <w:rPr>
          <w:rFonts w:hint="eastAsia" w:ascii="Times New Roman" w:hAnsi="Times New Roman" w:eastAsia="仿宋" w:cs="Times New Roman"/>
          <w:sz w:val="24"/>
        </w:rPr>
      </w:pPr>
      <w:r>
        <w:rPr>
          <w:rFonts w:hint="eastAsia" w:ascii="Times New Roman" w:hAnsi="Times New Roman" w:eastAsia="仿宋" w:cs="Times New Roman"/>
          <w:sz w:val="24"/>
        </w:rPr>
        <w:t>7</w:t>
      </w:r>
      <w:r>
        <w:rPr>
          <w:rFonts w:hint="default" w:ascii="Times New Roman" w:hAnsi="Times New Roman" w:eastAsia="仿宋" w:cs="Times New Roman"/>
          <w:sz w:val="24"/>
        </w:rPr>
        <w:t>.</w:t>
      </w:r>
      <w:r>
        <w:rPr>
          <w:rFonts w:hint="eastAsia" w:ascii="Times New Roman" w:hAnsi="Times New Roman" w:eastAsia="仿宋" w:cs="Times New Roman"/>
          <w:sz w:val="24"/>
        </w:rPr>
        <w:t>《中共中央 国务院关于完整准确全面贯彻新发展理念做好碳达峰碳中和工作的意见》</w:t>
      </w:r>
    </w:p>
    <w:p>
      <w:pPr>
        <w:tabs>
          <w:tab w:val="left" w:pos="1680"/>
        </w:tabs>
        <w:adjustRightInd w:val="0"/>
        <w:snapToGrid w:val="0"/>
        <w:spacing w:before="93" w:beforeLines="30" w:after="93" w:afterLines="30" w:line="360" w:lineRule="auto"/>
        <w:ind w:firstLine="480" w:firstLineChars="200"/>
        <w:rPr>
          <w:rFonts w:hint="default" w:ascii="Times New Roman" w:hAnsi="Times New Roman" w:eastAsia="仿宋" w:cs="Times New Roman"/>
          <w:sz w:val="24"/>
          <w:lang w:val="en-US"/>
        </w:rPr>
      </w:pPr>
      <w:r>
        <w:rPr>
          <w:rFonts w:hint="eastAsia" w:ascii="Times New Roman" w:hAnsi="Times New Roman" w:eastAsia="仿宋" w:cs="Times New Roman"/>
          <w:sz w:val="24"/>
        </w:rPr>
        <w:t>8</w:t>
      </w:r>
      <w:r>
        <w:rPr>
          <w:rFonts w:hint="default" w:ascii="Times New Roman" w:hAnsi="Times New Roman" w:eastAsia="仿宋" w:cs="Times New Roman"/>
          <w:sz w:val="24"/>
        </w:rPr>
        <w:t>.</w:t>
      </w:r>
      <w:r>
        <w:rPr>
          <w:rFonts w:hint="eastAsia" w:ascii="Times New Roman" w:hAnsi="Times New Roman" w:eastAsia="仿宋" w:cs="Times New Roman"/>
          <w:sz w:val="24"/>
        </w:rPr>
        <w:t>《国务院关于印发2030年前碳达峰行动方案的通知》</w:t>
      </w:r>
      <w:r>
        <w:rPr>
          <w:rFonts w:hint="eastAsia" w:ascii="Times New Roman" w:hAnsi="Times New Roman" w:eastAsia="仿宋" w:cs="Times New Roman"/>
          <w:sz w:val="24"/>
          <w:lang w:eastAsia="zh-CN"/>
        </w:rPr>
        <w:t>（国发〔2021〕23号）</w:t>
      </w:r>
    </w:p>
    <w:p>
      <w:pPr>
        <w:tabs>
          <w:tab w:val="left" w:pos="1680"/>
        </w:tabs>
        <w:adjustRightInd w:val="0"/>
        <w:snapToGrid w:val="0"/>
        <w:spacing w:before="93" w:beforeLines="30" w:after="93" w:afterLines="30" w:line="360" w:lineRule="auto"/>
        <w:ind w:firstLine="480" w:firstLineChars="200"/>
        <w:rPr>
          <w:rFonts w:hint="eastAsia" w:ascii="Times New Roman" w:hAnsi="Times New Roman" w:eastAsia="仿宋" w:cs="Times New Roman"/>
          <w:sz w:val="24"/>
          <w:lang w:val="en-US"/>
        </w:rPr>
      </w:pPr>
      <w:r>
        <w:rPr>
          <w:rFonts w:hint="eastAsia" w:ascii="Times New Roman" w:hAnsi="Times New Roman" w:eastAsia="仿宋" w:cs="Times New Roman"/>
          <w:sz w:val="24"/>
        </w:rPr>
        <w:t>9</w:t>
      </w:r>
      <w:r>
        <w:rPr>
          <w:rFonts w:hint="default" w:ascii="Times New Roman" w:hAnsi="Times New Roman" w:eastAsia="仿宋" w:cs="Times New Roman"/>
          <w:sz w:val="24"/>
        </w:rPr>
        <w:t>.</w:t>
      </w:r>
      <w:r>
        <w:rPr>
          <w:rFonts w:hint="eastAsia" w:ascii="Times New Roman" w:hAnsi="Times New Roman" w:eastAsia="仿宋" w:cs="Times New Roman"/>
          <w:sz w:val="24"/>
        </w:rPr>
        <w:t>《住房和城乡建设部关于印发绿色建筑标识管理办法的通知》</w:t>
      </w:r>
      <w:r>
        <w:rPr>
          <w:rFonts w:hint="eastAsia" w:ascii="Times New Roman" w:hAnsi="Times New Roman" w:eastAsia="仿宋" w:cs="Times New Roman"/>
          <w:sz w:val="24"/>
          <w:lang w:eastAsia="zh-CN"/>
        </w:rPr>
        <w:t>（建标规〔2021〕1号）</w:t>
      </w:r>
    </w:p>
    <w:p>
      <w:pPr>
        <w:tabs>
          <w:tab w:val="left" w:pos="1680"/>
        </w:tabs>
        <w:adjustRightInd w:val="0"/>
        <w:snapToGrid w:val="0"/>
        <w:spacing w:before="93" w:beforeLines="30" w:after="93" w:afterLines="30" w:line="360" w:lineRule="auto"/>
        <w:ind w:firstLine="480" w:firstLineChars="200"/>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10</w:t>
      </w:r>
      <w:r>
        <w:rPr>
          <w:rFonts w:hint="default" w:ascii="Times New Roman" w:hAnsi="Times New Roman" w:eastAsia="仿宋" w:cs="Times New Roman"/>
          <w:sz w:val="24"/>
          <w:lang w:eastAsia="zh-CN"/>
        </w:rPr>
        <w:t>.</w:t>
      </w:r>
      <w:r>
        <w:rPr>
          <w:rFonts w:hint="eastAsia" w:ascii="Times New Roman" w:hAnsi="Times New Roman" w:eastAsia="仿宋" w:cs="Times New Roman"/>
          <w:sz w:val="24"/>
        </w:rPr>
        <w:t>《住房和城乡建设部关于印发“十四五”建筑节能与绿色建筑发展规划的通知》</w:t>
      </w:r>
      <w:r>
        <w:rPr>
          <w:rFonts w:hint="eastAsia" w:ascii="Times New Roman" w:hAnsi="Times New Roman" w:eastAsia="仿宋" w:cs="Times New Roman"/>
          <w:sz w:val="24"/>
          <w:lang w:eastAsia="zh-CN"/>
        </w:rPr>
        <w:t>（建标〔2022〕24号）</w:t>
      </w:r>
    </w:p>
    <w:p>
      <w:pPr>
        <w:tabs>
          <w:tab w:val="left" w:pos="1680"/>
        </w:tabs>
        <w:adjustRightInd w:val="0"/>
        <w:snapToGrid w:val="0"/>
        <w:spacing w:before="93" w:beforeLines="30" w:after="93" w:afterLines="30" w:line="360" w:lineRule="auto"/>
        <w:ind w:firstLine="480" w:firstLineChars="200"/>
        <w:rPr>
          <w:rFonts w:hint="default" w:ascii="Times New Roman" w:hAnsi="Times New Roman" w:eastAsia="仿宋" w:cs="Times New Roman"/>
          <w:sz w:val="24"/>
          <w:lang w:val="en-US" w:eastAsia="zh-CN"/>
        </w:rPr>
      </w:pPr>
      <w:r>
        <w:rPr>
          <w:rFonts w:hint="eastAsia" w:ascii="Times New Roman" w:hAnsi="Times New Roman" w:eastAsia="仿宋" w:cs="Times New Roman"/>
          <w:sz w:val="24"/>
        </w:rPr>
        <w:t>1</w:t>
      </w:r>
      <w:r>
        <w:rPr>
          <w:rFonts w:hint="eastAsia" w:ascii="Times New Roman" w:hAnsi="Times New Roman" w:eastAsia="仿宋" w:cs="Times New Roman"/>
          <w:sz w:val="24"/>
          <w:lang w:val="en-US" w:eastAsia="zh-CN"/>
        </w:rPr>
        <w:t>1</w:t>
      </w:r>
      <w:r>
        <w:rPr>
          <w:rFonts w:hint="default" w:ascii="Times New Roman" w:hAnsi="Times New Roman" w:eastAsia="仿宋" w:cs="Times New Roman"/>
          <w:sz w:val="24"/>
          <w:lang w:eastAsia="zh-CN"/>
        </w:rPr>
        <w:t>.</w:t>
      </w:r>
      <w:r>
        <w:rPr>
          <w:rFonts w:hint="eastAsia" w:ascii="Times New Roman" w:hAnsi="Times New Roman" w:eastAsia="仿宋" w:cs="Times New Roman"/>
          <w:sz w:val="24"/>
        </w:rPr>
        <w:t>《中共广东省委 广东省人民政府关于完整准确全面贯彻新发展理念推进碳达峰碳中和工作的实施意见》</w:t>
      </w:r>
    </w:p>
    <w:p>
      <w:pPr>
        <w:tabs>
          <w:tab w:val="left" w:pos="1680"/>
        </w:tabs>
        <w:adjustRightInd w:val="0"/>
        <w:snapToGrid w:val="0"/>
        <w:spacing w:before="93" w:beforeLines="30" w:after="93" w:afterLines="30" w:line="360" w:lineRule="auto"/>
        <w:ind w:firstLine="480" w:firstLineChars="200"/>
        <w:rPr>
          <w:rFonts w:hint="eastAsia" w:ascii="Times New Roman" w:hAnsi="Times New Roman" w:eastAsia="仿宋" w:cs="Times New Roman"/>
          <w:sz w:val="24"/>
        </w:rPr>
      </w:pPr>
      <w:r>
        <w:rPr>
          <w:rFonts w:hint="eastAsia" w:ascii="Times New Roman" w:hAnsi="Times New Roman" w:eastAsia="仿宋" w:cs="Times New Roman"/>
          <w:sz w:val="24"/>
        </w:rPr>
        <w:t>1</w:t>
      </w:r>
      <w:r>
        <w:rPr>
          <w:rFonts w:hint="eastAsia" w:ascii="Times New Roman" w:hAnsi="Times New Roman" w:eastAsia="仿宋" w:cs="Times New Roman"/>
          <w:sz w:val="24"/>
          <w:lang w:val="en-US" w:eastAsia="zh-CN"/>
        </w:rPr>
        <w:t>2</w:t>
      </w:r>
      <w:r>
        <w:rPr>
          <w:rFonts w:hint="default" w:ascii="Times New Roman" w:hAnsi="Times New Roman" w:eastAsia="仿宋" w:cs="Times New Roman"/>
          <w:sz w:val="24"/>
          <w:lang w:eastAsia="zh-CN"/>
        </w:rPr>
        <w:t>.</w:t>
      </w:r>
      <w:r>
        <w:rPr>
          <w:rFonts w:hint="eastAsia" w:ascii="Times New Roman" w:hAnsi="Times New Roman" w:eastAsia="仿宋" w:cs="Times New Roman"/>
          <w:sz w:val="24"/>
        </w:rPr>
        <w:t>《广东省人民政府关于印发〈广东省国民经济和社会发展第十四个五年规划和2035年远景目标纲要〉的通知》</w:t>
      </w:r>
      <w:r>
        <w:rPr>
          <w:rFonts w:hint="eastAsia" w:ascii="Times New Roman" w:hAnsi="Times New Roman" w:eastAsia="仿宋" w:cs="Times New Roman"/>
          <w:sz w:val="24"/>
          <w:lang w:eastAsia="zh-CN"/>
        </w:rPr>
        <w:t>（粤府〔2021〕28号）</w:t>
      </w:r>
    </w:p>
    <w:p>
      <w:pPr>
        <w:tabs>
          <w:tab w:val="left" w:pos="1680"/>
        </w:tabs>
        <w:adjustRightInd w:val="0"/>
        <w:snapToGrid w:val="0"/>
        <w:spacing w:before="93" w:beforeLines="30" w:after="93" w:afterLines="30" w:line="360" w:lineRule="auto"/>
        <w:ind w:firstLine="480" w:firstLineChars="200"/>
        <w:rPr>
          <w:rFonts w:hint="default"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13</w:t>
      </w:r>
      <w:r>
        <w:rPr>
          <w:rFonts w:hint="default" w:ascii="Times New Roman" w:hAnsi="Times New Roman" w:eastAsia="仿宋" w:cs="Times New Roman"/>
          <w:sz w:val="24"/>
          <w:lang w:eastAsia="zh-CN"/>
        </w:rPr>
        <w:t>.</w:t>
      </w:r>
      <w:r>
        <w:rPr>
          <w:rFonts w:hint="eastAsia" w:ascii="Times New Roman" w:hAnsi="Times New Roman" w:eastAsia="仿宋" w:cs="Times New Roman"/>
          <w:sz w:val="24"/>
        </w:rPr>
        <w:t>《关于印发〈广东省绿色建筑创建行动实施方案（2021-2023）〉的通知》（粤建科〔2021〕166号）</w:t>
      </w:r>
    </w:p>
    <w:p>
      <w:pPr>
        <w:tabs>
          <w:tab w:val="left" w:pos="1680"/>
        </w:tabs>
        <w:adjustRightInd w:val="0"/>
        <w:snapToGrid w:val="0"/>
        <w:spacing w:before="93" w:beforeLines="30" w:after="93" w:afterLines="30" w:line="360" w:lineRule="auto"/>
        <w:ind w:firstLine="480" w:firstLineChars="200"/>
        <w:rPr>
          <w:rFonts w:hint="default" w:ascii="Times New Roman" w:hAnsi="Times New Roman" w:eastAsia="仿宋" w:cs="Times New Roman"/>
          <w:sz w:val="24"/>
          <w:lang w:val="en-US"/>
        </w:rPr>
      </w:pPr>
      <w:r>
        <w:rPr>
          <w:rFonts w:hint="eastAsia" w:ascii="Times New Roman" w:hAnsi="Times New Roman" w:eastAsia="仿宋" w:cs="Times New Roman"/>
          <w:sz w:val="24"/>
        </w:rPr>
        <w:t>1</w:t>
      </w:r>
      <w:r>
        <w:rPr>
          <w:rFonts w:hint="eastAsia" w:ascii="Times New Roman" w:hAnsi="Times New Roman" w:eastAsia="仿宋" w:cs="Times New Roman"/>
          <w:sz w:val="24"/>
          <w:lang w:val="en-US" w:eastAsia="zh-CN"/>
        </w:rPr>
        <w:t>4</w:t>
      </w:r>
      <w:r>
        <w:rPr>
          <w:rFonts w:hint="default" w:ascii="Times New Roman" w:hAnsi="Times New Roman" w:eastAsia="仿宋" w:cs="Times New Roman"/>
          <w:sz w:val="24"/>
          <w:lang w:eastAsia="zh-CN"/>
        </w:rPr>
        <w:t>.</w:t>
      </w:r>
      <w:r>
        <w:rPr>
          <w:rFonts w:hint="eastAsia" w:ascii="Times New Roman" w:hAnsi="Times New Roman" w:eastAsia="仿宋" w:cs="Times New Roman"/>
          <w:sz w:val="24"/>
        </w:rPr>
        <w:t>《广东省住房和城乡建设厅关于印发广东省建筑节能与绿色建筑发展“十四五”规划的通知》</w:t>
      </w:r>
      <w:r>
        <w:rPr>
          <w:rFonts w:hint="eastAsia" w:ascii="Times New Roman" w:hAnsi="Times New Roman" w:eastAsia="仿宋" w:cs="Times New Roman"/>
          <w:sz w:val="24"/>
          <w:lang w:eastAsia="zh-CN"/>
        </w:rPr>
        <w:t>（粤建科〔2022〕56号）</w:t>
      </w:r>
    </w:p>
    <w:p>
      <w:pPr>
        <w:tabs>
          <w:tab w:val="left" w:pos="1680"/>
        </w:tabs>
        <w:adjustRightInd w:val="0"/>
        <w:snapToGrid w:val="0"/>
        <w:spacing w:before="93" w:beforeLines="30" w:after="93" w:afterLines="30" w:line="360" w:lineRule="auto"/>
        <w:ind w:firstLine="480" w:firstLineChars="200"/>
        <w:rPr>
          <w:rFonts w:hint="default" w:ascii="Times New Roman" w:hAnsi="Times New Roman" w:eastAsia="仿宋" w:cs="Times New Roman"/>
          <w:sz w:val="24"/>
          <w:lang w:val="en-US" w:eastAsia="zh-CN"/>
        </w:rPr>
      </w:pPr>
      <w:r>
        <w:rPr>
          <w:rFonts w:hint="eastAsia" w:ascii="Times New Roman" w:hAnsi="Times New Roman" w:eastAsia="仿宋" w:cs="Times New Roman"/>
          <w:sz w:val="24"/>
        </w:rPr>
        <w:t>1</w:t>
      </w:r>
      <w:r>
        <w:rPr>
          <w:rFonts w:hint="eastAsia" w:ascii="Times New Roman" w:hAnsi="Times New Roman" w:eastAsia="仿宋" w:cs="Times New Roman"/>
          <w:sz w:val="24"/>
          <w:lang w:val="en-US" w:eastAsia="zh-CN"/>
        </w:rPr>
        <w:t>5</w:t>
      </w:r>
      <w:r>
        <w:rPr>
          <w:rFonts w:hint="default" w:ascii="Times New Roman" w:hAnsi="Times New Roman" w:eastAsia="仿宋" w:cs="Times New Roman"/>
          <w:sz w:val="24"/>
          <w:lang w:eastAsia="zh-CN"/>
        </w:rPr>
        <w:t>.</w:t>
      </w:r>
      <w:r>
        <w:rPr>
          <w:rFonts w:hint="eastAsia" w:ascii="Times New Roman" w:hAnsi="Times New Roman" w:eastAsia="仿宋" w:cs="Times New Roman"/>
          <w:sz w:val="24"/>
        </w:rPr>
        <w:t>《中山市人民政府关于印发〈中山市国民经济和社会发展第十四个五年规划和2035年远景目标纲要〉的通知》</w:t>
      </w:r>
      <w:r>
        <w:rPr>
          <w:rFonts w:hint="eastAsia" w:ascii="Times New Roman" w:hAnsi="Times New Roman" w:eastAsia="仿宋" w:cs="Times New Roman"/>
          <w:sz w:val="24"/>
          <w:lang w:eastAsia="zh-CN"/>
        </w:rPr>
        <w:t>（中府〔2021〕53号）</w:t>
      </w:r>
    </w:p>
    <w:p>
      <w:pPr>
        <w:tabs>
          <w:tab w:val="left" w:pos="1680"/>
        </w:tabs>
        <w:adjustRightInd w:val="0"/>
        <w:snapToGrid w:val="0"/>
        <w:spacing w:before="93" w:beforeLines="30" w:after="93" w:afterLines="30" w:line="360" w:lineRule="auto"/>
        <w:ind w:firstLine="480" w:firstLineChars="200"/>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16</w:t>
      </w:r>
      <w:r>
        <w:rPr>
          <w:rFonts w:hint="default" w:ascii="Times New Roman" w:hAnsi="Times New Roman" w:eastAsia="仿宋" w:cs="Times New Roman"/>
          <w:sz w:val="24"/>
          <w:lang w:eastAsia="zh-CN"/>
        </w:rPr>
        <w:t>.</w:t>
      </w:r>
      <w:r>
        <w:rPr>
          <w:rFonts w:hint="eastAsia" w:ascii="Times New Roman" w:hAnsi="Times New Roman" w:eastAsia="仿宋" w:cs="Times New Roman"/>
          <w:sz w:val="24"/>
        </w:rPr>
        <w:t>关于印发《中山市绿色建筑创建行动实施方案（2021</w:t>
      </w:r>
      <w:r>
        <w:rPr>
          <w:rFonts w:hint="eastAsia" w:ascii="Times New Roman" w:hAnsi="Times New Roman" w:eastAsia="仿宋" w:cs="Times New Roman"/>
          <w:sz w:val="24"/>
          <w:lang w:eastAsia="zh-CN"/>
        </w:rPr>
        <w:t>—</w:t>
      </w:r>
      <w:r>
        <w:rPr>
          <w:rFonts w:hint="eastAsia" w:ascii="Times New Roman" w:hAnsi="Times New Roman" w:eastAsia="仿宋" w:cs="Times New Roman"/>
          <w:sz w:val="24"/>
        </w:rPr>
        <w:t>2023）》的通知（中建通〔2022〕73号）</w:t>
      </w:r>
    </w:p>
    <w:p>
      <w:pPr>
        <w:tabs>
          <w:tab w:val="left" w:pos="1680"/>
        </w:tabs>
        <w:adjustRightInd w:val="0"/>
        <w:snapToGrid w:val="0"/>
        <w:spacing w:before="93" w:beforeLines="30" w:after="93" w:afterLines="30" w:line="360" w:lineRule="auto"/>
        <w:ind w:firstLine="480" w:firstLineChars="200"/>
        <w:rPr>
          <w:rFonts w:hint="default"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17</w:t>
      </w:r>
      <w:r>
        <w:rPr>
          <w:rFonts w:hint="default" w:ascii="Times New Roman" w:hAnsi="Times New Roman" w:eastAsia="仿宋" w:cs="Times New Roman"/>
          <w:sz w:val="24"/>
          <w:lang w:eastAsia="zh-CN"/>
        </w:rPr>
        <w:t>.</w:t>
      </w:r>
      <w:r>
        <w:rPr>
          <w:rFonts w:hint="eastAsia" w:ascii="Times New Roman" w:hAnsi="Times New Roman" w:eastAsia="仿宋" w:cs="Times New Roman"/>
          <w:sz w:val="24"/>
          <w:lang w:val="en-US" w:eastAsia="zh-CN"/>
        </w:rPr>
        <w:t>《关于加强绿色建筑工程质量管理的通知》</w:t>
      </w:r>
    </w:p>
    <w:p>
      <w:pPr>
        <w:tabs>
          <w:tab w:val="left" w:pos="1680"/>
        </w:tabs>
        <w:adjustRightInd w:val="0"/>
        <w:snapToGrid w:val="0"/>
        <w:spacing w:before="93" w:beforeLines="30" w:after="93" w:afterLines="30" w:line="360" w:lineRule="auto"/>
        <w:ind w:firstLine="480" w:firstLineChars="200"/>
        <w:rPr>
          <w:rFonts w:hint="eastAsia" w:ascii="Times New Roman" w:hAnsi="Times New Roman" w:eastAsia="仿宋" w:cs="Times New Roman"/>
          <w:sz w:val="24"/>
        </w:rPr>
      </w:pPr>
      <w:r>
        <w:rPr>
          <w:rFonts w:hint="eastAsia" w:ascii="Times New Roman" w:hAnsi="Times New Roman" w:eastAsia="仿宋" w:cs="Times New Roman"/>
          <w:sz w:val="24"/>
        </w:rPr>
        <w:t>1</w:t>
      </w:r>
      <w:r>
        <w:rPr>
          <w:rFonts w:hint="eastAsia" w:ascii="Times New Roman" w:hAnsi="Times New Roman" w:eastAsia="仿宋" w:cs="Times New Roman"/>
          <w:sz w:val="24"/>
          <w:lang w:val="en-US" w:eastAsia="zh-CN"/>
        </w:rPr>
        <w:t>8</w:t>
      </w:r>
      <w:r>
        <w:rPr>
          <w:rFonts w:hint="default" w:ascii="Times New Roman" w:hAnsi="Times New Roman" w:eastAsia="仿宋" w:cs="Times New Roman"/>
          <w:sz w:val="24"/>
          <w:lang w:eastAsia="zh-CN"/>
        </w:rPr>
        <w:t>.</w:t>
      </w:r>
      <w:r>
        <w:rPr>
          <w:rFonts w:hint="eastAsia" w:ascii="Times New Roman" w:hAnsi="Times New Roman" w:eastAsia="仿宋" w:cs="Times New Roman"/>
          <w:sz w:val="24"/>
        </w:rPr>
        <w:t>《粤港澳大湾区发展规划纲要》</w:t>
      </w:r>
    </w:p>
    <w:p>
      <w:pPr>
        <w:tabs>
          <w:tab w:val="left" w:pos="1680"/>
        </w:tabs>
        <w:adjustRightInd w:val="0"/>
        <w:snapToGrid w:val="0"/>
        <w:spacing w:before="93" w:beforeLines="30" w:after="93" w:afterLines="30" w:line="360" w:lineRule="auto"/>
        <w:ind w:firstLine="480" w:firstLineChars="200"/>
        <w:rPr>
          <w:rFonts w:hint="eastAsia" w:ascii="Times New Roman" w:hAnsi="Times New Roman" w:eastAsia="仿宋" w:cs="Times New Roman"/>
          <w:sz w:val="24"/>
        </w:rPr>
      </w:pPr>
      <w:r>
        <w:rPr>
          <w:rFonts w:hint="eastAsia" w:ascii="Times New Roman" w:hAnsi="Times New Roman" w:eastAsia="仿宋" w:cs="Times New Roman"/>
          <w:sz w:val="24"/>
        </w:rPr>
        <w:t>1</w:t>
      </w:r>
      <w:r>
        <w:rPr>
          <w:rFonts w:hint="eastAsia" w:ascii="Times New Roman" w:hAnsi="Times New Roman" w:eastAsia="仿宋" w:cs="Times New Roman"/>
          <w:sz w:val="24"/>
          <w:lang w:val="en-US" w:eastAsia="zh-CN"/>
        </w:rPr>
        <w:t>9</w:t>
      </w:r>
      <w:r>
        <w:rPr>
          <w:rFonts w:hint="default" w:ascii="Times New Roman" w:hAnsi="Times New Roman" w:eastAsia="仿宋" w:cs="Times New Roman"/>
          <w:sz w:val="24"/>
          <w:lang w:eastAsia="zh-CN"/>
        </w:rPr>
        <w:t>.</w:t>
      </w:r>
      <w:r>
        <w:rPr>
          <w:rFonts w:hint="eastAsia" w:ascii="Times New Roman" w:hAnsi="Times New Roman" w:eastAsia="仿宋" w:cs="Times New Roman"/>
          <w:sz w:val="24"/>
        </w:rPr>
        <w:t>《中山市国土空间总体规划（202</w:t>
      </w:r>
      <w:r>
        <w:rPr>
          <w:rFonts w:hint="eastAsia" w:ascii="Times New Roman" w:hAnsi="Times New Roman" w:eastAsia="仿宋" w:cs="Times New Roman"/>
          <w:sz w:val="24"/>
          <w:lang w:val="en-US" w:eastAsia="zh-CN"/>
        </w:rPr>
        <w:t>1</w:t>
      </w:r>
      <w:r>
        <w:rPr>
          <w:rFonts w:hint="eastAsia" w:ascii="Times New Roman" w:hAnsi="Times New Roman" w:eastAsia="仿宋" w:cs="Times New Roman"/>
          <w:sz w:val="24"/>
          <w:lang w:eastAsia="zh-CN"/>
        </w:rPr>
        <w:t>—</w:t>
      </w:r>
      <w:r>
        <w:rPr>
          <w:rFonts w:hint="eastAsia" w:ascii="Times New Roman" w:hAnsi="Times New Roman" w:eastAsia="仿宋" w:cs="Times New Roman"/>
          <w:sz w:val="24"/>
        </w:rPr>
        <w:t>2035年）》</w:t>
      </w:r>
      <w:r>
        <w:rPr>
          <w:rFonts w:hint="eastAsia" w:ascii="Times New Roman" w:hAnsi="Times New Roman" w:eastAsia="仿宋" w:cs="Times New Roman"/>
          <w:sz w:val="24"/>
          <w:lang w:eastAsia="zh-CN"/>
        </w:rPr>
        <w:t>（</w:t>
      </w:r>
      <w:r>
        <w:rPr>
          <w:rFonts w:hint="eastAsia" w:ascii="Times New Roman" w:hAnsi="Times New Roman" w:eastAsia="仿宋" w:cs="Times New Roman"/>
          <w:sz w:val="24"/>
          <w:lang w:val="en-US" w:eastAsia="zh-CN"/>
        </w:rPr>
        <w:t>公众版</w:t>
      </w:r>
      <w:r>
        <w:rPr>
          <w:rFonts w:hint="eastAsia" w:ascii="Times New Roman" w:hAnsi="Times New Roman" w:eastAsia="仿宋" w:cs="Times New Roman"/>
          <w:sz w:val="24"/>
          <w:lang w:eastAsia="zh-CN"/>
        </w:rPr>
        <w:t>）</w:t>
      </w:r>
    </w:p>
    <w:p>
      <w:pPr>
        <w:tabs>
          <w:tab w:val="left" w:pos="1680"/>
        </w:tabs>
        <w:adjustRightInd w:val="0"/>
        <w:snapToGrid w:val="0"/>
        <w:spacing w:before="93" w:beforeLines="30" w:after="93" w:afterLines="30" w:line="360" w:lineRule="auto"/>
        <w:ind w:firstLine="480" w:firstLineChars="20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20.</w:t>
      </w:r>
      <w:r>
        <w:rPr>
          <w:rFonts w:hint="eastAsia" w:ascii="Times New Roman" w:hAnsi="Times New Roman" w:eastAsia="仿宋" w:cs="Times New Roman"/>
          <w:sz w:val="24"/>
        </w:rPr>
        <w:t>《中山市装配式建筑（2021</w:t>
      </w:r>
      <w:r>
        <w:rPr>
          <w:rFonts w:hint="eastAsia" w:ascii="Times New Roman" w:hAnsi="Times New Roman" w:eastAsia="仿宋" w:cs="Times New Roman"/>
          <w:sz w:val="24"/>
          <w:lang w:eastAsia="zh-CN"/>
        </w:rPr>
        <w:t>—</w:t>
      </w:r>
      <w:r>
        <w:rPr>
          <w:rFonts w:hint="eastAsia" w:ascii="Times New Roman" w:hAnsi="Times New Roman" w:eastAsia="仿宋" w:cs="Times New Roman"/>
          <w:sz w:val="24"/>
        </w:rPr>
        <w:t>2025年）发展规划》</w:t>
      </w:r>
    </w:p>
    <w:p>
      <w:pPr>
        <w:tabs>
          <w:tab w:val="left" w:pos="1680"/>
        </w:tabs>
        <w:adjustRightInd w:val="0"/>
        <w:snapToGrid w:val="0"/>
        <w:spacing w:before="93" w:beforeLines="30" w:after="93" w:afterLines="30" w:line="360" w:lineRule="auto"/>
        <w:ind w:firstLine="480" w:firstLineChars="200"/>
        <w:rPr>
          <w:rFonts w:hint="default" w:ascii="Times New Roman" w:hAnsi="Times New Roman" w:eastAsia="仿宋" w:cs="Times New Roman"/>
          <w:sz w:val="24"/>
          <w:lang w:val="en-US" w:eastAsia="zh-CN"/>
        </w:rPr>
      </w:pPr>
      <w:r>
        <w:rPr>
          <w:rFonts w:hint="eastAsia" w:ascii="Times New Roman" w:hAnsi="Times New Roman" w:eastAsia="仿宋" w:cs="Times New Roman"/>
          <w:sz w:val="24"/>
        </w:rPr>
        <w:t>2</w:t>
      </w:r>
      <w:r>
        <w:rPr>
          <w:rFonts w:hint="eastAsia" w:ascii="Times New Roman" w:hAnsi="Times New Roman" w:eastAsia="仿宋" w:cs="Times New Roman"/>
          <w:sz w:val="24"/>
          <w:lang w:val="en-US" w:eastAsia="zh-CN"/>
        </w:rPr>
        <w:t>1.</w:t>
      </w:r>
      <w:r>
        <w:rPr>
          <w:rFonts w:hint="eastAsia" w:ascii="Times New Roman" w:hAnsi="Times New Roman" w:eastAsia="仿宋" w:cs="Times New Roman"/>
          <w:sz w:val="24"/>
        </w:rPr>
        <w:t>《中山市绿色基础设施规划》</w:t>
      </w:r>
    </w:p>
    <w:p>
      <w:pPr>
        <w:tabs>
          <w:tab w:val="left" w:pos="1680"/>
        </w:tabs>
        <w:adjustRightInd/>
        <w:snapToGrid/>
        <w:spacing w:before="93" w:beforeLines="30" w:after="93" w:line="360" w:lineRule="auto"/>
        <w:ind w:firstLine="480" w:firstLineChars="200"/>
        <w:rPr>
          <w:rFonts w:hint="eastAsia" w:ascii="Times New Roman" w:hAnsi="Times New Roman" w:eastAsia="仿宋" w:cs="Times New Roman"/>
          <w:sz w:val="24"/>
          <w:lang w:val="en-US" w:eastAsia="zh-CN"/>
        </w:rPr>
      </w:pPr>
      <w:r>
        <w:rPr>
          <w:rFonts w:hint="eastAsia" w:ascii="Times New Roman" w:hAnsi="Times New Roman" w:eastAsia="仿宋" w:cs="Times New Roman"/>
          <w:sz w:val="24"/>
        </w:rPr>
        <w:t>2</w:t>
      </w:r>
      <w:r>
        <w:rPr>
          <w:rFonts w:hint="eastAsia" w:ascii="Times New Roman" w:hAnsi="Times New Roman" w:eastAsia="仿宋" w:cs="Times New Roman"/>
          <w:sz w:val="24"/>
          <w:lang w:val="en-US" w:eastAsia="zh-CN"/>
        </w:rPr>
        <w:t>2.</w:t>
      </w:r>
      <w:r>
        <w:rPr>
          <w:rFonts w:hint="eastAsia" w:ascii="Times New Roman" w:hAnsi="Times New Roman" w:eastAsia="仿宋" w:cs="Times New Roman"/>
          <w:sz w:val="24"/>
        </w:rPr>
        <w:t>《中山市海绵城市专项规划》</w:t>
      </w:r>
    </w:p>
    <w:p>
      <w:pPr>
        <w:tabs>
          <w:tab w:val="left" w:pos="1680"/>
        </w:tabs>
        <w:adjustRightInd/>
        <w:snapToGrid/>
        <w:spacing w:before="93" w:beforeLines="30" w:after="93" w:line="360" w:lineRule="auto"/>
        <w:ind w:firstLine="480" w:firstLineChars="200"/>
        <w:rPr>
          <w:rFonts w:hint="eastAsia" w:ascii="Times New Roman" w:hAnsi="Times New Roman" w:eastAsia="仿宋" w:cs="Times New Roman"/>
          <w:sz w:val="24"/>
          <w:lang w:val="en-US" w:eastAsia="zh-CN"/>
        </w:rPr>
      </w:pPr>
      <w:r>
        <w:rPr>
          <w:rFonts w:hint="eastAsia" w:ascii="Times New Roman" w:hAnsi="Times New Roman" w:eastAsia="仿宋" w:cs="Times New Roman"/>
          <w:sz w:val="24"/>
        </w:rPr>
        <w:t>2</w:t>
      </w:r>
      <w:r>
        <w:rPr>
          <w:rFonts w:hint="eastAsia" w:ascii="Times New Roman" w:hAnsi="Times New Roman" w:eastAsia="仿宋" w:cs="Times New Roman"/>
          <w:sz w:val="24"/>
          <w:lang w:val="en-US" w:eastAsia="zh-CN"/>
        </w:rPr>
        <w:t>3.</w:t>
      </w:r>
      <w:r>
        <w:rPr>
          <w:rFonts w:hint="eastAsia" w:ascii="Times New Roman" w:hAnsi="Times New Roman" w:eastAsia="仿宋" w:cs="Times New Roman"/>
          <w:sz w:val="24"/>
        </w:rPr>
        <w:t>《中山市声环境功能区划方案（2021年修编）》</w:t>
      </w:r>
    </w:p>
    <w:p>
      <w:pPr>
        <w:tabs>
          <w:tab w:val="left" w:pos="1680"/>
        </w:tabs>
        <w:spacing w:before="93" w:beforeLines="30" w:after="93" w:line="360" w:lineRule="auto"/>
        <w:ind w:firstLine="480" w:firstLineChars="200"/>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24.</w:t>
      </w:r>
      <w:r>
        <w:rPr>
          <w:rFonts w:hint="eastAsia" w:ascii="Times New Roman" w:hAnsi="Times New Roman" w:eastAsia="仿宋" w:cs="Times New Roman"/>
          <w:sz w:val="24"/>
        </w:rPr>
        <w:t>《中山市城市更新（“三旧”改造）专项规划（2020-2035）》</w:t>
      </w:r>
    </w:p>
    <w:p>
      <w:pPr>
        <w:tabs>
          <w:tab w:val="left" w:pos="1680"/>
        </w:tabs>
        <w:spacing w:before="93" w:beforeLines="30" w:after="93" w:line="360" w:lineRule="auto"/>
        <w:ind w:firstLine="480" w:firstLineChars="200"/>
        <w:rPr>
          <w:rFonts w:hint="default"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25.《中山市公共交通系统规划》</w:t>
      </w:r>
    </w:p>
    <w:p>
      <w:pPr>
        <w:tabs>
          <w:tab w:val="left" w:pos="1680"/>
        </w:tabs>
        <w:adjustRightInd/>
        <w:snapToGrid/>
        <w:spacing w:before="93" w:beforeLines="30" w:after="93" w:line="360" w:lineRule="auto"/>
        <w:ind w:firstLine="480" w:firstLineChars="200"/>
        <w:rPr>
          <w:rFonts w:hint="default" w:ascii="Times New Roman" w:hAnsi="Times New Roman" w:eastAsia="仿宋" w:cs="Times New Roman"/>
          <w:sz w:val="24"/>
          <w:lang w:val="en-US" w:eastAsia="zh-CN"/>
        </w:rPr>
      </w:pPr>
      <w:r>
        <w:rPr>
          <w:rFonts w:hint="eastAsia" w:ascii="Times New Roman" w:hAnsi="Times New Roman" w:eastAsia="仿宋" w:cs="Times New Roman"/>
          <w:sz w:val="24"/>
        </w:rPr>
        <w:t>2</w:t>
      </w:r>
      <w:r>
        <w:rPr>
          <w:rFonts w:hint="eastAsia" w:ascii="Times New Roman" w:hAnsi="Times New Roman" w:eastAsia="仿宋" w:cs="Times New Roman"/>
          <w:sz w:val="24"/>
          <w:lang w:val="en-US" w:eastAsia="zh-CN"/>
        </w:rPr>
        <w:t>6.</w:t>
      </w:r>
      <w:r>
        <w:rPr>
          <w:rFonts w:hint="eastAsia" w:ascii="Times New Roman" w:hAnsi="Times New Roman" w:eastAsia="仿宋" w:cs="Times New Roman"/>
          <w:sz w:val="24"/>
        </w:rPr>
        <w:t>《中山市体育公共服务设施专项规划（2020-2035）》</w:t>
      </w:r>
      <w:r>
        <w:rPr>
          <w:rFonts w:hint="eastAsia" w:ascii="Times New Roman" w:hAnsi="Times New Roman" w:eastAsia="仿宋" w:cs="Times New Roman"/>
          <w:sz w:val="24"/>
          <w:lang w:eastAsia="zh-CN"/>
        </w:rPr>
        <w:t>（</w:t>
      </w:r>
      <w:r>
        <w:rPr>
          <w:rFonts w:hint="eastAsia" w:ascii="Times New Roman" w:hAnsi="Times New Roman" w:eastAsia="仿宋" w:cs="Times New Roman"/>
          <w:sz w:val="24"/>
          <w:lang w:val="en-US" w:eastAsia="zh-CN"/>
        </w:rPr>
        <w:t>草案</w:t>
      </w:r>
      <w:r>
        <w:rPr>
          <w:rFonts w:hint="eastAsia" w:ascii="Times New Roman" w:hAnsi="Times New Roman" w:eastAsia="仿宋" w:cs="Times New Roman"/>
          <w:sz w:val="24"/>
          <w:lang w:eastAsia="zh-CN"/>
        </w:rPr>
        <w:t>）</w:t>
      </w:r>
    </w:p>
    <w:p>
      <w:pPr>
        <w:tabs>
          <w:tab w:val="left" w:pos="1680"/>
        </w:tabs>
        <w:adjustRightInd w:val="0"/>
        <w:snapToGrid w:val="0"/>
        <w:spacing w:before="93" w:beforeLines="30" w:after="93" w:afterLines="30" w:line="360" w:lineRule="auto"/>
        <w:ind w:firstLine="480" w:firstLineChars="200"/>
        <w:rPr>
          <w:rFonts w:hint="eastAsia" w:ascii="Times New Roman" w:hAnsi="Times New Roman" w:eastAsia="仿宋" w:cs="Times New Roman"/>
          <w:sz w:val="24"/>
          <w:lang w:val="en-US"/>
        </w:rPr>
      </w:pPr>
      <w:r>
        <w:rPr>
          <w:rFonts w:hint="eastAsia" w:ascii="Times New Roman" w:hAnsi="Times New Roman" w:eastAsia="仿宋" w:cs="Times New Roman"/>
          <w:sz w:val="24"/>
        </w:rPr>
        <w:t>2</w:t>
      </w:r>
      <w:r>
        <w:rPr>
          <w:rFonts w:hint="eastAsia" w:ascii="Times New Roman" w:hAnsi="Times New Roman" w:eastAsia="仿宋" w:cs="Times New Roman"/>
          <w:sz w:val="24"/>
          <w:lang w:val="en-US" w:eastAsia="zh-CN"/>
        </w:rPr>
        <w:t>7.</w:t>
      </w:r>
      <w:r>
        <w:rPr>
          <w:rFonts w:hint="eastAsia" w:ascii="Times New Roman" w:hAnsi="Times New Roman" w:eastAsia="仿宋" w:cs="Times New Roman"/>
          <w:sz w:val="24"/>
        </w:rPr>
        <w:t>《中山市教育设施专项规划（2020-2035）》</w:t>
      </w:r>
      <w:r>
        <w:rPr>
          <w:rFonts w:hint="eastAsia" w:ascii="Times New Roman" w:hAnsi="Times New Roman" w:eastAsia="仿宋" w:cs="Times New Roman"/>
          <w:sz w:val="24"/>
          <w:lang w:eastAsia="zh-CN"/>
        </w:rPr>
        <w:t>（</w:t>
      </w:r>
      <w:r>
        <w:rPr>
          <w:rFonts w:hint="eastAsia" w:ascii="Times New Roman" w:hAnsi="Times New Roman" w:eastAsia="仿宋" w:cs="Times New Roman"/>
          <w:sz w:val="24"/>
          <w:lang w:val="en-US" w:eastAsia="zh-CN"/>
        </w:rPr>
        <w:t>草案</w:t>
      </w:r>
      <w:r>
        <w:rPr>
          <w:rFonts w:hint="eastAsia" w:ascii="Times New Roman" w:hAnsi="Times New Roman" w:eastAsia="仿宋" w:cs="Times New Roman"/>
          <w:sz w:val="24"/>
          <w:lang w:eastAsia="zh-CN"/>
        </w:rPr>
        <w:t>）</w:t>
      </w:r>
    </w:p>
    <w:p>
      <w:pPr>
        <w:tabs>
          <w:tab w:val="left" w:pos="1680"/>
        </w:tabs>
        <w:adjustRightInd w:val="0"/>
        <w:snapToGrid w:val="0"/>
        <w:spacing w:before="93" w:beforeLines="30" w:after="93" w:afterLines="30" w:line="360" w:lineRule="auto"/>
        <w:ind w:firstLine="480" w:firstLineChars="200"/>
        <w:rPr>
          <w:rFonts w:hint="default" w:ascii="Times New Roman" w:hAnsi="Times New Roman" w:eastAsia="仿宋" w:cs="Times New Roman"/>
          <w:sz w:val="24"/>
          <w:lang w:val="en-US" w:eastAsia="zh-CN"/>
        </w:rPr>
      </w:pPr>
      <w:r>
        <w:rPr>
          <w:rFonts w:hint="eastAsia" w:ascii="Times New Roman" w:hAnsi="Times New Roman" w:eastAsia="仿宋" w:cs="Times New Roman"/>
          <w:sz w:val="24"/>
        </w:rPr>
        <w:t>2</w:t>
      </w:r>
      <w:r>
        <w:rPr>
          <w:rFonts w:hint="eastAsia" w:ascii="Times New Roman" w:hAnsi="Times New Roman" w:eastAsia="仿宋" w:cs="Times New Roman"/>
          <w:sz w:val="24"/>
          <w:lang w:val="en-US" w:eastAsia="zh-CN"/>
        </w:rPr>
        <w:t>8.</w:t>
      </w:r>
      <w:r>
        <w:rPr>
          <w:rFonts w:hint="eastAsia" w:ascii="Times New Roman" w:hAnsi="Times New Roman" w:eastAsia="仿宋" w:cs="Times New Roman"/>
          <w:sz w:val="24"/>
        </w:rPr>
        <w:t>《中山市水利发展“十四五”规划》</w:t>
      </w:r>
    </w:p>
    <w:p>
      <w:pPr>
        <w:tabs>
          <w:tab w:val="left" w:pos="1680"/>
        </w:tabs>
        <w:adjustRightInd w:val="0"/>
        <w:snapToGrid w:val="0"/>
        <w:spacing w:before="93" w:beforeLines="30" w:after="93" w:afterLines="30" w:line="360" w:lineRule="auto"/>
        <w:ind w:firstLine="480" w:firstLineChars="20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29.</w:t>
      </w:r>
      <w:r>
        <w:rPr>
          <w:rFonts w:hint="eastAsia" w:ascii="Times New Roman" w:hAnsi="Times New Roman" w:eastAsia="仿宋" w:cs="Times New Roman"/>
          <w:sz w:val="24"/>
        </w:rPr>
        <w:t>《绿色建筑评价标准》（GB/T 50378）</w:t>
      </w:r>
    </w:p>
    <w:p>
      <w:pPr>
        <w:tabs>
          <w:tab w:val="left" w:pos="1680"/>
        </w:tabs>
        <w:adjustRightInd w:val="0"/>
        <w:snapToGrid w:val="0"/>
        <w:spacing w:before="93" w:beforeLines="30" w:after="93" w:afterLines="30" w:line="360" w:lineRule="auto"/>
        <w:ind w:firstLine="480" w:firstLineChars="20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30.</w:t>
      </w:r>
      <w:r>
        <w:rPr>
          <w:rFonts w:hint="eastAsia" w:ascii="Times New Roman" w:hAnsi="Times New Roman" w:eastAsia="仿宋" w:cs="Times New Roman"/>
          <w:sz w:val="24"/>
        </w:rPr>
        <w:t>《建筑节能与可再生能源利用通用规范》（GB 55015）</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lang w:val="en-US" w:eastAsia="zh-CN"/>
        </w:rPr>
        <w:t>31.</w:t>
      </w:r>
      <w:r>
        <w:rPr>
          <w:rFonts w:hint="eastAsia" w:ascii="Times New Roman" w:hAnsi="Times New Roman" w:eastAsia="仿宋" w:cs="Times New Roman"/>
          <w:sz w:val="24"/>
        </w:rPr>
        <w:t>《建筑环境通用规范》（GB 55016）</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lang w:val="en-US" w:eastAsia="zh-CN"/>
        </w:rPr>
        <w:t>32.</w:t>
      </w:r>
      <w:r>
        <w:rPr>
          <w:rFonts w:hint="eastAsia" w:ascii="Times New Roman" w:hAnsi="Times New Roman" w:eastAsia="仿宋" w:cs="Times New Roman"/>
          <w:sz w:val="24"/>
        </w:rPr>
        <w:t>《既有建筑绿色改造评价标准》（GB/T 51141）</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3</w:t>
      </w:r>
      <w:r>
        <w:rPr>
          <w:rFonts w:hint="eastAsia" w:ascii="Times New Roman" w:hAnsi="Times New Roman" w:eastAsia="仿宋" w:cs="Times New Roman"/>
          <w:sz w:val="24"/>
          <w:lang w:val="en-US" w:eastAsia="zh-CN"/>
        </w:rPr>
        <w:t>3.</w:t>
      </w:r>
      <w:r>
        <w:rPr>
          <w:rFonts w:hint="eastAsia" w:ascii="Times New Roman" w:hAnsi="Times New Roman" w:eastAsia="仿宋" w:cs="Times New Roman"/>
          <w:sz w:val="24"/>
        </w:rPr>
        <w:t>《绿色生态城区评价标准》（GB/T 51255）</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3</w:t>
      </w:r>
      <w:r>
        <w:rPr>
          <w:rFonts w:hint="eastAsia" w:ascii="Times New Roman" w:hAnsi="Times New Roman" w:eastAsia="仿宋" w:cs="Times New Roman"/>
          <w:sz w:val="24"/>
          <w:lang w:val="en-US" w:eastAsia="zh-CN"/>
        </w:rPr>
        <w:t>4.</w:t>
      </w:r>
      <w:r>
        <w:rPr>
          <w:rFonts w:hint="eastAsia" w:ascii="Times New Roman" w:hAnsi="Times New Roman" w:eastAsia="仿宋" w:cs="Times New Roman"/>
          <w:sz w:val="24"/>
        </w:rPr>
        <w:t>《广东省绿色建筑设计规范》（DBJ/T 15-201）</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3</w:t>
      </w:r>
      <w:r>
        <w:rPr>
          <w:rFonts w:hint="eastAsia" w:ascii="Times New Roman" w:hAnsi="Times New Roman" w:eastAsia="仿宋" w:cs="Times New Roman"/>
          <w:sz w:val="24"/>
          <w:lang w:val="en-US" w:eastAsia="zh-CN"/>
        </w:rPr>
        <w:t>5.</w:t>
      </w:r>
      <w:r>
        <w:rPr>
          <w:rFonts w:hint="eastAsia" w:ascii="Times New Roman" w:hAnsi="Times New Roman" w:eastAsia="仿宋" w:cs="Times New Roman"/>
          <w:sz w:val="24"/>
        </w:rPr>
        <w:t>《广东省建筑节能与绿色建筑工程施工质量验收规范》（DBJ 15-65）</w:t>
      </w:r>
    </w:p>
    <w:p>
      <w:pPr>
        <w:tabs>
          <w:tab w:val="left" w:pos="1680"/>
        </w:tabs>
        <w:adjustRightInd w:val="0"/>
        <w:snapToGrid w:val="0"/>
        <w:spacing w:before="93" w:beforeLines="30" w:after="93" w:afterLines="30" w:line="360" w:lineRule="auto"/>
        <w:ind w:firstLine="480" w:firstLineChars="200"/>
        <w:rPr>
          <w:rFonts w:hint="eastAsia" w:ascii="Times New Roman" w:hAnsi="Times New Roman" w:eastAsia="仿宋" w:cs="Times New Roman"/>
          <w:sz w:val="24"/>
        </w:rPr>
      </w:pPr>
      <w:r>
        <w:rPr>
          <w:rFonts w:hint="eastAsia" w:ascii="Times New Roman" w:hAnsi="Times New Roman" w:eastAsia="仿宋" w:cs="Times New Roman"/>
          <w:sz w:val="24"/>
        </w:rPr>
        <w:t>3</w:t>
      </w:r>
      <w:r>
        <w:rPr>
          <w:rFonts w:hint="eastAsia" w:ascii="Times New Roman" w:hAnsi="Times New Roman" w:eastAsia="仿宋" w:cs="Times New Roman"/>
          <w:sz w:val="24"/>
          <w:lang w:val="en-US" w:eastAsia="zh-CN"/>
        </w:rPr>
        <w:t>6.</w:t>
      </w:r>
      <w:r>
        <w:rPr>
          <w:rFonts w:hint="eastAsia" w:ascii="Times New Roman" w:hAnsi="Times New Roman" w:eastAsia="仿宋" w:cs="Times New Roman"/>
          <w:sz w:val="24"/>
        </w:rPr>
        <w:t>《广东省绿色建筑发展专项规划编制技术导则</w:t>
      </w:r>
      <w:r>
        <w:rPr>
          <w:rFonts w:hint="default" w:ascii="Times New Roman" w:hAnsi="Times New Roman" w:eastAsia="仿宋" w:cs="Times New Roman"/>
          <w:sz w:val="24"/>
          <w:lang w:val="en-US" w:eastAsia="zh-CN"/>
        </w:rPr>
        <w:t>(试行)</w:t>
      </w:r>
      <w:r>
        <w:rPr>
          <w:rFonts w:hint="eastAsia" w:ascii="Times New Roman" w:hAnsi="Times New Roman" w:eastAsia="仿宋" w:cs="Times New Roman"/>
          <w:sz w:val="24"/>
        </w:rPr>
        <w:t>》</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3</w:t>
      </w:r>
      <w:r>
        <w:rPr>
          <w:rFonts w:hint="eastAsia" w:ascii="Times New Roman" w:hAnsi="Times New Roman" w:eastAsia="仿宋" w:cs="Times New Roman"/>
          <w:sz w:val="24"/>
          <w:lang w:val="en-US" w:eastAsia="zh-CN"/>
        </w:rPr>
        <w:t>7.</w:t>
      </w:r>
      <w:r>
        <w:rPr>
          <w:rFonts w:hint="eastAsia" w:ascii="Times New Roman" w:hAnsi="Times New Roman" w:eastAsia="仿宋" w:cs="Times New Roman"/>
          <w:sz w:val="24"/>
        </w:rPr>
        <w:t>《广东省既有建筑绿色改造技术规程》（征求意见稿）</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3</w:t>
      </w:r>
      <w:r>
        <w:rPr>
          <w:rFonts w:hint="eastAsia" w:ascii="Times New Roman" w:hAnsi="Times New Roman" w:eastAsia="仿宋" w:cs="Times New Roman"/>
          <w:sz w:val="24"/>
          <w:lang w:val="en-US" w:eastAsia="zh-CN"/>
        </w:rPr>
        <w:t>8.</w:t>
      </w:r>
      <w:r>
        <w:rPr>
          <w:rFonts w:hint="eastAsia" w:ascii="Times New Roman" w:hAnsi="Times New Roman" w:eastAsia="仿宋" w:cs="Times New Roman"/>
          <w:sz w:val="24"/>
        </w:rPr>
        <w:t>《广东省低碳生态城市规划建设指引》</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3</w:t>
      </w:r>
      <w:r>
        <w:rPr>
          <w:rFonts w:hint="eastAsia" w:ascii="Times New Roman" w:hAnsi="Times New Roman" w:eastAsia="仿宋" w:cs="Times New Roman"/>
          <w:sz w:val="24"/>
          <w:lang w:val="en-US" w:eastAsia="zh-CN"/>
        </w:rPr>
        <w:t>9.</w:t>
      </w:r>
      <w:r>
        <w:rPr>
          <w:rFonts w:hint="eastAsia" w:ascii="Times New Roman" w:hAnsi="Times New Roman" w:eastAsia="仿宋" w:cs="Times New Roman"/>
          <w:sz w:val="24"/>
        </w:rPr>
        <w:t>其他相关技术标准</w:t>
      </w:r>
    </w:p>
    <w:p>
      <w:pPr>
        <w:pStyle w:val="5"/>
        <w:rPr>
          <w:rFonts w:ascii="Times New Roman" w:hAnsi="Times New Roman" w:eastAsia="仿宋" w:cs="Times New Roman"/>
          <w:sz w:val="30"/>
          <w:szCs w:val="30"/>
        </w:rPr>
      </w:pPr>
      <w:bookmarkStart w:id="13" w:name="_Toc525718498"/>
      <w:bookmarkStart w:id="14" w:name="_Toc501619204"/>
      <w:bookmarkStart w:id="15" w:name="_Toc124321367"/>
      <w:r>
        <w:rPr>
          <w:rFonts w:hint="eastAsia" w:ascii="Times New Roman" w:hAnsi="Times New Roman" w:eastAsia="仿宋" w:cs="Times New Roman"/>
          <w:sz w:val="30"/>
          <w:szCs w:val="30"/>
        </w:rPr>
        <w:t>第</w:t>
      </w:r>
      <w:r>
        <w:rPr>
          <w:rFonts w:ascii="Times New Roman" w:hAnsi="Times New Roman" w:eastAsia="仿宋" w:cs="Times New Roman"/>
          <w:sz w:val="30"/>
          <w:szCs w:val="30"/>
        </w:rPr>
        <w:t>4</w:t>
      </w:r>
      <w:r>
        <w:rPr>
          <w:rFonts w:hint="eastAsia" w:ascii="Times New Roman" w:hAnsi="Times New Roman" w:eastAsia="仿宋" w:cs="Times New Roman"/>
          <w:sz w:val="30"/>
          <w:szCs w:val="30"/>
        </w:rPr>
        <w:t>条</w:t>
      </w:r>
      <w:r>
        <w:rPr>
          <w:rFonts w:ascii="Times New Roman" w:hAnsi="Times New Roman" w:eastAsia="仿宋" w:cs="Times New Roman"/>
          <w:sz w:val="30"/>
          <w:szCs w:val="30"/>
        </w:rPr>
        <w:t xml:space="preserve"> </w:t>
      </w:r>
      <w:r>
        <w:rPr>
          <w:rFonts w:hint="eastAsia" w:ascii="Times New Roman" w:hAnsi="Times New Roman" w:eastAsia="仿宋" w:cs="Times New Roman"/>
          <w:sz w:val="30"/>
          <w:szCs w:val="30"/>
        </w:rPr>
        <w:t>规划期限</w:t>
      </w:r>
      <w:bookmarkEnd w:id="13"/>
      <w:bookmarkEnd w:id="14"/>
      <w:bookmarkEnd w:id="15"/>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本规划期限为</w:t>
      </w:r>
      <w:r>
        <w:rPr>
          <w:rFonts w:ascii="Times New Roman" w:hAnsi="Times New Roman" w:eastAsia="仿宋" w:cs="Times New Roman"/>
          <w:sz w:val="24"/>
        </w:rPr>
        <w:t>20</w:t>
      </w:r>
      <w:r>
        <w:rPr>
          <w:rFonts w:hint="eastAsia" w:ascii="Times New Roman" w:hAnsi="Times New Roman" w:eastAsia="仿宋" w:cs="Times New Roman"/>
          <w:sz w:val="24"/>
        </w:rPr>
        <w:t>2</w:t>
      </w:r>
      <w:r>
        <w:rPr>
          <w:rFonts w:ascii="Times New Roman" w:hAnsi="Times New Roman" w:eastAsia="仿宋" w:cs="Times New Roman"/>
          <w:sz w:val="24"/>
        </w:rPr>
        <w:t>2</w:t>
      </w:r>
      <w:r>
        <w:rPr>
          <w:rFonts w:hint="eastAsia" w:ascii="Times New Roman" w:hAnsi="Times New Roman" w:eastAsia="仿宋" w:cs="Times New Roman"/>
          <w:sz w:val="24"/>
        </w:rPr>
        <w:t>年</w:t>
      </w:r>
      <w:r>
        <w:rPr>
          <w:rFonts w:hint="eastAsia" w:ascii="Times New Roman" w:hAnsi="Times New Roman" w:eastAsia="仿宋" w:cs="Times New Roman"/>
          <w:sz w:val="24"/>
          <w:lang w:val="en-US" w:eastAsia="zh-CN"/>
        </w:rPr>
        <w:t>至</w:t>
      </w:r>
      <w:r>
        <w:rPr>
          <w:rFonts w:ascii="Times New Roman" w:hAnsi="Times New Roman" w:eastAsia="仿宋" w:cs="Times New Roman"/>
          <w:sz w:val="24"/>
        </w:rPr>
        <w:t>2035</w:t>
      </w:r>
      <w:r>
        <w:rPr>
          <w:rFonts w:hint="eastAsia" w:ascii="Times New Roman" w:hAnsi="Times New Roman" w:eastAsia="仿宋" w:cs="Times New Roman"/>
          <w:sz w:val="24"/>
        </w:rPr>
        <w:t>年。其中，近期至</w:t>
      </w:r>
      <w:r>
        <w:rPr>
          <w:rFonts w:ascii="Times New Roman" w:hAnsi="Times New Roman" w:eastAsia="仿宋" w:cs="Times New Roman"/>
          <w:sz w:val="24"/>
        </w:rPr>
        <w:t>202</w:t>
      </w:r>
      <w:r>
        <w:rPr>
          <w:rFonts w:hint="eastAsia" w:ascii="Times New Roman" w:hAnsi="Times New Roman" w:eastAsia="仿宋" w:cs="Times New Roman"/>
          <w:sz w:val="24"/>
        </w:rPr>
        <w:t>5年，远期至</w:t>
      </w:r>
      <w:r>
        <w:rPr>
          <w:rFonts w:ascii="Times New Roman" w:hAnsi="Times New Roman" w:eastAsia="仿宋" w:cs="Times New Roman"/>
          <w:sz w:val="24"/>
        </w:rPr>
        <w:t>2035</w:t>
      </w:r>
      <w:r>
        <w:rPr>
          <w:rFonts w:hint="eastAsia" w:ascii="Times New Roman" w:hAnsi="Times New Roman" w:eastAsia="仿宋" w:cs="Times New Roman"/>
          <w:sz w:val="24"/>
        </w:rPr>
        <w:t>年。</w:t>
      </w:r>
    </w:p>
    <w:p>
      <w:pPr>
        <w:pStyle w:val="5"/>
        <w:rPr>
          <w:rFonts w:ascii="Times New Roman" w:hAnsi="Times New Roman" w:eastAsia="仿宋" w:cs="Times New Roman"/>
          <w:sz w:val="30"/>
          <w:szCs w:val="30"/>
        </w:rPr>
      </w:pPr>
      <w:bookmarkStart w:id="16" w:name="_Toc525718499"/>
      <w:bookmarkStart w:id="17" w:name="_Toc124321368"/>
      <w:bookmarkStart w:id="18" w:name="_Toc501619205"/>
      <w:r>
        <w:rPr>
          <w:rFonts w:hint="eastAsia" w:ascii="Times New Roman" w:hAnsi="Times New Roman" w:eastAsia="仿宋" w:cs="Times New Roman"/>
          <w:sz w:val="30"/>
          <w:szCs w:val="30"/>
        </w:rPr>
        <w:t>第</w:t>
      </w:r>
      <w:r>
        <w:rPr>
          <w:rFonts w:ascii="Times New Roman" w:hAnsi="Times New Roman" w:eastAsia="仿宋" w:cs="Times New Roman"/>
          <w:sz w:val="30"/>
          <w:szCs w:val="30"/>
        </w:rPr>
        <w:t>5</w:t>
      </w:r>
      <w:r>
        <w:rPr>
          <w:rFonts w:hint="eastAsia" w:ascii="Times New Roman" w:hAnsi="Times New Roman" w:eastAsia="仿宋" w:cs="Times New Roman"/>
          <w:sz w:val="30"/>
          <w:szCs w:val="30"/>
        </w:rPr>
        <w:t>条</w:t>
      </w:r>
      <w:r>
        <w:rPr>
          <w:rFonts w:ascii="Times New Roman" w:hAnsi="Times New Roman" w:eastAsia="仿宋" w:cs="Times New Roman"/>
          <w:sz w:val="30"/>
          <w:szCs w:val="30"/>
        </w:rPr>
        <w:t xml:space="preserve"> </w:t>
      </w:r>
      <w:r>
        <w:rPr>
          <w:rFonts w:hint="eastAsia" w:ascii="Times New Roman" w:hAnsi="Times New Roman" w:eastAsia="仿宋" w:cs="Times New Roman"/>
          <w:sz w:val="30"/>
          <w:szCs w:val="30"/>
        </w:rPr>
        <w:t>规划范围</w:t>
      </w:r>
      <w:bookmarkEnd w:id="16"/>
      <w:bookmarkEnd w:id="17"/>
      <w:bookmarkEnd w:id="18"/>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本规划的范围为中山市行政辖区的陆域面积，共1781平方公里。中山市行政辖区包括8个街道、15个建制镇、区域内含有1个国家级开发区——中山火炬高技术产业开发区和1个经济协作区——翠亨新区，辖</w:t>
      </w:r>
      <w:r>
        <w:rPr>
          <w:rFonts w:hint="eastAsia" w:ascii="Times New Roman" w:hAnsi="Times New Roman" w:eastAsia="仿宋" w:cs="Times New Roman"/>
          <w:sz w:val="24"/>
          <w:lang w:val="en-US" w:eastAsia="zh-CN"/>
        </w:rPr>
        <w:t>139</w:t>
      </w:r>
      <w:r>
        <w:rPr>
          <w:rFonts w:hint="eastAsia" w:ascii="Times New Roman" w:hAnsi="Times New Roman" w:eastAsia="仿宋" w:cs="Times New Roman"/>
          <w:sz w:val="24"/>
        </w:rPr>
        <w:t>个社区和150个行政村，总面积1899平方公里。其中：陆域面积1</w:t>
      </w:r>
      <w:r>
        <w:rPr>
          <w:rFonts w:ascii="Times New Roman" w:hAnsi="Times New Roman" w:eastAsia="仿宋" w:cs="Times New Roman"/>
          <w:sz w:val="24"/>
        </w:rPr>
        <w:t>781</w:t>
      </w:r>
      <w:r>
        <w:rPr>
          <w:rFonts w:hint="eastAsia" w:ascii="Times New Roman" w:hAnsi="Times New Roman" w:eastAsia="仿宋" w:cs="Times New Roman"/>
          <w:sz w:val="24"/>
        </w:rPr>
        <w:t>平方公里，海域面积1</w:t>
      </w:r>
      <w:r>
        <w:rPr>
          <w:rFonts w:ascii="Times New Roman" w:hAnsi="Times New Roman" w:eastAsia="仿宋" w:cs="Times New Roman"/>
          <w:sz w:val="24"/>
        </w:rPr>
        <w:t>18</w:t>
      </w:r>
      <w:r>
        <w:rPr>
          <w:rFonts w:hint="eastAsia" w:ascii="Times New Roman" w:hAnsi="Times New Roman" w:eastAsia="仿宋" w:cs="Times New Roman"/>
          <w:sz w:val="24"/>
        </w:rPr>
        <w:t>平方公里。</w:t>
      </w:r>
    </w:p>
    <w:p>
      <w:pPr>
        <w:pStyle w:val="4"/>
        <w:jc w:val="center"/>
        <w:rPr>
          <w:rFonts w:ascii="Times New Roman" w:hAnsi="Times New Roman" w:eastAsia="黑体" w:cs="Times New Roman"/>
          <w:sz w:val="36"/>
          <w:szCs w:val="36"/>
        </w:rPr>
        <w:sectPr>
          <w:footerReference r:id="rId7" w:type="default"/>
          <w:pgSz w:w="11906" w:h="16838"/>
          <w:pgMar w:top="1440" w:right="1797" w:bottom="1440" w:left="1797" w:header="851" w:footer="992" w:gutter="0"/>
          <w:pgNumType w:start="1"/>
          <w:cols w:space="425" w:num="1"/>
          <w:docGrid w:type="linesAndChars" w:linePitch="312" w:charSpace="0"/>
        </w:sectPr>
      </w:pPr>
      <w:bookmarkStart w:id="19" w:name="_Toc525718503"/>
      <w:bookmarkStart w:id="20" w:name="_Toc493355626"/>
      <w:bookmarkStart w:id="21" w:name="_Toc501619209"/>
    </w:p>
    <w:p>
      <w:pPr>
        <w:pStyle w:val="4"/>
        <w:jc w:val="center"/>
        <w:rPr>
          <w:rFonts w:ascii="Times New Roman" w:hAnsi="Times New Roman" w:eastAsia="黑体" w:cs="Times New Roman"/>
          <w:sz w:val="36"/>
          <w:szCs w:val="36"/>
        </w:rPr>
      </w:pPr>
      <w:bookmarkStart w:id="22" w:name="_Toc124321369"/>
      <w:r>
        <w:rPr>
          <w:rFonts w:hint="eastAsia" w:ascii="Times New Roman" w:hAnsi="Times New Roman" w:eastAsia="黑体" w:cs="Times New Roman"/>
          <w:sz w:val="36"/>
          <w:szCs w:val="36"/>
        </w:rPr>
        <w:t>第二章</w:t>
      </w:r>
      <w:r>
        <w:rPr>
          <w:rFonts w:ascii="Times New Roman" w:hAnsi="Times New Roman" w:eastAsia="黑体" w:cs="Times New Roman"/>
          <w:sz w:val="36"/>
          <w:szCs w:val="36"/>
        </w:rPr>
        <w:t xml:space="preserve"> </w:t>
      </w:r>
      <w:r>
        <w:rPr>
          <w:rFonts w:hint="eastAsia" w:ascii="Times New Roman" w:hAnsi="Times New Roman" w:eastAsia="黑体" w:cs="Times New Roman"/>
          <w:sz w:val="36"/>
          <w:szCs w:val="36"/>
        </w:rPr>
        <w:t>发展定位与目标</w:t>
      </w:r>
      <w:bookmarkEnd w:id="19"/>
      <w:bookmarkEnd w:id="20"/>
      <w:bookmarkEnd w:id="21"/>
      <w:bookmarkEnd w:id="22"/>
    </w:p>
    <w:p>
      <w:pPr>
        <w:pStyle w:val="5"/>
        <w:rPr>
          <w:rFonts w:ascii="Times New Roman" w:hAnsi="Times New Roman" w:eastAsia="仿宋" w:cs="Times New Roman"/>
          <w:sz w:val="30"/>
          <w:szCs w:val="30"/>
        </w:rPr>
      </w:pPr>
      <w:bookmarkStart w:id="23" w:name="_Toc525718504"/>
      <w:bookmarkStart w:id="24" w:name="_Toc124321370"/>
      <w:bookmarkStart w:id="25" w:name="_Toc501619210"/>
      <w:r>
        <w:rPr>
          <w:rFonts w:hint="eastAsia" w:ascii="Times New Roman" w:hAnsi="Times New Roman" w:eastAsia="仿宋" w:cs="Times New Roman"/>
          <w:sz w:val="30"/>
          <w:szCs w:val="30"/>
        </w:rPr>
        <w:t>第6条</w:t>
      </w:r>
      <w:r>
        <w:rPr>
          <w:rFonts w:ascii="Times New Roman" w:hAnsi="Times New Roman" w:eastAsia="仿宋" w:cs="Times New Roman"/>
          <w:sz w:val="30"/>
          <w:szCs w:val="30"/>
        </w:rPr>
        <w:t xml:space="preserve"> </w:t>
      </w:r>
      <w:r>
        <w:rPr>
          <w:rFonts w:hint="eastAsia" w:ascii="Times New Roman" w:hAnsi="Times New Roman" w:eastAsia="仿宋" w:cs="Times New Roman"/>
          <w:sz w:val="30"/>
          <w:szCs w:val="30"/>
        </w:rPr>
        <w:t>发展定位</w:t>
      </w:r>
      <w:bookmarkEnd w:id="23"/>
      <w:bookmarkEnd w:id="24"/>
      <w:bookmarkEnd w:id="25"/>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抓住粤港澳大湾区和深圳中国特色社会主义先行示范区建设“双区驱动”重大历史机遇，紧紧围绕“湾区枢纽、精品中山”的战略部署，努力推进中山市建筑低碳绿色发展，将中山市打造成珠江西岸绿色建筑高质量发展“桥头堡”，广东省绿色建筑发展重点城市。</w:t>
      </w:r>
    </w:p>
    <w:p>
      <w:pPr>
        <w:pStyle w:val="5"/>
        <w:rPr>
          <w:rFonts w:ascii="Times New Roman" w:hAnsi="Times New Roman" w:eastAsia="仿宋" w:cs="Times New Roman"/>
          <w:sz w:val="30"/>
          <w:szCs w:val="30"/>
        </w:rPr>
      </w:pPr>
      <w:bookmarkStart w:id="26" w:name="_Toc124321371"/>
      <w:bookmarkStart w:id="27" w:name="_Toc525718505"/>
      <w:r>
        <w:rPr>
          <w:rFonts w:hint="eastAsia" w:ascii="Times New Roman" w:hAnsi="Times New Roman" w:eastAsia="仿宋" w:cs="Times New Roman"/>
          <w:sz w:val="30"/>
          <w:szCs w:val="30"/>
        </w:rPr>
        <w:t>第7条</w:t>
      </w:r>
      <w:r>
        <w:rPr>
          <w:rFonts w:ascii="Times New Roman" w:hAnsi="Times New Roman" w:eastAsia="仿宋" w:cs="Times New Roman"/>
          <w:sz w:val="30"/>
          <w:szCs w:val="30"/>
        </w:rPr>
        <w:t xml:space="preserve"> </w:t>
      </w:r>
      <w:r>
        <w:rPr>
          <w:rFonts w:hint="eastAsia" w:ascii="Times New Roman" w:hAnsi="Times New Roman" w:eastAsia="仿宋" w:cs="Times New Roman"/>
          <w:sz w:val="30"/>
          <w:szCs w:val="30"/>
        </w:rPr>
        <w:t>总体目标</w:t>
      </w:r>
      <w:bookmarkEnd w:id="26"/>
      <w:bookmarkEnd w:id="27"/>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以绿色建筑高质量发展推动城乡建设更高质量、人居环境更加优良、人民生活更有品质、温室气体更少排放，到2025年，全面建设绿色建筑，以装配式建筑为代表的新型建筑工业化加快发展，装配式建筑标准化水平和建造质量进一步提高，为城乡建设领域2030年前碳达峰奠定坚实基础。</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目标具体表现为：实现建筑绿色设计、施工、运行水平明显提高，高品质绿色建筑、健康建筑逐步普及，建筑能效显著提升，近零能耗建筑建设日趋成熟，既有建筑节能改造稳步推进，可再生能源建筑应用规模不断扩大，建筑工业化水平取得显著进步，绿色建材广泛应用，农村建筑节能实现新突破，形成有效推进城乡建设全领域和全过程的绿色建设与发展模式。</w:t>
      </w:r>
    </w:p>
    <w:p>
      <w:pPr>
        <w:pStyle w:val="5"/>
        <w:rPr>
          <w:rFonts w:ascii="Times New Roman" w:hAnsi="Times New Roman" w:eastAsia="仿宋" w:cs="Times New Roman"/>
          <w:sz w:val="30"/>
          <w:szCs w:val="30"/>
        </w:rPr>
      </w:pPr>
      <w:bookmarkStart w:id="28" w:name="_Toc124321372"/>
      <w:bookmarkStart w:id="29" w:name="_Toc525718506"/>
      <w:r>
        <w:rPr>
          <w:rFonts w:hint="eastAsia" w:ascii="Times New Roman" w:hAnsi="Times New Roman" w:eastAsia="仿宋" w:cs="Times New Roman"/>
          <w:sz w:val="30"/>
          <w:szCs w:val="30"/>
        </w:rPr>
        <w:t>第8条</w:t>
      </w:r>
      <w:r>
        <w:rPr>
          <w:rFonts w:ascii="Times New Roman" w:hAnsi="Times New Roman" w:eastAsia="仿宋" w:cs="Times New Roman"/>
          <w:sz w:val="30"/>
          <w:szCs w:val="30"/>
        </w:rPr>
        <w:t xml:space="preserve"> </w:t>
      </w:r>
      <w:r>
        <w:rPr>
          <w:rFonts w:hint="eastAsia" w:ascii="Times New Roman" w:hAnsi="Times New Roman" w:eastAsia="仿宋" w:cs="Times New Roman"/>
          <w:sz w:val="30"/>
          <w:szCs w:val="30"/>
        </w:rPr>
        <w:t>近期目标</w:t>
      </w:r>
      <w:bookmarkEnd w:id="28"/>
      <w:bookmarkEnd w:id="29"/>
    </w:p>
    <w:p>
      <w:pPr>
        <w:tabs>
          <w:tab w:val="left" w:pos="1680"/>
        </w:tabs>
        <w:adjustRightInd w:val="0"/>
        <w:snapToGrid w:val="0"/>
        <w:spacing w:before="93" w:beforeLines="30" w:after="93" w:afterLines="30" w:line="360" w:lineRule="auto"/>
        <w:ind w:firstLine="480" w:firstLineChars="200"/>
      </w:pPr>
      <w:r>
        <w:rPr>
          <w:rFonts w:ascii="Times New Roman" w:hAnsi="Times New Roman" w:eastAsia="仿宋" w:cs="Times New Roman"/>
          <w:sz w:val="24"/>
        </w:rPr>
        <w:t>为全面落实国家和广东省绿色低碳战略部署，实现</w:t>
      </w:r>
      <w:r>
        <w:rPr>
          <w:rFonts w:hint="eastAsia" w:ascii="Times New Roman" w:hAnsi="Times New Roman" w:eastAsia="仿宋" w:cs="Times New Roman"/>
          <w:sz w:val="24"/>
        </w:rPr>
        <w:t>中山</w:t>
      </w:r>
      <w:r>
        <w:rPr>
          <w:rFonts w:ascii="Times New Roman" w:hAnsi="Times New Roman" w:eastAsia="仿宋" w:cs="Times New Roman"/>
          <w:sz w:val="24"/>
        </w:rPr>
        <w:t>市绿色建筑发展目标，结合</w:t>
      </w:r>
      <w:r>
        <w:rPr>
          <w:rFonts w:hint="eastAsia" w:ascii="Times New Roman" w:hAnsi="Times New Roman" w:eastAsia="仿宋" w:cs="Times New Roman"/>
          <w:sz w:val="24"/>
        </w:rPr>
        <w:t>中山市</w:t>
      </w:r>
      <w:r>
        <w:rPr>
          <w:rFonts w:ascii="Times New Roman" w:hAnsi="Times New Roman" w:eastAsia="仿宋" w:cs="Times New Roman"/>
          <w:sz w:val="24"/>
        </w:rPr>
        <w:t>发展定位，制定</w:t>
      </w:r>
      <w:r>
        <w:rPr>
          <w:rFonts w:hint="eastAsia" w:ascii="Times New Roman" w:hAnsi="Times New Roman" w:eastAsia="仿宋" w:cs="Times New Roman"/>
          <w:sz w:val="24"/>
        </w:rPr>
        <w:t>中山</w:t>
      </w:r>
      <w:r>
        <w:rPr>
          <w:rFonts w:ascii="Times New Roman" w:hAnsi="Times New Roman" w:eastAsia="仿宋" w:cs="Times New Roman"/>
          <w:sz w:val="24"/>
        </w:rPr>
        <w:t>市绿色建筑发展近期目标。</w:t>
      </w:r>
      <w:r>
        <w:rPr>
          <w:rFonts w:hint="eastAsia" w:ascii="Times New Roman" w:hAnsi="Times New Roman" w:eastAsia="仿宋" w:cs="Times New Roman"/>
          <w:sz w:val="24"/>
        </w:rPr>
        <w:t>到2</w:t>
      </w:r>
      <w:r>
        <w:rPr>
          <w:rFonts w:ascii="Times New Roman" w:hAnsi="Times New Roman" w:eastAsia="仿宋" w:cs="Times New Roman"/>
          <w:sz w:val="24"/>
        </w:rPr>
        <w:t>025</w:t>
      </w:r>
      <w:r>
        <w:rPr>
          <w:rFonts w:hint="eastAsia" w:ascii="Times New Roman" w:hAnsi="Times New Roman" w:eastAsia="仿宋" w:cs="Times New Roman"/>
          <w:sz w:val="24"/>
        </w:rPr>
        <w:t>年，中山市全面建设绿色建筑，城镇绿色建筑占当年新建建筑比例达到1</w:t>
      </w:r>
      <w:r>
        <w:rPr>
          <w:rFonts w:ascii="Times New Roman" w:hAnsi="Times New Roman" w:eastAsia="仿宋" w:cs="Times New Roman"/>
          <w:sz w:val="24"/>
        </w:rPr>
        <w:t>00%</w:t>
      </w:r>
      <w:r>
        <w:rPr>
          <w:rFonts w:hint="eastAsia" w:ascii="Times New Roman" w:hAnsi="Times New Roman" w:eastAsia="仿宋" w:cs="Times New Roman"/>
          <w:sz w:val="24"/>
        </w:rPr>
        <w:t>；积极推动星级绿色建筑的建设，一星及以上等级绿色建筑占城镇新增绿色建筑比例达到4</w:t>
      </w:r>
      <w:r>
        <w:rPr>
          <w:rFonts w:ascii="Times New Roman" w:hAnsi="Times New Roman" w:eastAsia="仿宋" w:cs="Times New Roman"/>
          <w:sz w:val="24"/>
        </w:rPr>
        <w:t>5%</w:t>
      </w:r>
      <w:r>
        <w:rPr>
          <w:rFonts w:hint="eastAsia" w:ascii="Times New Roman" w:hAnsi="Times New Roman" w:eastAsia="仿宋" w:cs="Times New Roman"/>
          <w:sz w:val="24"/>
        </w:rPr>
        <w:t>；努力提升建筑能效水平，其中：城镇新建居住建筑能效水平提升比例达到3</w:t>
      </w:r>
      <w:r>
        <w:rPr>
          <w:rFonts w:ascii="Times New Roman" w:hAnsi="Times New Roman" w:eastAsia="仿宋" w:cs="Times New Roman"/>
          <w:sz w:val="24"/>
        </w:rPr>
        <w:t>0%</w:t>
      </w:r>
      <w:r>
        <w:rPr>
          <w:rFonts w:hint="eastAsia" w:ascii="Times New Roman" w:hAnsi="Times New Roman" w:eastAsia="仿宋" w:cs="Times New Roman"/>
          <w:sz w:val="24"/>
        </w:rPr>
        <w:t>，城镇新建公共建筑能效水平提升比例达到</w:t>
      </w:r>
      <w:r>
        <w:rPr>
          <w:rFonts w:ascii="Times New Roman" w:hAnsi="Times New Roman" w:eastAsia="仿宋" w:cs="Times New Roman"/>
          <w:sz w:val="24"/>
        </w:rPr>
        <w:t>20%</w:t>
      </w:r>
      <w:r>
        <w:rPr>
          <w:rFonts w:hint="eastAsia" w:ascii="Times New Roman" w:hAnsi="Times New Roman" w:eastAsia="仿宋" w:cs="Times New Roman"/>
          <w:sz w:val="24"/>
        </w:rPr>
        <w:t>；大力推进既有建筑节能绿色化改造，改造面积达到2</w:t>
      </w:r>
      <w:r>
        <w:rPr>
          <w:rFonts w:ascii="Times New Roman" w:hAnsi="Times New Roman" w:eastAsia="仿宋" w:cs="Times New Roman"/>
          <w:sz w:val="24"/>
        </w:rPr>
        <w:t>00</w:t>
      </w:r>
      <w:r>
        <w:rPr>
          <w:rFonts w:hint="eastAsia" w:ascii="Times New Roman" w:hAnsi="Times New Roman" w:eastAsia="仿宋" w:cs="Times New Roman"/>
          <w:sz w:val="24"/>
        </w:rPr>
        <w:t>万平方米。</w:t>
      </w:r>
    </w:p>
    <w:p>
      <w:pPr>
        <w:pStyle w:val="2"/>
        <w:spacing w:before="156" w:after="93"/>
        <w:ind w:firstLine="0" w:firstLineChars="0"/>
        <w:jc w:val="center"/>
        <w:rPr>
          <w:rFonts w:ascii="仿宋" w:hAnsi="仿宋" w:eastAsia="仿宋"/>
          <w:b/>
          <w:bCs/>
          <w:sz w:val="21"/>
          <w:szCs w:val="21"/>
        </w:rPr>
      </w:pPr>
      <w:r>
        <w:rPr>
          <w:rFonts w:ascii="仿宋" w:hAnsi="仿宋" w:eastAsia="仿宋"/>
          <w:b/>
          <w:bCs/>
          <w:sz w:val="21"/>
          <w:szCs w:val="21"/>
        </w:rPr>
        <w:t>表1 中山市绿色建筑规划核心指标表</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1"/>
        <w:gridCol w:w="1926"/>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blHeader/>
          <w:jc w:val="center"/>
        </w:trPr>
        <w:tc>
          <w:tcPr>
            <w:tcW w:w="2944" w:type="pct"/>
            <w:shd w:val="clear" w:color="auto" w:fill="D8D8D8"/>
            <w:vAlign w:val="center"/>
          </w:tcPr>
          <w:p>
            <w:pPr>
              <w:pStyle w:val="302"/>
              <w:adjustRightInd w:val="0"/>
              <w:snapToGrid w:val="0"/>
              <w:spacing w:after="0" w:line="240" w:lineRule="auto"/>
              <w:ind w:left="0" w:leftChars="0"/>
              <w:jc w:val="center"/>
              <w:rPr>
                <w:rFonts w:hint="default" w:ascii="Times New Roman" w:hAnsi="Times New Roman" w:eastAsia="仿宋" w:cs="Times New Roman"/>
                <w:b/>
                <w:bCs/>
                <w:szCs w:val="21"/>
              </w:rPr>
            </w:pPr>
            <w:bookmarkStart w:id="30" w:name="_Toc501619214"/>
            <w:bookmarkStart w:id="31" w:name="_Toc525718507"/>
            <w:r>
              <w:rPr>
                <w:rFonts w:hint="default" w:ascii="Times New Roman" w:hAnsi="Times New Roman" w:eastAsia="仿宋" w:cs="Times New Roman"/>
                <w:b/>
                <w:bCs/>
                <w:szCs w:val="21"/>
              </w:rPr>
              <w:t>主要指标</w:t>
            </w:r>
          </w:p>
        </w:tc>
        <w:tc>
          <w:tcPr>
            <w:tcW w:w="1129" w:type="pct"/>
            <w:shd w:val="clear" w:color="auto" w:fill="D8D8D8"/>
            <w:vAlign w:val="center"/>
          </w:tcPr>
          <w:p>
            <w:pPr>
              <w:pStyle w:val="302"/>
              <w:adjustRightInd w:val="0"/>
              <w:snapToGrid w:val="0"/>
              <w:spacing w:after="0" w:line="240" w:lineRule="auto"/>
              <w:ind w:left="0" w:leftChars="0"/>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至2025年</w:t>
            </w:r>
          </w:p>
        </w:tc>
        <w:tc>
          <w:tcPr>
            <w:tcW w:w="927" w:type="pct"/>
            <w:shd w:val="clear" w:color="auto" w:fill="D8D8D8"/>
            <w:vAlign w:val="center"/>
          </w:tcPr>
          <w:p>
            <w:pPr>
              <w:pStyle w:val="302"/>
              <w:adjustRightInd w:val="0"/>
              <w:snapToGrid w:val="0"/>
              <w:spacing w:after="0" w:line="240" w:lineRule="auto"/>
              <w:ind w:left="0" w:leftChars="0"/>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指标类型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4" w:type="pct"/>
            <w:shd w:val="clear" w:color="auto" w:fill="auto"/>
            <w:vAlign w:val="center"/>
          </w:tcPr>
          <w:p>
            <w:pPr>
              <w:pStyle w:val="302"/>
              <w:adjustRightInd w:val="0"/>
              <w:snapToGrid w:val="0"/>
              <w:spacing w:after="0" w:line="240" w:lineRule="auto"/>
              <w:ind w:left="0" w:leftChars="0"/>
              <w:jc w:val="center"/>
              <w:rPr>
                <w:rFonts w:hint="default" w:ascii="Times New Roman" w:hAnsi="Times New Roman" w:eastAsia="仿宋" w:cs="Times New Roman"/>
                <w:szCs w:val="21"/>
              </w:rPr>
            </w:pPr>
            <w:bookmarkStart w:id="32" w:name="_Hlk124348830"/>
            <w:r>
              <w:rPr>
                <w:rFonts w:hint="default" w:ascii="Times New Roman" w:hAnsi="Times New Roman" w:eastAsia="仿宋" w:cs="Times New Roman"/>
                <w:szCs w:val="21"/>
              </w:rPr>
              <w:t>城镇绿色建筑占当年新建建筑比例</w:t>
            </w:r>
            <w:bookmarkEnd w:id="32"/>
          </w:p>
        </w:tc>
        <w:tc>
          <w:tcPr>
            <w:tcW w:w="1129" w:type="pct"/>
            <w:shd w:val="clear" w:color="auto" w:fill="auto"/>
            <w:vAlign w:val="center"/>
          </w:tcPr>
          <w:p>
            <w:pPr>
              <w:pStyle w:val="302"/>
              <w:adjustRightInd w:val="0"/>
              <w:snapToGrid w:val="0"/>
              <w:spacing w:after="0" w:line="240" w:lineRule="auto"/>
              <w:ind w:left="0" w:leftChars="0"/>
              <w:jc w:val="center"/>
              <w:rPr>
                <w:rFonts w:hint="default" w:ascii="Times New Roman" w:hAnsi="Times New Roman" w:eastAsia="仿宋" w:cs="Times New Roman"/>
                <w:szCs w:val="21"/>
              </w:rPr>
            </w:pPr>
            <w:r>
              <w:rPr>
                <w:rFonts w:hint="default" w:ascii="Times New Roman" w:hAnsi="Times New Roman" w:eastAsia="仿宋" w:cs="Times New Roman"/>
                <w:szCs w:val="21"/>
              </w:rPr>
              <w:t>100%</w:t>
            </w:r>
          </w:p>
        </w:tc>
        <w:tc>
          <w:tcPr>
            <w:tcW w:w="927" w:type="pct"/>
            <w:vAlign w:val="center"/>
          </w:tcPr>
          <w:p>
            <w:pPr>
              <w:pStyle w:val="302"/>
              <w:adjustRightInd w:val="0"/>
              <w:snapToGrid w:val="0"/>
              <w:spacing w:after="0" w:line="240" w:lineRule="auto"/>
              <w:ind w:left="0" w:leftChars="0"/>
              <w:jc w:val="center"/>
              <w:rPr>
                <w:rFonts w:hint="default" w:ascii="Times New Roman" w:hAnsi="Times New Roman" w:eastAsia="仿宋" w:cs="Times New Roman"/>
                <w:szCs w:val="21"/>
              </w:rPr>
            </w:pPr>
            <w:r>
              <w:rPr>
                <w:rFonts w:hint="default" w:ascii="Times New Roman" w:hAnsi="Times New Roman" w:eastAsia="仿宋" w:cs="Times New Roman"/>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4" w:type="pct"/>
            <w:shd w:val="clear" w:color="auto" w:fill="auto"/>
            <w:vAlign w:val="center"/>
          </w:tcPr>
          <w:p>
            <w:pPr>
              <w:pStyle w:val="302"/>
              <w:adjustRightInd w:val="0"/>
              <w:snapToGrid w:val="0"/>
              <w:spacing w:after="0" w:line="240" w:lineRule="auto"/>
              <w:ind w:left="0" w:leftChars="0"/>
              <w:jc w:val="center"/>
              <w:rPr>
                <w:rFonts w:hint="default" w:ascii="Times New Roman" w:hAnsi="Times New Roman" w:eastAsia="仿宋" w:cs="Times New Roman"/>
                <w:szCs w:val="21"/>
              </w:rPr>
            </w:pPr>
            <w:bookmarkStart w:id="33" w:name="_Hlk124348867"/>
            <w:r>
              <w:rPr>
                <w:rFonts w:hint="default" w:ascii="Times New Roman" w:hAnsi="Times New Roman" w:eastAsia="仿宋" w:cs="Times New Roman"/>
                <w:szCs w:val="21"/>
              </w:rPr>
              <w:t>一星及以上等级绿色建筑占城镇新增绿色建筑比例</w:t>
            </w:r>
            <w:bookmarkEnd w:id="33"/>
          </w:p>
        </w:tc>
        <w:tc>
          <w:tcPr>
            <w:tcW w:w="1129" w:type="pct"/>
            <w:shd w:val="clear" w:color="auto" w:fill="auto"/>
            <w:vAlign w:val="center"/>
          </w:tcPr>
          <w:p>
            <w:pPr>
              <w:pStyle w:val="302"/>
              <w:adjustRightInd w:val="0"/>
              <w:snapToGrid w:val="0"/>
              <w:spacing w:after="0" w:line="240" w:lineRule="auto"/>
              <w:ind w:left="0" w:leftChars="0"/>
              <w:jc w:val="center"/>
              <w:rPr>
                <w:rFonts w:hint="default" w:ascii="Times New Roman" w:hAnsi="Times New Roman" w:eastAsia="仿宋" w:cs="Times New Roman"/>
                <w:szCs w:val="21"/>
              </w:rPr>
            </w:pPr>
            <w:r>
              <w:rPr>
                <w:rFonts w:hint="default" w:ascii="Times New Roman" w:hAnsi="Times New Roman" w:eastAsia="仿宋" w:cs="Times New Roman"/>
                <w:szCs w:val="21"/>
              </w:rPr>
              <w:t>45%</w:t>
            </w:r>
          </w:p>
        </w:tc>
        <w:tc>
          <w:tcPr>
            <w:tcW w:w="927" w:type="pct"/>
            <w:vAlign w:val="center"/>
          </w:tcPr>
          <w:p>
            <w:pPr>
              <w:pStyle w:val="302"/>
              <w:adjustRightInd w:val="0"/>
              <w:snapToGrid w:val="0"/>
              <w:spacing w:after="0" w:line="240" w:lineRule="auto"/>
              <w:ind w:left="0" w:leftChars="0"/>
              <w:jc w:val="center"/>
              <w:rPr>
                <w:rFonts w:hint="default" w:ascii="Times New Roman" w:hAnsi="Times New Roman" w:eastAsia="仿宋" w:cs="Times New Roman"/>
                <w:szCs w:val="21"/>
              </w:rPr>
            </w:pPr>
            <w:r>
              <w:rPr>
                <w:rFonts w:hint="default" w:ascii="Times New Roman" w:hAnsi="Times New Roman" w:eastAsia="仿宋" w:cs="Times New Roman"/>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4" w:type="pct"/>
            <w:shd w:val="clear" w:color="auto" w:fill="auto"/>
            <w:vAlign w:val="center"/>
          </w:tcPr>
          <w:p>
            <w:pPr>
              <w:pStyle w:val="302"/>
              <w:adjustRightInd w:val="0"/>
              <w:snapToGrid w:val="0"/>
              <w:spacing w:after="0" w:line="240" w:lineRule="auto"/>
              <w:ind w:left="0" w:leftChars="0"/>
              <w:jc w:val="center"/>
              <w:rPr>
                <w:rFonts w:hint="default" w:ascii="Times New Roman" w:hAnsi="Times New Roman" w:eastAsia="仿宋" w:cs="Times New Roman"/>
                <w:szCs w:val="21"/>
              </w:rPr>
            </w:pPr>
            <w:bookmarkStart w:id="34" w:name="_Hlk124348942"/>
            <w:r>
              <w:rPr>
                <w:rFonts w:hint="default" w:ascii="Times New Roman" w:hAnsi="Times New Roman" w:eastAsia="仿宋" w:cs="Times New Roman"/>
                <w:szCs w:val="21"/>
              </w:rPr>
              <w:t>城镇新建居住建筑能效水平提升</w:t>
            </w:r>
            <w:bookmarkEnd w:id="34"/>
          </w:p>
        </w:tc>
        <w:tc>
          <w:tcPr>
            <w:tcW w:w="1129" w:type="pct"/>
            <w:shd w:val="clear" w:color="auto" w:fill="auto"/>
            <w:vAlign w:val="center"/>
          </w:tcPr>
          <w:p>
            <w:pPr>
              <w:pStyle w:val="302"/>
              <w:adjustRightInd w:val="0"/>
              <w:snapToGrid w:val="0"/>
              <w:spacing w:after="0" w:line="240" w:lineRule="auto"/>
              <w:ind w:left="0" w:leftChars="0"/>
              <w:jc w:val="center"/>
              <w:rPr>
                <w:rFonts w:hint="default" w:ascii="Times New Roman" w:hAnsi="Times New Roman" w:eastAsia="仿宋" w:cs="Times New Roman"/>
                <w:szCs w:val="21"/>
              </w:rPr>
            </w:pPr>
            <w:r>
              <w:rPr>
                <w:rFonts w:hint="default" w:ascii="Times New Roman" w:hAnsi="Times New Roman" w:eastAsia="仿宋" w:cs="Times New Roman"/>
                <w:szCs w:val="21"/>
              </w:rPr>
              <w:t>≥30%</w:t>
            </w:r>
          </w:p>
        </w:tc>
        <w:tc>
          <w:tcPr>
            <w:tcW w:w="927" w:type="pct"/>
            <w:vAlign w:val="center"/>
          </w:tcPr>
          <w:p>
            <w:pPr>
              <w:pStyle w:val="302"/>
              <w:adjustRightInd w:val="0"/>
              <w:snapToGrid w:val="0"/>
              <w:spacing w:after="0" w:line="240" w:lineRule="auto"/>
              <w:ind w:left="0" w:leftChars="0"/>
              <w:jc w:val="center"/>
              <w:rPr>
                <w:rFonts w:hint="default" w:ascii="Times New Roman" w:hAnsi="Times New Roman" w:eastAsia="仿宋" w:cs="Times New Roman"/>
                <w:szCs w:val="21"/>
              </w:rPr>
            </w:pPr>
            <w:r>
              <w:rPr>
                <w:rFonts w:hint="default" w:ascii="Times New Roman" w:hAnsi="Times New Roman" w:eastAsia="仿宋" w:cs="Times New Roman"/>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4" w:type="pct"/>
            <w:shd w:val="clear" w:color="auto" w:fill="auto"/>
            <w:vAlign w:val="center"/>
          </w:tcPr>
          <w:p>
            <w:pPr>
              <w:pStyle w:val="302"/>
              <w:adjustRightInd w:val="0"/>
              <w:snapToGrid w:val="0"/>
              <w:spacing w:after="0" w:line="240" w:lineRule="auto"/>
              <w:ind w:left="0" w:leftChars="0"/>
              <w:jc w:val="center"/>
              <w:rPr>
                <w:rFonts w:hint="default" w:ascii="Times New Roman" w:hAnsi="Times New Roman" w:eastAsia="仿宋" w:cs="Times New Roman"/>
                <w:szCs w:val="21"/>
              </w:rPr>
            </w:pPr>
            <w:r>
              <w:rPr>
                <w:rFonts w:hint="default" w:ascii="Times New Roman" w:hAnsi="Times New Roman" w:eastAsia="仿宋" w:cs="Times New Roman"/>
                <w:szCs w:val="21"/>
              </w:rPr>
              <w:t>城镇新建公共建筑能效水平提升</w:t>
            </w:r>
          </w:p>
        </w:tc>
        <w:tc>
          <w:tcPr>
            <w:tcW w:w="1129" w:type="pct"/>
            <w:shd w:val="clear" w:color="auto" w:fill="auto"/>
            <w:vAlign w:val="center"/>
          </w:tcPr>
          <w:p>
            <w:pPr>
              <w:pStyle w:val="302"/>
              <w:adjustRightInd w:val="0"/>
              <w:snapToGrid w:val="0"/>
              <w:spacing w:after="0" w:line="240" w:lineRule="auto"/>
              <w:ind w:left="0" w:leftChars="0"/>
              <w:jc w:val="center"/>
              <w:rPr>
                <w:rFonts w:hint="default" w:ascii="Times New Roman" w:hAnsi="Times New Roman" w:eastAsia="仿宋" w:cs="Times New Roman"/>
                <w:szCs w:val="21"/>
              </w:rPr>
            </w:pPr>
            <w:r>
              <w:rPr>
                <w:rFonts w:hint="default" w:ascii="Times New Roman" w:hAnsi="Times New Roman" w:eastAsia="仿宋" w:cs="Times New Roman"/>
                <w:szCs w:val="21"/>
              </w:rPr>
              <w:t>≥20%</w:t>
            </w:r>
          </w:p>
        </w:tc>
        <w:tc>
          <w:tcPr>
            <w:tcW w:w="927" w:type="pct"/>
            <w:vAlign w:val="center"/>
          </w:tcPr>
          <w:p>
            <w:pPr>
              <w:pStyle w:val="302"/>
              <w:adjustRightInd w:val="0"/>
              <w:snapToGrid w:val="0"/>
              <w:spacing w:after="0" w:line="240" w:lineRule="auto"/>
              <w:ind w:left="0" w:leftChars="0"/>
              <w:jc w:val="center"/>
              <w:rPr>
                <w:rFonts w:hint="default" w:ascii="Times New Roman" w:hAnsi="Times New Roman" w:eastAsia="仿宋" w:cs="Times New Roman"/>
                <w:szCs w:val="21"/>
              </w:rPr>
            </w:pPr>
            <w:r>
              <w:rPr>
                <w:rFonts w:hint="default" w:ascii="Times New Roman" w:hAnsi="Times New Roman" w:eastAsia="仿宋" w:cs="Times New Roman"/>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4" w:type="pct"/>
            <w:shd w:val="clear" w:color="auto" w:fill="auto"/>
            <w:vAlign w:val="center"/>
          </w:tcPr>
          <w:p>
            <w:pPr>
              <w:pStyle w:val="302"/>
              <w:adjustRightInd w:val="0"/>
              <w:snapToGrid w:val="0"/>
              <w:spacing w:after="0" w:line="240" w:lineRule="auto"/>
              <w:ind w:left="0" w:leftChars="0"/>
              <w:jc w:val="center"/>
              <w:rPr>
                <w:rFonts w:hint="default" w:ascii="Times New Roman" w:hAnsi="Times New Roman" w:eastAsia="仿宋" w:cs="Times New Roman"/>
                <w:szCs w:val="21"/>
              </w:rPr>
            </w:pPr>
            <w:r>
              <w:rPr>
                <w:rFonts w:hint="default" w:ascii="Times New Roman" w:hAnsi="Times New Roman" w:eastAsia="仿宋" w:cs="Times New Roman"/>
                <w:szCs w:val="21"/>
              </w:rPr>
              <w:t>既有建筑节能绿色化改造</w:t>
            </w:r>
            <w:r>
              <w:rPr>
                <w:rFonts w:hint="eastAsia" w:eastAsia="仿宋" w:cs="Times New Roman"/>
                <w:szCs w:val="21"/>
                <w:lang w:eastAsia="zh-CN"/>
              </w:rPr>
              <w:t>（万㎡）</w:t>
            </w:r>
          </w:p>
        </w:tc>
        <w:tc>
          <w:tcPr>
            <w:tcW w:w="1129" w:type="pct"/>
            <w:shd w:val="clear" w:color="auto" w:fill="auto"/>
            <w:vAlign w:val="center"/>
          </w:tcPr>
          <w:p>
            <w:pPr>
              <w:pStyle w:val="302"/>
              <w:adjustRightInd w:val="0"/>
              <w:snapToGrid w:val="0"/>
              <w:spacing w:after="0" w:line="240" w:lineRule="auto"/>
              <w:ind w:left="0" w:leftChars="0"/>
              <w:jc w:val="center"/>
              <w:rPr>
                <w:rFonts w:hint="default" w:ascii="Times New Roman" w:hAnsi="Times New Roman" w:eastAsia="仿宋" w:cs="Times New Roman"/>
                <w:szCs w:val="21"/>
              </w:rPr>
            </w:pPr>
            <w:r>
              <w:rPr>
                <w:rFonts w:hint="default" w:ascii="Times New Roman" w:hAnsi="Times New Roman" w:eastAsia="仿宋" w:cs="Times New Roman"/>
                <w:szCs w:val="21"/>
              </w:rPr>
              <w:t>200</w:t>
            </w:r>
          </w:p>
        </w:tc>
        <w:tc>
          <w:tcPr>
            <w:tcW w:w="927" w:type="pct"/>
            <w:vAlign w:val="center"/>
          </w:tcPr>
          <w:p>
            <w:pPr>
              <w:pStyle w:val="302"/>
              <w:adjustRightInd w:val="0"/>
              <w:snapToGrid w:val="0"/>
              <w:spacing w:after="0" w:line="240" w:lineRule="auto"/>
              <w:ind w:left="0" w:leftChars="0"/>
              <w:jc w:val="center"/>
              <w:rPr>
                <w:rFonts w:hint="default" w:ascii="Times New Roman" w:hAnsi="Times New Roman" w:eastAsia="仿宋" w:cs="Times New Roman"/>
                <w:szCs w:val="21"/>
              </w:rPr>
            </w:pPr>
            <w:r>
              <w:rPr>
                <w:rFonts w:hint="default" w:ascii="Times New Roman" w:hAnsi="Times New Roman" w:eastAsia="仿宋" w:cs="Times New Roman"/>
                <w:szCs w:val="21"/>
              </w:rPr>
              <w:t>约束性</w:t>
            </w:r>
          </w:p>
        </w:tc>
      </w:tr>
    </w:tbl>
    <w:p>
      <w:pPr>
        <w:pStyle w:val="5"/>
        <w:rPr>
          <w:rFonts w:ascii="Times New Roman" w:hAnsi="Times New Roman" w:eastAsia="仿宋" w:cs="Times New Roman"/>
          <w:sz w:val="30"/>
          <w:szCs w:val="30"/>
        </w:rPr>
      </w:pPr>
      <w:bookmarkStart w:id="35" w:name="_Toc124321373"/>
      <w:r>
        <w:rPr>
          <w:rFonts w:hint="eastAsia" w:ascii="Times New Roman" w:hAnsi="Times New Roman" w:eastAsia="仿宋" w:cs="Times New Roman"/>
          <w:sz w:val="30"/>
          <w:szCs w:val="30"/>
        </w:rPr>
        <w:t>第9条</w:t>
      </w:r>
      <w:r>
        <w:rPr>
          <w:rFonts w:ascii="Times New Roman" w:hAnsi="Times New Roman" w:eastAsia="仿宋" w:cs="Times New Roman"/>
          <w:sz w:val="30"/>
          <w:szCs w:val="30"/>
        </w:rPr>
        <w:t xml:space="preserve"> </w:t>
      </w:r>
      <w:r>
        <w:rPr>
          <w:rFonts w:hint="eastAsia" w:ascii="Times New Roman" w:hAnsi="Times New Roman" w:eastAsia="仿宋" w:cs="Times New Roman"/>
          <w:sz w:val="30"/>
          <w:szCs w:val="30"/>
        </w:rPr>
        <w:t>远期</w:t>
      </w:r>
      <w:bookmarkEnd w:id="30"/>
      <w:r>
        <w:rPr>
          <w:rFonts w:hint="eastAsia" w:ascii="Times New Roman" w:hAnsi="Times New Roman" w:eastAsia="仿宋" w:cs="Times New Roman"/>
          <w:sz w:val="30"/>
          <w:szCs w:val="30"/>
        </w:rPr>
        <w:t>目标</w:t>
      </w:r>
      <w:bookmarkEnd w:id="31"/>
      <w:bookmarkEnd w:id="35"/>
    </w:p>
    <w:p>
      <w:pPr>
        <w:pStyle w:val="6"/>
        <w:spacing w:before="93" w:after="93"/>
        <w:ind w:left="482"/>
        <w:rPr>
          <w:rFonts w:ascii="Times New Roman" w:hAnsi="Times New Roman" w:eastAsia="仿宋" w:cs="Times New Roman"/>
          <w:bCs w:val="0"/>
          <w:sz w:val="24"/>
          <w:szCs w:val="24"/>
        </w:rPr>
      </w:pPr>
      <w:bookmarkStart w:id="36" w:name="_Hlk102747841"/>
      <w:bookmarkStart w:id="37" w:name="_Toc493355627"/>
      <w:bookmarkStart w:id="38" w:name="_Toc501619215"/>
      <w:r>
        <w:rPr>
          <w:rFonts w:hint="eastAsia" w:ascii="Times New Roman" w:hAnsi="Times New Roman" w:eastAsia="仿宋" w:cs="Times New Roman"/>
          <w:bCs w:val="0"/>
          <w:sz w:val="24"/>
          <w:szCs w:val="24"/>
        </w:rPr>
        <w:t>1</w:t>
      </w:r>
      <w:r>
        <w:rPr>
          <w:rFonts w:hint="default" w:ascii="Times New Roman" w:hAnsi="Times New Roman" w:eastAsia="仿宋" w:cs="Times New Roman"/>
          <w:bCs w:val="0"/>
          <w:sz w:val="24"/>
          <w:szCs w:val="24"/>
        </w:rPr>
        <w:t>.</w:t>
      </w:r>
      <w:r>
        <w:rPr>
          <w:rFonts w:ascii="Times New Roman" w:hAnsi="Times New Roman" w:eastAsia="仿宋" w:cs="Times New Roman"/>
          <w:bCs w:val="0"/>
          <w:sz w:val="24"/>
          <w:szCs w:val="24"/>
        </w:rPr>
        <w:t>至2030年：</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bookmarkStart w:id="39" w:name="_Hlk116771837"/>
      <w:r>
        <w:rPr>
          <w:rFonts w:ascii="Times New Roman" w:hAnsi="Times New Roman" w:eastAsia="仿宋" w:cs="Times New Roman"/>
          <w:sz w:val="24"/>
        </w:rPr>
        <w:t>（1）城市建设方式绿色低碳转型取得积极进展。绿色建筑得到进一步发展，一星级及以上绿色建筑占</w:t>
      </w:r>
      <w:r>
        <w:rPr>
          <w:rFonts w:hint="eastAsia" w:ascii="Times New Roman" w:hAnsi="Times New Roman" w:eastAsia="仿宋" w:cs="Times New Roman"/>
          <w:sz w:val="24"/>
          <w:lang w:val="en-US" w:eastAsia="zh-CN"/>
        </w:rPr>
        <w:t>新建建筑的比例</w:t>
      </w:r>
      <w:r>
        <w:rPr>
          <w:rFonts w:ascii="Times New Roman" w:hAnsi="Times New Roman" w:eastAsia="仿宋" w:cs="Times New Roman"/>
          <w:sz w:val="24"/>
        </w:rPr>
        <w:t>达到50%以上。建成一批绿色农房，鼓励建设星级绿色农房和零碳农房。引导新建农房按照《农村居住建筑节能设计标准》《广东省农房建设绿色技术导则》等国家、省出台的技术文件进行建设。</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2）城市空间布局持续优化，建筑能源利用效率持续提升。建筑节能利用水平大幅提升，能源资源利用率达到国际领先水平。新建居住建筑本体达到75%节能要求，新建公共建筑本体达到78%节能要求，新建建筑的围护结构性能满足超低能耗标准要求；形成一批岭南特色超低能耗建筑示范项目，力争建成</w:t>
      </w:r>
      <w:r>
        <w:rPr>
          <w:rFonts w:hint="eastAsia" w:ascii="Times New Roman" w:hAnsi="Times New Roman" w:eastAsia="仿宋" w:cs="Times New Roman"/>
          <w:sz w:val="24"/>
        </w:rPr>
        <w:t>3</w:t>
      </w:r>
      <w:r>
        <w:rPr>
          <w:rFonts w:ascii="Times New Roman" w:hAnsi="Times New Roman" w:eastAsia="仿宋" w:cs="Times New Roman"/>
          <w:sz w:val="24"/>
        </w:rPr>
        <w:t>个以上岭南特色近零能耗建筑项目。</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（3）用能结构和方式更加优化，可再生能源应用更加充分。建筑品质和工程质量进一步提高，绿色建造方式广泛推行。</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（4）既有建筑节能改造工作，</w:t>
      </w:r>
      <w:r>
        <w:rPr>
          <w:rFonts w:hint="eastAsia" w:ascii="Times New Roman" w:hAnsi="Times New Roman" w:eastAsia="仿宋" w:cs="Times New Roman"/>
          <w:sz w:val="24"/>
        </w:rPr>
        <w:t>强化</w:t>
      </w:r>
      <w:r>
        <w:rPr>
          <w:rFonts w:ascii="Times New Roman" w:hAnsi="Times New Roman" w:eastAsia="仿宋" w:cs="Times New Roman"/>
          <w:sz w:val="24"/>
        </w:rPr>
        <w:t>超能耗限额建筑节能降碳改造实施。逐步对大型公共建筑进行电气化改造，鼓励采用合同能源管理方式进行建筑节能改造。到2030年，累计完成不少于400万平方米的建筑节能绿色化改造。</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5）推进建筑废物集中处理、分级利用，到2030年建筑垃圾资源化利用率达到55%。推广应用建筑废弃物再生建材产品，完善绿色建材推广应用措施，到2030年星级绿色建筑全面推广绿色建材，其中政府投资项目应率先采用绿色建材。</w:t>
      </w:r>
      <w:bookmarkEnd w:id="39"/>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w:t>
      </w:r>
      <w:r>
        <w:rPr>
          <w:rFonts w:hint="eastAsia" w:ascii="Times New Roman" w:hAnsi="Times New Roman" w:eastAsia="仿宋" w:cs="Times New Roman"/>
          <w:sz w:val="24"/>
        </w:rPr>
        <w:t>6</w:t>
      </w:r>
      <w:r>
        <w:rPr>
          <w:rFonts w:ascii="Times New Roman" w:hAnsi="Times New Roman" w:eastAsia="仿宋" w:cs="Times New Roman"/>
          <w:sz w:val="24"/>
        </w:rPr>
        <w:t>）工业建筑推广应用先进蓄冷技术、太阳能光伏等可再生能源以及可再循环和可再利用材料，形成具有</w:t>
      </w:r>
      <w:r>
        <w:rPr>
          <w:rFonts w:hint="eastAsia" w:ascii="Times New Roman" w:hAnsi="Times New Roman" w:eastAsia="仿宋" w:cs="Times New Roman"/>
          <w:sz w:val="24"/>
        </w:rPr>
        <w:t>中山</w:t>
      </w:r>
      <w:r>
        <w:rPr>
          <w:rFonts w:ascii="Times New Roman" w:hAnsi="Times New Roman" w:eastAsia="仿宋" w:cs="Times New Roman"/>
          <w:sz w:val="24"/>
        </w:rPr>
        <w:t>特色的</w:t>
      </w:r>
      <w:r>
        <w:rPr>
          <w:rFonts w:hint="eastAsia" w:ascii="Times New Roman" w:hAnsi="Times New Roman" w:eastAsia="仿宋" w:cs="Times New Roman"/>
          <w:sz w:val="24"/>
          <w:lang w:eastAsia="zh-CN"/>
        </w:rPr>
        <w:t>“</w:t>
      </w:r>
      <w:r>
        <w:rPr>
          <w:rFonts w:ascii="Times New Roman" w:hAnsi="Times New Roman" w:eastAsia="仿宋" w:cs="Times New Roman"/>
          <w:sz w:val="24"/>
        </w:rPr>
        <w:t>绿色工业建筑</w:t>
      </w:r>
      <w:r>
        <w:rPr>
          <w:rFonts w:hint="eastAsia" w:ascii="Times New Roman" w:hAnsi="Times New Roman" w:eastAsia="仿宋" w:cs="Times New Roman"/>
          <w:sz w:val="24"/>
          <w:lang w:eastAsia="zh-CN"/>
        </w:rPr>
        <w:t>”</w:t>
      </w:r>
      <w:r>
        <w:rPr>
          <w:rFonts w:ascii="Times New Roman" w:hAnsi="Times New Roman" w:eastAsia="仿宋" w:cs="Times New Roman"/>
          <w:sz w:val="24"/>
        </w:rPr>
        <w:t>。</w:t>
      </w:r>
    </w:p>
    <w:p>
      <w:pPr>
        <w:pStyle w:val="6"/>
        <w:spacing w:before="93" w:after="93"/>
        <w:ind w:left="482"/>
        <w:rPr>
          <w:rFonts w:ascii="Times New Roman" w:hAnsi="Times New Roman" w:eastAsia="仿宋" w:cs="Times New Roman"/>
          <w:bCs w:val="0"/>
          <w:sz w:val="24"/>
          <w:szCs w:val="24"/>
        </w:rPr>
      </w:pPr>
      <w:r>
        <w:rPr>
          <w:rFonts w:hint="eastAsia" w:ascii="Times New Roman" w:hAnsi="Times New Roman" w:eastAsia="仿宋" w:cs="Times New Roman"/>
          <w:bCs w:val="0"/>
          <w:sz w:val="24"/>
          <w:szCs w:val="24"/>
        </w:rPr>
        <w:t>2</w:t>
      </w:r>
      <w:r>
        <w:rPr>
          <w:rFonts w:hint="default" w:ascii="Times New Roman" w:hAnsi="Times New Roman" w:eastAsia="仿宋" w:cs="Times New Roman"/>
          <w:bCs w:val="0"/>
          <w:sz w:val="24"/>
          <w:szCs w:val="24"/>
        </w:rPr>
        <w:t>.</w:t>
      </w:r>
      <w:r>
        <w:rPr>
          <w:rFonts w:ascii="Times New Roman" w:hAnsi="Times New Roman" w:eastAsia="仿宋" w:cs="Times New Roman"/>
          <w:bCs w:val="0"/>
          <w:sz w:val="24"/>
          <w:szCs w:val="24"/>
        </w:rPr>
        <w:t>至2035年：</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（1）全面实施绿色建筑运行效果后评估，绿色建筑品质显著提高。</w:t>
      </w:r>
      <w:r>
        <w:rPr>
          <w:rFonts w:hint="eastAsia" w:ascii="Times New Roman" w:hAnsi="Times New Roman" w:eastAsia="仿宋" w:cs="Times New Roman"/>
          <w:sz w:val="24"/>
        </w:rPr>
        <w:t>新建民用建筑全面执行一星级绿色建筑标准，二星级及以上绿色建筑面积比例超过45%。</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（2）新建建筑普遍推广健康建筑、超低能耗建筑、近零能耗建筑、可再生能源应用，促进碳</w:t>
      </w:r>
      <w:r>
        <w:rPr>
          <w:rFonts w:hint="eastAsia" w:ascii="Times New Roman" w:hAnsi="Times New Roman" w:eastAsia="仿宋" w:cs="Times New Roman"/>
          <w:sz w:val="24"/>
          <w:lang w:val="en-US" w:eastAsia="zh-CN"/>
        </w:rPr>
        <w:t>中和</w:t>
      </w:r>
      <w:r>
        <w:rPr>
          <w:rFonts w:ascii="Times New Roman" w:hAnsi="Times New Roman" w:eastAsia="仿宋" w:cs="Times New Roman"/>
          <w:sz w:val="24"/>
        </w:rPr>
        <w:t>。</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（3）普及既有建筑绿色化改造，加速能效提升。充分重视绿色改造人才素质，提升绿色改造产品性能和质量，分别从既有建筑绿色改造咨询设计、产品生产、施工、运行维护等全寿命</w:t>
      </w:r>
      <w:r>
        <w:rPr>
          <w:rFonts w:hint="eastAsia" w:ascii="Times New Roman" w:hAnsi="Times New Roman" w:eastAsia="仿宋" w:cs="Times New Roman"/>
          <w:sz w:val="24"/>
        </w:rPr>
        <w:t>期</w:t>
      </w:r>
      <w:r>
        <w:rPr>
          <w:rFonts w:ascii="Times New Roman" w:hAnsi="Times New Roman" w:eastAsia="仿宋" w:cs="Times New Roman"/>
          <w:sz w:val="24"/>
        </w:rPr>
        <w:t>的产业链角度进行引导和布局，实现既有建筑绿色化改造的稳步发展。</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4）装配式建筑、绿色建材广泛应用。全市装配式建筑比例大幅提高，装配式建筑设计、施工、管理等专业人才培养体系建立完备，大力发展专业作业企业，培育出职业化、专业化、技能化建筑产业工人队伍，生产企业实现从粗放的建筑业向高端制造业转变。绿色建材企业快速发展，相关标准逐步完善，绿色建材应用比例进一步提高。</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p>
    <w:bookmarkEnd w:id="36"/>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bookmarkStart w:id="40" w:name="_Toc525718508"/>
    </w:p>
    <w:p>
      <w:pPr>
        <w:sectPr>
          <w:pgSz w:w="11906" w:h="16838"/>
          <w:pgMar w:top="1440" w:right="1797" w:bottom="1440" w:left="1797" w:header="851" w:footer="992" w:gutter="0"/>
          <w:cols w:space="425" w:num="1"/>
          <w:docGrid w:type="linesAndChars" w:linePitch="312" w:charSpace="0"/>
        </w:sectPr>
      </w:pPr>
    </w:p>
    <w:p>
      <w:pPr>
        <w:pStyle w:val="4"/>
        <w:jc w:val="center"/>
        <w:rPr>
          <w:rFonts w:ascii="Times New Roman" w:hAnsi="Times New Roman" w:eastAsia="黑体" w:cs="Times New Roman"/>
          <w:sz w:val="36"/>
          <w:szCs w:val="36"/>
        </w:rPr>
      </w:pPr>
      <w:bookmarkStart w:id="41" w:name="_Toc124321374"/>
      <w:r>
        <w:rPr>
          <w:rFonts w:hint="eastAsia" w:ascii="Times New Roman" w:hAnsi="Times New Roman" w:eastAsia="黑体" w:cs="Times New Roman"/>
          <w:sz w:val="36"/>
          <w:szCs w:val="36"/>
        </w:rPr>
        <w:t>第三章</w:t>
      </w:r>
      <w:r>
        <w:rPr>
          <w:rFonts w:ascii="Times New Roman" w:hAnsi="Times New Roman" w:eastAsia="黑体" w:cs="Times New Roman"/>
          <w:sz w:val="36"/>
          <w:szCs w:val="36"/>
        </w:rPr>
        <w:t xml:space="preserve"> </w:t>
      </w:r>
      <w:bookmarkEnd w:id="37"/>
      <w:bookmarkEnd w:id="38"/>
      <w:bookmarkEnd w:id="40"/>
      <w:r>
        <w:rPr>
          <w:rFonts w:hint="eastAsia" w:ascii="Times New Roman" w:hAnsi="Times New Roman" w:eastAsia="黑体" w:cs="Times New Roman"/>
          <w:sz w:val="36"/>
          <w:szCs w:val="36"/>
        </w:rPr>
        <w:t>重点任务</w:t>
      </w:r>
      <w:bookmarkEnd w:id="41"/>
      <w:r>
        <w:rPr>
          <w:rFonts w:ascii="Times New Roman" w:hAnsi="Times New Roman" w:eastAsia="黑体" w:cs="Times New Roman"/>
          <w:sz w:val="36"/>
          <w:szCs w:val="36"/>
        </w:rPr>
        <w:t xml:space="preserve"> </w:t>
      </w:r>
    </w:p>
    <w:p>
      <w:pPr>
        <w:pStyle w:val="5"/>
        <w:rPr>
          <w:rFonts w:ascii="Times New Roman" w:hAnsi="Times New Roman" w:eastAsia="仿宋" w:cs="Times New Roman"/>
          <w:sz w:val="30"/>
          <w:szCs w:val="30"/>
        </w:rPr>
      </w:pPr>
      <w:bookmarkStart w:id="42" w:name="_Toc525718509"/>
      <w:bookmarkStart w:id="43" w:name="_Toc501619216"/>
      <w:bookmarkStart w:id="44" w:name="_Toc124321375"/>
      <w:r>
        <w:rPr>
          <w:rFonts w:hint="eastAsia" w:ascii="Times New Roman" w:hAnsi="Times New Roman" w:eastAsia="仿宋" w:cs="Times New Roman"/>
          <w:sz w:val="30"/>
          <w:szCs w:val="30"/>
        </w:rPr>
        <w:t>第</w:t>
      </w:r>
      <w:r>
        <w:rPr>
          <w:rFonts w:ascii="Times New Roman" w:hAnsi="Times New Roman" w:eastAsia="仿宋" w:cs="Times New Roman"/>
          <w:sz w:val="30"/>
          <w:szCs w:val="30"/>
        </w:rPr>
        <w:t>10</w:t>
      </w:r>
      <w:r>
        <w:rPr>
          <w:rFonts w:hint="eastAsia" w:ascii="Times New Roman" w:hAnsi="Times New Roman" w:eastAsia="仿宋" w:cs="Times New Roman"/>
          <w:sz w:val="30"/>
          <w:szCs w:val="30"/>
        </w:rPr>
        <w:t>条</w:t>
      </w:r>
      <w:r>
        <w:rPr>
          <w:rFonts w:ascii="Times New Roman" w:hAnsi="Times New Roman" w:eastAsia="仿宋" w:cs="Times New Roman"/>
          <w:sz w:val="30"/>
          <w:szCs w:val="30"/>
        </w:rPr>
        <w:t xml:space="preserve"> </w:t>
      </w:r>
      <w:bookmarkEnd w:id="42"/>
      <w:bookmarkEnd w:id="43"/>
      <w:bookmarkStart w:id="45" w:name="_Hlk103240396"/>
      <w:r>
        <w:rPr>
          <w:rFonts w:hint="eastAsia" w:ascii="Times New Roman" w:hAnsi="Times New Roman" w:eastAsia="仿宋" w:cs="Times New Roman"/>
          <w:sz w:val="30"/>
          <w:szCs w:val="30"/>
        </w:rPr>
        <w:t>引领绿色建筑高品质发展</w:t>
      </w:r>
      <w:bookmarkEnd w:id="44"/>
      <w:bookmarkEnd w:id="45"/>
    </w:p>
    <w:p>
      <w:pPr>
        <w:pStyle w:val="6"/>
        <w:ind w:firstLine="480" w:firstLineChars="200"/>
        <w:rPr>
          <w:rFonts w:ascii="Times New Roman" w:hAnsi="Times New Roman" w:eastAsia="仿宋" w:cs="Times New Roman"/>
          <w:b w:val="0"/>
          <w:bCs w:val="0"/>
          <w:sz w:val="24"/>
          <w:szCs w:val="24"/>
        </w:rPr>
      </w:pPr>
      <w:bookmarkStart w:id="46" w:name="_Hlk103240352"/>
      <w:r>
        <w:rPr>
          <w:rFonts w:ascii="Times New Roman" w:hAnsi="Times New Roman" w:eastAsia="仿宋" w:cs="Times New Roman"/>
          <w:bCs w:val="0"/>
          <w:sz w:val="24"/>
          <w:szCs w:val="24"/>
        </w:rPr>
        <w:t>1</w:t>
      </w:r>
      <w:bookmarkStart w:id="47" w:name="_Hlk119622761"/>
      <w:r>
        <w:rPr>
          <w:rFonts w:hint="default" w:ascii="Times New Roman" w:hAnsi="Times New Roman" w:eastAsia="仿宋" w:cs="Times New Roman"/>
          <w:bCs w:val="0"/>
          <w:sz w:val="24"/>
          <w:szCs w:val="24"/>
        </w:rPr>
        <w:t>.</w:t>
      </w:r>
      <w:r>
        <w:rPr>
          <w:rFonts w:hint="eastAsia" w:ascii="Times New Roman" w:hAnsi="Times New Roman" w:eastAsia="仿宋" w:cs="Times New Roman"/>
          <w:bCs w:val="0"/>
          <w:sz w:val="24"/>
          <w:szCs w:val="24"/>
        </w:rPr>
        <w:t>全市形成“三核两带一轴多点”的新建绿色建筑发展格局</w:t>
      </w:r>
      <w:bookmarkEnd w:id="47"/>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bookmarkStart w:id="48" w:name="_Hlk119622749"/>
      <w:r>
        <w:rPr>
          <w:rFonts w:hint="eastAsia" w:ascii="Times New Roman" w:hAnsi="Times New Roman" w:eastAsia="仿宋" w:cs="Times New Roman"/>
          <w:sz w:val="24"/>
        </w:rPr>
        <w:t>“三核”即岐江新城、火炬开发区和翠亨新区</w:t>
      </w:r>
      <w:r>
        <w:rPr>
          <w:rFonts w:hint="eastAsia" w:ascii="Times New Roman" w:hAnsi="Times New Roman" w:eastAsia="仿宋" w:cs="Times New Roman"/>
          <w:sz w:val="24"/>
          <w:lang w:eastAsia="zh-CN"/>
        </w:rPr>
        <w:t>，</w:t>
      </w:r>
      <w:r>
        <w:rPr>
          <w:rFonts w:hint="eastAsia" w:ascii="Times New Roman" w:hAnsi="Times New Roman" w:eastAsia="仿宋" w:cs="Times New Roman"/>
          <w:sz w:val="24"/>
        </w:rPr>
        <w:t>以“三核”为中山市绿色建筑重点发展平台，打造中山市高星级绿色建筑示范区；“两带”即以小榄镇和三角镇为支撑，串联古镇镇和阜沙镇的东西向绿色建筑发展带，以及以坦洲镇、三乡镇、东区街道、</w:t>
      </w:r>
      <w:r>
        <w:rPr>
          <w:rFonts w:hint="eastAsia" w:ascii="Times New Roman" w:hAnsi="Times New Roman" w:eastAsia="仿宋" w:cs="Times New Roman"/>
          <w:sz w:val="24"/>
          <w:lang w:eastAsia="zh-CN"/>
        </w:rPr>
        <w:t>石岐</w:t>
      </w:r>
      <w:r>
        <w:rPr>
          <w:rFonts w:hint="eastAsia" w:ascii="Times New Roman" w:hAnsi="Times New Roman" w:eastAsia="仿宋" w:cs="Times New Roman"/>
          <w:sz w:val="24"/>
        </w:rPr>
        <w:t>街道和小榄镇为核心</w:t>
      </w:r>
      <w:r>
        <w:rPr>
          <w:rFonts w:hint="eastAsia" w:ascii="Times New Roman" w:hAnsi="Times New Roman" w:eastAsia="仿宋" w:cs="Times New Roman"/>
          <w:sz w:val="24"/>
          <w:lang w:val="en-US" w:eastAsia="zh-CN"/>
        </w:rPr>
        <w:t>节点</w:t>
      </w:r>
      <w:r>
        <w:rPr>
          <w:rFonts w:hint="eastAsia" w:ascii="Times New Roman" w:hAnsi="Times New Roman" w:eastAsia="仿宋" w:cs="Times New Roman"/>
          <w:sz w:val="24"/>
        </w:rPr>
        <w:t>，贯穿五桂山街道和西区街道的南北向绿色建筑发展带。以香山新城、西部产业园、北部产业园和中山科学城等创新产业平台为基础，向北紧跟广州、佛山高速发展，向南与珠海紧密联系，稳步前进，形成中山与周边城市绿色建筑协同发展的新走廊；“一轴”即珠江东西两岸融合发展轴，贯通中心城区与岐江新城、火炬开发区、翠亨新区“三核”，打造中山市绿色建筑高质量发展新通道。“多点”即以各镇街为基础，以特色产业与科技创新平台为支撑，强化资源要素统筹，合力打造一批重</w:t>
      </w:r>
      <w:r>
        <w:rPr>
          <w:rFonts w:hint="eastAsia" w:ascii="Times New Roman" w:hAnsi="Times New Roman" w:eastAsia="仿宋" w:cs="Times New Roman"/>
          <w:sz w:val="24"/>
          <w:lang w:val="en-US" w:eastAsia="zh-CN"/>
        </w:rPr>
        <w:t>点</w:t>
      </w:r>
      <w:r>
        <w:rPr>
          <w:rFonts w:hint="eastAsia" w:ascii="Times New Roman" w:hAnsi="Times New Roman" w:eastAsia="仿宋" w:cs="Times New Roman"/>
          <w:sz w:val="24"/>
        </w:rPr>
        <w:t>平台，提升市镇产业平台承载能力，加快镇村产业园区改造和城市更新，释放发展新空间，打造支撑全市发展的多个支点，为全市绿色建筑高质量发展提供示范样本。</w:t>
      </w:r>
      <w:bookmarkEnd w:id="48"/>
    </w:p>
    <w:p>
      <w:pPr>
        <w:pStyle w:val="6"/>
        <w:ind w:firstLine="480" w:firstLineChars="200"/>
        <w:rPr>
          <w:rFonts w:ascii="Times New Roman" w:hAnsi="Times New Roman" w:eastAsia="仿宋" w:cs="Times New Roman"/>
          <w:b w:val="0"/>
          <w:bCs w:val="0"/>
          <w:sz w:val="24"/>
          <w:szCs w:val="24"/>
        </w:rPr>
      </w:pPr>
      <w:bookmarkStart w:id="49" w:name="_Toc501619218"/>
      <w:r>
        <w:rPr>
          <w:rFonts w:ascii="Times New Roman" w:hAnsi="Times New Roman" w:eastAsia="仿宋" w:cs="Times New Roman"/>
          <w:bCs w:val="0"/>
          <w:sz w:val="24"/>
          <w:szCs w:val="24"/>
        </w:rPr>
        <w:t>2</w:t>
      </w:r>
      <w:bookmarkEnd w:id="49"/>
      <w:r>
        <w:rPr>
          <w:rFonts w:hint="default" w:ascii="Times New Roman" w:hAnsi="Times New Roman" w:eastAsia="仿宋" w:cs="Times New Roman"/>
          <w:bCs w:val="0"/>
          <w:sz w:val="24"/>
          <w:szCs w:val="24"/>
        </w:rPr>
        <w:t>.</w:t>
      </w:r>
      <w:r>
        <w:rPr>
          <w:rFonts w:hint="eastAsia" w:ascii="Times New Roman" w:hAnsi="Times New Roman" w:eastAsia="仿宋" w:cs="Times New Roman"/>
          <w:bCs w:val="0"/>
          <w:sz w:val="24"/>
          <w:szCs w:val="24"/>
        </w:rPr>
        <w:t>完善绿色建筑全流程管理</w:t>
      </w:r>
    </w:p>
    <w:p>
      <w:pPr>
        <w:pStyle w:val="2"/>
        <w:spacing w:before="156" w:after="93" w:line="360" w:lineRule="auto"/>
        <w:ind w:firstLine="480"/>
        <w:rPr>
          <w:rFonts w:ascii="Times New Roman" w:hAnsi="Times New Roman" w:eastAsia="仿宋"/>
          <w:sz w:val="24"/>
        </w:rPr>
      </w:pPr>
      <w:r>
        <w:rPr>
          <w:rFonts w:hint="eastAsia" w:ascii="Times New Roman" w:hAnsi="Times New Roman" w:eastAsia="仿宋"/>
          <w:sz w:val="24"/>
        </w:rPr>
        <w:t>各相关部门要结合实际，以贯彻执行《广东省绿色建筑条例》为抓手，制定绿色建筑管理配套政策，建立绿色建筑规划和建设、运行和改造、技术发展和激励措施等全寿命期工作推进机制，压实建设、规划、设计、施工图审查、施工、监理、检测、验收等各方主体及相关部门监管责任，将绿色建筑发展纳入法治轨道。</w:t>
      </w:r>
    </w:p>
    <w:p>
      <w:pPr>
        <w:pStyle w:val="2"/>
        <w:spacing w:before="156" w:after="93" w:line="360" w:lineRule="auto"/>
        <w:ind w:firstLine="480"/>
        <w:rPr>
          <w:rFonts w:ascii="Times New Roman" w:hAnsi="Times New Roman" w:eastAsia="仿宋"/>
          <w:sz w:val="24"/>
        </w:rPr>
      </w:pPr>
      <w:r>
        <w:rPr>
          <w:rFonts w:hint="eastAsia" w:ascii="Times New Roman" w:hAnsi="Times New Roman" w:eastAsia="仿宋"/>
          <w:sz w:val="24"/>
        </w:rPr>
        <w:t>市自然资源局在土地出让或者划拨时，要将建设用地规划条件中明确的绿色建筑等级要求纳入国有建设用地使用权出让合同或者国有土地划拨决定书。出具规划意见时，应在工程规划许可证或附件中注明绿色建筑等级要求</w:t>
      </w:r>
      <w:bookmarkStart w:id="50" w:name="_Hlk119624221"/>
      <w:r>
        <w:rPr>
          <w:rFonts w:hint="eastAsia" w:ascii="Times New Roman" w:hAnsi="Times New Roman" w:eastAsia="仿宋"/>
          <w:sz w:val="24"/>
        </w:rPr>
        <w:t>，并由</w:t>
      </w:r>
      <w:r>
        <w:rPr>
          <w:rFonts w:hint="default" w:ascii="Times New Roman" w:hAnsi="Times New Roman" w:eastAsia="仿宋"/>
          <w:sz w:val="24"/>
        </w:rPr>
        <w:t>市住房城乡建设局</w:t>
      </w:r>
      <w:r>
        <w:rPr>
          <w:rFonts w:hint="eastAsia" w:ascii="Times New Roman" w:hAnsi="Times New Roman" w:eastAsia="仿宋"/>
          <w:sz w:val="24"/>
        </w:rPr>
        <w:t>在项目设计和施工验收阶段进行绿色建筑设计施工图审查和绿色建筑验收。</w:t>
      </w:r>
      <w:bookmarkEnd w:id="50"/>
      <w:r>
        <w:rPr>
          <w:rFonts w:hint="eastAsia" w:ascii="Times New Roman" w:hAnsi="Times New Roman" w:eastAsia="仿宋"/>
          <w:sz w:val="24"/>
        </w:rPr>
        <w:t>各部门应强化建设单位的首要责任，指导督促建设单位在组织编制可行性研究报告或项目申请报告时应明确绿色建筑等级、技术以及节能减排等内容，将绿色建筑的相关费用纳入工程投资概预算，按照建设用地规划条件中明确的绿色建筑等级，进行委托设计、施工和监理，并在合同中载明绿色建筑等级要求。</w:t>
      </w:r>
    </w:p>
    <w:p>
      <w:pPr>
        <w:pStyle w:val="2"/>
        <w:spacing w:before="156" w:after="93" w:line="360" w:lineRule="auto"/>
        <w:ind w:firstLine="480"/>
        <w:rPr>
          <w:rFonts w:ascii="Times New Roman" w:hAnsi="Times New Roman" w:eastAsia="仿宋"/>
          <w:sz w:val="24"/>
        </w:rPr>
      </w:pPr>
      <w:r>
        <w:rPr>
          <w:rFonts w:hint="eastAsia" w:ascii="Times New Roman" w:hAnsi="Times New Roman" w:eastAsia="仿宋"/>
          <w:sz w:val="24"/>
        </w:rPr>
        <w:t>加强绿色建筑运行管理。强化绿色建筑所有权人或使用权人对绿色建筑的设施设备进行维护保养的主体责任，加强绿色建筑物业管理，保障绿色建筑运行满足要求；推广用能系统的智能管理，加强绿色建筑运行数据收集统计，建立健全建筑能耗统计、能源审计、能耗监测和能效测评制度，按年度开展碳排放核算，为科学、高效监管绿色建筑运行提供依据；对大型公共建筑和国家机关办公建筑、国有资金参与投资建设的其他公共建筑执行公共建筑能耗限额，对能耗水平进行评估和调适。</w:t>
      </w:r>
    </w:p>
    <w:p>
      <w:pPr>
        <w:pStyle w:val="6"/>
        <w:ind w:firstLine="480" w:firstLineChars="200"/>
        <w:rPr>
          <w:rFonts w:ascii="Times New Roman" w:hAnsi="Times New Roman" w:eastAsia="仿宋" w:cs="Times New Roman"/>
          <w:bCs w:val="0"/>
          <w:sz w:val="24"/>
          <w:szCs w:val="24"/>
        </w:rPr>
      </w:pPr>
      <w:r>
        <w:rPr>
          <w:rFonts w:hint="eastAsia" w:ascii="Times New Roman" w:hAnsi="Times New Roman" w:eastAsia="仿宋" w:cs="Times New Roman"/>
          <w:bCs w:val="0"/>
          <w:sz w:val="24"/>
          <w:szCs w:val="24"/>
        </w:rPr>
        <w:t>3</w:t>
      </w:r>
      <w:r>
        <w:rPr>
          <w:rFonts w:hint="eastAsia" w:ascii="Times New Roman" w:hAnsi="Times New Roman" w:eastAsia="仿宋" w:cs="Times New Roman"/>
          <w:bCs w:val="0"/>
          <w:sz w:val="24"/>
          <w:szCs w:val="24"/>
          <w:lang w:val="en-US" w:eastAsia="zh-CN"/>
        </w:rPr>
        <w:t>.</w:t>
      </w:r>
      <w:r>
        <w:rPr>
          <w:rFonts w:hint="eastAsia" w:ascii="Times New Roman" w:hAnsi="Times New Roman" w:eastAsia="仿宋" w:cs="Times New Roman"/>
          <w:bCs w:val="0"/>
          <w:sz w:val="24"/>
          <w:szCs w:val="24"/>
        </w:rPr>
        <w:t>不断提升绿色建筑品质</w:t>
      </w:r>
    </w:p>
    <w:p>
      <w:pPr>
        <w:pStyle w:val="2"/>
        <w:spacing w:before="156" w:after="93" w:line="360" w:lineRule="auto"/>
        <w:ind w:firstLine="480"/>
        <w:rPr>
          <w:rFonts w:ascii="Times New Roman" w:hAnsi="Times New Roman" w:eastAsia="仿宋"/>
          <w:sz w:val="24"/>
        </w:rPr>
      </w:pPr>
      <w:r>
        <w:rPr>
          <w:rFonts w:hint="eastAsia" w:ascii="Times New Roman" w:hAnsi="Times New Roman" w:eastAsia="仿宋"/>
          <w:sz w:val="24"/>
        </w:rPr>
        <w:t>强化住宅健康性能设计要求，关注全龄化需求、倡导气候适应性、突出岭南特色，注重通风采光、遮阳防潮，提升建筑视觉和心理舒适性，降低住宅用能需求。全面推动星级绿色建筑发展，建设二星级及以上高星级绿色建筑重点示范区，超高层建筑按不低于三星级标准进行建设。</w:t>
      </w:r>
    </w:p>
    <w:p>
      <w:pPr>
        <w:pStyle w:val="2"/>
        <w:spacing w:before="156" w:after="93" w:line="360" w:lineRule="auto"/>
        <w:ind w:firstLine="480"/>
        <w:rPr>
          <w:rFonts w:ascii="Times New Roman" w:hAnsi="Times New Roman" w:eastAsia="仿宋"/>
          <w:sz w:val="24"/>
        </w:rPr>
      </w:pPr>
      <w:r>
        <w:rPr>
          <w:rFonts w:hint="eastAsia" w:ascii="Times New Roman" w:hAnsi="Times New Roman" w:eastAsia="仿宋"/>
          <w:sz w:val="24"/>
        </w:rPr>
        <w:t>落实国家、省绿色建筑标识管理办法，明确组织管理、认定程序、监督管理等内容，配合省住房和城乡建设厅做好绿色建筑二星级、三星级标识推荐工作，做好一星级标识认定和授予工作。以广东省绿色建筑信息平台为依托，按照省要求落实绿色建筑标识工作管理。对绿色建筑实行动态管理，对不符合绿色建筑等级要求的，予以限期整改或直接撤销。</w:t>
      </w:r>
    </w:p>
    <w:p>
      <w:pPr>
        <w:pStyle w:val="6"/>
        <w:ind w:firstLine="480" w:firstLineChars="200"/>
        <w:rPr>
          <w:rFonts w:ascii="Times New Roman" w:hAnsi="Times New Roman" w:eastAsia="仿宋" w:cs="Times New Roman"/>
          <w:bCs w:val="0"/>
          <w:sz w:val="24"/>
          <w:szCs w:val="24"/>
        </w:rPr>
      </w:pPr>
      <w:bookmarkStart w:id="51" w:name="_Toc501619228"/>
      <w:r>
        <w:rPr>
          <w:rFonts w:hint="eastAsia" w:ascii="Times New Roman" w:hAnsi="Times New Roman" w:eastAsia="仿宋" w:cs="Times New Roman"/>
          <w:bCs w:val="0"/>
          <w:sz w:val="24"/>
          <w:szCs w:val="24"/>
        </w:rPr>
        <w:t>4</w:t>
      </w:r>
      <w:r>
        <w:rPr>
          <w:rFonts w:hint="eastAsia" w:ascii="Times New Roman" w:hAnsi="Times New Roman" w:eastAsia="仿宋" w:cs="Times New Roman"/>
          <w:bCs w:val="0"/>
          <w:sz w:val="24"/>
          <w:szCs w:val="24"/>
          <w:lang w:val="en-US" w:eastAsia="zh-CN"/>
        </w:rPr>
        <w:t>.</w:t>
      </w:r>
      <w:r>
        <w:rPr>
          <w:rFonts w:hint="eastAsia" w:ascii="Times New Roman" w:hAnsi="Times New Roman" w:eastAsia="仿宋" w:cs="Times New Roman"/>
          <w:bCs w:val="0"/>
          <w:sz w:val="24"/>
          <w:szCs w:val="24"/>
        </w:rPr>
        <w:t>大力</w:t>
      </w:r>
      <w:bookmarkEnd w:id="51"/>
      <w:r>
        <w:rPr>
          <w:rFonts w:hint="eastAsia" w:ascii="Times New Roman" w:hAnsi="Times New Roman" w:eastAsia="仿宋" w:cs="Times New Roman"/>
          <w:bCs w:val="0"/>
          <w:sz w:val="24"/>
          <w:szCs w:val="24"/>
        </w:rPr>
        <w:t>发展节能低碳建筑</w:t>
      </w:r>
    </w:p>
    <w:p>
      <w:pPr>
        <w:pStyle w:val="2"/>
        <w:spacing w:before="156" w:after="93" w:line="360" w:lineRule="auto"/>
        <w:ind w:firstLine="480"/>
        <w:rPr>
          <w:rFonts w:hint="eastAsia" w:ascii="Times New Roman" w:hAnsi="Times New Roman" w:eastAsia="仿宋"/>
          <w:sz w:val="24"/>
        </w:rPr>
      </w:pPr>
      <w:r>
        <w:rPr>
          <w:rFonts w:hint="eastAsia" w:ascii="Times New Roman" w:hAnsi="Times New Roman" w:eastAsia="仿宋"/>
          <w:sz w:val="24"/>
        </w:rPr>
        <w:t>按照国家及省</w:t>
      </w:r>
      <w:r>
        <w:rPr>
          <w:rFonts w:hint="eastAsia" w:ascii="Times New Roman" w:hAnsi="Times New Roman" w:eastAsia="仿宋"/>
          <w:sz w:val="24"/>
          <w:lang w:val="en-US" w:eastAsia="zh-CN"/>
        </w:rPr>
        <w:t>市</w:t>
      </w:r>
      <w:r>
        <w:rPr>
          <w:rFonts w:hint="eastAsia" w:ascii="Times New Roman" w:hAnsi="Times New Roman" w:eastAsia="仿宋"/>
          <w:sz w:val="24"/>
        </w:rPr>
        <w:t>双碳工作要求，提升新建建筑节能水平。以《建筑节能与可再生能源利用通用规范》确定的节能指标为基线，提高建筑门窗等关键部品节能性能要求，研究实施高于广东省现行标准要求的建筑节能标准。加快发展超低能耗、近零能耗建筑，进一步提升绿色建筑室内空气、水质、隔声等方面的健康性能。探索岭南特色超低能耗建筑建设，力争建成1栋岭南特色超低能耗建筑项目。</w:t>
      </w:r>
    </w:p>
    <w:p>
      <w:pPr>
        <w:pStyle w:val="6"/>
        <w:numPr>
          <w:ilvl w:val="-1"/>
          <w:numId w:val="0"/>
        </w:numPr>
        <w:ind w:firstLine="480" w:firstLineChars="200"/>
        <w:rPr>
          <w:rFonts w:hint="eastAsia" w:ascii="Times New Roman" w:hAnsi="Times New Roman" w:eastAsia="仿宋" w:cs="Times New Roman"/>
          <w:bCs w:val="0"/>
          <w:sz w:val="24"/>
          <w:szCs w:val="24"/>
          <w:lang w:val="en-US" w:eastAsia="zh-CN"/>
        </w:rPr>
      </w:pPr>
      <w:r>
        <w:rPr>
          <w:rFonts w:hint="eastAsia" w:ascii="Times New Roman" w:hAnsi="Times New Roman" w:eastAsia="仿宋" w:cs="Times New Roman"/>
          <w:bCs w:val="0"/>
          <w:sz w:val="24"/>
          <w:szCs w:val="24"/>
          <w:lang w:val="en-US" w:eastAsia="zh-CN"/>
        </w:rPr>
        <w:t>5.加快推动农村农房建筑绿色技术应用</w:t>
      </w:r>
    </w:p>
    <w:p>
      <w:pPr>
        <w:tabs>
          <w:tab w:val="left" w:pos="1680"/>
        </w:tabs>
        <w:adjustRightInd w:val="0"/>
        <w:snapToGrid w:val="0"/>
        <w:spacing w:before="93" w:beforeLines="30" w:after="93" w:afterLines="30" w:line="360" w:lineRule="auto"/>
        <w:ind w:firstLine="480" w:firstLineChars="200"/>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鼓励农村新建、改建和扩建的居住建筑按节能设计、绿色农房标准等进行设计和建造。鼓励政府投资的农村公共建筑、各类示范村镇农房建设项目率先执行节能及绿色农房标准、导则。结合农村医院、学校等公共建筑和农村危房改造，稳步推进农村建筑节能。鼓励可再生能源在农村建筑中的应用，进一步推广使用太阳能热水系统。</w:t>
      </w:r>
    </w:p>
    <w:p>
      <w:pPr>
        <w:tabs>
          <w:tab w:val="left" w:pos="1680"/>
        </w:tabs>
        <w:adjustRightInd w:val="0"/>
        <w:snapToGrid w:val="0"/>
        <w:spacing w:before="93" w:beforeLines="30" w:after="93" w:afterLines="30" w:line="360" w:lineRule="auto"/>
        <w:ind w:firstLine="480" w:firstLineChars="200"/>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促进室外环境整治，加强生活垃圾和污水处理力度，设置集中绿地、公共照明，完善乡村硬化道路。提升农房室内环境，改善室内采光与自然通风，采用遮阳、防潮措施；开展绿色建材下乡行动，促进绿色建材在农房建设的应用，积极采用原生材料，重点推广应用节能门窗、轻型自保温砌块、预制构件等绿色建材产品，支持新农村建设。</w:t>
      </w:r>
    </w:p>
    <w:bookmarkEnd w:id="46"/>
    <w:p>
      <w:pPr>
        <w:pStyle w:val="5"/>
        <w:rPr>
          <w:rFonts w:ascii="Times New Roman" w:hAnsi="Times New Roman" w:eastAsia="仿宋" w:cs="Times New Roman"/>
          <w:sz w:val="30"/>
          <w:szCs w:val="30"/>
        </w:rPr>
      </w:pPr>
      <w:bookmarkStart w:id="52" w:name="_Toc525718510"/>
      <w:bookmarkStart w:id="53" w:name="_Toc501619222"/>
      <w:bookmarkStart w:id="54" w:name="_Toc124321376"/>
      <w:r>
        <w:rPr>
          <w:rFonts w:hint="eastAsia" w:ascii="Times New Roman" w:hAnsi="Times New Roman" w:eastAsia="仿宋" w:cs="Times New Roman"/>
          <w:sz w:val="30"/>
          <w:szCs w:val="30"/>
        </w:rPr>
        <w:t>第1</w:t>
      </w:r>
      <w:r>
        <w:rPr>
          <w:rFonts w:ascii="Times New Roman" w:hAnsi="Times New Roman" w:eastAsia="仿宋" w:cs="Times New Roman"/>
          <w:sz w:val="30"/>
          <w:szCs w:val="30"/>
        </w:rPr>
        <w:t>1</w:t>
      </w:r>
      <w:r>
        <w:rPr>
          <w:rFonts w:hint="eastAsia" w:ascii="Times New Roman" w:hAnsi="Times New Roman" w:eastAsia="仿宋" w:cs="Times New Roman"/>
          <w:sz w:val="30"/>
          <w:szCs w:val="30"/>
        </w:rPr>
        <w:t>条</w:t>
      </w:r>
      <w:r>
        <w:rPr>
          <w:rFonts w:ascii="Times New Roman" w:hAnsi="Times New Roman" w:eastAsia="仿宋" w:cs="Times New Roman"/>
          <w:sz w:val="30"/>
          <w:szCs w:val="30"/>
        </w:rPr>
        <w:t xml:space="preserve"> </w:t>
      </w:r>
      <w:bookmarkEnd w:id="52"/>
      <w:bookmarkEnd w:id="53"/>
      <w:bookmarkStart w:id="55" w:name="_Hlk103240481"/>
      <w:r>
        <w:rPr>
          <w:rFonts w:hint="eastAsia" w:ascii="Times New Roman" w:hAnsi="Times New Roman" w:eastAsia="仿宋" w:cs="Times New Roman"/>
          <w:sz w:val="30"/>
          <w:szCs w:val="30"/>
        </w:rPr>
        <w:t>加快</w:t>
      </w:r>
      <w:r>
        <w:rPr>
          <w:rFonts w:hint="eastAsia" w:ascii="Times New Roman" w:hAnsi="Times New Roman" w:eastAsia="仿宋" w:cs="Times New Roman"/>
          <w:sz w:val="30"/>
          <w:szCs w:val="30"/>
          <w:lang w:eastAsia="zh-CN"/>
        </w:rPr>
        <w:t>既有民用建筑</w:t>
      </w:r>
      <w:r>
        <w:rPr>
          <w:rFonts w:hint="eastAsia" w:ascii="Times New Roman" w:hAnsi="Times New Roman" w:eastAsia="仿宋" w:cs="Times New Roman"/>
          <w:sz w:val="30"/>
          <w:szCs w:val="30"/>
        </w:rPr>
        <w:t>节能绿色化改造</w:t>
      </w:r>
      <w:bookmarkEnd w:id="54"/>
      <w:bookmarkEnd w:id="55"/>
    </w:p>
    <w:p>
      <w:pPr>
        <w:pStyle w:val="6"/>
        <w:spacing w:before="0"/>
        <w:ind w:firstLine="480" w:firstLineChars="200"/>
        <w:rPr>
          <w:rFonts w:ascii="Times New Roman" w:hAnsi="Times New Roman" w:eastAsia="仿宋" w:cs="Times New Roman"/>
          <w:bCs w:val="0"/>
          <w:sz w:val="24"/>
          <w:szCs w:val="24"/>
        </w:rPr>
      </w:pPr>
      <w:bookmarkStart w:id="56" w:name="_Toc501619223"/>
      <w:bookmarkStart w:id="57" w:name="_Hlk103241450"/>
      <w:r>
        <w:rPr>
          <w:rFonts w:ascii="Times New Roman" w:hAnsi="Times New Roman" w:eastAsia="仿宋" w:cs="Times New Roman"/>
          <w:bCs w:val="0"/>
          <w:sz w:val="24"/>
          <w:szCs w:val="24"/>
        </w:rPr>
        <w:t>1</w:t>
      </w:r>
      <w:r>
        <w:rPr>
          <w:rFonts w:hint="eastAsia" w:ascii="Times New Roman" w:hAnsi="Times New Roman" w:eastAsia="仿宋" w:cs="Times New Roman"/>
          <w:bCs w:val="0"/>
          <w:sz w:val="24"/>
          <w:szCs w:val="24"/>
          <w:lang w:val="en-US" w:eastAsia="zh-CN"/>
        </w:rPr>
        <w:t>.</w:t>
      </w:r>
      <w:r>
        <w:rPr>
          <w:rFonts w:hint="eastAsia" w:ascii="Times New Roman" w:hAnsi="Times New Roman" w:eastAsia="仿宋" w:cs="Times New Roman"/>
          <w:bCs w:val="0"/>
          <w:sz w:val="24"/>
          <w:szCs w:val="24"/>
        </w:rPr>
        <w:t>摸清</w:t>
      </w:r>
      <w:bookmarkEnd w:id="56"/>
      <w:r>
        <w:rPr>
          <w:rFonts w:hint="eastAsia" w:ascii="Times New Roman" w:hAnsi="Times New Roman" w:eastAsia="仿宋" w:cs="Times New Roman"/>
          <w:bCs w:val="0"/>
          <w:sz w:val="24"/>
          <w:szCs w:val="24"/>
          <w:lang w:eastAsia="zh-CN"/>
        </w:rPr>
        <w:t>既有民用建筑</w:t>
      </w:r>
      <w:r>
        <w:rPr>
          <w:rFonts w:hint="eastAsia" w:ascii="Times New Roman" w:hAnsi="Times New Roman" w:eastAsia="仿宋" w:cs="Times New Roman"/>
          <w:bCs w:val="0"/>
          <w:sz w:val="24"/>
          <w:szCs w:val="24"/>
        </w:rPr>
        <w:t>现状，完善改造路径</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开展全市</w:t>
      </w:r>
      <w:r>
        <w:rPr>
          <w:rFonts w:hint="eastAsia" w:ascii="Times New Roman" w:hAnsi="Times New Roman" w:eastAsia="仿宋" w:cs="Times New Roman"/>
          <w:sz w:val="24"/>
          <w:lang w:eastAsia="zh-CN"/>
        </w:rPr>
        <w:t>既有民用建筑</w:t>
      </w:r>
      <w:r>
        <w:rPr>
          <w:rFonts w:hint="eastAsia" w:ascii="Times New Roman" w:hAnsi="Times New Roman" w:eastAsia="仿宋" w:cs="Times New Roman"/>
          <w:sz w:val="24"/>
        </w:rPr>
        <w:t>现状调研，统计</w:t>
      </w:r>
      <w:r>
        <w:rPr>
          <w:rFonts w:hint="eastAsia" w:ascii="Times New Roman" w:hAnsi="Times New Roman" w:eastAsia="仿宋" w:cs="Times New Roman"/>
          <w:sz w:val="24"/>
          <w:lang w:eastAsia="zh-CN"/>
        </w:rPr>
        <w:t>既有民用建筑</w:t>
      </w:r>
      <w:r>
        <w:rPr>
          <w:rFonts w:hint="eastAsia" w:ascii="Times New Roman" w:hAnsi="Times New Roman" w:eastAsia="仿宋" w:cs="Times New Roman"/>
          <w:sz w:val="24"/>
        </w:rPr>
        <w:t>类型及面积比例、建筑质量状况、建筑能耗水平、建筑使用特点及存在问题，确定各类建筑的节能潜力和改造重点。综合考虑各类建筑节能潜力大小、节能改造实施难易程度、项目示范作用来选取</w:t>
      </w:r>
      <w:r>
        <w:rPr>
          <w:rFonts w:hint="eastAsia" w:ascii="Times New Roman" w:hAnsi="Times New Roman" w:eastAsia="仿宋" w:cs="Times New Roman"/>
          <w:sz w:val="24"/>
          <w:lang w:eastAsia="zh-CN"/>
        </w:rPr>
        <w:t>节能绿色化改造</w:t>
      </w:r>
      <w:r>
        <w:rPr>
          <w:rFonts w:hint="eastAsia" w:ascii="Times New Roman" w:hAnsi="Times New Roman" w:eastAsia="仿宋" w:cs="Times New Roman"/>
          <w:sz w:val="24"/>
        </w:rPr>
        <w:t>对象。完善能耗监管。加快建筑能耗监测平台建设。实行能耗定额管理。建立既有绿色改造流动清单和进度计划。</w:t>
      </w:r>
    </w:p>
    <w:p>
      <w:pPr>
        <w:pStyle w:val="6"/>
        <w:ind w:firstLine="480" w:firstLineChars="200"/>
        <w:rPr>
          <w:rFonts w:ascii="Times New Roman" w:hAnsi="Times New Roman" w:eastAsia="仿宋" w:cs="Times New Roman"/>
          <w:bCs w:val="0"/>
          <w:sz w:val="24"/>
          <w:szCs w:val="24"/>
        </w:rPr>
      </w:pPr>
      <w:bookmarkStart w:id="58" w:name="_Toc501619224"/>
      <w:r>
        <w:rPr>
          <w:rFonts w:ascii="Times New Roman" w:hAnsi="Times New Roman" w:eastAsia="仿宋" w:cs="Times New Roman"/>
          <w:bCs w:val="0"/>
          <w:sz w:val="24"/>
          <w:szCs w:val="24"/>
        </w:rPr>
        <w:t>2</w:t>
      </w:r>
      <w:r>
        <w:rPr>
          <w:rFonts w:hint="eastAsia" w:ascii="Times New Roman" w:hAnsi="Times New Roman" w:eastAsia="仿宋" w:cs="Times New Roman"/>
          <w:bCs w:val="0"/>
          <w:sz w:val="24"/>
          <w:szCs w:val="24"/>
          <w:lang w:val="en-US" w:eastAsia="zh-CN"/>
        </w:rPr>
        <w:t>.</w:t>
      </w:r>
      <w:r>
        <w:rPr>
          <w:rFonts w:hint="eastAsia" w:ascii="Times New Roman" w:hAnsi="Times New Roman" w:eastAsia="仿宋" w:cs="Times New Roman"/>
          <w:bCs w:val="0"/>
          <w:sz w:val="24"/>
          <w:szCs w:val="24"/>
        </w:rPr>
        <w:t>开展公共建筑</w:t>
      </w:r>
      <w:r>
        <w:rPr>
          <w:rFonts w:hint="eastAsia" w:ascii="Times New Roman" w:hAnsi="Times New Roman" w:eastAsia="仿宋" w:cs="Times New Roman"/>
          <w:bCs w:val="0"/>
          <w:sz w:val="24"/>
          <w:szCs w:val="24"/>
          <w:lang w:eastAsia="zh-CN"/>
        </w:rPr>
        <w:t>节能绿色化改造</w:t>
      </w:r>
      <w:r>
        <w:rPr>
          <w:rFonts w:hint="eastAsia" w:ascii="Times New Roman" w:hAnsi="Times New Roman" w:eastAsia="仿宋" w:cs="Times New Roman"/>
          <w:bCs w:val="0"/>
          <w:sz w:val="24"/>
          <w:szCs w:val="24"/>
        </w:rPr>
        <w:t>示范</w:t>
      </w:r>
      <w:bookmarkEnd w:id="58"/>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支持有条件地区开展学校、医院节能改造试点，建设一批</w:t>
      </w:r>
      <w:r>
        <w:rPr>
          <w:rFonts w:hint="eastAsia" w:ascii="Times New Roman" w:hAnsi="Times New Roman" w:eastAsia="仿宋" w:cs="Times New Roman"/>
          <w:sz w:val="24"/>
          <w:lang w:eastAsia="zh-CN"/>
        </w:rPr>
        <w:t>既有民用建筑</w:t>
      </w:r>
      <w:r>
        <w:rPr>
          <w:rFonts w:hint="eastAsia" w:ascii="Times New Roman" w:hAnsi="Times New Roman" w:eastAsia="仿宋" w:cs="Times New Roman"/>
          <w:sz w:val="24"/>
        </w:rPr>
        <w:t>节能改造示范项目，包括：政府行政办公建筑，结合公共机构节能工作，推进节能改造示范；大型商业建筑的空调、照明系统节能改造与外墙节能改造；学校、工业厂房中的宿舍、医院、保健院、卫生中心及服务站等有稳定热水需求的</w:t>
      </w:r>
      <w:r>
        <w:rPr>
          <w:rFonts w:hint="eastAsia" w:ascii="Times New Roman" w:hAnsi="Times New Roman" w:eastAsia="仿宋" w:cs="Times New Roman"/>
          <w:sz w:val="24"/>
          <w:lang w:eastAsia="zh-CN"/>
        </w:rPr>
        <w:t>既有民用建筑</w:t>
      </w:r>
      <w:r>
        <w:rPr>
          <w:rFonts w:hint="eastAsia" w:ascii="Times New Roman" w:hAnsi="Times New Roman" w:eastAsia="仿宋" w:cs="Times New Roman"/>
          <w:sz w:val="24"/>
        </w:rPr>
        <w:t>考虑安装太阳能热水；文化建筑应从提升能效，改善室内物理环境方面开展改造；福利院、敬老院等建筑应提升建筑人性化设计等。</w:t>
      </w:r>
    </w:p>
    <w:p>
      <w:pPr>
        <w:pStyle w:val="6"/>
        <w:ind w:firstLine="480" w:firstLineChars="200"/>
        <w:rPr>
          <w:rFonts w:ascii="Times New Roman" w:hAnsi="Times New Roman" w:eastAsia="仿宋" w:cs="Times New Roman"/>
          <w:bCs w:val="0"/>
          <w:sz w:val="24"/>
          <w:szCs w:val="24"/>
        </w:rPr>
      </w:pPr>
      <w:bookmarkStart w:id="59" w:name="_Toc501619225"/>
      <w:r>
        <w:rPr>
          <w:rFonts w:ascii="Times New Roman" w:hAnsi="Times New Roman" w:eastAsia="仿宋" w:cs="Times New Roman"/>
          <w:bCs w:val="0"/>
          <w:sz w:val="24"/>
          <w:szCs w:val="24"/>
        </w:rPr>
        <w:t>3</w:t>
      </w:r>
      <w:bookmarkEnd w:id="59"/>
      <w:r>
        <w:rPr>
          <w:rFonts w:hint="eastAsia" w:ascii="Times New Roman" w:hAnsi="Times New Roman" w:eastAsia="仿宋" w:cs="Times New Roman"/>
          <w:bCs w:val="0"/>
          <w:sz w:val="24"/>
          <w:szCs w:val="24"/>
          <w:lang w:val="en-US" w:eastAsia="zh-CN"/>
        </w:rPr>
        <w:t>.</w:t>
      </w:r>
      <w:r>
        <w:rPr>
          <w:rFonts w:hint="eastAsia" w:ascii="Times New Roman" w:hAnsi="Times New Roman" w:eastAsia="仿宋" w:cs="Times New Roman"/>
          <w:bCs w:val="0"/>
          <w:sz w:val="24"/>
          <w:szCs w:val="24"/>
        </w:rPr>
        <w:t>推进居住建筑绿色化改造</w:t>
      </w:r>
    </w:p>
    <w:bookmarkEnd w:id="57"/>
    <w:p>
      <w:pPr>
        <w:pStyle w:val="2"/>
        <w:spacing w:before="156" w:after="93" w:line="360" w:lineRule="auto"/>
        <w:ind w:firstLine="480"/>
        <w:rPr>
          <w:rFonts w:ascii="Times New Roman" w:hAnsi="Times New Roman" w:eastAsia="仿宋"/>
          <w:sz w:val="24"/>
        </w:rPr>
      </w:pPr>
      <w:r>
        <w:rPr>
          <w:rFonts w:hint="eastAsia" w:ascii="Times New Roman" w:hAnsi="Times New Roman" w:eastAsia="仿宋"/>
          <w:sz w:val="24"/>
        </w:rPr>
        <w:t>结合《中山市城市更新（“三旧”改造）专项规划（2020</w:t>
      </w:r>
      <w:r>
        <w:rPr>
          <w:rFonts w:hint="eastAsia" w:ascii="Times New Roman" w:hAnsi="Times New Roman" w:eastAsia="仿宋"/>
          <w:sz w:val="24"/>
          <w:lang w:val="en-US" w:eastAsia="zh-CN"/>
        </w:rPr>
        <w:t>—</w:t>
      </w:r>
      <w:r>
        <w:rPr>
          <w:rFonts w:hint="eastAsia" w:ascii="Times New Roman" w:hAnsi="Times New Roman" w:eastAsia="仿宋"/>
          <w:sz w:val="24"/>
        </w:rPr>
        <w:t>2035）》</w:t>
      </w:r>
      <w:r>
        <w:rPr>
          <w:rFonts w:hint="eastAsia" w:ascii="Times New Roman" w:hAnsi="Times New Roman" w:eastAsia="仿宋"/>
          <w:sz w:val="24"/>
          <w:lang w:eastAsia="zh-CN"/>
        </w:rPr>
        <w:t>“三旧”改造</w:t>
      </w:r>
      <w:r>
        <w:rPr>
          <w:rFonts w:hint="eastAsia" w:ascii="Times New Roman" w:hAnsi="Times New Roman" w:eastAsia="仿宋"/>
          <w:sz w:val="24"/>
        </w:rPr>
        <w:t>项目、城市更新重点区域，以及《中山市老旧小区2021</w:t>
      </w:r>
      <w:r>
        <w:rPr>
          <w:rFonts w:hint="eastAsia" w:ascii="Times New Roman" w:hAnsi="Times New Roman" w:eastAsia="仿宋"/>
          <w:sz w:val="24"/>
          <w:lang w:val="en-US" w:eastAsia="zh-CN"/>
        </w:rPr>
        <w:t>—</w:t>
      </w:r>
      <w:r>
        <w:rPr>
          <w:rFonts w:hint="eastAsia" w:ascii="Times New Roman" w:hAnsi="Times New Roman" w:eastAsia="仿宋"/>
          <w:sz w:val="24"/>
        </w:rPr>
        <w:t>2025年改造规划》明确的老旧小区改造推进</w:t>
      </w:r>
      <w:r>
        <w:rPr>
          <w:rFonts w:hint="eastAsia" w:ascii="Times New Roman" w:hAnsi="Times New Roman" w:eastAsia="仿宋"/>
          <w:sz w:val="24"/>
          <w:lang w:eastAsia="zh-CN"/>
        </w:rPr>
        <w:t>既有</w:t>
      </w:r>
      <w:r>
        <w:rPr>
          <w:rFonts w:hint="eastAsia" w:ascii="Times New Roman" w:hAnsi="Times New Roman" w:eastAsia="仿宋"/>
          <w:sz w:val="24"/>
          <w:lang w:val="en-US" w:eastAsia="zh-CN"/>
        </w:rPr>
        <w:t>居住</w:t>
      </w:r>
      <w:r>
        <w:rPr>
          <w:rFonts w:hint="eastAsia" w:ascii="Times New Roman" w:hAnsi="Times New Roman" w:eastAsia="仿宋"/>
          <w:sz w:val="24"/>
          <w:lang w:eastAsia="zh-CN"/>
        </w:rPr>
        <w:t>建筑</w:t>
      </w:r>
      <w:r>
        <w:rPr>
          <w:rFonts w:hint="eastAsia" w:ascii="Times New Roman" w:hAnsi="Times New Roman" w:eastAsia="仿宋"/>
          <w:sz w:val="24"/>
        </w:rPr>
        <w:t>的</w:t>
      </w:r>
      <w:r>
        <w:rPr>
          <w:rFonts w:hint="eastAsia" w:ascii="Times New Roman" w:hAnsi="Times New Roman" w:eastAsia="仿宋"/>
          <w:sz w:val="24"/>
          <w:lang w:eastAsia="zh-CN"/>
        </w:rPr>
        <w:t>节能绿色化改造</w:t>
      </w:r>
      <w:r>
        <w:rPr>
          <w:rFonts w:hint="eastAsia" w:ascii="Times New Roman" w:hAnsi="Times New Roman" w:eastAsia="仿宋"/>
          <w:sz w:val="24"/>
        </w:rPr>
        <w:t>。以市级重点城市更新片区</w:t>
      </w:r>
      <w:r>
        <w:rPr>
          <w:rFonts w:hint="eastAsia" w:ascii="Times New Roman" w:hAnsi="Times New Roman" w:eastAsia="仿宋"/>
          <w:sz w:val="24"/>
          <w:lang w:val="en-US" w:eastAsia="zh-CN"/>
        </w:rPr>
        <w:t>为支撑</w:t>
      </w:r>
      <w:r>
        <w:rPr>
          <w:rFonts w:hint="eastAsia" w:ascii="Times New Roman" w:hAnsi="Times New Roman" w:eastAsia="仿宋"/>
          <w:sz w:val="24"/>
        </w:rPr>
        <w:t>，优先纳入年度实施计划重点执行；镇级重点城市更新片区内的城市更新单元按申报批次有序纳入年度计划。对于用地性质改变的改造，其绿色建筑要求与新建建筑一致；对于沿街沿江城市风貌改造，结合立面改造进行宜居环境提升。</w:t>
      </w:r>
    </w:p>
    <w:p>
      <w:pPr>
        <w:pStyle w:val="2"/>
        <w:spacing w:before="156" w:after="93" w:line="360" w:lineRule="auto"/>
        <w:ind w:firstLine="480"/>
        <w:rPr>
          <w:rFonts w:ascii="Times New Roman" w:hAnsi="Times New Roman" w:eastAsia="仿宋"/>
          <w:sz w:val="24"/>
        </w:rPr>
      </w:pPr>
      <w:r>
        <w:rPr>
          <w:rFonts w:hint="eastAsia" w:ascii="Times New Roman" w:hAnsi="Times New Roman" w:eastAsia="仿宋"/>
          <w:sz w:val="24"/>
        </w:rPr>
        <w:t>在各区老旧小区改造中打造绿色化改造示范区，开展老旧小区</w:t>
      </w:r>
      <w:r>
        <w:rPr>
          <w:rFonts w:hint="eastAsia" w:ascii="Times New Roman" w:hAnsi="Times New Roman" w:eastAsia="仿宋"/>
          <w:sz w:val="24"/>
          <w:lang w:val="en-US" w:eastAsia="zh-CN"/>
        </w:rPr>
        <w:t>节能</w:t>
      </w:r>
      <w:r>
        <w:rPr>
          <w:rFonts w:hint="eastAsia" w:ascii="Times New Roman" w:hAnsi="Times New Roman" w:eastAsia="仿宋"/>
          <w:sz w:val="24"/>
        </w:rPr>
        <w:t>绿色化改造，提高居住建筑改造中建筑使用者的满意度。技术改造可选择以下内容：旧建筑的性能检测和抗震、立体绿化、加装太阳能屋顶、建筑绿化与雨水系统完善、住宅加装节能电梯、建立小区立体停车库、小区垃圾分类和LED照明改造、海绵社区整体设计改造、加装遮阳窗、厨房油烟集中过滤、老旧楼宇空旷场地的综合利用、基于节能减排的绿色物业管理和智慧社区等。</w:t>
      </w:r>
    </w:p>
    <w:p>
      <w:pPr>
        <w:pStyle w:val="5"/>
        <w:rPr>
          <w:rFonts w:ascii="Times New Roman" w:hAnsi="Times New Roman" w:eastAsia="仿宋" w:cs="Times New Roman"/>
          <w:sz w:val="30"/>
          <w:szCs w:val="30"/>
        </w:rPr>
      </w:pPr>
      <w:bookmarkStart w:id="60" w:name="_Toc124321377"/>
      <w:r>
        <w:rPr>
          <w:rFonts w:hint="eastAsia" w:ascii="Times New Roman" w:hAnsi="Times New Roman" w:eastAsia="仿宋" w:cs="Times New Roman"/>
          <w:sz w:val="30"/>
          <w:szCs w:val="30"/>
        </w:rPr>
        <w:t>第12条 提升工业建筑绿色低碳水平</w:t>
      </w:r>
      <w:bookmarkEnd w:id="60"/>
    </w:p>
    <w:p>
      <w:pPr>
        <w:pStyle w:val="6"/>
        <w:ind w:firstLine="480" w:firstLineChars="200"/>
        <w:rPr>
          <w:rFonts w:ascii="Times New Roman" w:hAnsi="Times New Roman" w:eastAsia="仿宋" w:cs="Times New Roman"/>
          <w:bCs w:val="0"/>
          <w:sz w:val="24"/>
          <w:szCs w:val="24"/>
        </w:rPr>
      </w:pPr>
      <w:r>
        <w:rPr>
          <w:rFonts w:hint="eastAsia" w:ascii="Times New Roman" w:hAnsi="Times New Roman" w:eastAsia="仿宋" w:cs="Times New Roman"/>
          <w:bCs w:val="0"/>
          <w:sz w:val="24"/>
          <w:szCs w:val="24"/>
        </w:rPr>
        <w:t>1</w:t>
      </w:r>
      <w:r>
        <w:rPr>
          <w:rFonts w:hint="eastAsia" w:ascii="Times New Roman" w:hAnsi="Times New Roman" w:eastAsia="仿宋" w:cs="Times New Roman"/>
          <w:bCs w:val="0"/>
          <w:sz w:val="24"/>
          <w:szCs w:val="24"/>
          <w:lang w:val="en-US" w:eastAsia="zh-CN"/>
        </w:rPr>
        <w:t>.</w:t>
      </w:r>
      <w:r>
        <w:rPr>
          <w:rFonts w:hint="eastAsia" w:ascii="Times New Roman" w:hAnsi="Times New Roman" w:eastAsia="仿宋" w:cs="Times New Roman"/>
          <w:bCs w:val="0"/>
          <w:sz w:val="24"/>
          <w:szCs w:val="24"/>
        </w:rPr>
        <w:t>鼓励新建工业建筑绿色化发展</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以高水平打造香山新城、西部产业园、北部产业园、中山科学城等4个大湾区特色产业与科技创新平台为契机，开展绿色低碳工业建筑示范园区建设，鼓励新建工业建筑按照绿色建筑标准要求进行建设。根据不同行业工业建筑实际情况，因地制宜选用以下技术内容：用地布局优化措施，如土地集约利用和公共服务设施优化措施；能源资源利用措施，如可再生能源技术应用、建筑节能设计、节水技术、绿色建材应用以及装配式建造技术；生态环境优化措施，如绿化及海绵城市设计、污染物控制措施、振动和噪声控制措施等。</w:t>
      </w:r>
    </w:p>
    <w:p>
      <w:pPr>
        <w:pStyle w:val="6"/>
        <w:ind w:firstLine="480" w:firstLineChars="200"/>
        <w:rPr>
          <w:rFonts w:ascii="Times New Roman" w:hAnsi="Times New Roman" w:eastAsia="仿宋" w:cs="Times New Roman"/>
          <w:bCs w:val="0"/>
          <w:sz w:val="24"/>
          <w:szCs w:val="24"/>
        </w:rPr>
      </w:pPr>
      <w:r>
        <w:rPr>
          <w:rFonts w:hint="eastAsia" w:ascii="Times New Roman" w:hAnsi="Times New Roman" w:eastAsia="仿宋" w:cs="Times New Roman"/>
          <w:bCs w:val="0"/>
          <w:sz w:val="24"/>
          <w:szCs w:val="24"/>
        </w:rPr>
        <w:t>2</w:t>
      </w:r>
      <w:r>
        <w:rPr>
          <w:rFonts w:hint="eastAsia" w:ascii="Times New Roman" w:hAnsi="Times New Roman" w:eastAsia="仿宋" w:cs="Times New Roman"/>
          <w:bCs w:val="0"/>
          <w:sz w:val="24"/>
          <w:szCs w:val="24"/>
          <w:lang w:val="en-US" w:eastAsia="zh-CN"/>
        </w:rPr>
        <w:t>.</w:t>
      </w:r>
      <w:r>
        <w:rPr>
          <w:rFonts w:hint="eastAsia" w:ascii="Times New Roman" w:hAnsi="Times New Roman" w:eastAsia="仿宋" w:cs="Times New Roman"/>
          <w:bCs w:val="0"/>
          <w:sz w:val="24"/>
          <w:szCs w:val="24"/>
        </w:rPr>
        <w:t>推广既有工业建筑绿色低碳改造</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结合中山市政府“工改”项目实施契机，探索开展工业建筑绿色化改造，注重提升资源能源节约水平，采取相关技术措施减轻对周边环境的影响，营造健康安全的室内工作环境。研究探索废旧工业厂房建筑空间改造适宜技术，合理进行建筑体型设计和节能改造，推广应用工业建筑绿色化技术措施。探索工业建筑绿色发展适宜技术，鼓励在计划改造面积超过100亩的“工改”项目中，重点推广应用工业建筑屋顶分布式光伏、先进蓄冷技术和立体绿化等技术措施。</w:t>
      </w:r>
    </w:p>
    <w:p>
      <w:pPr>
        <w:pStyle w:val="5"/>
        <w:rPr>
          <w:rFonts w:ascii="Times New Roman" w:hAnsi="Times New Roman" w:eastAsia="仿宋" w:cs="Times New Roman"/>
          <w:sz w:val="30"/>
          <w:szCs w:val="30"/>
        </w:rPr>
      </w:pPr>
      <w:bookmarkStart w:id="61" w:name="_Toc501619227"/>
      <w:bookmarkStart w:id="62" w:name="_Toc525718511"/>
      <w:bookmarkStart w:id="63" w:name="_Toc124321378"/>
      <w:r>
        <w:rPr>
          <w:rFonts w:hint="eastAsia" w:ascii="Times New Roman" w:hAnsi="Times New Roman" w:eastAsia="仿宋" w:cs="Times New Roman"/>
          <w:sz w:val="30"/>
          <w:szCs w:val="30"/>
        </w:rPr>
        <w:t>第13条</w:t>
      </w:r>
      <w:r>
        <w:rPr>
          <w:rFonts w:ascii="Times New Roman" w:hAnsi="Times New Roman" w:eastAsia="仿宋" w:cs="Times New Roman"/>
          <w:sz w:val="30"/>
          <w:szCs w:val="30"/>
        </w:rPr>
        <w:t xml:space="preserve"> </w:t>
      </w:r>
      <w:bookmarkEnd w:id="61"/>
      <w:bookmarkEnd w:id="62"/>
      <w:r>
        <w:rPr>
          <w:rFonts w:hint="eastAsia" w:ascii="Times New Roman" w:hAnsi="Times New Roman" w:eastAsia="仿宋" w:cs="Times New Roman"/>
          <w:sz w:val="30"/>
          <w:szCs w:val="30"/>
        </w:rPr>
        <w:t>建设绿色城市人居环境</w:t>
      </w:r>
      <w:bookmarkEnd w:id="63"/>
    </w:p>
    <w:p>
      <w:pPr>
        <w:pStyle w:val="6"/>
        <w:ind w:firstLine="480" w:firstLineChars="200"/>
        <w:rPr>
          <w:rFonts w:ascii="Times New Roman" w:hAnsi="Times New Roman" w:eastAsia="仿宋" w:cs="Times New Roman"/>
          <w:bCs w:val="0"/>
          <w:sz w:val="24"/>
          <w:szCs w:val="24"/>
        </w:rPr>
      </w:pPr>
      <w:bookmarkStart w:id="64" w:name="_Hlk103241595"/>
      <w:bookmarkStart w:id="65" w:name="_Toc501619235"/>
      <w:r>
        <w:rPr>
          <w:rFonts w:ascii="Times New Roman" w:hAnsi="Times New Roman" w:eastAsia="仿宋" w:cs="Times New Roman"/>
          <w:bCs w:val="0"/>
          <w:sz w:val="24"/>
          <w:szCs w:val="24"/>
        </w:rPr>
        <w:t>1</w:t>
      </w:r>
      <w:r>
        <w:rPr>
          <w:rFonts w:hint="eastAsia" w:ascii="Times New Roman" w:hAnsi="Times New Roman" w:eastAsia="仿宋" w:cs="Times New Roman"/>
          <w:bCs w:val="0"/>
          <w:sz w:val="24"/>
          <w:szCs w:val="24"/>
          <w:lang w:val="en-US" w:eastAsia="zh-CN"/>
        </w:rPr>
        <w:t>.打造</w:t>
      </w:r>
      <w:r>
        <w:rPr>
          <w:rFonts w:hint="eastAsia" w:ascii="Times New Roman" w:hAnsi="Times New Roman" w:eastAsia="仿宋" w:cs="Times New Roman"/>
          <w:bCs w:val="0"/>
          <w:sz w:val="24"/>
          <w:szCs w:val="24"/>
        </w:rPr>
        <w:t>城市通风廊道</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综合地形特征、风场特征、总体规划布局及生态框架，在中山市形成“两大补偿空间、三级通风廊道、多片作用区”的通风系统框架。</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两大</w:t>
      </w:r>
      <w:r>
        <w:rPr>
          <w:rFonts w:ascii="Times New Roman" w:hAnsi="Times New Roman" w:eastAsia="仿宋" w:cs="Times New Roman"/>
          <w:sz w:val="24"/>
        </w:rPr>
        <w:t>补偿</w:t>
      </w:r>
      <w:r>
        <w:rPr>
          <w:rFonts w:hint="eastAsia" w:ascii="Times New Roman" w:hAnsi="Times New Roman" w:eastAsia="仿宋" w:cs="Times New Roman"/>
          <w:sz w:val="24"/>
        </w:rPr>
        <w:t>空间分为区域及补偿空间与城市级补偿空间，区域及补偿空间包括：中山北部补偿空间（桑基鱼塘）、中山中部补偿空间（五桂山、大尖山、南台山、加林山及各水库）、中山南部补偿空间（丫髻山、火炉山）。城市级补偿空间分布于城区水道、绿地等。三大区域性</w:t>
      </w:r>
      <w:r>
        <w:rPr>
          <w:rFonts w:ascii="Times New Roman" w:hAnsi="Times New Roman" w:eastAsia="仿宋" w:cs="Times New Roman"/>
          <w:sz w:val="24"/>
        </w:rPr>
        <w:t>补偿</w:t>
      </w:r>
      <w:r>
        <w:rPr>
          <w:rFonts w:hint="eastAsia" w:ascii="Times New Roman" w:hAnsi="Times New Roman" w:eastAsia="仿宋" w:cs="Times New Roman"/>
          <w:sz w:val="24"/>
        </w:rPr>
        <w:t>空间</w:t>
      </w:r>
      <w:r>
        <w:rPr>
          <w:rFonts w:ascii="Times New Roman" w:hAnsi="Times New Roman" w:eastAsia="仿宋" w:cs="Times New Roman"/>
          <w:sz w:val="24"/>
        </w:rPr>
        <w:t>呈组团分布，将</w:t>
      </w:r>
      <w:r>
        <w:rPr>
          <w:rFonts w:hint="eastAsia" w:ascii="Times New Roman" w:hAnsi="Times New Roman" w:eastAsia="仿宋" w:cs="Times New Roman"/>
          <w:sz w:val="24"/>
        </w:rPr>
        <w:t>中山</w:t>
      </w:r>
      <w:r>
        <w:rPr>
          <w:rFonts w:ascii="Times New Roman" w:hAnsi="Times New Roman" w:eastAsia="仿宋" w:cs="Times New Roman"/>
          <w:sz w:val="24"/>
        </w:rPr>
        <w:t>市各城区隔离开来，为城区外部和内部通风廊道的建立奠定基础。</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三级通风廊道分为一级通风廊道、二级通风廊道与面域通风廊道。一级通风廊道包括：西江及沿岸通风廊道；途径小榄镇、中部补偿空间、火炬开发区的通风廊道；途径南头镇、中部补偿空间、火炬开发区的通风廊道；洪奇沥水道及沿岸通风廊道与途径南朗街道、火炬开发区的通风廊道。二级通风廊道主要为各镇街内部绿地、水域形成的通风廊道。面域通风廊道包括自中部补偿空间到中心城区的通风廊道与自北部补偿空间到中心城区的通风廊道。</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多片作用区为三级通风廊道的作用区域，包括各镇街主要居住、商业、办公、工业区域。</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结合</w:t>
      </w:r>
      <w:r>
        <w:rPr>
          <w:rFonts w:hint="eastAsia" w:ascii="Times New Roman" w:hAnsi="Times New Roman" w:eastAsia="仿宋" w:cs="Times New Roman"/>
          <w:sz w:val="24"/>
        </w:rPr>
        <w:t>中山</w:t>
      </w:r>
      <w:r>
        <w:rPr>
          <w:rFonts w:ascii="Times New Roman" w:hAnsi="Times New Roman" w:eastAsia="仿宋" w:cs="Times New Roman"/>
          <w:sz w:val="24"/>
        </w:rPr>
        <w:t>城市规划管控要素，重点地区的建筑密度、建筑高度、建筑布局形式、建筑形态、植物种植、道路宽度、道路贴线率、建筑退让、场地间口率等应该满足控制指标要求。（如表</w:t>
      </w:r>
      <w:r>
        <w:rPr>
          <w:rFonts w:hint="eastAsia" w:ascii="Times New Roman" w:hAnsi="Times New Roman" w:eastAsia="仿宋" w:cs="Times New Roman"/>
          <w:sz w:val="24"/>
        </w:rPr>
        <w:t>2</w:t>
      </w:r>
      <w:r>
        <w:rPr>
          <w:rFonts w:ascii="Times New Roman" w:hAnsi="Times New Roman" w:eastAsia="仿宋" w:cs="Times New Roman"/>
          <w:sz w:val="24"/>
        </w:rPr>
        <w:t>）</w:t>
      </w:r>
    </w:p>
    <w:p>
      <w:pPr>
        <w:pStyle w:val="2"/>
        <w:spacing w:before="156" w:after="93"/>
        <w:ind w:firstLine="0" w:firstLineChars="0"/>
        <w:jc w:val="center"/>
        <w:rPr>
          <w:rFonts w:ascii="仿宋" w:hAnsi="仿宋" w:eastAsia="仿宋"/>
          <w:b/>
          <w:bCs/>
          <w:sz w:val="21"/>
          <w:szCs w:val="21"/>
        </w:rPr>
      </w:pPr>
      <w:r>
        <w:rPr>
          <w:rFonts w:hint="eastAsia" w:ascii="仿宋" w:hAnsi="仿宋" w:eastAsia="仿宋"/>
          <w:b/>
          <w:bCs/>
          <w:sz w:val="21"/>
          <w:szCs w:val="21"/>
        </w:rPr>
        <w:t>表2 中山市通风廊道控制指引</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639"/>
        <w:gridCol w:w="7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vAlign w:val="center"/>
          </w:tcPr>
          <w:p>
            <w:pPr>
              <w:pStyle w:val="3"/>
              <w:spacing w:after="6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补偿空间</w:t>
            </w:r>
          </w:p>
        </w:tc>
        <w:tc>
          <w:tcPr>
            <w:tcW w:w="686" w:type="dxa"/>
            <w:vAlign w:val="center"/>
          </w:tcPr>
          <w:p>
            <w:pPr>
              <w:pStyle w:val="3"/>
              <w:spacing w:after="6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范围</w:t>
            </w:r>
          </w:p>
        </w:tc>
        <w:tc>
          <w:tcPr>
            <w:tcW w:w="8871" w:type="dxa"/>
            <w:vAlign w:val="center"/>
          </w:tcPr>
          <w:p>
            <w:pPr>
              <w:pStyle w:val="3"/>
              <w:spacing w:after="60"/>
              <w:jc w:val="both"/>
              <w:rPr>
                <w:rFonts w:hint="eastAsia"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rPr>
              <w:t>中山北部补偿空间（桑基鱼塘）、中山中部补偿空间（五桂山、大尖山、南台山、加林山及各水库）、中山南部补偿空间（丫髻山、火炉山）、各城市级补偿空间</w:t>
            </w:r>
            <w:r>
              <w:rPr>
                <w:rFonts w:hint="eastAsia" w:ascii="Times New Roman" w:hAnsi="Times New Roman" w:eastAsia="仿宋"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pStyle w:val="3"/>
              <w:spacing w:after="60"/>
              <w:jc w:val="center"/>
              <w:rPr>
                <w:rFonts w:hint="default" w:ascii="Times New Roman" w:hAnsi="Times New Roman" w:eastAsia="仿宋" w:cs="Times New Roman"/>
                <w:kern w:val="0"/>
                <w:sz w:val="21"/>
                <w:szCs w:val="21"/>
              </w:rPr>
            </w:pPr>
          </w:p>
        </w:tc>
        <w:tc>
          <w:tcPr>
            <w:tcW w:w="686" w:type="dxa"/>
            <w:vAlign w:val="center"/>
          </w:tcPr>
          <w:p>
            <w:pPr>
              <w:pStyle w:val="3"/>
              <w:spacing w:after="6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控</w:t>
            </w:r>
          </w:p>
          <w:p>
            <w:pPr>
              <w:pStyle w:val="3"/>
              <w:spacing w:after="6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制</w:t>
            </w:r>
          </w:p>
          <w:p>
            <w:pPr>
              <w:pStyle w:val="3"/>
              <w:spacing w:after="6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指</w:t>
            </w:r>
          </w:p>
          <w:p>
            <w:pPr>
              <w:pStyle w:val="3"/>
              <w:spacing w:after="6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引</w:t>
            </w:r>
          </w:p>
        </w:tc>
        <w:tc>
          <w:tcPr>
            <w:tcW w:w="8871" w:type="dxa"/>
            <w:vAlign w:val="center"/>
          </w:tcPr>
          <w:p>
            <w:pPr>
              <w:pStyle w:val="3"/>
              <w:spacing w:after="60"/>
              <w:jc w:val="both"/>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1、保护并充分利用五桂山、大尖山、南台山、加林山、丫髻山、火炉山等自然资源和现有的水体、滩涂湿地，以及耕地、园地、山坡上的林地。尽量避免改变上述用地的用地性质，严禁进行破坏性开发。</w:t>
            </w:r>
          </w:p>
          <w:p>
            <w:pPr>
              <w:pStyle w:val="3"/>
              <w:spacing w:after="60"/>
              <w:jc w:val="both"/>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2、生态控制线内准入的项目，其道路和建筑排列宜为沿东南或南向设计，且建筑体量不宜过大，建筑布局力求开敞、通透。</w:t>
            </w:r>
          </w:p>
          <w:p>
            <w:pPr>
              <w:pStyle w:val="3"/>
              <w:spacing w:after="60"/>
              <w:jc w:val="both"/>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3、在发展用地内，尽量增加绿化空间，为发展用地提供新的小型补偿区。</w:t>
            </w:r>
          </w:p>
          <w:p>
            <w:pPr>
              <w:pStyle w:val="3"/>
              <w:spacing w:after="60"/>
              <w:jc w:val="both"/>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4、充分利用现有的大型公园绿地的调节功能，其周边建筑规划时，宜遵循低密度、高通透的原则，以支持绿地与作用空间之间的空气交换。</w:t>
            </w:r>
          </w:p>
          <w:p>
            <w:pPr>
              <w:pStyle w:val="3"/>
              <w:spacing w:after="60"/>
              <w:jc w:val="both"/>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5、对于中心城区绿地中的植被不宜种植过密，应保持较高的通透性。提高表面粗糙度较小的草坪和其他地被植物面积比例，以增强夜间冷空气生成与空气流动。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vAlign w:val="center"/>
          </w:tcPr>
          <w:p>
            <w:pPr>
              <w:pStyle w:val="3"/>
              <w:spacing w:after="6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通风廊道</w:t>
            </w:r>
          </w:p>
        </w:tc>
        <w:tc>
          <w:tcPr>
            <w:tcW w:w="686" w:type="dxa"/>
            <w:vAlign w:val="center"/>
          </w:tcPr>
          <w:p>
            <w:pPr>
              <w:pStyle w:val="3"/>
              <w:spacing w:after="6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范围</w:t>
            </w:r>
          </w:p>
        </w:tc>
        <w:tc>
          <w:tcPr>
            <w:tcW w:w="8871" w:type="dxa"/>
            <w:vAlign w:val="center"/>
          </w:tcPr>
          <w:p>
            <w:pPr>
              <w:pStyle w:val="3"/>
              <w:spacing w:after="60"/>
              <w:jc w:val="both"/>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各一级通风廊道、面域通风廊道与二级通风廊道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pStyle w:val="3"/>
              <w:spacing w:after="60"/>
              <w:jc w:val="center"/>
              <w:rPr>
                <w:rFonts w:hint="default" w:ascii="Times New Roman" w:hAnsi="Times New Roman" w:eastAsia="仿宋" w:cs="Times New Roman"/>
                <w:kern w:val="0"/>
                <w:sz w:val="21"/>
                <w:szCs w:val="21"/>
              </w:rPr>
            </w:pPr>
          </w:p>
        </w:tc>
        <w:tc>
          <w:tcPr>
            <w:tcW w:w="686" w:type="dxa"/>
            <w:vAlign w:val="center"/>
          </w:tcPr>
          <w:p>
            <w:pPr>
              <w:pStyle w:val="3"/>
              <w:spacing w:after="6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控</w:t>
            </w:r>
          </w:p>
          <w:p>
            <w:pPr>
              <w:pStyle w:val="3"/>
              <w:spacing w:after="6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制</w:t>
            </w:r>
          </w:p>
          <w:p>
            <w:pPr>
              <w:pStyle w:val="3"/>
              <w:spacing w:after="6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指</w:t>
            </w:r>
          </w:p>
          <w:p>
            <w:pPr>
              <w:pStyle w:val="3"/>
              <w:spacing w:after="6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引</w:t>
            </w:r>
          </w:p>
        </w:tc>
        <w:tc>
          <w:tcPr>
            <w:tcW w:w="8871" w:type="dxa"/>
          </w:tcPr>
          <w:p>
            <w:pPr>
              <w:spacing w:after="60"/>
              <w:rPr>
                <w:rFonts w:hint="default" w:ascii="Times New Roman" w:hAnsi="Times New Roman" w:eastAsia="仿宋" w:cs="Times New Roman"/>
                <w:szCs w:val="21"/>
              </w:rPr>
            </w:pPr>
            <w:r>
              <w:rPr>
                <w:rFonts w:hint="default" w:ascii="Times New Roman" w:hAnsi="Times New Roman" w:eastAsia="仿宋" w:cs="Times New Roman"/>
                <w:szCs w:val="21"/>
              </w:rPr>
              <w:t>1、对于一级通风廊道，主要对风道内以及风道两侧100米范围内进行控制，对于各二级风道，主要对风道内以及风道两侧50米范围内进行控制。</w:t>
            </w:r>
          </w:p>
          <w:p>
            <w:pPr>
              <w:spacing w:after="60"/>
              <w:rPr>
                <w:rFonts w:hint="default" w:ascii="Times New Roman" w:hAnsi="Times New Roman" w:eastAsia="仿宋" w:cs="Times New Roman"/>
                <w:szCs w:val="21"/>
              </w:rPr>
            </w:pPr>
            <w:r>
              <w:rPr>
                <w:rFonts w:hint="default" w:ascii="Times New Roman" w:hAnsi="Times New Roman" w:eastAsia="仿宋" w:cs="Times New Roman"/>
                <w:szCs w:val="21"/>
              </w:rPr>
              <w:t>2、在风道内不宜新建建筑，建议以草地、低矮灌木种植为主，避免新建建筑组团风道。</w:t>
            </w:r>
          </w:p>
          <w:p>
            <w:pPr>
              <w:spacing w:after="60"/>
              <w:rPr>
                <w:rFonts w:hint="default" w:ascii="Times New Roman" w:hAnsi="Times New Roman" w:eastAsia="仿宋" w:cs="Times New Roman"/>
                <w:szCs w:val="21"/>
              </w:rPr>
            </w:pPr>
            <w:r>
              <w:rPr>
                <w:rFonts w:hint="default" w:ascii="Times New Roman" w:hAnsi="Times New Roman" w:eastAsia="仿宋" w:cs="Times New Roman"/>
                <w:szCs w:val="21"/>
              </w:rPr>
              <w:t>3、各风道控制范围内禁止布置有污染的项目，有污染的项目应布置到城市下风向地区。</w:t>
            </w:r>
          </w:p>
          <w:p>
            <w:pPr>
              <w:spacing w:after="60"/>
              <w:rPr>
                <w:rFonts w:hint="default" w:ascii="Times New Roman" w:hAnsi="Times New Roman" w:eastAsia="仿宋" w:cs="Times New Roman"/>
                <w:szCs w:val="21"/>
              </w:rPr>
            </w:pPr>
            <w:r>
              <w:rPr>
                <w:rFonts w:hint="default" w:ascii="Times New Roman" w:hAnsi="Times New Roman" w:eastAsia="仿宋" w:cs="Times New Roman"/>
                <w:szCs w:val="21"/>
              </w:rPr>
              <w:t>4、保障开敞的道路、广场、道路交叉路口、各景观面、绿化景观节点的空旷性，丰富一级通风廊道上的开敞空间体系，新增一些小型绿化节点作为次一级风道的开敞空间。</w:t>
            </w:r>
          </w:p>
          <w:p>
            <w:pPr>
              <w:spacing w:after="60"/>
              <w:rPr>
                <w:rFonts w:hint="default" w:ascii="Times New Roman" w:hAnsi="Times New Roman" w:eastAsia="仿宋" w:cs="Times New Roman"/>
                <w:szCs w:val="21"/>
              </w:rPr>
            </w:pPr>
            <w:r>
              <w:rPr>
                <w:rFonts w:hint="default" w:ascii="Times New Roman" w:hAnsi="Times New Roman" w:eastAsia="仿宋" w:cs="Times New Roman"/>
                <w:szCs w:val="21"/>
              </w:rPr>
              <w:t>5、对于以道路为基础的风道，宜在道路两旁、广场、建筑退距等地方，种植高大乔木，在起到遮</w:t>
            </w:r>
            <w:r>
              <w:rPr>
                <w:rFonts w:hint="default" w:ascii="Times New Roman" w:hAnsi="Times New Roman" w:eastAsia="仿宋" w:cs="Times New Roman"/>
                <w:szCs w:val="21"/>
                <w:lang w:val="en-US" w:eastAsia="zh-CN"/>
              </w:rPr>
              <w:t>荫</w:t>
            </w:r>
            <w:r>
              <w:rPr>
                <w:rFonts w:hint="default" w:ascii="Times New Roman" w:hAnsi="Times New Roman" w:eastAsia="仿宋" w:cs="Times New Roman"/>
                <w:szCs w:val="21"/>
              </w:rPr>
              <w:t>作用的同时，也可以降低风道内的空气温度。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vAlign w:val="center"/>
          </w:tcPr>
          <w:p>
            <w:pPr>
              <w:pStyle w:val="3"/>
              <w:spacing w:after="6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作用区域</w:t>
            </w:r>
          </w:p>
        </w:tc>
        <w:tc>
          <w:tcPr>
            <w:tcW w:w="686" w:type="dxa"/>
            <w:vAlign w:val="center"/>
          </w:tcPr>
          <w:p>
            <w:pPr>
              <w:pStyle w:val="3"/>
              <w:spacing w:after="6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范围</w:t>
            </w:r>
          </w:p>
        </w:tc>
        <w:tc>
          <w:tcPr>
            <w:tcW w:w="8871" w:type="dxa"/>
            <w:vAlign w:val="center"/>
          </w:tcPr>
          <w:p>
            <w:pPr>
              <w:pStyle w:val="3"/>
              <w:spacing w:after="60"/>
              <w:jc w:val="both"/>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各主要居住、商业、办公、工业区域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pStyle w:val="3"/>
              <w:spacing w:after="60"/>
              <w:jc w:val="center"/>
              <w:rPr>
                <w:rFonts w:hint="default" w:ascii="Times New Roman" w:hAnsi="Times New Roman" w:eastAsia="仿宋" w:cs="Times New Roman"/>
                <w:kern w:val="0"/>
                <w:sz w:val="21"/>
                <w:szCs w:val="21"/>
              </w:rPr>
            </w:pPr>
          </w:p>
        </w:tc>
        <w:tc>
          <w:tcPr>
            <w:tcW w:w="686" w:type="dxa"/>
            <w:vAlign w:val="center"/>
          </w:tcPr>
          <w:p>
            <w:pPr>
              <w:pStyle w:val="3"/>
              <w:spacing w:after="6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控</w:t>
            </w:r>
          </w:p>
          <w:p>
            <w:pPr>
              <w:pStyle w:val="3"/>
              <w:spacing w:after="6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制</w:t>
            </w:r>
          </w:p>
          <w:p>
            <w:pPr>
              <w:pStyle w:val="3"/>
              <w:spacing w:after="6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指</w:t>
            </w:r>
          </w:p>
          <w:p>
            <w:pPr>
              <w:pStyle w:val="3"/>
              <w:spacing w:after="6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引</w:t>
            </w:r>
          </w:p>
        </w:tc>
        <w:tc>
          <w:tcPr>
            <w:tcW w:w="8871" w:type="dxa"/>
            <w:vAlign w:val="center"/>
          </w:tcPr>
          <w:p>
            <w:pPr>
              <w:pStyle w:val="3"/>
              <w:spacing w:after="60"/>
              <w:jc w:val="both"/>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1、地块内建筑布局宜沿东南或南向布置，建筑间距不宜过小，有条件的地方建筑间距宜大于18米，预留空气流通的通道。</w:t>
            </w:r>
          </w:p>
          <w:p>
            <w:pPr>
              <w:pStyle w:val="3"/>
              <w:spacing w:after="60"/>
              <w:jc w:val="both"/>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2、建筑宜采取斜列式、错列式和并列式相结合建筑布局方式，尽力促进自然通风。</w:t>
            </w:r>
          </w:p>
          <w:p>
            <w:pPr>
              <w:pStyle w:val="3"/>
              <w:spacing w:after="60"/>
              <w:jc w:val="both"/>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3、应避免过长的裙楼设计。裙楼宜通过架空或设置通廊等方式形成地块内的贯通风道。</w:t>
            </w:r>
          </w:p>
          <w:p>
            <w:pPr>
              <w:pStyle w:val="3"/>
              <w:spacing w:after="60"/>
              <w:jc w:val="both"/>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4、沿江风道的建筑高度必须加以控制，遵循越接近风道建筑高度越低的原则。</w:t>
            </w:r>
          </w:p>
          <w:p>
            <w:pPr>
              <w:pStyle w:val="3"/>
              <w:spacing w:after="60"/>
              <w:jc w:val="both"/>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5、应严格控制城市空间中的建筑密度，地块的建筑密度宜维持在30%左右。当场地靠近二级通风廊道时，还应控制其场地间口率大于60%；当场地靠近一级通风廊道时，其场地间口率应控制在70%以上。</w:t>
            </w:r>
          </w:p>
          <w:p>
            <w:pPr>
              <w:pStyle w:val="3"/>
              <w:spacing w:after="60"/>
              <w:jc w:val="both"/>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6、建筑外墙的材质宜选择反射系数较高的材料，铺设路面时宜采用参合大量白色原料的沥青。</w:t>
            </w:r>
          </w:p>
          <w:p>
            <w:pPr>
              <w:pStyle w:val="3"/>
              <w:spacing w:after="60"/>
              <w:jc w:val="both"/>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7、在城市高密度区域，其主要道路方向宜设置成南北向和东南—西北向。</w:t>
            </w:r>
          </w:p>
          <w:p>
            <w:pPr>
              <w:pStyle w:val="3"/>
              <w:spacing w:after="60"/>
              <w:jc w:val="both"/>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8、城市的停车场和道路设置宜使用透水铺装，并采用种植大树冠树木、建设草坪等措施，提高街道空间与周边建筑群的环境质量。</w:t>
            </w:r>
          </w:p>
        </w:tc>
      </w:tr>
    </w:tbl>
    <w:p>
      <w:pPr>
        <w:pStyle w:val="6"/>
        <w:ind w:firstLine="480" w:firstLineChars="200"/>
      </w:pPr>
      <w:r>
        <w:rPr>
          <w:rFonts w:hint="eastAsia" w:ascii="Times New Roman" w:hAnsi="Times New Roman" w:eastAsia="仿宋" w:cs="Times New Roman"/>
          <w:bCs w:val="0"/>
          <w:sz w:val="24"/>
          <w:szCs w:val="24"/>
        </w:rPr>
        <w:t>2</w:t>
      </w:r>
      <w:r>
        <w:rPr>
          <w:rFonts w:hint="eastAsia" w:ascii="Times New Roman" w:hAnsi="Times New Roman" w:eastAsia="仿宋" w:cs="Times New Roman"/>
          <w:bCs w:val="0"/>
          <w:sz w:val="24"/>
          <w:szCs w:val="24"/>
          <w:lang w:val="en-US" w:eastAsia="zh-CN"/>
        </w:rPr>
        <w:t>.</w:t>
      </w:r>
      <w:r>
        <w:rPr>
          <w:rFonts w:hint="eastAsia" w:ascii="Times New Roman" w:hAnsi="Times New Roman" w:eastAsia="仿宋" w:cs="Times New Roman"/>
          <w:bCs w:val="0"/>
          <w:sz w:val="24"/>
          <w:szCs w:val="24"/>
        </w:rPr>
        <w:t>提升区域声环境</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（1）交通噪声控制</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1）轨道交通（火车、轻轨等）噪声控制指引</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轨道交通噪声防治措施。在有条件的地区，宜采取以下措施。一是加强管理。列车通过城区段实行限速，夜间降低行车次数，降低行车速度；二是设置声屏障。在市区铁路两侧住宅密集区、医疗卫生、学校等噪声敏感区设置高标准的隔声屏障，声屏障的高度以受保护区处于声影区为宜。</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2）道路交通噪声控制指引</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一是开展路网和城市建设规划环境评价，提出规划控制距离及道路房屋规划要求：严格控制规划干道两侧的用地性质，城市快速路两侧防噪声距离不宜小于50m，城市次干道两侧防噪声距离不宜小于30m，城市支路两侧防噪声距离不宜小于10m，并在防噪区设置大面积的绿化带。临街受到噪声污染严重的房屋规划为商铺等对噪声相对不敏感的房屋；二是对高架部分城市道路，安装一定高度的声屏障；三是加强受噪声影响建筑的外墙、外窗等外围护结构的隔声性能。</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（2）声景观设计</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依据城市整体空间结构，充分利用中山丰富的山体、水系等自然资源及各类历史人文资源，建设游憩功能完善、景观优美的开放绿地声景区，形成城市绿色生态文化景观轴。并在道路红线内及两侧一定用地范围加强绿化建设，形成贯穿城市的带状绿化空间（即道路降噪带）。并以景观道路衔接不同类型的绿地景观和重要景观节点，在空间形态与功能上将散布的点状、面状的声景空间有机衔接，构筑城市绿化声景廊道。</w:t>
      </w:r>
    </w:p>
    <w:p>
      <w:pPr>
        <w:pStyle w:val="6"/>
        <w:ind w:firstLine="480"/>
        <w:rPr>
          <w:rFonts w:ascii="Times New Roman" w:hAnsi="Times New Roman" w:eastAsia="仿宋" w:cs="Times New Roman"/>
          <w:bCs w:val="0"/>
          <w:sz w:val="24"/>
          <w:szCs w:val="24"/>
        </w:rPr>
      </w:pPr>
      <w:r>
        <w:rPr>
          <w:rFonts w:ascii="Times New Roman" w:hAnsi="Times New Roman" w:eastAsia="仿宋" w:cs="Times New Roman"/>
          <w:bCs w:val="0"/>
          <w:sz w:val="24"/>
          <w:szCs w:val="24"/>
        </w:rPr>
        <w:t>3</w:t>
      </w:r>
      <w:r>
        <w:rPr>
          <w:rFonts w:hint="eastAsia" w:ascii="Times New Roman" w:hAnsi="Times New Roman" w:eastAsia="仿宋" w:cs="Times New Roman"/>
          <w:bCs w:val="0"/>
          <w:sz w:val="24"/>
          <w:szCs w:val="24"/>
          <w:lang w:val="en-US" w:eastAsia="zh-CN"/>
        </w:rPr>
        <w:t>.</w:t>
      </w:r>
      <w:r>
        <w:rPr>
          <w:rFonts w:ascii="Times New Roman" w:hAnsi="Times New Roman" w:eastAsia="仿宋" w:cs="Times New Roman"/>
          <w:bCs w:val="0"/>
          <w:sz w:val="24"/>
          <w:szCs w:val="24"/>
        </w:rPr>
        <w:t>打造低碳交通</w:t>
      </w:r>
      <w:r>
        <w:rPr>
          <w:rFonts w:hint="eastAsia" w:ascii="Times New Roman" w:hAnsi="Times New Roman" w:eastAsia="仿宋" w:cs="Times New Roman"/>
          <w:bCs w:val="0"/>
          <w:sz w:val="24"/>
          <w:szCs w:val="24"/>
        </w:rPr>
        <w:t>出行</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（1）构建现代公共交通体系</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依托现有国道和省道基础，打造联系各大组团之间的公交线路，建设城乡客运一体化的公共交通网络。针对客流需求旺盛的产业园区和居住组团与各街道、镇生态休闲资源，开辟特色公共交通模式。</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（2）建设绿道和慢行系统</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通过优先发展公共交通、提倡和引导慢行交通，不断完善“公交+慢行”的一体化交通出行结构体系。</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以城市道路为依托，建立与城市土地利用相协调的非机动车廊道。城市公园、绿地以及郊区区域，慢行交通的建设与城乡绿道网的建设相结合，将绿道网作为城市慢行交通的重要组成部分。</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在城市主干道条件允许的情况下，采用分隔带分离机非交通流；在没有条件设置分隔带的路段，采用不同铺面材料或彩色路面，或者利用断面的高差将机动车道与非机动车道清晰分开。</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以优先、大力发展公共交通为基础，促进非机动车与城市公共交通系统的衔接，保证良好的换乘环境。合理的规划机动车停车位和非机动车停车位。建立、完善自行车租赁系统。根据功能需要、流量需要、商业需要修建人行立交。</w:t>
      </w:r>
    </w:p>
    <w:p>
      <w:pPr>
        <w:pStyle w:val="5"/>
        <w:rPr>
          <w:rFonts w:ascii="Times New Roman" w:hAnsi="Times New Roman" w:eastAsia="仿宋" w:cs="Times New Roman"/>
          <w:sz w:val="30"/>
          <w:szCs w:val="30"/>
        </w:rPr>
      </w:pPr>
      <w:bookmarkStart w:id="66" w:name="_Toc124321379"/>
      <w:r>
        <w:rPr>
          <w:rFonts w:hint="eastAsia" w:ascii="Times New Roman" w:hAnsi="Times New Roman" w:eastAsia="仿宋" w:cs="Times New Roman"/>
          <w:sz w:val="30"/>
          <w:szCs w:val="30"/>
        </w:rPr>
        <w:t>第14条 建立绿色建筑技术体系</w:t>
      </w:r>
      <w:bookmarkEnd w:id="66"/>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中山市位于夏热冬暖地区，在发展绿色建筑过程中应当遵循“被动优先、主动优化”原则，根据岭南地区气候条件，因地制宜发展自然通风、遮阳、隔热等适应亚热带气候的绿色建筑技术，构建完整的技术体系。</w:t>
      </w:r>
    </w:p>
    <w:p>
      <w:pPr>
        <w:rPr>
          <w:rFonts w:hint="eastAsia" w:ascii="仿宋" w:hAnsi="仿宋" w:eastAsia="仿宋"/>
          <w:b/>
          <w:bCs/>
          <w:sz w:val="21"/>
          <w:szCs w:val="21"/>
        </w:rPr>
      </w:pPr>
      <w:r>
        <w:rPr>
          <w:rFonts w:hint="eastAsia" w:ascii="仿宋" w:hAnsi="仿宋" w:eastAsia="仿宋"/>
          <w:b/>
          <w:bCs/>
          <w:sz w:val="21"/>
          <w:szCs w:val="21"/>
        </w:rPr>
        <w:br w:type="page"/>
      </w:r>
    </w:p>
    <w:p>
      <w:pPr>
        <w:pStyle w:val="2"/>
        <w:spacing w:before="156" w:after="93"/>
        <w:ind w:firstLine="0" w:firstLineChars="0"/>
        <w:jc w:val="center"/>
        <w:rPr>
          <w:rFonts w:ascii="仿宋" w:hAnsi="仿宋" w:eastAsia="仿宋"/>
          <w:b/>
          <w:bCs/>
          <w:sz w:val="21"/>
          <w:szCs w:val="21"/>
        </w:rPr>
      </w:pPr>
      <w:r>
        <w:rPr>
          <w:rFonts w:hint="eastAsia" w:ascii="仿宋" w:hAnsi="仿宋" w:eastAsia="仿宋"/>
          <w:b/>
          <w:bCs/>
          <w:sz w:val="21"/>
          <w:szCs w:val="21"/>
        </w:rPr>
        <w:t>表3 中山市绿色建筑技术清单</w:t>
      </w:r>
    </w:p>
    <w:tbl>
      <w:tblPr>
        <w:tblStyle w:val="44"/>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637"/>
        <w:gridCol w:w="589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2" w:hRule="atLeast"/>
          <w:tblHeader/>
        </w:trPr>
        <w:tc>
          <w:tcPr>
            <w:tcW w:w="1124" w:type="dxa"/>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类型</w:t>
            </w:r>
          </w:p>
        </w:tc>
        <w:tc>
          <w:tcPr>
            <w:tcW w:w="1854" w:type="dxa"/>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技术措施</w:t>
            </w:r>
          </w:p>
        </w:tc>
        <w:tc>
          <w:tcPr>
            <w:tcW w:w="6946" w:type="dxa"/>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具体内容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4" w:type="dxa"/>
            <w:vMerge w:val="restart"/>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安全耐久</w:t>
            </w:r>
          </w:p>
        </w:tc>
        <w:tc>
          <w:tcPr>
            <w:tcW w:w="1854" w:type="dxa"/>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使用耐久性建材</w:t>
            </w:r>
          </w:p>
        </w:tc>
        <w:tc>
          <w:tcPr>
            <w:tcW w:w="6946" w:type="dxa"/>
            <w:vAlign w:val="center"/>
          </w:tcPr>
          <w:p>
            <w:pPr>
              <w:tabs>
                <w:tab w:val="left" w:pos="1680"/>
              </w:tabs>
              <w:adjustRightInd w:val="0"/>
              <w:snapToGrid w:val="0"/>
              <w:spacing w:before="93" w:beforeLines="30" w:after="93" w:afterLines="30"/>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结构与设备管线分离，提升建筑部品部件和结构材料的耐久性。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4" w:type="dxa"/>
            <w:vMerge w:val="continue"/>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p>
        </w:tc>
        <w:tc>
          <w:tcPr>
            <w:tcW w:w="1854" w:type="dxa"/>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抗震性能设计</w:t>
            </w:r>
          </w:p>
        </w:tc>
        <w:tc>
          <w:tcPr>
            <w:tcW w:w="6946" w:type="dxa"/>
            <w:vAlign w:val="center"/>
          </w:tcPr>
          <w:p>
            <w:pPr>
              <w:tabs>
                <w:tab w:val="left" w:pos="1680"/>
              </w:tabs>
              <w:adjustRightInd w:val="0"/>
              <w:snapToGrid w:val="0"/>
              <w:spacing w:before="93" w:beforeLines="30" w:after="93" w:afterLines="30"/>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优化建筑形体，通过设置隔震垫、阻尼器等改善结构的抗震性能，鼓励在合适项目中尝试创新的抗震系统，合理提高建筑的抗震能力。</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4" w:type="dxa"/>
            <w:vMerge w:val="restart"/>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健康舒适</w:t>
            </w:r>
          </w:p>
        </w:tc>
        <w:tc>
          <w:tcPr>
            <w:tcW w:w="1854" w:type="dxa"/>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室内声光热、空气环境设计技术</w:t>
            </w:r>
          </w:p>
        </w:tc>
        <w:tc>
          <w:tcPr>
            <w:tcW w:w="6946" w:type="dxa"/>
            <w:vAlign w:val="center"/>
          </w:tcPr>
          <w:p>
            <w:pPr>
              <w:tabs>
                <w:tab w:val="left" w:pos="1680"/>
              </w:tabs>
              <w:adjustRightInd w:val="0"/>
              <w:snapToGrid w:val="0"/>
              <w:spacing w:before="93" w:beforeLines="30" w:after="93" w:afterLines="30"/>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合理的功能分区，进行合理的开窗、开启面积、底层架空、遮阳构件</w:t>
            </w:r>
            <w:r>
              <w:rPr>
                <w:rFonts w:hint="eastAsia" w:ascii="Times New Roman" w:hAnsi="Times New Roman" w:eastAsia="仿宋" w:cs="Times New Roman"/>
                <w:sz w:val="21"/>
                <w:szCs w:val="21"/>
                <w:lang w:val="en-US" w:eastAsia="zh-CN"/>
              </w:rPr>
              <w:t>实现</w:t>
            </w:r>
            <w:r>
              <w:rPr>
                <w:rFonts w:hint="default" w:ascii="Times New Roman" w:hAnsi="Times New Roman" w:eastAsia="仿宋" w:cs="Times New Roman"/>
                <w:sz w:val="21"/>
                <w:szCs w:val="21"/>
              </w:rPr>
              <w:t>营造良好的室内通风、采光环境。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4" w:type="dxa"/>
            <w:vMerge w:val="continue"/>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p>
        </w:tc>
        <w:tc>
          <w:tcPr>
            <w:tcW w:w="1854" w:type="dxa"/>
            <w:vAlign w:val="center"/>
          </w:tcPr>
          <w:p>
            <w:pPr>
              <w:tabs>
                <w:tab w:val="left" w:pos="1680"/>
              </w:tabs>
              <w:adjustRightInd w:val="0"/>
              <w:snapToGrid w:val="0"/>
              <w:spacing w:before="93" w:beforeLines="30" w:after="93" w:afterLines="30"/>
              <w:jc w:val="center"/>
              <w:rPr>
                <w:rFonts w:hint="eastAsia" w:ascii="Times New Roman" w:hAnsi="Times New Roman" w:eastAsia="仿宋" w:cs="Times New Roman"/>
                <w:sz w:val="21"/>
                <w:szCs w:val="21"/>
                <w:lang w:val="en-US" w:eastAsia="zh-CN"/>
              </w:rPr>
            </w:pPr>
            <w:r>
              <w:rPr>
                <w:rFonts w:hint="default" w:ascii="Times New Roman" w:hAnsi="Times New Roman" w:eastAsia="仿宋" w:cs="Times New Roman"/>
                <w:sz w:val="21"/>
                <w:szCs w:val="21"/>
              </w:rPr>
              <w:t>室内热舒适度营造</w:t>
            </w:r>
            <w:r>
              <w:rPr>
                <w:rFonts w:hint="eastAsia" w:ascii="Times New Roman" w:hAnsi="Times New Roman" w:eastAsia="仿宋" w:cs="Times New Roman"/>
                <w:sz w:val="21"/>
                <w:szCs w:val="21"/>
                <w:lang w:val="en-US" w:eastAsia="zh-CN"/>
              </w:rPr>
              <w:t>技术</w:t>
            </w:r>
          </w:p>
        </w:tc>
        <w:tc>
          <w:tcPr>
            <w:tcW w:w="6946" w:type="dxa"/>
            <w:vAlign w:val="center"/>
          </w:tcPr>
          <w:p>
            <w:pPr>
              <w:tabs>
                <w:tab w:val="left" w:pos="1680"/>
              </w:tabs>
              <w:adjustRightInd w:val="0"/>
              <w:snapToGrid w:val="0"/>
              <w:spacing w:before="93" w:beforeLines="30" w:after="93" w:afterLines="30"/>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通过加强建筑自然通风或复合通风、温湿度独立控制等技术营造良好的热湿环境。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4" w:type="dxa"/>
            <w:vMerge w:val="continue"/>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p>
        </w:tc>
        <w:tc>
          <w:tcPr>
            <w:tcW w:w="1854" w:type="dxa"/>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室内采光照明控制技术</w:t>
            </w:r>
          </w:p>
        </w:tc>
        <w:tc>
          <w:tcPr>
            <w:tcW w:w="6946" w:type="dxa"/>
            <w:vAlign w:val="center"/>
          </w:tcPr>
          <w:p>
            <w:pPr>
              <w:tabs>
                <w:tab w:val="left" w:pos="1680"/>
              </w:tabs>
              <w:adjustRightInd w:val="0"/>
              <w:snapToGrid w:val="0"/>
              <w:spacing w:before="93" w:beforeLines="30" w:after="93" w:afterLines="30"/>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设置可调节的外遮阳装置，光源的显色性设计与控制。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124" w:type="dxa"/>
            <w:vMerge w:val="continue"/>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p>
        </w:tc>
        <w:tc>
          <w:tcPr>
            <w:tcW w:w="1854" w:type="dxa"/>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空气质量控制技术</w:t>
            </w:r>
          </w:p>
        </w:tc>
        <w:tc>
          <w:tcPr>
            <w:tcW w:w="6946" w:type="dxa"/>
            <w:vAlign w:val="center"/>
          </w:tcPr>
          <w:p>
            <w:pPr>
              <w:tabs>
                <w:tab w:val="left" w:pos="1680"/>
              </w:tabs>
              <w:adjustRightInd w:val="0"/>
              <w:snapToGrid w:val="0"/>
              <w:spacing w:before="93" w:beforeLines="30" w:after="93" w:afterLines="30"/>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通过设置吸湿性面层材料、地面架空等进行防霉设置。设置室内通风换气与空气质量监控系统。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4" w:type="dxa"/>
            <w:vMerge w:val="restart"/>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生活便利</w:t>
            </w:r>
          </w:p>
        </w:tc>
        <w:tc>
          <w:tcPr>
            <w:tcW w:w="1854" w:type="dxa"/>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场地交通系统优化设计</w:t>
            </w:r>
          </w:p>
        </w:tc>
        <w:tc>
          <w:tcPr>
            <w:tcW w:w="6946" w:type="dxa"/>
            <w:vAlign w:val="center"/>
          </w:tcPr>
          <w:p>
            <w:pPr>
              <w:tabs>
                <w:tab w:val="left" w:pos="1680"/>
              </w:tabs>
              <w:adjustRightInd w:val="0"/>
              <w:snapToGrid w:val="0"/>
              <w:spacing w:before="93" w:beforeLines="30" w:after="93" w:afterLines="30"/>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交通组织实行人车分流，设置便捷、安全的人行通道、</w:t>
            </w:r>
            <w:r>
              <w:rPr>
                <w:rFonts w:hint="default" w:ascii="Times New Roman" w:hAnsi="Times New Roman" w:eastAsia="仿宋" w:cs="Times New Roman"/>
                <w:sz w:val="21"/>
                <w:szCs w:val="21"/>
                <w:lang w:val="en-US"/>
              </w:rPr>
              <w:t>自行车</w:t>
            </w:r>
            <w:r>
              <w:rPr>
                <w:rFonts w:hint="default" w:ascii="Times New Roman" w:hAnsi="Times New Roman" w:eastAsia="仿宋" w:cs="Times New Roman"/>
                <w:sz w:val="21"/>
                <w:szCs w:val="21"/>
              </w:rPr>
              <w:t>道，方便人员出行。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4" w:type="dxa"/>
            <w:vMerge w:val="continue"/>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p>
        </w:tc>
        <w:tc>
          <w:tcPr>
            <w:tcW w:w="1854" w:type="dxa"/>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建筑室内外公共区域全龄化设计</w:t>
            </w:r>
          </w:p>
        </w:tc>
        <w:tc>
          <w:tcPr>
            <w:tcW w:w="6946" w:type="dxa"/>
            <w:vAlign w:val="center"/>
          </w:tcPr>
          <w:p>
            <w:pPr>
              <w:tabs>
                <w:tab w:val="left" w:pos="1680"/>
              </w:tabs>
              <w:adjustRightInd w:val="0"/>
              <w:snapToGrid w:val="0"/>
              <w:spacing w:before="93" w:beforeLines="30" w:after="93" w:afterLines="30"/>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场地内人行通道按规范进行无障碍设计，合理组织交通流线；宜在建筑入口、电梯、卫生间等主要活动空间设置无障碍设施。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4" w:type="dxa"/>
            <w:vMerge w:val="continue"/>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p>
        </w:tc>
        <w:tc>
          <w:tcPr>
            <w:tcW w:w="1854" w:type="dxa"/>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合理设置健身场地和空间</w:t>
            </w:r>
          </w:p>
        </w:tc>
        <w:tc>
          <w:tcPr>
            <w:tcW w:w="6946" w:type="dxa"/>
            <w:vAlign w:val="center"/>
          </w:tcPr>
          <w:p>
            <w:pPr>
              <w:tabs>
                <w:tab w:val="left" w:pos="1680"/>
              </w:tabs>
              <w:adjustRightInd w:val="0"/>
              <w:snapToGrid w:val="0"/>
              <w:spacing w:before="93" w:beforeLines="30" w:after="93" w:afterLines="30"/>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集中布置健身场地，场地面积应不小于总用地面积</w:t>
            </w:r>
            <w:r>
              <w:rPr>
                <w:rFonts w:hint="default" w:ascii="Times New Roman" w:hAnsi="Times New Roman" w:eastAsia="仿宋" w:cs="Times New Roman"/>
                <w:sz w:val="21"/>
                <w:szCs w:val="21"/>
                <w:lang w:val="en-US" w:eastAsia="zh-CN"/>
              </w:rPr>
              <w:t>的</w:t>
            </w:r>
            <w:r>
              <w:rPr>
                <w:rFonts w:hint="default" w:ascii="Times New Roman" w:hAnsi="Times New Roman" w:eastAsia="仿宋" w:cs="Times New Roman"/>
                <w:sz w:val="21"/>
                <w:szCs w:val="21"/>
              </w:rPr>
              <w:t>0.5%，并根据运动类型设置适当的隔声措施，健身场地设施应进行全龄化设计，满足各年龄段人群的室外活动要求；设置健身慢道应避免与场地内车行道交叉，不能避免时应设置斑马线、减速坡、道闸等安全设施，步道宜采用弹性减振、防滑和环保的材料，以减少对人体关节的冲击和损伤。</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4" w:type="dxa"/>
            <w:vMerge w:val="continue"/>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p>
        </w:tc>
        <w:tc>
          <w:tcPr>
            <w:tcW w:w="1854" w:type="dxa"/>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贯彻落实</w:t>
            </w:r>
            <w:r>
              <w:rPr>
                <w:rFonts w:hint="default" w:ascii="Times New Roman" w:hAnsi="Times New Roman" w:eastAsia="仿宋" w:cs="Times New Roman"/>
                <w:sz w:val="21"/>
                <w:szCs w:val="21"/>
              </w:rPr>
              <w:t>绿色建筑的管理制度</w:t>
            </w:r>
          </w:p>
        </w:tc>
        <w:tc>
          <w:tcPr>
            <w:tcW w:w="6946" w:type="dxa"/>
            <w:vAlign w:val="center"/>
          </w:tcPr>
          <w:p>
            <w:pPr>
              <w:tabs>
                <w:tab w:val="left" w:pos="1680"/>
              </w:tabs>
              <w:adjustRightInd w:val="0"/>
              <w:snapToGrid w:val="0"/>
              <w:spacing w:before="93" w:beforeLines="30" w:after="93" w:afterLines="30"/>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 xml:space="preserve">绿色建筑物业管理部门应获得有关管理体系认证；完善并有效实施节能、节水、节材、绿化等相关设施的操作规程及应急预案；物业管理机构的工作考核体系中应包含能源资源管理激励机制；采用合同能源管理模式；建立绿色教育宣传机制，编制绿色设施使用手册，形成良好的绿色氛围；开展绿色物业管理试点示范工作。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4" w:type="dxa"/>
            <w:vMerge w:val="continue"/>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p>
        </w:tc>
        <w:tc>
          <w:tcPr>
            <w:tcW w:w="1854" w:type="dxa"/>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科学运用</w:t>
            </w:r>
            <w:r>
              <w:rPr>
                <w:rFonts w:hint="default" w:ascii="Times New Roman" w:hAnsi="Times New Roman" w:eastAsia="仿宋" w:cs="Times New Roman"/>
                <w:sz w:val="21"/>
                <w:szCs w:val="21"/>
              </w:rPr>
              <w:t>绿色建筑的技术管理手段</w:t>
            </w:r>
          </w:p>
        </w:tc>
        <w:tc>
          <w:tcPr>
            <w:tcW w:w="6946" w:type="dxa"/>
            <w:vAlign w:val="center"/>
          </w:tcPr>
          <w:p>
            <w:pPr>
              <w:tabs>
                <w:tab w:val="left" w:pos="1680"/>
              </w:tabs>
              <w:adjustRightInd w:val="0"/>
              <w:snapToGrid w:val="0"/>
              <w:spacing w:before="93" w:beforeLines="30" w:after="93" w:afterLines="30"/>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 xml:space="preserve">定期检查、调试公共设施设备，并根据运行检测数据进行设备系统的运行优化；对空调通风系统进行定期检查和清洗，对非传统水源的水质和用水量记录完整、准确；智能化系统的运行效果应满足建筑运行与管理的需要；应用信息化手段进行物业管理。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4" w:type="dxa"/>
            <w:vMerge w:val="restart"/>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资源节约</w:t>
            </w:r>
          </w:p>
        </w:tc>
        <w:tc>
          <w:tcPr>
            <w:tcW w:w="1854" w:type="dxa"/>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围护结构节能技术</w:t>
            </w:r>
          </w:p>
        </w:tc>
        <w:tc>
          <w:tcPr>
            <w:tcW w:w="6946" w:type="dxa"/>
            <w:vAlign w:val="center"/>
          </w:tcPr>
          <w:p>
            <w:pPr>
              <w:tabs>
                <w:tab w:val="left" w:pos="1680"/>
              </w:tabs>
              <w:adjustRightInd w:val="0"/>
              <w:snapToGrid w:val="0"/>
              <w:spacing w:before="93" w:beforeLines="30" w:after="93" w:afterLines="30"/>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注重不透明围护结构隔热防晒和透明围护结构遮阳系数的降低；鼓励通过采用新技术、新工艺和新材料等手段，大力提高围护结构热工性能的指标。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4" w:type="dxa"/>
            <w:vMerge w:val="continue"/>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p>
        </w:tc>
        <w:tc>
          <w:tcPr>
            <w:tcW w:w="1854" w:type="dxa"/>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暖通空调系统节能技术</w:t>
            </w:r>
          </w:p>
        </w:tc>
        <w:tc>
          <w:tcPr>
            <w:tcW w:w="6946" w:type="dxa"/>
            <w:vAlign w:val="center"/>
          </w:tcPr>
          <w:p>
            <w:pPr>
              <w:tabs>
                <w:tab w:val="left" w:pos="1680"/>
              </w:tabs>
              <w:adjustRightInd w:val="0"/>
              <w:snapToGrid w:val="0"/>
              <w:spacing w:before="93" w:beforeLines="30" w:after="93" w:afterLines="30"/>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选择高效率设备并制定运行策略，在分析可行性的基础上，可采用热回收装置回收排风中的能量。对一万平方米以上的公共建筑，有稳定热需求时，要求采用冷凝热回收设计。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4" w:type="dxa"/>
            <w:vMerge w:val="continue"/>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p>
        </w:tc>
        <w:tc>
          <w:tcPr>
            <w:tcW w:w="1854" w:type="dxa"/>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照明系统节能技术</w:t>
            </w:r>
          </w:p>
        </w:tc>
        <w:tc>
          <w:tcPr>
            <w:tcW w:w="6946" w:type="dxa"/>
            <w:vAlign w:val="center"/>
          </w:tcPr>
          <w:p>
            <w:pPr>
              <w:tabs>
                <w:tab w:val="left" w:pos="1680"/>
              </w:tabs>
              <w:adjustRightInd w:val="0"/>
              <w:snapToGrid w:val="0"/>
              <w:spacing w:before="93" w:beforeLines="30" w:after="93" w:afterLines="30"/>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采用LED灯等高效节能的电光源，可采用分布式或集中式智能照明控制系统，自动调光、启闭，实现自动化、程序化、智能化的管理监控，使整个照明系统更加高效节能。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4" w:type="dxa"/>
            <w:vMerge w:val="continue"/>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p>
        </w:tc>
        <w:tc>
          <w:tcPr>
            <w:tcW w:w="1854" w:type="dxa"/>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可再生能源应用技术</w:t>
            </w:r>
          </w:p>
        </w:tc>
        <w:tc>
          <w:tcPr>
            <w:tcW w:w="6946" w:type="dxa"/>
            <w:vAlign w:val="center"/>
          </w:tcPr>
          <w:p>
            <w:pPr>
              <w:tabs>
                <w:tab w:val="left" w:pos="1680"/>
              </w:tabs>
              <w:adjustRightInd w:val="0"/>
              <w:snapToGrid w:val="0"/>
              <w:spacing w:before="93" w:beforeLines="30" w:after="93" w:afterLines="30"/>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积极推进可再生能源在建筑中的模块化应用，重点</w:t>
            </w:r>
            <w:r>
              <w:rPr>
                <w:rFonts w:hint="eastAsia" w:ascii="Times New Roman" w:hAnsi="Times New Roman" w:eastAsia="仿宋" w:cs="Times New Roman"/>
                <w:sz w:val="21"/>
                <w:szCs w:val="21"/>
                <w:lang w:val="en-US" w:eastAsia="zh-CN"/>
              </w:rPr>
              <w:t>包</w:t>
            </w:r>
            <w:r>
              <w:rPr>
                <w:rFonts w:hint="default" w:ascii="Times New Roman" w:hAnsi="Times New Roman" w:eastAsia="仿宋" w:cs="Times New Roman"/>
                <w:sz w:val="21"/>
                <w:szCs w:val="21"/>
              </w:rPr>
              <w:t>括太阳能光伏发电系统和太阳能热水系统应用。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4" w:type="dxa"/>
            <w:vMerge w:val="continue"/>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p>
        </w:tc>
        <w:tc>
          <w:tcPr>
            <w:tcW w:w="1854" w:type="dxa"/>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水资源综合利用规划设计技术</w:t>
            </w:r>
          </w:p>
        </w:tc>
        <w:tc>
          <w:tcPr>
            <w:tcW w:w="6946" w:type="dxa"/>
            <w:vAlign w:val="center"/>
          </w:tcPr>
          <w:p>
            <w:pPr>
              <w:tabs>
                <w:tab w:val="left" w:pos="1680"/>
              </w:tabs>
              <w:adjustRightInd w:val="0"/>
              <w:snapToGrid w:val="0"/>
              <w:spacing w:before="93" w:beforeLines="30" w:after="93" w:afterLines="30"/>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综合分析研究各种水资源利用的可能性和潜力，制定水系统规划方案，以提高水资源综合利用率，减少市政供水量和污水排放量。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4" w:type="dxa"/>
            <w:vMerge w:val="continue"/>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p>
        </w:tc>
        <w:tc>
          <w:tcPr>
            <w:tcW w:w="1854" w:type="dxa"/>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雨水综合利用设计技术</w:t>
            </w:r>
          </w:p>
        </w:tc>
        <w:tc>
          <w:tcPr>
            <w:tcW w:w="6946" w:type="dxa"/>
            <w:vAlign w:val="center"/>
          </w:tcPr>
          <w:p>
            <w:pPr>
              <w:tabs>
                <w:tab w:val="left" w:pos="1680"/>
              </w:tabs>
              <w:adjustRightInd w:val="0"/>
              <w:snapToGrid w:val="0"/>
              <w:spacing w:before="93" w:beforeLines="30" w:after="93" w:afterLines="30"/>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根据当地降水量、雨水水质、汇水条件、可收集雨水量、项目雨水用水点（用水量）等一系列影响雨水利用实施的因素进行分析确定雨水收集系统规模。根据原水水质、用水途径和水质要求选用适当的处理工艺。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4" w:type="dxa"/>
            <w:vMerge w:val="continue"/>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p>
        </w:tc>
        <w:tc>
          <w:tcPr>
            <w:tcW w:w="1854" w:type="dxa"/>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建筑中水回用系统设计技术</w:t>
            </w:r>
          </w:p>
        </w:tc>
        <w:tc>
          <w:tcPr>
            <w:tcW w:w="6946" w:type="dxa"/>
            <w:vAlign w:val="center"/>
          </w:tcPr>
          <w:p>
            <w:pPr>
              <w:tabs>
                <w:tab w:val="left" w:pos="1680"/>
              </w:tabs>
              <w:adjustRightInd w:val="0"/>
              <w:snapToGrid w:val="0"/>
              <w:spacing w:before="93" w:beforeLines="30" w:after="93" w:afterLines="30"/>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当项目所在地有市政中水时，优先选用市政中水（市政再生水）；无市政</w:t>
            </w:r>
            <w:r>
              <w:rPr>
                <w:rFonts w:hint="eastAsia" w:ascii="Times New Roman" w:hAnsi="Times New Roman" w:eastAsia="仿宋" w:cs="Times New Roman"/>
                <w:sz w:val="21"/>
                <w:szCs w:val="21"/>
                <w:lang w:val="en-US" w:eastAsia="zh-CN"/>
              </w:rPr>
              <w:t>中水</w:t>
            </w:r>
            <w:r>
              <w:rPr>
                <w:rFonts w:hint="default" w:ascii="Times New Roman" w:hAnsi="Times New Roman" w:eastAsia="仿宋" w:cs="Times New Roman"/>
                <w:sz w:val="21"/>
                <w:szCs w:val="21"/>
              </w:rPr>
              <w:t>利用时，可自设建筑中水设施，建议采用地埋式或封闭式设施，选用无污泥系统或少污泥系统并选用经济、适用成熟的处理工艺、安全可靠的消毒技术。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4" w:type="dxa"/>
            <w:vMerge w:val="continue"/>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p>
        </w:tc>
        <w:tc>
          <w:tcPr>
            <w:tcW w:w="1854" w:type="dxa"/>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建筑减量化技术和减量化材料</w:t>
            </w:r>
          </w:p>
        </w:tc>
        <w:tc>
          <w:tcPr>
            <w:tcW w:w="6946" w:type="dxa"/>
            <w:vAlign w:val="center"/>
          </w:tcPr>
          <w:p>
            <w:pPr>
              <w:tabs>
                <w:tab w:val="left" w:pos="1680"/>
              </w:tabs>
              <w:adjustRightInd w:val="0"/>
              <w:snapToGrid w:val="0"/>
              <w:spacing w:before="93" w:beforeLines="30" w:after="93" w:afterLines="30"/>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采用环境友好型结构体系，建筑造型设计减少</w:t>
            </w:r>
            <w:r>
              <w:rPr>
                <w:rFonts w:hint="eastAsia" w:ascii="Times New Roman" w:hAnsi="Times New Roman" w:eastAsia="仿宋" w:cs="Times New Roman"/>
                <w:sz w:val="21"/>
                <w:szCs w:val="21"/>
                <w:lang w:val="en-US" w:eastAsia="zh-CN"/>
              </w:rPr>
              <w:t>纯</w:t>
            </w:r>
            <w:r>
              <w:rPr>
                <w:rFonts w:hint="default" w:ascii="Times New Roman" w:hAnsi="Times New Roman" w:eastAsia="仿宋" w:cs="Times New Roman"/>
                <w:sz w:val="21"/>
                <w:szCs w:val="21"/>
              </w:rPr>
              <w:t>装饰性构件，建筑设计进行建筑装修一体化设计和建筑工业化设计，设计选材使用高性能材料，建筑布局室内空间采用方便拆卸和重复使用的灵活隔断材料等设计方法来减少建筑对材料的需求。使用距离项目较近的本地生产的建材、使用可再循环材料和可快速再生材料等减量化材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4" w:type="dxa"/>
            <w:vMerge w:val="continue"/>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p>
        </w:tc>
        <w:tc>
          <w:tcPr>
            <w:tcW w:w="1854" w:type="dxa"/>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废弃物再利用技术</w:t>
            </w:r>
          </w:p>
        </w:tc>
        <w:tc>
          <w:tcPr>
            <w:tcW w:w="6946" w:type="dxa"/>
            <w:vAlign w:val="center"/>
          </w:tcPr>
          <w:p>
            <w:pPr>
              <w:tabs>
                <w:tab w:val="left" w:pos="1680"/>
              </w:tabs>
              <w:adjustRightInd w:val="0"/>
              <w:snapToGrid w:val="0"/>
              <w:spacing w:before="93" w:beforeLines="30" w:after="93" w:afterLines="30"/>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对于在不改变所回收物质形态的前提下进行材料的直接再利用，或经过再组合、再修复后再利用的建筑材料，应延长其使用周期，进行重复使用，降低材料生产的资源、能源消耗和材料运输对环境造成的影响。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4" w:type="dxa"/>
            <w:vMerge w:val="continue"/>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p>
        </w:tc>
        <w:tc>
          <w:tcPr>
            <w:tcW w:w="1854" w:type="dxa"/>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废弃物资源化技术</w:t>
            </w:r>
          </w:p>
        </w:tc>
        <w:tc>
          <w:tcPr>
            <w:tcW w:w="6946" w:type="dxa"/>
            <w:vAlign w:val="center"/>
          </w:tcPr>
          <w:p>
            <w:pPr>
              <w:tabs>
                <w:tab w:val="left" w:pos="1680"/>
              </w:tabs>
              <w:adjustRightInd w:val="0"/>
              <w:snapToGrid w:val="0"/>
              <w:spacing w:before="93" w:beforeLines="30" w:after="93" w:afterLines="30"/>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通过废弃物资源化利用，将建筑废弃物、工业废弃物和生活垃圾作为再生资源，用于生产</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绿色</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建材。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4" w:type="dxa"/>
            <w:vMerge w:val="restart"/>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环境宜居</w:t>
            </w:r>
          </w:p>
        </w:tc>
        <w:tc>
          <w:tcPr>
            <w:tcW w:w="1854" w:type="dxa"/>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场地景观优化设计技术</w:t>
            </w:r>
          </w:p>
        </w:tc>
        <w:tc>
          <w:tcPr>
            <w:tcW w:w="6946" w:type="dxa"/>
            <w:vAlign w:val="center"/>
          </w:tcPr>
          <w:p>
            <w:pPr>
              <w:tabs>
                <w:tab w:val="left" w:pos="1680"/>
              </w:tabs>
              <w:adjustRightInd w:val="0"/>
              <w:snapToGrid w:val="0"/>
              <w:spacing w:before="93" w:beforeLines="30" w:after="93" w:afterLines="30"/>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合理进行植物配置，优先选择易种植、易生长、易养护、安全的乡土植物。设置透水地面，优化水景设计，构建植物成荫景观。广泛采用立体绿化技术。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4" w:type="dxa"/>
            <w:vMerge w:val="continue"/>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p>
        </w:tc>
        <w:tc>
          <w:tcPr>
            <w:tcW w:w="1854" w:type="dxa"/>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场地声环境优化设计技术</w:t>
            </w:r>
          </w:p>
        </w:tc>
        <w:tc>
          <w:tcPr>
            <w:tcW w:w="6946" w:type="dxa"/>
            <w:vAlign w:val="center"/>
          </w:tcPr>
          <w:p>
            <w:pPr>
              <w:tabs>
                <w:tab w:val="left" w:pos="1680"/>
              </w:tabs>
              <w:adjustRightInd w:val="0"/>
              <w:snapToGrid w:val="0"/>
              <w:spacing w:before="93" w:beforeLines="30" w:after="93" w:afterLines="30"/>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场地声环境设计应符合现行国家标准《声环境质量标准》GB 3096 的规定。应对场地噪声现状进行检测或者模拟分析，当存在超标的噪声源时，应采取相应措施，如采取适当的隔声和降噪措施，或设置声屏障或降噪路面等措施。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4" w:type="dxa"/>
            <w:vMerge w:val="continue"/>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p>
        </w:tc>
        <w:tc>
          <w:tcPr>
            <w:tcW w:w="1854" w:type="dxa"/>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场地光环境优化设计技术</w:t>
            </w:r>
          </w:p>
        </w:tc>
        <w:tc>
          <w:tcPr>
            <w:tcW w:w="6946" w:type="dxa"/>
            <w:vAlign w:val="center"/>
          </w:tcPr>
          <w:p>
            <w:pPr>
              <w:tabs>
                <w:tab w:val="left" w:pos="1680"/>
              </w:tabs>
              <w:adjustRightInd w:val="0"/>
              <w:snapToGrid w:val="0"/>
              <w:spacing w:before="93" w:beforeLines="30" w:after="93" w:afterLines="30"/>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采用日照模拟分析软件辅助计算，合理确定建筑朝向、间距及高度，减少建筑间遮挡，采用可见光透射比较大的玻璃、防眩光路灯、防眩光玻璃幕墙（反射比不大于0.30）等，合理选择绿色照明技术。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4" w:type="dxa"/>
            <w:vMerge w:val="continue"/>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p>
        </w:tc>
        <w:tc>
          <w:tcPr>
            <w:tcW w:w="1854" w:type="dxa"/>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场地热环境优化设计技术</w:t>
            </w:r>
          </w:p>
        </w:tc>
        <w:tc>
          <w:tcPr>
            <w:tcW w:w="6946" w:type="dxa"/>
            <w:vAlign w:val="center"/>
          </w:tcPr>
          <w:p>
            <w:pPr>
              <w:tabs>
                <w:tab w:val="left" w:pos="1680"/>
              </w:tabs>
              <w:adjustRightInd w:val="0"/>
              <w:snapToGrid w:val="0"/>
              <w:spacing w:before="93" w:beforeLines="30" w:after="93" w:afterLines="30"/>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宜种植高大乔木为停车场、人行道和广场等遮荫，另外还可以通过改变建筑物表面颜色，地面材料的反射率宜为 0.3-0.5，屋面材料的反射率宜为0.3-0.6。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4" w:type="dxa"/>
            <w:vMerge w:val="continue"/>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p>
        </w:tc>
        <w:tc>
          <w:tcPr>
            <w:tcW w:w="1854" w:type="dxa"/>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场地风环境优化设计</w:t>
            </w:r>
          </w:p>
        </w:tc>
        <w:tc>
          <w:tcPr>
            <w:tcW w:w="6946" w:type="dxa"/>
            <w:vAlign w:val="center"/>
          </w:tcPr>
          <w:p>
            <w:pPr>
              <w:tabs>
                <w:tab w:val="left" w:pos="1680"/>
              </w:tabs>
              <w:adjustRightInd w:val="0"/>
              <w:snapToGrid w:val="0"/>
              <w:spacing w:before="93" w:beforeLines="30" w:after="93" w:afterLines="30"/>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有目的性的调节室外的自然风向和风速，使空气流通与建筑功能的要求相协调。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4" w:type="dxa"/>
            <w:vMerge w:val="continue"/>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p>
        </w:tc>
        <w:tc>
          <w:tcPr>
            <w:tcW w:w="1854" w:type="dxa"/>
            <w:vAlign w:val="center"/>
          </w:tcPr>
          <w:p>
            <w:pPr>
              <w:tabs>
                <w:tab w:val="left" w:pos="1680"/>
              </w:tabs>
              <w:adjustRightInd w:val="0"/>
              <w:snapToGrid w:val="0"/>
              <w:spacing w:before="93" w:beforeLines="30" w:after="93" w:afterLines="3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废弃地污染治理和修复技术</w:t>
            </w:r>
          </w:p>
        </w:tc>
        <w:tc>
          <w:tcPr>
            <w:tcW w:w="6946" w:type="dxa"/>
            <w:vAlign w:val="center"/>
          </w:tcPr>
          <w:p>
            <w:pPr>
              <w:tabs>
                <w:tab w:val="left" w:pos="1680"/>
              </w:tabs>
              <w:adjustRightInd w:val="0"/>
              <w:snapToGrid w:val="0"/>
              <w:spacing w:before="93" w:beforeLines="30" w:after="93" w:afterLines="30"/>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建筑用地可以考虑使用处理过的废弃场地。利用物理法、化学法、微生物修复法等科技手段将垃圾中对人体有害的物质清除，再利用回填土加桩基等方法提高地基承载能力，如果有害物质不易清除，也可采取换土的方法保证废弃地的利用。</w:t>
            </w:r>
          </w:p>
        </w:tc>
      </w:tr>
      <w:bookmarkEnd w:id="64"/>
      <w:bookmarkEnd w:id="65"/>
    </w:tbl>
    <w:p>
      <w:pPr>
        <w:pStyle w:val="5"/>
        <w:rPr>
          <w:rFonts w:ascii="Times New Roman" w:hAnsi="Times New Roman" w:eastAsia="仿宋" w:cs="Times New Roman"/>
          <w:sz w:val="30"/>
          <w:szCs w:val="30"/>
        </w:rPr>
      </w:pPr>
      <w:bookmarkStart w:id="67" w:name="_Toc124321380"/>
      <w:r>
        <w:rPr>
          <w:rFonts w:hint="eastAsia" w:ascii="Times New Roman" w:hAnsi="Times New Roman" w:eastAsia="仿宋" w:cs="Times New Roman"/>
          <w:sz w:val="30"/>
          <w:szCs w:val="30"/>
        </w:rPr>
        <w:t>第15条 推动绿色产业发展</w:t>
      </w:r>
      <w:bookmarkEnd w:id="67"/>
    </w:p>
    <w:p>
      <w:pPr>
        <w:pStyle w:val="6"/>
        <w:ind w:firstLine="480" w:firstLineChars="200"/>
        <w:rPr>
          <w:rFonts w:ascii="Times New Roman" w:hAnsi="Times New Roman" w:eastAsia="仿宋" w:cs="Times New Roman"/>
          <w:bCs w:val="0"/>
          <w:sz w:val="24"/>
          <w:szCs w:val="24"/>
        </w:rPr>
      </w:pPr>
      <w:bookmarkStart w:id="68" w:name="_Toc493632758"/>
      <w:bookmarkStart w:id="69" w:name="_Toc495873949"/>
      <w:bookmarkStart w:id="70" w:name="_Toc525718515"/>
      <w:bookmarkStart w:id="71" w:name="_Toc501619242"/>
      <w:bookmarkStart w:id="72" w:name="_Toc493632771"/>
      <w:r>
        <w:rPr>
          <w:rFonts w:hint="eastAsia" w:ascii="Times New Roman" w:hAnsi="Times New Roman" w:eastAsia="仿宋" w:cs="Times New Roman"/>
          <w:bCs w:val="0"/>
          <w:sz w:val="24"/>
          <w:szCs w:val="24"/>
        </w:rPr>
        <w:t>1</w:t>
      </w:r>
      <w:r>
        <w:rPr>
          <w:rFonts w:hint="eastAsia" w:ascii="Times New Roman" w:hAnsi="Times New Roman" w:eastAsia="仿宋" w:cs="Times New Roman"/>
          <w:bCs w:val="0"/>
          <w:sz w:val="24"/>
          <w:szCs w:val="24"/>
          <w:lang w:val="en-US" w:eastAsia="zh-CN"/>
        </w:rPr>
        <w:t>.</w:t>
      </w:r>
      <w:r>
        <w:rPr>
          <w:rFonts w:hint="eastAsia" w:ascii="Times New Roman" w:hAnsi="Times New Roman" w:eastAsia="仿宋" w:cs="Times New Roman"/>
          <w:bCs w:val="0"/>
          <w:sz w:val="24"/>
          <w:szCs w:val="24"/>
        </w:rPr>
        <w:t>大力推动光伏建筑一体化</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推动光伏建筑一体化规模应用。充分利用工业园区、企业厂房、物流仓储基地、公共建筑、交通设施和居民住宅等建筑物屋顶、外立面或其他适宜场地，积极开展光伏项目建设，大力推广建筑光伏一体化（BIPV），重点推动工业园区规模化布局光伏项目，引导大型企业集团积极开展光伏项目建设，支持国有企业规模化建设光伏项目。</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完善光伏项目建设管理工作。加强建筑安装光伏发电设施的安全性评价和管理工作，市发展</w:t>
      </w:r>
      <w:r>
        <w:rPr>
          <w:rFonts w:hint="eastAsia" w:ascii="Times New Roman" w:hAnsi="Times New Roman" w:eastAsia="仿宋" w:cs="Times New Roman"/>
          <w:sz w:val="24"/>
          <w:lang w:val="en-US" w:eastAsia="zh-CN"/>
        </w:rPr>
        <w:t>和</w:t>
      </w:r>
      <w:r>
        <w:rPr>
          <w:rFonts w:hint="eastAsia" w:ascii="Times New Roman" w:hAnsi="Times New Roman" w:eastAsia="仿宋" w:cs="Times New Roman"/>
          <w:sz w:val="24"/>
        </w:rPr>
        <w:t>改革局负责制定光伏项目管理操作办法，建立简便高效规范的项目申报流程，明确项目备案、建设、验收、运维等工作要求。</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培育光伏产业和骨干企业。支持企业和科研机构持续提升光伏材料、组件及配套设备等技术水平，强化光伏装备、电池片及组件、系统集成、电站建设运维产业链条。加强政策引导与支持，建立光伏产业骨干企业培育机制，重点支持技术水平高、市场竞争力强的光伏设备制造企业和光伏能源建设运营管理企业快速发展，努力形成一批光伏制造、运维龙头企业。</w:t>
      </w:r>
    </w:p>
    <w:p>
      <w:pPr>
        <w:pStyle w:val="6"/>
        <w:ind w:firstLine="480" w:firstLineChars="200"/>
        <w:rPr>
          <w:rFonts w:ascii="Times New Roman" w:hAnsi="Times New Roman" w:eastAsia="仿宋" w:cs="Times New Roman"/>
          <w:bCs w:val="0"/>
          <w:sz w:val="24"/>
          <w:szCs w:val="24"/>
        </w:rPr>
      </w:pPr>
      <w:r>
        <w:rPr>
          <w:rFonts w:hint="eastAsia" w:ascii="Times New Roman" w:hAnsi="Times New Roman" w:eastAsia="仿宋" w:cs="Times New Roman"/>
          <w:bCs w:val="0"/>
          <w:sz w:val="24"/>
          <w:szCs w:val="24"/>
        </w:rPr>
        <w:t>2</w:t>
      </w:r>
      <w:r>
        <w:rPr>
          <w:rFonts w:hint="eastAsia" w:ascii="Times New Roman" w:hAnsi="Times New Roman" w:eastAsia="仿宋" w:cs="Times New Roman"/>
          <w:bCs w:val="0"/>
          <w:sz w:val="24"/>
          <w:szCs w:val="24"/>
          <w:lang w:val="en-US" w:eastAsia="zh-CN"/>
        </w:rPr>
        <w:t>.</w:t>
      </w:r>
      <w:r>
        <w:rPr>
          <w:rFonts w:hint="eastAsia" w:ascii="Times New Roman" w:hAnsi="Times New Roman" w:eastAsia="仿宋" w:cs="Times New Roman"/>
          <w:bCs w:val="0"/>
          <w:sz w:val="24"/>
          <w:szCs w:val="24"/>
        </w:rPr>
        <w:t>积极推进装配式建筑发展</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落实《广东省人民政府办公厅关于大力发展装配式建筑的实施意见》</w:t>
      </w:r>
      <w:r>
        <w:rPr>
          <w:rFonts w:hint="eastAsia" w:ascii="Times New Roman" w:hAnsi="Times New Roman" w:eastAsia="仿宋" w:cs="Times New Roman"/>
          <w:sz w:val="24"/>
          <w:lang w:eastAsia="zh-CN"/>
        </w:rPr>
        <w:t>（</w:t>
      </w:r>
      <w:r>
        <w:rPr>
          <w:rFonts w:hint="eastAsia" w:ascii="Times New Roman" w:hAnsi="Times New Roman" w:eastAsia="仿宋" w:cs="Times New Roman"/>
          <w:sz w:val="24"/>
        </w:rPr>
        <w:t>粤府办〔2017〕28号</w:t>
      </w:r>
      <w:r>
        <w:rPr>
          <w:rFonts w:hint="eastAsia" w:ascii="Times New Roman" w:hAnsi="Times New Roman" w:eastAsia="仿宋" w:cs="Times New Roman"/>
          <w:sz w:val="24"/>
          <w:lang w:eastAsia="zh-CN"/>
        </w:rPr>
        <w:t>）</w:t>
      </w:r>
      <w:r>
        <w:rPr>
          <w:rFonts w:hint="eastAsia" w:ascii="Times New Roman" w:hAnsi="Times New Roman" w:eastAsia="仿宋" w:cs="Times New Roman"/>
          <w:sz w:val="24"/>
        </w:rPr>
        <w:t>、《中山市人民政府办公室关于加快发展装配式建筑的实施意见》（中府办〔2018〕47号）和《中山市装配式建筑（2021</w:t>
      </w:r>
      <w:r>
        <w:rPr>
          <w:rFonts w:hint="eastAsia" w:ascii="Times New Roman" w:hAnsi="Times New Roman" w:eastAsia="仿宋" w:cs="Times New Roman"/>
          <w:sz w:val="24"/>
          <w:lang w:eastAsia="zh-CN"/>
        </w:rPr>
        <w:t>—</w:t>
      </w:r>
      <w:r>
        <w:rPr>
          <w:rFonts w:hint="eastAsia" w:ascii="Times New Roman" w:hAnsi="Times New Roman" w:eastAsia="仿宋" w:cs="Times New Roman"/>
          <w:sz w:val="24"/>
        </w:rPr>
        <w:t>2025年）发展规划》等政策文件要求，大力发展以装配式建筑为代表的新型建筑工业化。到2025年末，全市装配式建筑占新建建筑面积比例达到35%以上，其中政府投资工程装配式建筑面积占比达到70%以上。规划混凝土预制构件生产基地2</w:t>
      </w:r>
      <w:r>
        <w:rPr>
          <w:rFonts w:hint="eastAsia" w:ascii="Times New Roman" w:hAnsi="Times New Roman" w:eastAsia="仿宋" w:cs="Times New Roman"/>
          <w:sz w:val="24"/>
          <w:lang w:eastAsia="zh-CN"/>
        </w:rPr>
        <w:t>—</w:t>
      </w:r>
      <w:r>
        <w:rPr>
          <w:rFonts w:hint="eastAsia" w:ascii="Times New Roman" w:hAnsi="Times New Roman" w:eastAsia="仿宋" w:cs="Times New Roman"/>
          <w:sz w:val="24"/>
        </w:rPr>
        <w:t>5个，划分24个装配式建筑规划分区，并划定14个镇街作为装配式建筑的重点推进片区，为全市装配式建筑的发展起到积极示范带头的作用。</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坚持标准化设计、工厂化生产、装配化施工、一体化装修、信息化管理，推动装配式与绿色建筑深度融合。提高装配式建筑预制部品部件标准化水平，全面推行全装修，研究出台装配式装修技术标准，推动装配式装修发展。强化信息技术协同，加大建筑信息（BIM）技术推广应用，在建造全过程探索建筑信息模型（BIM）、5G、物联网、大数据、人工智能、区块链等新技术的集成与创新应用，促进绿色建筑技术与装配式建筑技术、智能建造深度融合发展，在装配式建筑项目推行工程总承包模式，提升装配化施工水平，全面推行全装修。国有资金参与投资建设的建筑工程应实施装配式建筑，在立项阶段明确实施装配式建筑的相关要求，星级绿色建筑应积极采用装配化建造方式。力争创建成为广东省装配式建筑示范城市。</w:t>
      </w:r>
    </w:p>
    <w:p>
      <w:pPr>
        <w:pStyle w:val="6"/>
        <w:ind w:firstLine="480" w:firstLineChars="200"/>
        <w:rPr>
          <w:rFonts w:ascii="Times New Roman" w:hAnsi="Times New Roman" w:eastAsia="仿宋" w:cs="Times New Roman"/>
          <w:bCs w:val="0"/>
          <w:sz w:val="24"/>
          <w:szCs w:val="24"/>
        </w:rPr>
      </w:pPr>
      <w:r>
        <w:rPr>
          <w:rFonts w:hint="eastAsia" w:ascii="Times New Roman" w:hAnsi="Times New Roman" w:eastAsia="仿宋" w:cs="Times New Roman"/>
          <w:bCs w:val="0"/>
          <w:sz w:val="24"/>
          <w:szCs w:val="24"/>
        </w:rPr>
        <w:t>3</w:t>
      </w:r>
      <w:r>
        <w:rPr>
          <w:rFonts w:hint="eastAsia" w:ascii="Times New Roman" w:hAnsi="Times New Roman" w:eastAsia="仿宋" w:cs="Times New Roman"/>
          <w:bCs w:val="0"/>
          <w:sz w:val="24"/>
          <w:szCs w:val="24"/>
          <w:lang w:val="en-US" w:eastAsia="zh-CN"/>
        </w:rPr>
        <w:t>.</w:t>
      </w:r>
      <w:r>
        <w:rPr>
          <w:rFonts w:hint="eastAsia" w:ascii="Times New Roman" w:hAnsi="Times New Roman" w:eastAsia="仿宋" w:cs="Times New Roman"/>
          <w:bCs w:val="0"/>
          <w:sz w:val="24"/>
          <w:szCs w:val="24"/>
        </w:rPr>
        <w:t>加强推广绿色建材应用</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按《广东省绿色建材产品认证及推广应用实施方案》推进绿色建材产品认证，推进绿色建材产品应用。探索绿色建材推广应用模式，建立绿色建材试点项目应用全过程监督管理体制机制，打造绿色建材应用试点示范项目，加强示范引领，逐步建立绿色建材发展长效机制，推动本地绿色建材企业绿色化发展。</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加大工程应用力度。建议政府投资工程率先采用绿色建材，其中，政府投资或政府投资为主的城镇新建民用建筑建议全面推广采用绿色建材，星级绿色建筑项目绿色建材应用比例不低于30%。鼓励社会投资工程建设项目采用绿色建材，引导新建、改建农村住房采用绿色建材。</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推广适宜技术产品。分批次编制发布中山市建设领域推广应用和限制、禁止使用技术产品目录，重点推广高强钢筋、高性能混凝土、高性能砌体材料、结构保温一体化墙板、节能系统门窗、可再生能源利用、装配式建筑部品部件、装配化装修、建筑垃圾循环再生等绿色建材，积极推广自然采光、通风、雨水收集、中水利用、节能、节水、隔声、减隔震等适宜配套技术产品。</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完善技术标准体系。按照国家和广东省的要求，建议组织编制中山市绿色建材工程应用相关技术标准和导则，明确绿色建材应用比例计算办法及不同类型建筑项目绿色建材应用比例要求。细化星级绿色建筑评价中绿色建材应用评分要求，将绿色建材应用情况纳入装配式建筑、健康住宅等评价标准内容。尽快形成满足工程设计、施工、验收需求的绿色建材应用技术标准体系。</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强化科技创新驱动。支持企业发挥创新主体作用，联合领域内高校、科研院所、金融机构等，组建绿色建材推广应用创新创业联合体或技术创新中心，协同开展绿色建材产品技术研究，推进绿色建材创新技术成果转化。组建绿色建材推广应用专业委员会，为开展绿色建材产品推广应用提供决策咨询和技术服务。</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推进绿色建材认证。会同有关部门，积极推进绿色建材产品认证工作，支持具备建筑节能、绿色建筑、装配式建筑等有关技术产品应用推广能力和经验的机构，申请绿色建材产品认证资质；加大国家绿色建材产品认证目录和绿色建材产品认证实施规则解读宣传力度，引导绿色建材生产企业向具备资质的认证机构申请绿色建材产品认证。</w:t>
      </w:r>
    </w:p>
    <w:p>
      <w:pPr>
        <w:pStyle w:val="2"/>
        <w:spacing w:before="156" w:after="93"/>
        <w:ind w:firstLine="480"/>
        <w:rPr>
          <w:rFonts w:ascii="Times New Roman" w:hAnsi="Times New Roman" w:eastAsia="仿宋"/>
          <w:sz w:val="24"/>
        </w:rPr>
      </w:pPr>
    </w:p>
    <w:p>
      <w:pPr>
        <w:pStyle w:val="2"/>
        <w:spacing w:before="156" w:after="93"/>
        <w:ind w:firstLine="480"/>
        <w:rPr>
          <w:rFonts w:ascii="Times New Roman" w:hAnsi="Times New Roman" w:eastAsia="仿宋"/>
          <w:sz w:val="24"/>
        </w:rPr>
      </w:pPr>
    </w:p>
    <w:p>
      <w:pPr>
        <w:pStyle w:val="2"/>
        <w:spacing w:before="156" w:after="93"/>
        <w:ind w:firstLine="0" w:firstLineChars="0"/>
        <w:rPr>
          <w:rFonts w:ascii="Times New Roman" w:hAnsi="Times New Roman" w:eastAsia="仿宋"/>
          <w:sz w:val="24"/>
        </w:rPr>
      </w:pPr>
    </w:p>
    <w:p>
      <w:pPr>
        <w:pStyle w:val="2"/>
        <w:spacing w:before="156" w:after="93"/>
        <w:ind w:firstLine="480"/>
        <w:rPr>
          <w:rFonts w:ascii="Times New Roman" w:hAnsi="Times New Roman" w:eastAsia="仿宋"/>
          <w:sz w:val="24"/>
        </w:rPr>
      </w:pPr>
    </w:p>
    <w:p>
      <w:pPr>
        <w:pStyle w:val="2"/>
        <w:spacing w:before="156" w:after="93"/>
        <w:ind w:firstLine="480"/>
        <w:rPr>
          <w:rFonts w:ascii="Times New Roman" w:hAnsi="Times New Roman" w:eastAsia="仿宋"/>
          <w:sz w:val="24"/>
        </w:rPr>
      </w:pPr>
    </w:p>
    <w:p>
      <w:pPr>
        <w:pStyle w:val="2"/>
        <w:spacing w:before="156" w:after="93"/>
        <w:ind w:left="0" w:leftChars="0" w:firstLine="0" w:firstLineChars="0"/>
        <w:rPr>
          <w:rFonts w:ascii="Times New Roman" w:hAnsi="Times New Roman" w:eastAsia="仿宋"/>
          <w:sz w:val="24"/>
        </w:rPr>
        <w:sectPr>
          <w:pgSz w:w="11906" w:h="16838"/>
          <w:pgMar w:top="1440" w:right="1797" w:bottom="1440" w:left="1797" w:header="851" w:footer="992" w:gutter="0"/>
          <w:cols w:space="425" w:num="1"/>
          <w:docGrid w:type="linesAndChars" w:linePitch="312" w:charSpace="0"/>
        </w:sectPr>
      </w:pPr>
    </w:p>
    <w:p>
      <w:pPr>
        <w:pStyle w:val="4"/>
        <w:jc w:val="center"/>
        <w:rPr>
          <w:rFonts w:ascii="Times New Roman" w:hAnsi="Times New Roman" w:eastAsia="黑体" w:cs="Times New Roman"/>
          <w:sz w:val="36"/>
          <w:szCs w:val="36"/>
        </w:rPr>
      </w:pPr>
      <w:bookmarkStart w:id="73" w:name="_Toc124321381"/>
      <w:r>
        <w:rPr>
          <w:rFonts w:hint="eastAsia" w:ascii="Times New Roman" w:hAnsi="Times New Roman" w:eastAsia="黑体" w:cs="Times New Roman"/>
          <w:sz w:val="36"/>
          <w:szCs w:val="36"/>
        </w:rPr>
        <w:t>第四章</w:t>
      </w:r>
      <w:r>
        <w:rPr>
          <w:rFonts w:ascii="Times New Roman" w:hAnsi="Times New Roman" w:eastAsia="黑体" w:cs="Times New Roman"/>
          <w:sz w:val="36"/>
          <w:szCs w:val="36"/>
        </w:rPr>
        <w:t xml:space="preserve"> </w:t>
      </w:r>
      <w:bookmarkEnd w:id="68"/>
      <w:bookmarkEnd w:id="69"/>
      <w:bookmarkEnd w:id="70"/>
      <w:bookmarkEnd w:id="71"/>
      <w:bookmarkStart w:id="74" w:name="_Toc493632759"/>
      <w:bookmarkStart w:id="75" w:name="_Toc493632764"/>
      <w:bookmarkStart w:id="76" w:name="_Toc495873950"/>
      <w:r>
        <w:rPr>
          <w:rFonts w:hint="eastAsia" w:ascii="Times New Roman" w:hAnsi="Times New Roman" w:eastAsia="黑体" w:cs="Times New Roman"/>
          <w:sz w:val="36"/>
          <w:szCs w:val="36"/>
        </w:rPr>
        <w:t>规划分区与要求</w:t>
      </w:r>
      <w:bookmarkEnd w:id="73"/>
    </w:p>
    <w:bookmarkEnd w:id="72"/>
    <w:bookmarkEnd w:id="74"/>
    <w:bookmarkEnd w:id="75"/>
    <w:bookmarkEnd w:id="76"/>
    <w:p>
      <w:pPr>
        <w:pStyle w:val="5"/>
        <w:rPr>
          <w:rFonts w:ascii="Times New Roman" w:hAnsi="Times New Roman" w:eastAsia="仿宋" w:cs="Times New Roman"/>
          <w:sz w:val="30"/>
          <w:szCs w:val="30"/>
        </w:rPr>
      </w:pPr>
      <w:bookmarkStart w:id="77" w:name="_Toc525718516"/>
      <w:bookmarkStart w:id="78" w:name="_Toc498596288"/>
      <w:bookmarkStart w:id="79" w:name="_Toc124321382"/>
      <w:r>
        <w:rPr>
          <w:rFonts w:hint="eastAsia" w:ascii="Times New Roman" w:hAnsi="Times New Roman" w:eastAsia="仿宋" w:cs="Times New Roman"/>
          <w:sz w:val="30"/>
          <w:szCs w:val="30"/>
        </w:rPr>
        <w:t>第</w:t>
      </w:r>
      <w:r>
        <w:rPr>
          <w:rFonts w:ascii="Times New Roman" w:hAnsi="Times New Roman" w:eastAsia="仿宋" w:cs="Times New Roman"/>
          <w:sz w:val="30"/>
          <w:szCs w:val="30"/>
        </w:rPr>
        <w:t>1</w:t>
      </w:r>
      <w:r>
        <w:rPr>
          <w:rFonts w:hint="eastAsia" w:ascii="Times New Roman" w:hAnsi="Times New Roman" w:eastAsia="仿宋" w:cs="Times New Roman"/>
          <w:sz w:val="30"/>
          <w:szCs w:val="30"/>
        </w:rPr>
        <w:t>6条</w:t>
      </w:r>
      <w:r>
        <w:rPr>
          <w:rFonts w:ascii="Times New Roman" w:hAnsi="Times New Roman" w:eastAsia="仿宋" w:cs="Times New Roman"/>
          <w:sz w:val="30"/>
          <w:szCs w:val="30"/>
        </w:rPr>
        <w:t xml:space="preserve"> </w:t>
      </w:r>
      <w:bookmarkEnd w:id="77"/>
      <w:bookmarkEnd w:id="78"/>
      <w:r>
        <w:rPr>
          <w:rFonts w:hint="eastAsia" w:ascii="Times New Roman" w:hAnsi="Times New Roman" w:eastAsia="仿宋" w:cs="Times New Roman"/>
          <w:sz w:val="30"/>
          <w:szCs w:val="30"/>
        </w:rPr>
        <w:t>发展组团</w:t>
      </w:r>
      <w:bookmarkEnd w:id="79"/>
    </w:p>
    <w:p>
      <w:pPr>
        <w:pStyle w:val="6"/>
        <w:spacing w:before="93" w:after="93"/>
        <w:ind w:firstLine="480" w:firstLineChars="200"/>
        <w:rPr>
          <w:rFonts w:ascii="Times New Roman" w:hAnsi="Times New Roman" w:eastAsia="仿宋" w:cs="Times New Roman"/>
          <w:bCs w:val="0"/>
          <w:sz w:val="24"/>
          <w:szCs w:val="24"/>
        </w:rPr>
      </w:pPr>
      <w:bookmarkStart w:id="80" w:name="_Toc498596289"/>
      <w:bookmarkStart w:id="81" w:name="_Toc495873951"/>
      <w:r>
        <w:rPr>
          <w:rFonts w:ascii="Times New Roman" w:hAnsi="Times New Roman" w:eastAsia="仿宋" w:cs="Times New Roman"/>
          <w:bCs w:val="0"/>
          <w:sz w:val="24"/>
          <w:szCs w:val="24"/>
        </w:rPr>
        <w:t>1</w:t>
      </w:r>
      <w:bookmarkEnd w:id="80"/>
      <w:bookmarkEnd w:id="81"/>
      <w:r>
        <w:rPr>
          <w:rFonts w:hint="eastAsia" w:ascii="Times New Roman" w:hAnsi="Times New Roman" w:eastAsia="仿宋" w:cs="Times New Roman"/>
          <w:bCs w:val="0"/>
          <w:sz w:val="24"/>
          <w:szCs w:val="24"/>
          <w:lang w:val="en-US" w:eastAsia="zh-CN"/>
        </w:rPr>
        <w:t>.</w:t>
      </w:r>
      <w:r>
        <w:rPr>
          <w:rFonts w:hint="eastAsia" w:ascii="Times New Roman" w:hAnsi="Times New Roman" w:eastAsia="仿宋" w:cs="Times New Roman"/>
          <w:bCs w:val="0"/>
          <w:sz w:val="24"/>
          <w:szCs w:val="24"/>
        </w:rPr>
        <w:t>划分原则</w:t>
      </w:r>
    </w:p>
    <w:p>
      <w:pPr>
        <w:tabs>
          <w:tab w:val="left" w:pos="1680"/>
        </w:tabs>
        <w:adjustRightInd w:val="0"/>
        <w:snapToGrid w:val="0"/>
        <w:spacing w:before="93" w:beforeLines="30" w:after="93" w:afterLines="30" w:line="360" w:lineRule="auto"/>
        <w:ind w:firstLine="480" w:firstLineChars="200"/>
        <w:rPr>
          <w:rFonts w:eastAsia="仿宋"/>
        </w:rPr>
      </w:pPr>
      <w:bookmarkStart w:id="82" w:name="_Hlk124237159"/>
      <w:r>
        <w:rPr>
          <w:rFonts w:hint="eastAsia" w:ascii="Times New Roman" w:hAnsi="Times New Roman" w:eastAsia="仿宋" w:cs="Times New Roman"/>
          <w:sz w:val="24"/>
        </w:rPr>
        <w:t>参照上位规划、产业空间布局、城市特定重点发展区域进行划分</w:t>
      </w:r>
      <w:bookmarkEnd w:id="82"/>
      <w:r>
        <w:rPr>
          <w:rFonts w:hint="eastAsia" w:ascii="Times New Roman" w:hAnsi="Times New Roman" w:eastAsia="仿宋" w:cs="Times New Roman"/>
          <w:sz w:val="24"/>
        </w:rPr>
        <w:t>。</w:t>
      </w:r>
    </w:p>
    <w:p>
      <w:pPr>
        <w:pStyle w:val="6"/>
        <w:spacing w:before="93" w:after="93"/>
        <w:ind w:firstLine="480" w:firstLineChars="200"/>
        <w:rPr>
          <w:rFonts w:ascii="Times New Roman" w:hAnsi="Times New Roman" w:eastAsia="仿宋" w:cs="Times New Roman"/>
          <w:bCs w:val="0"/>
          <w:sz w:val="24"/>
          <w:szCs w:val="24"/>
        </w:rPr>
      </w:pPr>
      <w:bookmarkStart w:id="83" w:name="_Toc495873952"/>
      <w:bookmarkStart w:id="84" w:name="_Toc498596290"/>
      <w:bookmarkStart w:id="85" w:name="_Toc493632761"/>
      <w:r>
        <w:rPr>
          <w:rFonts w:ascii="Times New Roman" w:hAnsi="Times New Roman" w:eastAsia="仿宋" w:cs="Times New Roman"/>
          <w:bCs w:val="0"/>
          <w:sz w:val="24"/>
          <w:szCs w:val="24"/>
        </w:rPr>
        <w:t>2</w:t>
      </w:r>
      <w:bookmarkEnd w:id="83"/>
      <w:bookmarkEnd w:id="84"/>
      <w:r>
        <w:rPr>
          <w:rFonts w:hint="eastAsia" w:ascii="Times New Roman" w:hAnsi="Times New Roman" w:eastAsia="仿宋" w:cs="Times New Roman"/>
          <w:bCs w:val="0"/>
          <w:sz w:val="24"/>
          <w:szCs w:val="24"/>
          <w:lang w:val="en-US" w:eastAsia="zh-CN"/>
        </w:rPr>
        <w:t>.</w:t>
      </w:r>
      <w:r>
        <w:rPr>
          <w:rFonts w:hint="eastAsia" w:ascii="Times New Roman" w:hAnsi="Times New Roman" w:eastAsia="仿宋" w:cs="Times New Roman"/>
          <w:bCs w:val="0"/>
          <w:sz w:val="24"/>
          <w:szCs w:val="24"/>
        </w:rPr>
        <w:t>发展组团列表和发展策略</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本规划参照国土空间总体规划对中山市市域组团的划分，将中山市划分为六大发展组团，分别为中心城区发展组团、翠亨新区发展组团、</w:t>
      </w:r>
      <w:r>
        <w:rPr>
          <w:rFonts w:hint="eastAsia" w:ascii="Times New Roman" w:hAnsi="Times New Roman" w:eastAsia="仿宋" w:cs="Times New Roman"/>
          <w:sz w:val="24"/>
          <w:lang w:eastAsia="zh-CN"/>
        </w:rPr>
        <w:t>火炬开发区</w:t>
      </w:r>
      <w:r>
        <w:rPr>
          <w:rFonts w:hint="eastAsia" w:ascii="Times New Roman" w:hAnsi="Times New Roman" w:eastAsia="仿宋" w:cs="Times New Roman"/>
          <w:sz w:val="24"/>
        </w:rPr>
        <w:t>发展组团、西部发展组团、南部发展组团和北部发展组团。</w:t>
      </w:r>
    </w:p>
    <w:p>
      <w:pPr>
        <w:pStyle w:val="2"/>
        <w:spacing w:before="156" w:after="93"/>
        <w:ind w:firstLine="0" w:firstLineChars="0"/>
        <w:jc w:val="center"/>
        <w:rPr>
          <w:rFonts w:ascii="仿宋" w:hAnsi="仿宋" w:eastAsia="仿宋"/>
          <w:b/>
          <w:bCs/>
          <w:sz w:val="21"/>
          <w:szCs w:val="21"/>
        </w:rPr>
      </w:pPr>
      <w:bookmarkStart w:id="86" w:name="_Hlk110098367"/>
      <w:r>
        <w:rPr>
          <w:rFonts w:ascii="仿宋" w:hAnsi="仿宋" w:eastAsia="仿宋"/>
          <w:b/>
          <w:bCs/>
          <w:sz w:val="21"/>
          <w:szCs w:val="21"/>
        </w:rPr>
        <w:t>表</w:t>
      </w:r>
      <w:r>
        <w:rPr>
          <w:rFonts w:hint="eastAsia" w:ascii="仿宋" w:hAnsi="仿宋" w:eastAsia="仿宋"/>
          <w:b/>
          <w:bCs/>
          <w:sz w:val="21"/>
          <w:szCs w:val="21"/>
        </w:rPr>
        <w:t>4</w:t>
      </w:r>
      <w:r>
        <w:rPr>
          <w:rFonts w:ascii="仿宋" w:hAnsi="仿宋" w:eastAsia="仿宋"/>
          <w:b/>
          <w:bCs/>
          <w:sz w:val="21"/>
          <w:szCs w:val="21"/>
        </w:rPr>
        <w:t xml:space="preserve"> 中山市</w:t>
      </w:r>
      <w:r>
        <w:rPr>
          <w:rFonts w:hint="eastAsia" w:ascii="仿宋" w:hAnsi="仿宋" w:eastAsia="仿宋"/>
          <w:b/>
          <w:bCs/>
          <w:sz w:val="21"/>
          <w:szCs w:val="21"/>
        </w:rPr>
        <w:t>发展组团划分表</w:t>
      </w:r>
    </w:p>
    <w:tbl>
      <w:tblPr>
        <w:tblStyle w:val="43"/>
        <w:tblW w:w="0" w:type="auto"/>
        <w:jc w:val="center"/>
        <w:tblLayout w:type="autofit"/>
        <w:tblCellMar>
          <w:top w:w="0" w:type="dxa"/>
          <w:left w:w="0" w:type="dxa"/>
          <w:bottom w:w="0" w:type="dxa"/>
          <w:right w:w="0" w:type="dxa"/>
        </w:tblCellMar>
      </w:tblPr>
      <w:tblGrid>
        <w:gridCol w:w="649"/>
        <w:gridCol w:w="1908"/>
        <w:gridCol w:w="1222"/>
        <w:gridCol w:w="4651"/>
      </w:tblGrid>
      <w:tr>
        <w:tblPrEx>
          <w:tblCellMar>
            <w:top w:w="0" w:type="dxa"/>
            <w:left w:w="0" w:type="dxa"/>
            <w:bottom w:w="0" w:type="dxa"/>
            <w:right w:w="0" w:type="dxa"/>
          </w:tblCellMar>
        </w:tblPrEx>
        <w:trPr>
          <w:trHeight w:val="340" w:hRule="atLeast"/>
          <w:tblHeader/>
          <w:jc w:val="center"/>
        </w:trPr>
        <w:tc>
          <w:tcPr>
            <w:tcW w:w="64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序号</w:t>
            </w:r>
          </w:p>
        </w:tc>
        <w:tc>
          <w:tcPr>
            <w:tcW w:w="1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发展组团名称</w:t>
            </w:r>
          </w:p>
        </w:tc>
        <w:tc>
          <w:tcPr>
            <w:tcW w:w="122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分区编号</w:t>
            </w:r>
          </w:p>
        </w:tc>
        <w:tc>
          <w:tcPr>
            <w:tcW w:w="4651" w:type="dxa"/>
            <w:tcBorders>
              <w:top w:val="single" w:color="000000" w:sz="8" w:space="0"/>
              <w:left w:val="single" w:color="000000" w:sz="8" w:space="0"/>
              <w:bottom w:val="single" w:color="000000" w:sz="8" w:space="0"/>
              <w:right w:val="single" w:color="000000" w:sz="8" w:space="0"/>
            </w:tcBorders>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绿色建筑发展策略</w:t>
            </w:r>
          </w:p>
        </w:tc>
      </w:tr>
      <w:tr>
        <w:tblPrEx>
          <w:tblCellMar>
            <w:top w:w="0" w:type="dxa"/>
            <w:left w:w="0" w:type="dxa"/>
            <w:bottom w:w="0" w:type="dxa"/>
            <w:right w:w="0" w:type="dxa"/>
          </w:tblCellMar>
        </w:tblPrEx>
        <w:trPr>
          <w:trHeight w:val="90" w:hRule="atLeast"/>
          <w:jc w:val="center"/>
        </w:trPr>
        <w:tc>
          <w:tcPr>
            <w:tcW w:w="64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w:t>
            </w:r>
          </w:p>
        </w:tc>
        <w:tc>
          <w:tcPr>
            <w:tcW w:w="1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中心城区发展组团</w:t>
            </w:r>
          </w:p>
        </w:tc>
        <w:tc>
          <w:tcPr>
            <w:tcW w:w="122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ZXCQ</w:t>
            </w:r>
          </w:p>
        </w:tc>
        <w:tc>
          <w:tcPr>
            <w:tcW w:w="4651"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以公共服务设施发展为发展契机，以城市中央活动区为发展基础，推动中心城区发展组团绿色建筑的高质量发展。以建设星级绿色建筑为基本目标，依托岐江新城打造成为“一个有文化底蕴的、宜居生态、复合高效、活力多元的城市中心区”的发展目标，集聚金融、科创、文化、生态、医疗、教育、居住等各类高端要素，建设高星级绿色建筑示范区。</w:t>
            </w:r>
          </w:p>
        </w:tc>
      </w:tr>
      <w:tr>
        <w:tblPrEx>
          <w:tblCellMar>
            <w:top w:w="0" w:type="dxa"/>
            <w:left w:w="0" w:type="dxa"/>
            <w:bottom w:w="0" w:type="dxa"/>
            <w:right w:w="0" w:type="dxa"/>
          </w:tblCellMar>
        </w:tblPrEx>
        <w:trPr>
          <w:trHeight w:val="340" w:hRule="atLeast"/>
          <w:jc w:val="center"/>
        </w:trPr>
        <w:tc>
          <w:tcPr>
            <w:tcW w:w="64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w:t>
            </w:r>
          </w:p>
        </w:tc>
        <w:tc>
          <w:tcPr>
            <w:tcW w:w="1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翠亨新区发展组团</w:t>
            </w:r>
          </w:p>
        </w:tc>
        <w:tc>
          <w:tcPr>
            <w:tcW w:w="122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CHXQ</w:t>
            </w:r>
          </w:p>
        </w:tc>
        <w:tc>
          <w:tcPr>
            <w:tcW w:w="4651"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依托翠亨新区重点发展</w:t>
            </w:r>
            <w:r>
              <w:rPr>
                <w:rFonts w:hint="default" w:ascii="Times New Roman" w:hAnsi="Times New Roman" w:eastAsia="仿宋" w:cs="Times New Roman"/>
                <w:kern w:val="0"/>
                <w:sz w:val="21"/>
                <w:szCs w:val="21"/>
                <w:lang w:eastAsia="zh-CN"/>
              </w:rPr>
              <w:t>的</w:t>
            </w:r>
            <w:r>
              <w:rPr>
                <w:rFonts w:hint="default" w:ascii="Times New Roman" w:hAnsi="Times New Roman" w:eastAsia="仿宋" w:cs="Times New Roman"/>
                <w:kern w:val="0"/>
                <w:sz w:val="21"/>
                <w:szCs w:val="21"/>
              </w:rPr>
              <w:t>大好机遇，坚持整体统筹、集聚带动、轴带串联，突出区位、生态、创新、文化、产业等优势，</w:t>
            </w:r>
            <w:r>
              <w:rPr>
                <w:rFonts w:hint="default" w:ascii="Times New Roman" w:hAnsi="Times New Roman" w:eastAsia="仿宋" w:cs="Times New Roman"/>
                <w:kern w:val="0"/>
                <w:sz w:val="21"/>
                <w:szCs w:val="21"/>
                <w:lang w:val="en-US" w:eastAsia="zh-CN"/>
              </w:rPr>
              <w:t>打造</w:t>
            </w:r>
            <w:r>
              <w:rPr>
                <w:rFonts w:hint="default" w:ascii="Times New Roman" w:hAnsi="Times New Roman" w:eastAsia="仿宋" w:cs="Times New Roman"/>
                <w:kern w:val="0"/>
                <w:sz w:val="21"/>
                <w:szCs w:val="21"/>
              </w:rPr>
              <w:t>疏密有度、水城共融的城市空间，推动翠亨新区全面建设高星级绿色建筑。</w:t>
            </w:r>
          </w:p>
        </w:tc>
      </w:tr>
      <w:tr>
        <w:tblPrEx>
          <w:tblCellMar>
            <w:top w:w="0" w:type="dxa"/>
            <w:left w:w="0" w:type="dxa"/>
            <w:bottom w:w="0" w:type="dxa"/>
            <w:right w:w="0" w:type="dxa"/>
          </w:tblCellMar>
        </w:tblPrEx>
        <w:trPr>
          <w:trHeight w:val="340" w:hRule="atLeast"/>
          <w:jc w:val="center"/>
        </w:trPr>
        <w:tc>
          <w:tcPr>
            <w:tcW w:w="64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3</w:t>
            </w:r>
          </w:p>
        </w:tc>
        <w:tc>
          <w:tcPr>
            <w:tcW w:w="1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jc w:val="center"/>
              <w:textAlignment w:val="center"/>
              <w:rPr>
                <w:rFonts w:hint="default" w:ascii="Times New Roman" w:hAnsi="Times New Roman" w:eastAsia="仿宋" w:cs="Times New Roman"/>
                <w:kern w:val="0"/>
                <w:sz w:val="21"/>
                <w:szCs w:val="21"/>
              </w:rPr>
            </w:pPr>
            <w:r>
              <w:rPr>
                <w:rFonts w:hint="eastAsia" w:ascii="Times New Roman" w:hAnsi="Times New Roman" w:eastAsia="仿宋" w:cs="Times New Roman"/>
                <w:kern w:val="0"/>
                <w:sz w:val="21"/>
                <w:szCs w:val="21"/>
                <w:lang w:eastAsia="zh-CN"/>
              </w:rPr>
              <w:t>火炬开发区</w:t>
            </w:r>
            <w:r>
              <w:rPr>
                <w:rFonts w:hint="default" w:ascii="Times New Roman" w:hAnsi="Times New Roman" w:eastAsia="仿宋" w:cs="Times New Roman"/>
                <w:kern w:val="0"/>
                <w:sz w:val="21"/>
                <w:szCs w:val="21"/>
              </w:rPr>
              <w:t>发展组团</w:t>
            </w:r>
          </w:p>
        </w:tc>
        <w:tc>
          <w:tcPr>
            <w:tcW w:w="122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HJQ</w:t>
            </w:r>
          </w:p>
        </w:tc>
        <w:tc>
          <w:tcPr>
            <w:tcW w:w="4651"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基于火炬开发区良好的产业和人气基础，发挥区域地理优势，抢抓深中通道开通时机，吸引产业，培育创新氛围，服务中山产业转型，</w:t>
            </w:r>
            <w:r>
              <w:rPr>
                <w:rFonts w:hint="default" w:ascii="Times New Roman" w:hAnsi="Times New Roman" w:eastAsia="仿宋" w:cs="Times New Roman"/>
                <w:kern w:val="0"/>
                <w:sz w:val="21"/>
                <w:szCs w:val="21"/>
                <w:lang w:val="en-US" w:eastAsia="zh-CN"/>
              </w:rPr>
              <w:t>建设</w:t>
            </w:r>
            <w:r>
              <w:rPr>
                <w:rFonts w:hint="default" w:ascii="Times New Roman" w:hAnsi="Times New Roman" w:eastAsia="仿宋" w:cs="Times New Roman"/>
                <w:kern w:val="0"/>
                <w:sz w:val="21"/>
                <w:szCs w:val="21"/>
              </w:rPr>
              <w:t>新一代国家高新区，提升绿色建筑建设水平。全面打造</w:t>
            </w:r>
            <w:r>
              <w:rPr>
                <w:rFonts w:hint="eastAsia" w:ascii="Times New Roman" w:hAnsi="Times New Roman" w:eastAsia="仿宋" w:cs="Times New Roman"/>
                <w:kern w:val="0"/>
                <w:sz w:val="21"/>
                <w:szCs w:val="21"/>
                <w:lang w:eastAsia="zh-CN"/>
              </w:rPr>
              <w:t>火炬开发区</w:t>
            </w:r>
            <w:r>
              <w:rPr>
                <w:rFonts w:hint="default" w:ascii="Times New Roman" w:hAnsi="Times New Roman" w:eastAsia="仿宋" w:cs="Times New Roman"/>
                <w:kern w:val="0"/>
                <w:sz w:val="21"/>
                <w:szCs w:val="21"/>
              </w:rPr>
              <w:t>高星级绿色建筑示范区。</w:t>
            </w:r>
          </w:p>
        </w:tc>
      </w:tr>
      <w:tr>
        <w:tblPrEx>
          <w:tblCellMar>
            <w:top w:w="0" w:type="dxa"/>
            <w:left w:w="0" w:type="dxa"/>
            <w:bottom w:w="0" w:type="dxa"/>
            <w:right w:w="0" w:type="dxa"/>
          </w:tblCellMar>
        </w:tblPrEx>
        <w:trPr>
          <w:trHeight w:val="340" w:hRule="atLeast"/>
          <w:jc w:val="center"/>
        </w:trPr>
        <w:tc>
          <w:tcPr>
            <w:tcW w:w="64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4</w:t>
            </w:r>
          </w:p>
        </w:tc>
        <w:tc>
          <w:tcPr>
            <w:tcW w:w="1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西部发展组团</w:t>
            </w:r>
          </w:p>
        </w:tc>
        <w:tc>
          <w:tcPr>
            <w:tcW w:w="122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XBZT</w:t>
            </w:r>
          </w:p>
        </w:tc>
        <w:tc>
          <w:tcPr>
            <w:tcW w:w="4651"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围绕西部产业园建设，带动其他功能片区发展，全面落实绿色发展理念，提升全区的绿色建筑发展水平。以小榄镇为基础，重点建设星级绿色建筑聚集区，并在其它镇全面加强推行绿色建筑建设。</w:t>
            </w:r>
          </w:p>
        </w:tc>
      </w:tr>
      <w:tr>
        <w:tblPrEx>
          <w:tblCellMar>
            <w:top w:w="0" w:type="dxa"/>
            <w:left w:w="0" w:type="dxa"/>
            <w:bottom w:w="0" w:type="dxa"/>
            <w:right w:w="0" w:type="dxa"/>
          </w:tblCellMar>
        </w:tblPrEx>
        <w:trPr>
          <w:trHeight w:val="340" w:hRule="atLeast"/>
          <w:jc w:val="center"/>
        </w:trPr>
        <w:tc>
          <w:tcPr>
            <w:tcW w:w="64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5</w:t>
            </w:r>
          </w:p>
        </w:tc>
        <w:tc>
          <w:tcPr>
            <w:tcW w:w="1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jc w:val="center"/>
              <w:textAlignment w:val="center"/>
              <w:rPr>
                <w:rFonts w:hint="default" w:ascii="Times New Roman" w:hAnsi="Times New Roman" w:eastAsia="仿宋" w:cs="Times New Roman"/>
                <w:kern w:val="0"/>
                <w:sz w:val="21"/>
                <w:szCs w:val="21"/>
              </w:rPr>
            </w:pPr>
            <w:bookmarkStart w:id="87" w:name="_Hlk124172801"/>
            <w:r>
              <w:rPr>
                <w:rFonts w:hint="default" w:ascii="Times New Roman" w:hAnsi="Times New Roman" w:eastAsia="仿宋" w:cs="Times New Roman"/>
                <w:kern w:val="0"/>
                <w:sz w:val="21"/>
                <w:szCs w:val="21"/>
              </w:rPr>
              <w:t>南部发展组团</w:t>
            </w:r>
            <w:bookmarkEnd w:id="87"/>
          </w:p>
        </w:tc>
        <w:tc>
          <w:tcPr>
            <w:tcW w:w="122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NBZT</w:t>
            </w:r>
          </w:p>
        </w:tc>
        <w:tc>
          <w:tcPr>
            <w:tcW w:w="4651"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将绿色发展与香山新城的发展相结合，充分抓住打造珠西生态休闲旅游基地、粤港澳优质生活示范区的建设契机，提升绿色建筑的认知，以三乡镇和坦洲镇的绿色建筑建设为核心，推进南部发展组团的绿色建筑发展和品质提升。</w:t>
            </w:r>
          </w:p>
        </w:tc>
      </w:tr>
      <w:tr>
        <w:tblPrEx>
          <w:tblCellMar>
            <w:top w:w="0" w:type="dxa"/>
            <w:left w:w="0" w:type="dxa"/>
            <w:bottom w:w="0" w:type="dxa"/>
            <w:right w:w="0" w:type="dxa"/>
          </w:tblCellMar>
        </w:tblPrEx>
        <w:trPr>
          <w:trHeight w:val="340" w:hRule="atLeast"/>
          <w:jc w:val="center"/>
        </w:trPr>
        <w:tc>
          <w:tcPr>
            <w:tcW w:w="64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6</w:t>
            </w:r>
          </w:p>
        </w:tc>
        <w:tc>
          <w:tcPr>
            <w:tcW w:w="1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jc w:val="center"/>
              <w:textAlignment w:val="center"/>
              <w:rPr>
                <w:rFonts w:hint="default" w:ascii="Times New Roman" w:hAnsi="Times New Roman" w:eastAsia="仿宋" w:cs="Times New Roman"/>
                <w:kern w:val="0"/>
                <w:sz w:val="21"/>
                <w:szCs w:val="21"/>
              </w:rPr>
            </w:pPr>
            <w:bookmarkStart w:id="88" w:name="_Hlk124172835"/>
            <w:r>
              <w:rPr>
                <w:rFonts w:hint="default" w:ascii="Times New Roman" w:hAnsi="Times New Roman" w:eastAsia="仿宋" w:cs="Times New Roman"/>
                <w:kern w:val="0"/>
                <w:sz w:val="21"/>
                <w:szCs w:val="21"/>
              </w:rPr>
              <w:t>北部发展组团</w:t>
            </w:r>
            <w:bookmarkEnd w:id="88"/>
          </w:p>
        </w:tc>
        <w:tc>
          <w:tcPr>
            <w:tcW w:w="122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BBZT</w:t>
            </w:r>
          </w:p>
        </w:tc>
        <w:tc>
          <w:tcPr>
            <w:tcW w:w="4651"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将绿色建筑发展与中山北部产业园发展相结合，抓住重点区域、重要平台、重大项目的建设，落实绿色建筑的发展要求，以三角镇绿色建筑建设为核心，稳步推进北部发展组团绿色建筑建设。</w:t>
            </w:r>
          </w:p>
        </w:tc>
      </w:tr>
      <w:bookmarkEnd w:id="85"/>
      <w:bookmarkEnd w:id="86"/>
    </w:tbl>
    <w:p>
      <w:pPr>
        <w:pStyle w:val="5"/>
        <w:rPr>
          <w:rFonts w:ascii="Times New Roman" w:hAnsi="Times New Roman" w:eastAsia="仿宋" w:cs="Times New Roman"/>
          <w:sz w:val="30"/>
          <w:szCs w:val="30"/>
        </w:rPr>
      </w:pPr>
      <w:bookmarkStart w:id="89" w:name="_Toc124321383"/>
      <w:bookmarkStart w:id="90" w:name="_Toc493632791"/>
      <w:bookmarkStart w:id="91" w:name="_Toc501619258"/>
      <w:bookmarkStart w:id="92" w:name="_Toc495873966"/>
      <w:bookmarkStart w:id="93" w:name="_Toc495873980"/>
      <w:bookmarkStart w:id="94" w:name="_Toc493965821"/>
      <w:bookmarkStart w:id="95" w:name="_Toc493355635"/>
      <w:r>
        <w:rPr>
          <w:rFonts w:hint="eastAsia" w:ascii="Times New Roman" w:hAnsi="Times New Roman" w:eastAsia="仿宋" w:cs="Times New Roman"/>
          <w:sz w:val="30"/>
          <w:szCs w:val="30"/>
        </w:rPr>
        <w:t>第</w:t>
      </w:r>
      <w:r>
        <w:rPr>
          <w:rFonts w:ascii="Times New Roman" w:hAnsi="Times New Roman" w:eastAsia="仿宋" w:cs="Times New Roman"/>
          <w:sz w:val="30"/>
          <w:szCs w:val="30"/>
        </w:rPr>
        <w:t>1</w:t>
      </w:r>
      <w:r>
        <w:rPr>
          <w:rFonts w:hint="eastAsia" w:ascii="Times New Roman" w:hAnsi="Times New Roman" w:eastAsia="仿宋" w:cs="Times New Roman"/>
          <w:sz w:val="30"/>
          <w:szCs w:val="30"/>
        </w:rPr>
        <w:t>7条</w:t>
      </w:r>
      <w:r>
        <w:rPr>
          <w:rFonts w:ascii="Times New Roman" w:hAnsi="Times New Roman" w:eastAsia="仿宋" w:cs="Times New Roman"/>
          <w:sz w:val="30"/>
          <w:szCs w:val="30"/>
        </w:rPr>
        <w:t xml:space="preserve"> </w:t>
      </w:r>
      <w:r>
        <w:rPr>
          <w:rFonts w:hint="eastAsia" w:ascii="Times New Roman" w:hAnsi="Times New Roman" w:eastAsia="仿宋" w:cs="Times New Roman"/>
          <w:sz w:val="30"/>
          <w:szCs w:val="30"/>
        </w:rPr>
        <w:t>目标单元</w:t>
      </w:r>
      <w:bookmarkEnd w:id="89"/>
    </w:p>
    <w:p>
      <w:pPr>
        <w:pStyle w:val="6"/>
        <w:spacing w:before="93" w:after="93"/>
        <w:ind w:firstLine="480" w:firstLineChars="200"/>
        <w:rPr>
          <w:rFonts w:ascii="Times New Roman" w:hAnsi="Times New Roman" w:eastAsia="仿宋" w:cs="Times New Roman"/>
          <w:bCs w:val="0"/>
          <w:sz w:val="24"/>
          <w:szCs w:val="24"/>
        </w:rPr>
      </w:pPr>
      <w:r>
        <w:rPr>
          <w:rFonts w:ascii="Times New Roman" w:hAnsi="Times New Roman" w:eastAsia="仿宋" w:cs="Times New Roman"/>
          <w:bCs w:val="0"/>
          <w:sz w:val="24"/>
          <w:szCs w:val="24"/>
        </w:rPr>
        <w:t>1</w:t>
      </w:r>
      <w:r>
        <w:rPr>
          <w:rFonts w:hint="eastAsia" w:ascii="Times New Roman" w:hAnsi="Times New Roman" w:eastAsia="仿宋" w:cs="Times New Roman"/>
          <w:bCs w:val="0"/>
          <w:sz w:val="24"/>
          <w:szCs w:val="24"/>
          <w:lang w:val="en-US" w:eastAsia="zh-CN"/>
        </w:rPr>
        <w:t>.</w:t>
      </w:r>
      <w:r>
        <w:rPr>
          <w:rFonts w:hint="eastAsia" w:ascii="Times New Roman" w:hAnsi="Times New Roman" w:eastAsia="仿宋" w:cs="Times New Roman"/>
          <w:bCs w:val="0"/>
          <w:sz w:val="24"/>
          <w:szCs w:val="24"/>
        </w:rPr>
        <w:t>分区原则</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参照建设主管部门的行政边界，以中山市各镇街作为目标单元划分的基础。针对各目标单元发展潜力，可进一步划分重点区域、核心目标单元和基础目标单元，前者指标要求高于后者。</w:t>
      </w:r>
    </w:p>
    <w:p>
      <w:pPr>
        <w:pStyle w:val="6"/>
        <w:spacing w:before="93" w:after="93"/>
        <w:ind w:firstLine="480" w:firstLineChars="200"/>
        <w:rPr>
          <w:rFonts w:ascii="Times New Roman" w:hAnsi="Times New Roman" w:eastAsia="仿宋" w:cs="Times New Roman"/>
          <w:bCs w:val="0"/>
          <w:sz w:val="24"/>
          <w:szCs w:val="24"/>
        </w:rPr>
      </w:pPr>
      <w:r>
        <w:rPr>
          <w:rFonts w:ascii="Times New Roman" w:hAnsi="Times New Roman" w:eastAsia="仿宋" w:cs="Times New Roman"/>
          <w:bCs w:val="0"/>
          <w:sz w:val="24"/>
          <w:szCs w:val="24"/>
        </w:rPr>
        <w:t>2</w:t>
      </w:r>
      <w:r>
        <w:rPr>
          <w:rFonts w:hint="eastAsia" w:ascii="Times New Roman" w:hAnsi="Times New Roman" w:eastAsia="仿宋" w:cs="Times New Roman"/>
          <w:bCs w:val="0"/>
          <w:sz w:val="24"/>
          <w:szCs w:val="24"/>
          <w:lang w:val="en-US" w:eastAsia="zh-CN"/>
        </w:rPr>
        <w:t>.</w:t>
      </w:r>
      <w:r>
        <w:rPr>
          <w:rFonts w:hint="eastAsia" w:ascii="Times New Roman" w:hAnsi="Times New Roman" w:eastAsia="仿宋" w:cs="Times New Roman"/>
          <w:bCs w:val="0"/>
          <w:sz w:val="24"/>
          <w:szCs w:val="24"/>
        </w:rPr>
        <w:t>分区列表与指标要求</w:t>
      </w:r>
    </w:p>
    <w:p>
      <w:pPr>
        <w:pStyle w:val="2"/>
        <w:spacing w:before="156" w:after="93"/>
        <w:ind w:firstLine="480"/>
        <w:rPr>
          <w:rFonts w:ascii="Times New Roman" w:hAnsi="Times New Roman" w:eastAsia="仿宋"/>
          <w:sz w:val="24"/>
        </w:rPr>
      </w:pPr>
      <w:r>
        <w:rPr>
          <w:rFonts w:hint="eastAsia" w:ascii="Times New Roman" w:hAnsi="Times New Roman" w:eastAsia="仿宋"/>
          <w:sz w:val="24"/>
        </w:rPr>
        <w:t>（1）中心城区发展组团目标单元</w:t>
      </w:r>
    </w:p>
    <w:p>
      <w:pPr>
        <w:pStyle w:val="2"/>
        <w:spacing w:before="156" w:after="93"/>
        <w:ind w:firstLine="480"/>
        <w:rPr>
          <w:rFonts w:ascii="Times New Roman" w:hAnsi="Times New Roman" w:eastAsia="仿宋"/>
          <w:sz w:val="24"/>
        </w:rPr>
      </w:pPr>
      <w:r>
        <w:rPr>
          <w:rFonts w:hint="eastAsia" w:ascii="Times New Roman" w:hAnsi="Times New Roman" w:eastAsia="仿宋"/>
          <w:sz w:val="24"/>
        </w:rPr>
        <w:t>在中心城区发展组团中划分出</w:t>
      </w:r>
      <w:r>
        <w:rPr>
          <w:rFonts w:ascii="Times New Roman" w:hAnsi="Times New Roman" w:eastAsia="仿宋"/>
          <w:sz w:val="24"/>
        </w:rPr>
        <w:t>8</w:t>
      </w:r>
      <w:r>
        <w:rPr>
          <w:rFonts w:hint="eastAsia" w:ascii="Times New Roman" w:hAnsi="Times New Roman" w:eastAsia="仿宋"/>
          <w:sz w:val="24"/>
        </w:rPr>
        <w:t>个目标单元，其中：重点区域</w:t>
      </w:r>
      <w:r>
        <w:rPr>
          <w:rFonts w:ascii="Times New Roman" w:hAnsi="Times New Roman" w:eastAsia="仿宋"/>
          <w:sz w:val="24"/>
        </w:rPr>
        <w:t>2</w:t>
      </w:r>
      <w:r>
        <w:rPr>
          <w:rFonts w:hint="eastAsia" w:ascii="Times New Roman" w:hAnsi="Times New Roman" w:eastAsia="仿宋"/>
          <w:sz w:val="24"/>
        </w:rPr>
        <w:t>个，核心目标单元2个，基础目标单元4个。</w:t>
      </w:r>
    </w:p>
    <w:p>
      <w:pPr>
        <w:pStyle w:val="2"/>
        <w:spacing w:before="156" w:after="93"/>
        <w:ind w:firstLine="0" w:firstLineChars="0"/>
        <w:jc w:val="center"/>
        <w:rPr>
          <w:rFonts w:ascii="仿宋" w:hAnsi="仿宋" w:eastAsia="仿宋"/>
          <w:b/>
          <w:bCs/>
          <w:sz w:val="21"/>
          <w:szCs w:val="21"/>
        </w:rPr>
      </w:pPr>
      <w:r>
        <w:rPr>
          <w:rFonts w:ascii="仿宋" w:hAnsi="仿宋" w:eastAsia="仿宋"/>
          <w:b/>
          <w:bCs/>
          <w:sz w:val="21"/>
          <w:szCs w:val="21"/>
        </w:rPr>
        <w:t>表</w:t>
      </w:r>
      <w:r>
        <w:rPr>
          <w:rFonts w:hint="eastAsia" w:ascii="仿宋" w:hAnsi="仿宋" w:eastAsia="仿宋"/>
          <w:b/>
          <w:bCs/>
          <w:sz w:val="21"/>
          <w:szCs w:val="21"/>
        </w:rPr>
        <w:t>5</w:t>
      </w:r>
      <w:r>
        <w:rPr>
          <w:rFonts w:ascii="仿宋" w:hAnsi="仿宋" w:eastAsia="仿宋"/>
          <w:b/>
          <w:bCs/>
          <w:sz w:val="21"/>
          <w:szCs w:val="21"/>
        </w:rPr>
        <w:t xml:space="preserve"> </w:t>
      </w:r>
      <w:r>
        <w:rPr>
          <w:rFonts w:hint="eastAsia" w:ascii="仿宋" w:hAnsi="仿宋" w:eastAsia="仿宋"/>
          <w:b/>
          <w:bCs/>
          <w:sz w:val="21"/>
          <w:szCs w:val="21"/>
        </w:rPr>
        <w:t>中心城区发展组团目标单元汇总表</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5"/>
        <w:gridCol w:w="4456"/>
        <w:gridCol w:w="1610"/>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574"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目标单元类别</w:t>
            </w:r>
          </w:p>
        </w:tc>
        <w:tc>
          <w:tcPr>
            <w:tcW w:w="2597"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目标单元名称</w:t>
            </w:r>
          </w:p>
        </w:tc>
        <w:tc>
          <w:tcPr>
            <w:tcW w:w="938"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目标单元编号</w:t>
            </w:r>
          </w:p>
        </w:tc>
        <w:tc>
          <w:tcPr>
            <w:tcW w:w="891"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目标单元数量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574" w:type="pct"/>
            <w:vMerge w:val="restar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重点区域</w:t>
            </w:r>
          </w:p>
        </w:tc>
        <w:tc>
          <w:tcPr>
            <w:tcW w:w="2597"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港口镇岐江新城区域</w:t>
            </w:r>
          </w:p>
        </w:tc>
        <w:tc>
          <w:tcPr>
            <w:tcW w:w="938"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ZXCQ-GK-B</w:t>
            </w:r>
          </w:p>
        </w:tc>
        <w:tc>
          <w:tcPr>
            <w:tcW w:w="891" w:type="pct"/>
            <w:vMerge w:val="restar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574" w:type="pct"/>
            <w:vMerge w:val="continue"/>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p>
        </w:tc>
        <w:tc>
          <w:tcPr>
            <w:tcW w:w="2597"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石岐街道岐江新城区域</w:t>
            </w:r>
          </w:p>
        </w:tc>
        <w:tc>
          <w:tcPr>
            <w:tcW w:w="938"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ZXCQ-SQ-A</w:t>
            </w:r>
          </w:p>
        </w:tc>
        <w:tc>
          <w:tcPr>
            <w:tcW w:w="891" w:type="pct"/>
            <w:vMerge w:val="continue"/>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574" w:type="pct"/>
            <w:vMerge w:val="restar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核心目标单元</w:t>
            </w:r>
          </w:p>
        </w:tc>
        <w:tc>
          <w:tcPr>
            <w:tcW w:w="2597"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石岐街道非岐江新城区域</w:t>
            </w:r>
          </w:p>
        </w:tc>
        <w:tc>
          <w:tcPr>
            <w:tcW w:w="938"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ZXCQ-SQ-B</w:t>
            </w:r>
          </w:p>
        </w:tc>
        <w:tc>
          <w:tcPr>
            <w:tcW w:w="891" w:type="pct"/>
            <w:vMerge w:val="restar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574" w:type="pct"/>
            <w:vMerge w:val="continue"/>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p>
        </w:tc>
        <w:tc>
          <w:tcPr>
            <w:tcW w:w="2597"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东区街道</w:t>
            </w:r>
          </w:p>
        </w:tc>
        <w:tc>
          <w:tcPr>
            <w:tcW w:w="938"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ZXCQ-DQ</w:t>
            </w:r>
          </w:p>
        </w:tc>
        <w:tc>
          <w:tcPr>
            <w:tcW w:w="891" w:type="pct"/>
            <w:vMerge w:val="continue"/>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574" w:type="pct"/>
            <w:vMerge w:val="restar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基础目标单元</w:t>
            </w:r>
          </w:p>
        </w:tc>
        <w:tc>
          <w:tcPr>
            <w:tcW w:w="2597"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五桂山街道</w:t>
            </w:r>
          </w:p>
        </w:tc>
        <w:tc>
          <w:tcPr>
            <w:tcW w:w="938"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ZXCQ-WGS</w:t>
            </w:r>
          </w:p>
        </w:tc>
        <w:tc>
          <w:tcPr>
            <w:tcW w:w="891" w:type="pct"/>
            <w:vMerge w:val="restar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574" w:type="pct"/>
            <w:vMerge w:val="continue"/>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p>
        </w:tc>
        <w:tc>
          <w:tcPr>
            <w:tcW w:w="2597"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南区街道</w:t>
            </w:r>
          </w:p>
        </w:tc>
        <w:tc>
          <w:tcPr>
            <w:tcW w:w="938"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ZXCQ-NQ</w:t>
            </w:r>
          </w:p>
        </w:tc>
        <w:tc>
          <w:tcPr>
            <w:tcW w:w="891" w:type="pct"/>
            <w:vMerge w:val="continue"/>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宋体"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574" w:type="pct"/>
            <w:vMerge w:val="continue"/>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p>
        </w:tc>
        <w:tc>
          <w:tcPr>
            <w:tcW w:w="2597"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西区街道</w:t>
            </w:r>
          </w:p>
        </w:tc>
        <w:tc>
          <w:tcPr>
            <w:tcW w:w="938"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ZXCQ-XQ</w:t>
            </w:r>
          </w:p>
        </w:tc>
        <w:tc>
          <w:tcPr>
            <w:tcW w:w="891" w:type="pct"/>
            <w:vMerge w:val="continue"/>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宋体"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574" w:type="pct"/>
            <w:vMerge w:val="continue"/>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p>
        </w:tc>
        <w:tc>
          <w:tcPr>
            <w:tcW w:w="2597"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港口镇非岐江新城区域</w:t>
            </w:r>
          </w:p>
        </w:tc>
        <w:tc>
          <w:tcPr>
            <w:tcW w:w="938"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ZXCQ-GK-A</w:t>
            </w:r>
          </w:p>
        </w:tc>
        <w:tc>
          <w:tcPr>
            <w:tcW w:w="891" w:type="pct"/>
            <w:vMerge w:val="continue"/>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宋体" w:cs="Times New Roman"/>
                <w:b/>
                <w:bCs/>
                <w:kern w:val="0"/>
                <w:sz w:val="21"/>
                <w:szCs w:val="21"/>
              </w:rPr>
            </w:pPr>
          </w:p>
        </w:tc>
      </w:tr>
    </w:tbl>
    <w:p>
      <w:pPr>
        <w:pStyle w:val="2"/>
        <w:spacing w:before="156" w:after="93"/>
        <w:ind w:firstLine="480"/>
        <w:rPr>
          <w:rFonts w:hint="eastAsia" w:ascii="Times New Roman" w:hAnsi="Times New Roman" w:eastAsia="仿宋"/>
          <w:sz w:val="24"/>
        </w:rPr>
      </w:pPr>
    </w:p>
    <w:p>
      <w:pPr>
        <w:pStyle w:val="2"/>
        <w:spacing w:before="156" w:after="93"/>
        <w:ind w:firstLine="480"/>
        <w:rPr>
          <w:rFonts w:hint="eastAsia" w:ascii="Times New Roman" w:hAnsi="Times New Roman" w:eastAsia="仿宋"/>
          <w:sz w:val="24"/>
        </w:rPr>
      </w:pPr>
    </w:p>
    <w:p>
      <w:pPr>
        <w:pStyle w:val="2"/>
        <w:spacing w:before="156" w:after="93"/>
        <w:ind w:firstLine="480"/>
        <w:rPr>
          <w:rFonts w:hint="eastAsia" w:ascii="Times New Roman" w:hAnsi="Times New Roman" w:eastAsia="仿宋"/>
          <w:sz w:val="24"/>
        </w:rPr>
      </w:pPr>
    </w:p>
    <w:p>
      <w:pPr>
        <w:pStyle w:val="2"/>
        <w:spacing w:before="156" w:after="93"/>
        <w:ind w:firstLine="480"/>
        <w:rPr>
          <w:rFonts w:hint="eastAsia" w:ascii="Times New Roman" w:hAnsi="Times New Roman" w:eastAsia="仿宋"/>
          <w:sz w:val="24"/>
        </w:rPr>
      </w:pPr>
    </w:p>
    <w:p>
      <w:pPr>
        <w:pStyle w:val="2"/>
        <w:spacing w:before="156" w:after="93"/>
        <w:ind w:firstLine="480"/>
        <w:rPr>
          <w:rFonts w:ascii="Times New Roman" w:hAnsi="Times New Roman" w:eastAsia="仿宋"/>
          <w:sz w:val="24"/>
        </w:rPr>
      </w:pPr>
      <w:r>
        <w:rPr>
          <w:rFonts w:hint="eastAsia" w:ascii="Times New Roman" w:hAnsi="Times New Roman" w:eastAsia="仿宋"/>
          <w:sz w:val="24"/>
        </w:rPr>
        <w:t>（</w:t>
      </w:r>
      <w:r>
        <w:rPr>
          <w:rFonts w:ascii="Times New Roman" w:hAnsi="Times New Roman" w:eastAsia="仿宋"/>
          <w:sz w:val="24"/>
        </w:rPr>
        <w:t>2</w:t>
      </w:r>
      <w:r>
        <w:rPr>
          <w:rFonts w:hint="eastAsia" w:ascii="Times New Roman" w:hAnsi="Times New Roman" w:eastAsia="仿宋"/>
          <w:sz w:val="24"/>
        </w:rPr>
        <w:t>）翠亨新区发展组团目标单元</w:t>
      </w:r>
    </w:p>
    <w:p>
      <w:pPr>
        <w:pStyle w:val="2"/>
        <w:spacing w:before="156" w:after="93"/>
        <w:ind w:firstLine="480"/>
        <w:rPr>
          <w:rFonts w:ascii="Times New Roman" w:hAnsi="Times New Roman" w:eastAsia="仿宋"/>
          <w:sz w:val="24"/>
        </w:rPr>
      </w:pPr>
      <w:r>
        <w:rPr>
          <w:rFonts w:hint="eastAsia" w:ascii="Times New Roman" w:hAnsi="Times New Roman" w:eastAsia="仿宋"/>
          <w:sz w:val="24"/>
        </w:rPr>
        <w:t>在翠亨新区发展组团中划分出2个目标单元，其中：重点区域2个，核心目标单元0个，基础目标单元0个。</w:t>
      </w:r>
    </w:p>
    <w:p>
      <w:pPr>
        <w:pStyle w:val="2"/>
        <w:spacing w:before="156" w:after="93"/>
        <w:ind w:firstLine="0" w:firstLineChars="0"/>
        <w:jc w:val="center"/>
        <w:rPr>
          <w:rFonts w:ascii="仿宋" w:hAnsi="仿宋" w:eastAsia="仿宋"/>
          <w:b/>
          <w:bCs/>
          <w:sz w:val="21"/>
          <w:szCs w:val="21"/>
        </w:rPr>
      </w:pPr>
      <w:r>
        <w:rPr>
          <w:rFonts w:ascii="仿宋" w:hAnsi="仿宋" w:eastAsia="仿宋"/>
          <w:b/>
          <w:bCs/>
          <w:sz w:val="21"/>
          <w:szCs w:val="21"/>
        </w:rPr>
        <w:t>表</w:t>
      </w:r>
      <w:r>
        <w:rPr>
          <w:rFonts w:hint="eastAsia" w:ascii="仿宋" w:hAnsi="仿宋" w:eastAsia="仿宋"/>
          <w:b/>
          <w:bCs/>
          <w:sz w:val="21"/>
          <w:szCs w:val="21"/>
        </w:rPr>
        <w:t>6</w:t>
      </w:r>
      <w:r>
        <w:rPr>
          <w:rFonts w:ascii="仿宋" w:hAnsi="仿宋" w:eastAsia="仿宋"/>
          <w:b/>
          <w:bCs/>
          <w:sz w:val="21"/>
          <w:szCs w:val="21"/>
        </w:rPr>
        <w:t xml:space="preserve"> </w:t>
      </w:r>
      <w:r>
        <w:rPr>
          <w:rFonts w:hint="eastAsia" w:ascii="仿宋" w:hAnsi="仿宋" w:eastAsia="仿宋"/>
          <w:b/>
          <w:bCs/>
          <w:sz w:val="21"/>
          <w:szCs w:val="21"/>
        </w:rPr>
        <w:t>翠亨新区发展组团目标单元汇总表</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47"/>
        <w:gridCol w:w="2145"/>
        <w:gridCol w:w="2145"/>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1251"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目标单元类别</w:t>
            </w:r>
          </w:p>
        </w:tc>
        <w:tc>
          <w:tcPr>
            <w:tcW w:w="125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目标单元名称</w:t>
            </w:r>
          </w:p>
        </w:tc>
        <w:tc>
          <w:tcPr>
            <w:tcW w:w="1250"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目标单元编号</w:t>
            </w:r>
          </w:p>
        </w:tc>
        <w:tc>
          <w:tcPr>
            <w:tcW w:w="1249"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目标单元数量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1251" w:type="pct"/>
            <w:vMerge w:val="restar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重点区域</w:t>
            </w:r>
          </w:p>
        </w:tc>
        <w:tc>
          <w:tcPr>
            <w:tcW w:w="125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南朗街道</w:t>
            </w:r>
          </w:p>
        </w:tc>
        <w:tc>
          <w:tcPr>
            <w:tcW w:w="1250" w:type="pct"/>
            <w:shd w:val="clear" w:color="auto" w:fill="auto"/>
            <w:tcMar>
              <w:top w:w="15" w:type="dxa"/>
              <w:left w:w="134" w:type="dxa"/>
              <w:bottom w:w="0" w:type="dxa"/>
              <w:right w:w="134" w:type="dxa"/>
            </w:tcMa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CHXQ-NL</w:t>
            </w:r>
          </w:p>
        </w:tc>
        <w:tc>
          <w:tcPr>
            <w:tcW w:w="1249" w:type="pct"/>
            <w:vMerge w:val="restar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1251" w:type="pct"/>
            <w:vMerge w:val="continue"/>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p>
        </w:tc>
        <w:tc>
          <w:tcPr>
            <w:tcW w:w="125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翠亨新区</w:t>
            </w:r>
          </w:p>
        </w:tc>
        <w:tc>
          <w:tcPr>
            <w:tcW w:w="1250" w:type="pct"/>
            <w:shd w:val="clear" w:color="auto" w:fill="auto"/>
            <w:tcMar>
              <w:top w:w="15" w:type="dxa"/>
              <w:left w:w="134" w:type="dxa"/>
              <w:bottom w:w="0" w:type="dxa"/>
              <w:right w:w="134" w:type="dxa"/>
            </w:tcMa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CHXQ-CH</w:t>
            </w:r>
          </w:p>
        </w:tc>
        <w:tc>
          <w:tcPr>
            <w:tcW w:w="1249" w:type="pct"/>
            <w:vMerge w:val="continue"/>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宋体" w:cs="Times New Roman"/>
                <w:b/>
                <w:bCs/>
                <w:kern w:val="0"/>
                <w:sz w:val="21"/>
                <w:szCs w:val="21"/>
              </w:rPr>
            </w:pPr>
          </w:p>
        </w:tc>
      </w:tr>
    </w:tbl>
    <w:p>
      <w:pPr>
        <w:pStyle w:val="2"/>
        <w:spacing w:before="156" w:after="93"/>
        <w:ind w:firstLine="480"/>
        <w:rPr>
          <w:rFonts w:ascii="Times New Roman" w:hAnsi="Times New Roman" w:eastAsia="仿宋"/>
          <w:sz w:val="24"/>
        </w:rPr>
      </w:pPr>
      <w:r>
        <w:rPr>
          <w:rFonts w:hint="eastAsia" w:ascii="Times New Roman" w:hAnsi="Times New Roman" w:eastAsia="仿宋"/>
          <w:sz w:val="24"/>
        </w:rPr>
        <w:t>（</w:t>
      </w:r>
      <w:r>
        <w:rPr>
          <w:rFonts w:ascii="Times New Roman" w:hAnsi="Times New Roman" w:eastAsia="仿宋"/>
          <w:sz w:val="24"/>
        </w:rPr>
        <w:t>3</w:t>
      </w:r>
      <w:r>
        <w:rPr>
          <w:rFonts w:hint="eastAsia" w:ascii="Times New Roman" w:hAnsi="Times New Roman" w:eastAsia="仿宋"/>
          <w:sz w:val="24"/>
        </w:rPr>
        <w:t>）</w:t>
      </w:r>
      <w:r>
        <w:rPr>
          <w:rFonts w:hint="eastAsia" w:ascii="Times New Roman" w:hAnsi="Times New Roman" w:eastAsia="仿宋"/>
          <w:sz w:val="24"/>
          <w:lang w:eastAsia="zh-CN"/>
        </w:rPr>
        <w:t>火炬开发区</w:t>
      </w:r>
      <w:r>
        <w:rPr>
          <w:rFonts w:hint="eastAsia" w:ascii="Times New Roman" w:hAnsi="Times New Roman" w:eastAsia="仿宋"/>
          <w:sz w:val="24"/>
        </w:rPr>
        <w:t>发展组团目标单元</w:t>
      </w:r>
    </w:p>
    <w:p>
      <w:pPr>
        <w:pStyle w:val="2"/>
        <w:spacing w:before="156" w:after="93"/>
        <w:ind w:firstLine="480"/>
        <w:rPr>
          <w:rFonts w:ascii="Times New Roman" w:hAnsi="Times New Roman" w:eastAsia="仿宋"/>
          <w:sz w:val="24"/>
        </w:rPr>
      </w:pPr>
      <w:r>
        <w:rPr>
          <w:rFonts w:hint="eastAsia" w:ascii="Times New Roman" w:hAnsi="Times New Roman" w:eastAsia="仿宋"/>
          <w:sz w:val="24"/>
        </w:rPr>
        <w:t>在</w:t>
      </w:r>
      <w:r>
        <w:rPr>
          <w:rFonts w:hint="eastAsia" w:ascii="Times New Roman" w:hAnsi="Times New Roman" w:eastAsia="仿宋"/>
          <w:sz w:val="24"/>
          <w:lang w:eastAsia="zh-CN"/>
        </w:rPr>
        <w:t>火炬开发区</w:t>
      </w:r>
      <w:r>
        <w:rPr>
          <w:rFonts w:hint="eastAsia" w:ascii="Times New Roman" w:hAnsi="Times New Roman" w:eastAsia="仿宋"/>
          <w:sz w:val="24"/>
        </w:rPr>
        <w:t>发展组团中划分出2个目标单元，其中：重点区域2个，核心目标单元0个，基础目标单元0个。</w:t>
      </w:r>
    </w:p>
    <w:p>
      <w:pPr>
        <w:pStyle w:val="2"/>
        <w:spacing w:before="156" w:after="93"/>
        <w:ind w:firstLine="0" w:firstLineChars="0"/>
        <w:jc w:val="center"/>
        <w:rPr>
          <w:rFonts w:ascii="仿宋" w:hAnsi="仿宋" w:eastAsia="仿宋"/>
          <w:b/>
          <w:bCs/>
          <w:sz w:val="21"/>
          <w:szCs w:val="21"/>
        </w:rPr>
      </w:pPr>
      <w:r>
        <w:rPr>
          <w:rFonts w:ascii="仿宋" w:hAnsi="仿宋" w:eastAsia="仿宋"/>
          <w:b/>
          <w:bCs/>
          <w:sz w:val="21"/>
          <w:szCs w:val="21"/>
        </w:rPr>
        <w:t>表</w:t>
      </w:r>
      <w:r>
        <w:rPr>
          <w:rFonts w:hint="eastAsia" w:ascii="仿宋" w:hAnsi="仿宋" w:eastAsia="仿宋"/>
          <w:b/>
          <w:bCs/>
          <w:sz w:val="21"/>
          <w:szCs w:val="21"/>
        </w:rPr>
        <w:t>7</w:t>
      </w:r>
      <w:r>
        <w:rPr>
          <w:rFonts w:ascii="仿宋" w:hAnsi="仿宋" w:eastAsia="仿宋"/>
          <w:b/>
          <w:bCs/>
          <w:sz w:val="21"/>
          <w:szCs w:val="21"/>
        </w:rPr>
        <w:t xml:space="preserve"> </w:t>
      </w:r>
      <w:r>
        <w:rPr>
          <w:rFonts w:hint="eastAsia" w:ascii="仿宋" w:hAnsi="仿宋" w:eastAsia="仿宋"/>
          <w:b/>
          <w:bCs/>
          <w:sz w:val="21"/>
          <w:szCs w:val="21"/>
          <w:lang w:eastAsia="zh-CN"/>
        </w:rPr>
        <w:t>火炬开发区</w:t>
      </w:r>
      <w:r>
        <w:rPr>
          <w:rFonts w:hint="eastAsia" w:ascii="仿宋" w:hAnsi="仿宋" w:eastAsia="仿宋"/>
          <w:b/>
          <w:bCs/>
          <w:sz w:val="21"/>
          <w:szCs w:val="21"/>
        </w:rPr>
        <w:t>发展组团目标单元汇总表</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27"/>
        <w:gridCol w:w="2563"/>
        <w:gridCol w:w="2146"/>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1007"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目标单元类别</w:t>
            </w:r>
          </w:p>
        </w:tc>
        <w:tc>
          <w:tcPr>
            <w:tcW w:w="1493"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目标单元名称</w:t>
            </w:r>
          </w:p>
        </w:tc>
        <w:tc>
          <w:tcPr>
            <w:tcW w:w="1250"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目标单元编号</w:t>
            </w:r>
          </w:p>
        </w:tc>
        <w:tc>
          <w:tcPr>
            <w:tcW w:w="1249"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目标单元数量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1007" w:type="pct"/>
            <w:vMerge w:val="restar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重点区域</w:t>
            </w:r>
          </w:p>
        </w:tc>
        <w:tc>
          <w:tcPr>
            <w:tcW w:w="1493"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中山港街道（火炬开发区）</w:t>
            </w:r>
          </w:p>
        </w:tc>
        <w:tc>
          <w:tcPr>
            <w:tcW w:w="1250" w:type="pct"/>
            <w:shd w:val="clear" w:color="auto" w:fill="auto"/>
            <w:tcMar>
              <w:top w:w="15" w:type="dxa"/>
              <w:left w:w="134" w:type="dxa"/>
              <w:bottom w:w="0" w:type="dxa"/>
              <w:right w:w="134" w:type="dxa"/>
            </w:tcMa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HJQ-ZSG</w:t>
            </w:r>
          </w:p>
        </w:tc>
        <w:tc>
          <w:tcPr>
            <w:tcW w:w="1249" w:type="pct"/>
            <w:vMerge w:val="restar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1007" w:type="pct"/>
            <w:vMerge w:val="continue"/>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p>
        </w:tc>
        <w:tc>
          <w:tcPr>
            <w:tcW w:w="1493"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民众街道</w:t>
            </w:r>
          </w:p>
        </w:tc>
        <w:tc>
          <w:tcPr>
            <w:tcW w:w="1250" w:type="pct"/>
            <w:shd w:val="clear" w:color="auto" w:fill="auto"/>
            <w:tcMar>
              <w:top w:w="15" w:type="dxa"/>
              <w:left w:w="134" w:type="dxa"/>
              <w:bottom w:w="0" w:type="dxa"/>
              <w:right w:w="134" w:type="dxa"/>
            </w:tcMa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HJQ-MZ</w:t>
            </w:r>
          </w:p>
        </w:tc>
        <w:tc>
          <w:tcPr>
            <w:tcW w:w="1249" w:type="pct"/>
            <w:vMerge w:val="continue"/>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宋体" w:cs="Times New Roman"/>
                <w:b/>
                <w:bCs/>
                <w:kern w:val="0"/>
                <w:sz w:val="21"/>
                <w:szCs w:val="21"/>
              </w:rPr>
            </w:pPr>
          </w:p>
        </w:tc>
      </w:tr>
    </w:tbl>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（4）西部发展组团目标单元</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在西部发展组团中划分出5个目标单元，其中：重点区域0个，核心目标单元1个，基础目标单元4个。</w:t>
      </w:r>
    </w:p>
    <w:p>
      <w:pPr>
        <w:pStyle w:val="2"/>
        <w:spacing w:before="156" w:after="93"/>
        <w:ind w:firstLine="0" w:firstLineChars="0"/>
        <w:jc w:val="center"/>
        <w:rPr>
          <w:rFonts w:ascii="仿宋" w:hAnsi="仿宋" w:eastAsia="仿宋"/>
          <w:b/>
          <w:bCs/>
          <w:sz w:val="21"/>
          <w:szCs w:val="21"/>
        </w:rPr>
      </w:pPr>
      <w:r>
        <w:rPr>
          <w:rFonts w:ascii="仿宋" w:hAnsi="仿宋" w:eastAsia="仿宋"/>
          <w:b/>
          <w:bCs/>
          <w:sz w:val="21"/>
          <w:szCs w:val="21"/>
        </w:rPr>
        <w:t>表</w:t>
      </w:r>
      <w:r>
        <w:rPr>
          <w:rFonts w:hint="eastAsia" w:ascii="仿宋" w:hAnsi="仿宋" w:eastAsia="仿宋"/>
          <w:b/>
          <w:bCs/>
          <w:sz w:val="21"/>
          <w:szCs w:val="21"/>
        </w:rPr>
        <w:t>8西部发展组团目标单元汇总表</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47"/>
        <w:gridCol w:w="2145"/>
        <w:gridCol w:w="2145"/>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1251"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目标单元类别</w:t>
            </w:r>
          </w:p>
        </w:tc>
        <w:tc>
          <w:tcPr>
            <w:tcW w:w="125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目标单元名称</w:t>
            </w:r>
          </w:p>
        </w:tc>
        <w:tc>
          <w:tcPr>
            <w:tcW w:w="1250"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目标单元编号</w:t>
            </w:r>
          </w:p>
        </w:tc>
        <w:tc>
          <w:tcPr>
            <w:tcW w:w="1249"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目标单元数量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1251"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核心目标单元</w:t>
            </w:r>
          </w:p>
        </w:tc>
        <w:tc>
          <w:tcPr>
            <w:tcW w:w="125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小榄镇</w:t>
            </w:r>
          </w:p>
        </w:tc>
        <w:tc>
          <w:tcPr>
            <w:tcW w:w="1250"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XBZT-XL</w:t>
            </w:r>
          </w:p>
        </w:tc>
        <w:tc>
          <w:tcPr>
            <w:tcW w:w="1249"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1251" w:type="pct"/>
            <w:vMerge w:val="restar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基础目标单元</w:t>
            </w:r>
          </w:p>
        </w:tc>
        <w:tc>
          <w:tcPr>
            <w:tcW w:w="125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古镇镇</w:t>
            </w:r>
          </w:p>
        </w:tc>
        <w:tc>
          <w:tcPr>
            <w:tcW w:w="1250"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XBZT-GZ</w:t>
            </w:r>
          </w:p>
        </w:tc>
        <w:tc>
          <w:tcPr>
            <w:tcW w:w="1249" w:type="pct"/>
            <w:vMerge w:val="restar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1251" w:type="pct"/>
            <w:vMerge w:val="continue"/>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p>
        </w:tc>
        <w:tc>
          <w:tcPr>
            <w:tcW w:w="125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横栏镇</w:t>
            </w:r>
          </w:p>
        </w:tc>
        <w:tc>
          <w:tcPr>
            <w:tcW w:w="1250"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XBZT-HL</w:t>
            </w:r>
          </w:p>
        </w:tc>
        <w:tc>
          <w:tcPr>
            <w:tcW w:w="1249" w:type="pct"/>
            <w:vMerge w:val="continue"/>
            <w:shd w:val="clear" w:color="auto" w:fill="auto"/>
            <w:tcMar>
              <w:top w:w="15" w:type="dxa"/>
              <w:left w:w="134" w:type="dxa"/>
              <w:bottom w:w="0" w:type="dxa"/>
              <w:right w:w="134" w:type="dxa"/>
            </w:tcMar>
            <w:vAlign w:val="center"/>
          </w:tcPr>
          <w:p>
            <w:pPr>
              <w:pStyle w:val="303"/>
              <w:rPr>
                <w:rFonts w:hint="default" w:ascii="Times New Roman" w:hAnsi="Times New Roman"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1251" w:type="pct"/>
            <w:vMerge w:val="continue"/>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p>
        </w:tc>
        <w:tc>
          <w:tcPr>
            <w:tcW w:w="125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大涌镇</w:t>
            </w:r>
          </w:p>
        </w:tc>
        <w:tc>
          <w:tcPr>
            <w:tcW w:w="1250"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XBZT-DC</w:t>
            </w:r>
          </w:p>
        </w:tc>
        <w:tc>
          <w:tcPr>
            <w:tcW w:w="1249" w:type="pct"/>
            <w:vMerge w:val="continue"/>
            <w:shd w:val="clear" w:color="auto" w:fill="auto"/>
            <w:tcMar>
              <w:top w:w="15" w:type="dxa"/>
              <w:left w:w="134" w:type="dxa"/>
              <w:bottom w:w="0" w:type="dxa"/>
              <w:right w:w="134" w:type="dxa"/>
            </w:tcMar>
            <w:vAlign w:val="center"/>
          </w:tcPr>
          <w:p>
            <w:pPr>
              <w:pStyle w:val="303"/>
              <w:rPr>
                <w:rFonts w:hint="default" w:ascii="Times New Roman" w:hAnsi="Times New Roman"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1251" w:type="pct"/>
            <w:vMerge w:val="continue"/>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p>
        </w:tc>
        <w:tc>
          <w:tcPr>
            <w:tcW w:w="125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沙溪镇</w:t>
            </w:r>
          </w:p>
        </w:tc>
        <w:tc>
          <w:tcPr>
            <w:tcW w:w="1250"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XBZT-SX</w:t>
            </w:r>
          </w:p>
        </w:tc>
        <w:tc>
          <w:tcPr>
            <w:tcW w:w="1249" w:type="pct"/>
            <w:vMerge w:val="continue"/>
            <w:shd w:val="clear" w:color="auto" w:fill="auto"/>
            <w:tcMar>
              <w:top w:w="15" w:type="dxa"/>
              <w:left w:w="134" w:type="dxa"/>
              <w:bottom w:w="0" w:type="dxa"/>
              <w:right w:w="134" w:type="dxa"/>
            </w:tcMar>
            <w:vAlign w:val="center"/>
          </w:tcPr>
          <w:p>
            <w:pPr>
              <w:pStyle w:val="303"/>
              <w:rPr>
                <w:rFonts w:hint="default" w:ascii="Times New Roman" w:hAnsi="Times New Roman" w:cs="Times New Roman"/>
                <w:bCs/>
                <w:kern w:val="0"/>
                <w:sz w:val="21"/>
                <w:szCs w:val="21"/>
              </w:rPr>
            </w:pPr>
          </w:p>
        </w:tc>
      </w:tr>
    </w:tbl>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（5）南部发展组团目标单元</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在南部发展组团中划分出4个目标单元，其中：重点区域0个，核心目标单元2个，基础目标单元2个。</w:t>
      </w:r>
    </w:p>
    <w:p>
      <w:pPr>
        <w:pStyle w:val="2"/>
        <w:spacing w:before="156" w:after="93"/>
        <w:ind w:firstLine="0" w:firstLineChars="0"/>
        <w:jc w:val="center"/>
        <w:rPr>
          <w:rFonts w:ascii="仿宋" w:hAnsi="仿宋" w:eastAsia="仿宋"/>
          <w:b/>
          <w:bCs/>
          <w:sz w:val="21"/>
          <w:szCs w:val="21"/>
        </w:rPr>
      </w:pPr>
    </w:p>
    <w:p>
      <w:pPr>
        <w:pStyle w:val="2"/>
        <w:spacing w:before="156" w:after="93"/>
        <w:ind w:firstLine="0" w:firstLineChars="0"/>
        <w:jc w:val="center"/>
        <w:rPr>
          <w:rFonts w:ascii="仿宋" w:hAnsi="仿宋" w:eastAsia="仿宋"/>
          <w:b/>
          <w:bCs/>
          <w:sz w:val="21"/>
          <w:szCs w:val="21"/>
        </w:rPr>
      </w:pPr>
      <w:r>
        <w:rPr>
          <w:rFonts w:ascii="仿宋" w:hAnsi="仿宋" w:eastAsia="仿宋"/>
          <w:b/>
          <w:bCs/>
          <w:sz w:val="21"/>
          <w:szCs w:val="21"/>
        </w:rPr>
        <w:t>表</w:t>
      </w:r>
      <w:r>
        <w:rPr>
          <w:rFonts w:hint="eastAsia" w:ascii="仿宋" w:hAnsi="仿宋" w:eastAsia="仿宋"/>
          <w:b/>
          <w:bCs/>
          <w:sz w:val="21"/>
          <w:szCs w:val="21"/>
        </w:rPr>
        <w:t>9南部发展组团目标单元汇总表</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47"/>
        <w:gridCol w:w="2145"/>
        <w:gridCol w:w="2145"/>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1251"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目标单元类别</w:t>
            </w:r>
          </w:p>
        </w:tc>
        <w:tc>
          <w:tcPr>
            <w:tcW w:w="125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目标单元名称</w:t>
            </w:r>
          </w:p>
        </w:tc>
        <w:tc>
          <w:tcPr>
            <w:tcW w:w="1250"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目标单元编号</w:t>
            </w:r>
          </w:p>
        </w:tc>
        <w:tc>
          <w:tcPr>
            <w:tcW w:w="1249"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目标单元数量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1251" w:type="pct"/>
            <w:vMerge w:val="restar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核心目标单元</w:t>
            </w:r>
          </w:p>
        </w:tc>
        <w:tc>
          <w:tcPr>
            <w:tcW w:w="125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三乡镇</w:t>
            </w:r>
          </w:p>
        </w:tc>
        <w:tc>
          <w:tcPr>
            <w:tcW w:w="1250"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NBZT-SX</w:t>
            </w:r>
          </w:p>
        </w:tc>
        <w:tc>
          <w:tcPr>
            <w:tcW w:w="1249" w:type="pct"/>
            <w:vMerge w:val="restar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1251" w:type="pct"/>
            <w:vMerge w:val="continue"/>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p>
        </w:tc>
        <w:tc>
          <w:tcPr>
            <w:tcW w:w="125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坦洲镇</w:t>
            </w:r>
          </w:p>
        </w:tc>
        <w:tc>
          <w:tcPr>
            <w:tcW w:w="1250"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NBZT-TZ</w:t>
            </w:r>
          </w:p>
        </w:tc>
        <w:tc>
          <w:tcPr>
            <w:tcW w:w="1249" w:type="pct"/>
            <w:vMerge w:val="continue"/>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1251" w:type="pct"/>
            <w:vMerge w:val="restar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基础目标单元</w:t>
            </w:r>
          </w:p>
        </w:tc>
        <w:tc>
          <w:tcPr>
            <w:tcW w:w="125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板芙镇</w:t>
            </w:r>
          </w:p>
        </w:tc>
        <w:tc>
          <w:tcPr>
            <w:tcW w:w="1250"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NBZT-BF</w:t>
            </w:r>
          </w:p>
        </w:tc>
        <w:tc>
          <w:tcPr>
            <w:tcW w:w="1249" w:type="pct"/>
            <w:vMerge w:val="restar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1251" w:type="pct"/>
            <w:vMerge w:val="continue"/>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p>
        </w:tc>
        <w:tc>
          <w:tcPr>
            <w:tcW w:w="125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神湾镇</w:t>
            </w:r>
          </w:p>
        </w:tc>
        <w:tc>
          <w:tcPr>
            <w:tcW w:w="1250"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NBZT-SW</w:t>
            </w:r>
          </w:p>
        </w:tc>
        <w:tc>
          <w:tcPr>
            <w:tcW w:w="1249" w:type="pct"/>
            <w:vMerge w:val="continue"/>
            <w:shd w:val="clear" w:color="auto" w:fill="auto"/>
            <w:tcMar>
              <w:top w:w="15" w:type="dxa"/>
              <w:left w:w="134" w:type="dxa"/>
              <w:bottom w:w="0" w:type="dxa"/>
              <w:right w:w="134" w:type="dxa"/>
            </w:tcMar>
            <w:vAlign w:val="center"/>
          </w:tcPr>
          <w:p>
            <w:pPr>
              <w:pStyle w:val="303"/>
              <w:rPr>
                <w:rFonts w:hint="default" w:ascii="Times New Roman" w:hAnsi="Times New Roman" w:cs="Times New Roman"/>
                <w:bCs/>
                <w:kern w:val="0"/>
                <w:sz w:val="21"/>
                <w:szCs w:val="21"/>
              </w:rPr>
            </w:pPr>
          </w:p>
        </w:tc>
      </w:tr>
    </w:tbl>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（6）北部发展组团目标单元</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在北部发展组团中划分出5个目标单元，其中：重点区域0个，核心目标单元1个，基础目标单元4个。</w:t>
      </w:r>
    </w:p>
    <w:p>
      <w:pPr>
        <w:pStyle w:val="2"/>
        <w:spacing w:before="156" w:after="93"/>
        <w:ind w:firstLine="0" w:firstLineChars="0"/>
        <w:jc w:val="center"/>
        <w:rPr>
          <w:rFonts w:ascii="仿宋" w:hAnsi="仿宋" w:eastAsia="仿宋"/>
          <w:b/>
          <w:bCs/>
          <w:sz w:val="21"/>
          <w:szCs w:val="21"/>
        </w:rPr>
      </w:pPr>
      <w:r>
        <w:rPr>
          <w:rFonts w:ascii="仿宋" w:hAnsi="仿宋" w:eastAsia="仿宋"/>
          <w:b/>
          <w:bCs/>
          <w:sz w:val="21"/>
          <w:szCs w:val="21"/>
        </w:rPr>
        <w:t>表</w:t>
      </w:r>
      <w:r>
        <w:rPr>
          <w:rFonts w:hint="eastAsia" w:ascii="仿宋" w:hAnsi="仿宋" w:eastAsia="仿宋"/>
          <w:b/>
          <w:bCs/>
          <w:sz w:val="21"/>
          <w:szCs w:val="21"/>
        </w:rPr>
        <w:t>10北部发展组团目标单元汇总表</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47"/>
        <w:gridCol w:w="2145"/>
        <w:gridCol w:w="2145"/>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1251"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目标单元类别</w:t>
            </w:r>
          </w:p>
        </w:tc>
        <w:tc>
          <w:tcPr>
            <w:tcW w:w="125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目标单元名称</w:t>
            </w:r>
          </w:p>
        </w:tc>
        <w:tc>
          <w:tcPr>
            <w:tcW w:w="1250"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目标单元编号</w:t>
            </w:r>
          </w:p>
        </w:tc>
        <w:tc>
          <w:tcPr>
            <w:tcW w:w="1249"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目标单元数量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1251"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核心目标单元</w:t>
            </w:r>
          </w:p>
        </w:tc>
        <w:tc>
          <w:tcPr>
            <w:tcW w:w="125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三角镇</w:t>
            </w:r>
          </w:p>
        </w:tc>
        <w:tc>
          <w:tcPr>
            <w:tcW w:w="1250"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BBZT-SJ</w:t>
            </w:r>
          </w:p>
        </w:tc>
        <w:tc>
          <w:tcPr>
            <w:tcW w:w="1249"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 w:hRule="atLeast"/>
          <w:jc w:val="center"/>
        </w:trPr>
        <w:tc>
          <w:tcPr>
            <w:tcW w:w="1251" w:type="pct"/>
            <w:vMerge w:val="restar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基础目标单元</w:t>
            </w:r>
          </w:p>
        </w:tc>
        <w:tc>
          <w:tcPr>
            <w:tcW w:w="125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东凤镇</w:t>
            </w:r>
          </w:p>
        </w:tc>
        <w:tc>
          <w:tcPr>
            <w:tcW w:w="1250"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BBZT-DF</w:t>
            </w:r>
          </w:p>
        </w:tc>
        <w:tc>
          <w:tcPr>
            <w:tcW w:w="1249" w:type="pct"/>
            <w:vMerge w:val="restar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 w:hRule="atLeast"/>
          <w:jc w:val="center"/>
        </w:trPr>
        <w:tc>
          <w:tcPr>
            <w:tcW w:w="1251" w:type="pct"/>
            <w:vMerge w:val="continue"/>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p>
        </w:tc>
        <w:tc>
          <w:tcPr>
            <w:tcW w:w="125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南头镇</w:t>
            </w:r>
          </w:p>
        </w:tc>
        <w:tc>
          <w:tcPr>
            <w:tcW w:w="1250"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BBZT-NT</w:t>
            </w:r>
          </w:p>
        </w:tc>
        <w:tc>
          <w:tcPr>
            <w:tcW w:w="1249" w:type="pct"/>
            <w:vMerge w:val="continue"/>
            <w:shd w:val="clear" w:color="auto" w:fill="auto"/>
            <w:tcMar>
              <w:top w:w="15" w:type="dxa"/>
              <w:left w:w="134" w:type="dxa"/>
              <w:bottom w:w="0" w:type="dxa"/>
              <w:right w:w="134" w:type="dxa"/>
            </w:tcMar>
            <w:vAlign w:val="center"/>
          </w:tcPr>
          <w:p>
            <w:pPr>
              <w:pStyle w:val="303"/>
              <w:rPr>
                <w:rFonts w:hint="default" w:ascii="Times New Roman" w:hAnsi="Times New Roman"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 w:hRule="atLeast"/>
          <w:jc w:val="center"/>
        </w:trPr>
        <w:tc>
          <w:tcPr>
            <w:tcW w:w="1251" w:type="pct"/>
            <w:vMerge w:val="continue"/>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p>
        </w:tc>
        <w:tc>
          <w:tcPr>
            <w:tcW w:w="125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黄圃镇</w:t>
            </w:r>
          </w:p>
        </w:tc>
        <w:tc>
          <w:tcPr>
            <w:tcW w:w="1250"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BBZT-HP</w:t>
            </w:r>
          </w:p>
        </w:tc>
        <w:tc>
          <w:tcPr>
            <w:tcW w:w="1249" w:type="pct"/>
            <w:vMerge w:val="continue"/>
            <w:shd w:val="clear" w:color="auto" w:fill="auto"/>
            <w:tcMar>
              <w:top w:w="15" w:type="dxa"/>
              <w:left w:w="134" w:type="dxa"/>
              <w:bottom w:w="0" w:type="dxa"/>
              <w:right w:w="134" w:type="dxa"/>
            </w:tcMar>
            <w:vAlign w:val="center"/>
          </w:tcPr>
          <w:p>
            <w:pPr>
              <w:pStyle w:val="303"/>
              <w:rPr>
                <w:rFonts w:hint="default" w:ascii="Times New Roman" w:hAnsi="Times New Roman"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 w:hRule="atLeast"/>
          <w:jc w:val="center"/>
        </w:trPr>
        <w:tc>
          <w:tcPr>
            <w:tcW w:w="1251" w:type="pct"/>
            <w:vMerge w:val="continue"/>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p>
        </w:tc>
        <w:tc>
          <w:tcPr>
            <w:tcW w:w="125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阜沙镇</w:t>
            </w:r>
          </w:p>
        </w:tc>
        <w:tc>
          <w:tcPr>
            <w:tcW w:w="1250" w:type="pct"/>
            <w:shd w:val="clear" w:color="auto" w:fill="auto"/>
            <w:tcMar>
              <w:top w:w="15" w:type="dxa"/>
              <w:left w:w="134" w:type="dxa"/>
              <w:bottom w:w="0" w:type="dxa"/>
              <w:right w:w="134"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BBZT-FS</w:t>
            </w:r>
          </w:p>
        </w:tc>
        <w:tc>
          <w:tcPr>
            <w:tcW w:w="1249" w:type="pct"/>
            <w:vMerge w:val="continue"/>
            <w:shd w:val="clear" w:color="auto" w:fill="auto"/>
            <w:tcMar>
              <w:top w:w="15" w:type="dxa"/>
              <w:left w:w="134" w:type="dxa"/>
              <w:bottom w:w="0" w:type="dxa"/>
              <w:right w:w="134" w:type="dxa"/>
            </w:tcMar>
            <w:vAlign w:val="center"/>
          </w:tcPr>
          <w:p>
            <w:pPr>
              <w:pStyle w:val="303"/>
              <w:rPr>
                <w:rFonts w:hint="default" w:ascii="Times New Roman" w:hAnsi="Times New Roman" w:cs="Times New Roman"/>
                <w:bCs/>
                <w:kern w:val="0"/>
                <w:sz w:val="21"/>
                <w:szCs w:val="21"/>
              </w:rPr>
            </w:pPr>
          </w:p>
        </w:tc>
      </w:tr>
    </w:tbl>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根据目标管理单元划分，中山市绿色建筑发展实行重点区域、核心单元和基础单元三级管理，并根据指标控制的方式设置约束性指标和预期性指标。</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其中，约束性指标包括绿色建筑星级、能效水平提升比例，具体控制内容见表</w:t>
      </w:r>
      <w:r>
        <w:rPr>
          <w:rFonts w:ascii="Times New Roman" w:hAnsi="Times New Roman" w:eastAsia="仿宋" w:cs="Times New Roman"/>
          <w:sz w:val="24"/>
        </w:rPr>
        <w:t>11</w:t>
      </w:r>
      <w:r>
        <w:rPr>
          <w:rFonts w:hint="eastAsia" w:ascii="Times New Roman" w:hAnsi="Times New Roman" w:eastAsia="仿宋" w:cs="Times New Roman"/>
          <w:sz w:val="24"/>
        </w:rPr>
        <w:t>。</w:t>
      </w:r>
    </w:p>
    <w:p>
      <w:pPr>
        <w:tabs>
          <w:tab w:val="left" w:pos="1680"/>
        </w:tabs>
        <w:adjustRightInd w:val="0"/>
        <w:snapToGrid w:val="0"/>
        <w:spacing w:before="93" w:beforeLines="30" w:after="93" w:afterLines="30"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预期性指标包括绿色化改造、体育设施室外用地面积、场地声环境、充电设施安装（预留）比例等，具体内容见表</w:t>
      </w:r>
      <w:r>
        <w:rPr>
          <w:rFonts w:ascii="Times New Roman" w:hAnsi="Times New Roman" w:eastAsia="仿宋" w:cs="Times New Roman"/>
          <w:sz w:val="24"/>
        </w:rPr>
        <w:t>12</w:t>
      </w:r>
      <w:r>
        <w:rPr>
          <w:rFonts w:hint="eastAsia" w:ascii="Times New Roman" w:hAnsi="Times New Roman" w:eastAsia="仿宋" w:cs="Times New Roman"/>
          <w:sz w:val="24"/>
        </w:rPr>
        <w:t>。</w:t>
      </w:r>
    </w:p>
    <w:p>
      <w:pPr>
        <w:widowControl/>
        <w:jc w:val="left"/>
        <w:rPr>
          <w:rFonts w:cs="Calibri"/>
          <w:sz w:val="22"/>
        </w:rPr>
      </w:pPr>
      <w:r>
        <w:br w:type="page"/>
      </w:r>
    </w:p>
    <w:p>
      <w:pPr>
        <w:pStyle w:val="16"/>
        <w:spacing w:before="156" w:after="93"/>
        <w:ind w:firstLine="0" w:firstLineChars="0"/>
        <w:sectPr>
          <w:pgSz w:w="11906" w:h="16838"/>
          <w:pgMar w:top="1440" w:right="1797" w:bottom="1440" w:left="1797" w:header="851" w:footer="992" w:gutter="0"/>
          <w:cols w:space="425" w:num="1"/>
          <w:docGrid w:type="linesAndChars" w:linePitch="312" w:charSpace="0"/>
        </w:sectPr>
      </w:pPr>
    </w:p>
    <w:p>
      <w:pPr>
        <w:pStyle w:val="2"/>
        <w:spacing w:before="156" w:after="93"/>
        <w:ind w:firstLine="0" w:firstLineChars="0"/>
        <w:jc w:val="center"/>
        <w:rPr>
          <w:rFonts w:ascii="仿宋" w:hAnsi="仿宋" w:eastAsia="仿宋"/>
          <w:b/>
          <w:bCs/>
          <w:sz w:val="21"/>
          <w:szCs w:val="21"/>
        </w:rPr>
      </w:pPr>
      <w:r>
        <w:rPr>
          <w:rFonts w:hint="eastAsia" w:ascii="仿宋" w:hAnsi="仿宋" w:eastAsia="仿宋"/>
          <w:b/>
          <w:bCs/>
          <w:sz w:val="21"/>
          <w:szCs w:val="21"/>
        </w:rPr>
        <w:t>表</w:t>
      </w:r>
      <w:r>
        <w:rPr>
          <w:rFonts w:ascii="仿宋" w:hAnsi="仿宋" w:eastAsia="仿宋"/>
          <w:b/>
          <w:bCs/>
          <w:sz w:val="21"/>
          <w:szCs w:val="21"/>
        </w:rPr>
        <w:t xml:space="preserve">11 </w:t>
      </w:r>
      <w:r>
        <w:rPr>
          <w:rFonts w:hint="eastAsia" w:ascii="仿宋" w:hAnsi="仿宋" w:eastAsia="仿宋"/>
          <w:b/>
          <w:bCs/>
          <w:sz w:val="21"/>
          <w:szCs w:val="21"/>
        </w:rPr>
        <w:t>目标单元约束性指标控制表</w:t>
      </w:r>
    </w:p>
    <w:tbl>
      <w:tblPr>
        <w:tblStyle w:val="43"/>
        <w:tblW w:w="50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8"/>
        <w:gridCol w:w="1567"/>
        <w:gridCol w:w="1561"/>
        <w:gridCol w:w="1571"/>
        <w:gridCol w:w="1011"/>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exac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303"/>
              <w:spacing w:before="120" w:after="72"/>
              <w:ind w:firstLine="442"/>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约束性指标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exact"/>
        </w:trPr>
        <w:tc>
          <w:tcPr>
            <w:tcW w:w="375" w:type="pct"/>
            <w:vMerge w:val="restart"/>
            <w:vAlign w:val="center"/>
          </w:tcPr>
          <w:p>
            <w:pPr>
              <w:pStyle w:val="302"/>
              <w:spacing w:after="0" w:line="240" w:lineRule="auto"/>
              <w:ind w:left="0" w:leftChars="0"/>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重点区域</w:t>
            </w:r>
          </w:p>
        </w:tc>
        <w:tc>
          <w:tcPr>
            <w:tcW w:w="4624" w:type="pct"/>
            <w:gridSpan w:val="5"/>
            <w:shd w:val="clear" w:color="auto" w:fill="auto"/>
            <w:tcMar>
              <w:top w:w="15" w:type="dxa"/>
              <w:left w:w="15" w:type="dxa"/>
              <w:right w:w="15" w:type="dxa"/>
            </w:tcMar>
            <w:vAlign w:val="center"/>
          </w:tcPr>
          <w:p>
            <w:pPr>
              <w:pStyle w:val="302"/>
              <w:spacing w:after="0" w:line="240" w:lineRule="auto"/>
              <w:ind w:left="0" w:leftChars="0"/>
              <w:jc w:val="center"/>
              <w:rPr>
                <w:rFonts w:hint="default" w:ascii="Times New Roman" w:hAnsi="Times New Roman" w:eastAsia="仿宋" w:cs="Times New Roman"/>
                <w:b/>
                <w:sz w:val="21"/>
                <w:szCs w:val="21"/>
              </w:rPr>
            </w:pPr>
            <w:r>
              <w:rPr>
                <w:rFonts w:hint="default" w:ascii="Times New Roman" w:hAnsi="Times New Roman" w:cs="Times New Roman"/>
                <w:kern w:val="0"/>
                <w:sz w:val="21"/>
                <w:szCs w:val="21"/>
              </w:rPr>
              <w:t>新建民用建筑绿色建筑等级不低于</w:t>
            </w:r>
            <w:r>
              <w:rPr>
                <w:rFonts w:hint="default" w:ascii="Times New Roman" w:hAnsi="Times New Roman" w:cs="Times New Roman"/>
                <w:b/>
                <w:bCs/>
                <w:kern w:val="0"/>
                <w:sz w:val="21"/>
                <w:szCs w:val="21"/>
              </w:rPr>
              <w:t>二星级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exact"/>
        </w:trPr>
        <w:tc>
          <w:tcPr>
            <w:tcW w:w="375" w:type="pct"/>
            <w:vMerge w:val="continue"/>
            <w:vAlign w:val="center"/>
          </w:tcPr>
          <w:p>
            <w:pPr>
              <w:pStyle w:val="303"/>
              <w:rPr>
                <w:rFonts w:hint="default" w:ascii="Times New Roman" w:hAnsi="Times New Roman" w:cs="Times New Roman"/>
                <w:bCs/>
                <w:kern w:val="0"/>
                <w:sz w:val="21"/>
                <w:szCs w:val="21"/>
              </w:rPr>
            </w:pPr>
          </w:p>
        </w:tc>
        <w:tc>
          <w:tcPr>
            <w:tcW w:w="4624" w:type="pct"/>
            <w:gridSpan w:val="5"/>
            <w:shd w:val="clear" w:color="auto" w:fill="auto"/>
            <w:tcMar>
              <w:top w:w="15" w:type="dxa"/>
              <w:left w:w="15" w:type="dxa"/>
              <w:right w:w="15" w:type="dxa"/>
            </w:tcMar>
            <w:vAlign w:val="center"/>
          </w:tcPr>
          <w:p>
            <w:pPr>
              <w:pStyle w:val="303"/>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新建建筑类型对应要求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exact"/>
        </w:trPr>
        <w:tc>
          <w:tcPr>
            <w:tcW w:w="375" w:type="pct"/>
            <w:vMerge w:val="continue"/>
            <w:vAlign w:val="center"/>
          </w:tcPr>
          <w:p>
            <w:pPr>
              <w:pStyle w:val="303"/>
              <w:rPr>
                <w:rFonts w:hint="default" w:ascii="Times New Roman" w:hAnsi="Times New Roman" w:cs="Times New Roman"/>
                <w:bCs/>
                <w:kern w:val="0"/>
                <w:sz w:val="21"/>
                <w:szCs w:val="21"/>
              </w:rPr>
            </w:pPr>
          </w:p>
        </w:tc>
        <w:tc>
          <w:tcPr>
            <w:tcW w:w="935" w:type="pct"/>
            <w:shd w:val="clear" w:color="auto" w:fill="auto"/>
            <w:tcMar>
              <w:top w:w="15" w:type="dxa"/>
              <w:left w:w="15" w:type="dxa"/>
              <w:right w:w="15" w:type="dxa"/>
            </w:tcMar>
            <w:vAlign w:val="center"/>
          </w:tcPr>
          <w:p>
            <w:pPr>
              <w:pStyle w:val="303"/>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建筑类型</w:t>
            </w:r>
          </w:p>
        </w:tc>
        <w:tc>
          <w:tcPr>
            <w:tcW w:w="931"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建筑高度</w:t>
            </w:r>
          </w:p>
        </w:tc>
        <w:tc>
          <w:tcPr>
            <w:tcW w:w="937"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建筑面积</w:t>
            </w:r>
          </w:p>
        </w:tc>
        <w:tc>
          <w:tcPr>
            <w:tcW w:w="603" w:type="pc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92" w:lineRule="auto"/>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绿色建筑等级要求</w:t>
            </w:r>
          </w:p>
        </w:tc>
        <w:tc>
          <w:tcPr>
            <w:tcW w:w="1217"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能效水平提升比例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exact"/>
        </w:trPr>
        <w:tc>
          <w:tcPr>
            <w:tcW w:w="375" w:type="pct"/>
            <w:vMerge w:val="continue"/>
            <w:vAlign w:val="center"/>
          </w:tcPr>
          <w:p>
            <w:pPr>
              <w:pStyle w:val="303"/>
              <w:rPr>
                <w:rFonts w:hint="default" w:ascii="Times New Roman" w:hAnsi="Times New Roman" w:cs="Times New Roman"/>
                <w:bCs/>
                <w:kern w:val="0"/>
                <w:sz w:val="21"/>
                <w:szCs w:val="21"/>
              </w:rPr>
            </w:pPr>
          </w:p>
        </w:tc>
        <w:tc>
          <w:tcPr>
            <w:tcW w:w="935" w:type="pct"/>
            <w:vMerge w:val="restart"/>
            <w:shd w:val="clear" w:color="auto" w:fill="auto"/>
            <w:tcMar>
              <w:top w:w="15" w:type="dxa"/>
              <w:left w:w="15" w:type="dxa"/>
              <w:right w:w="15" w:type="dxa"/>
            </w:tcMar>
            <w:vAlign w:val="center"/>
          </w:tcPr>
          <w:p>
            <w:pPr>
              <w:pStyle w:val="303"/>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居住建筑</w:t>
            </w:r>
          </w:p>
          <w:p>
            <w:pPr>
              <w:pStyle w:val="303"/>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（包括工业用地范围内用于居住功能的建筑）</w:t>
            </w:r>
          </w:p>
        </w:tc>
        <w:tc>
          <w:tcPr>
            <w:tcW w:w="931"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bCs/>
                <w:sz w:val="21"/>
                <w:szCs w:val="21"/>
              </w:rPr>
              <w:t>超高层建筑</w:t>
            </w:r>
          </w:p>
        </w:tc>
        <w:tc>
          <w:tcPr>
            <w:tcW w:w="937"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bCs/>
                <w:sz w:val="21"/>
                <w:szCs w:val="21"/>
              </w:rPr>
              <w:t>——</w:t>
            </w:r>
          </w:p>
        </w:tc>
        <w:tc>
          <w:tcPr>
            <w:tcW w:w="603"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三星级</w:t>
            </w:r>
          </w:p>
        </w:tc>
        <w:tc>
          <w:tcPr>
            <w:tcW w:w="1217" w:type="pct"/>
            <w:vMerge w:val="restar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城镇新建居住建筑能效水平提升比例≥30%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exact"/>
        </w:trPr>
        <w:tc>
          <w:tcPr>
            <w:tcW w:w="375" w:type="pct"/>
            <w:vMerge w:val="continue"/>
            <w:vAlign w:val="center"/>
          </w:tcPr>
          <w:p>
            <w:pPr>
              <w:pStyle w:val="303"/>
              <w:rPr>
                <w:rFonts w:hint="default" w:ascii="Times New Roman" w:hAnsi="Times New Roman" w:cs="Times New Roman"/>
                <w:bCs/>
                <w:kern w:val="0"/>
                <w:sz w:val="21"/>
                <w:szCs w:val="21"/>
              </w:rPr>
            </w:pPr>
          </w:p>
        </w:tc>
        <w:tc>
          <w:tcPr>
            <w:tcW w:w="935" w:type="pct"/>
            <w:vMerge w:val="continue"/>
            <w:shd w:val="clear" w:color="auto" w:fill="auto"/>
            <w:tcMar>
              <w:top w:w="15" w:type="dxa"/>
              <w:left w:w="15" w:type="dxa"/>
              <w:right w:w="15" w:type="dxa"/>
            </w:tcMar>
            <w:vAlign w:val="center"/>
          </w:tcPr>
          <w:p>
            <w:pPr>
              <w:pStyle w:val="303"/>
              <w:rPr>
                <w:rFonts w:hint="default" w:ascii="Times New Roman" w:hAnsi="Times New Roman" w:cs="Times New Roman"/>
                <w:bCs/>
                <w:kern w:val="0"/>
                <w:sz w:val="21"/>
                <w:szCs w:val="21"/>
              </w:rPr>
            </w:pPr>
          </w:p>
        </w:tc>
        <w:tc>
          <w:tcPr>
            <w:tcW w:w="931" w:type="pct"/>
            <w:vMerge w:val="restar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bCs/>
                <w:sz w:val="21"/>
                <w:szCs w:val="21"/>
              </w:rPr>
              <w:t>非超高层建筑</w:t>
            </w:r>
          </w:p>
        </w:tc>
        <w:tc>
          <w:tcPr>
            <w:tcW w:w="937" w:type="pc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192" w:lineRule="auto"/>
              <w:jc w:val="center"/>
              <w:textAlignment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计容建筑面积</w:t>
            </w:r>
          </w:p>
          <w:p>
            <w:pPr>
              <w:keepNext w:val="0"/>
              <w:keepLines w:val="0"/>
              <w:pageBreakBefore w:val="0"/>
              <w:widowControl/>
              <w:kinsoku/>
              <w:wordWrap/>
              <w:overflowPunct/>
              <w:topLinePunct w:val="0"/>
              <w:autoSpaceDE/>
              <w:autoSpaceDN/>
              <w:bidi w:val="0"/>
              <w:adjustRightInd/>
              <w:snapToGrid w:val="0"/>
              <w:spacing w:line="192" w:lineRule="auto"/>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bCs/>
                <w:sz w:val="21"/>
                <w:szCs w:val="21"/>
              </w:rPr>
              <w:t>＞10万平方米</w:t>
            </w:r>
          </w:p>
        </w:tc>
        <w:tc>
          <w:tcPr>
            <w:tcW w:w="603"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三星级</w:t>
            </w:r>
          </w:p>
        </w:tc>
        <w:tc>
          <w:tcPr>
            <w:tcW w:w="1217" w:type="pct"/>
            <w:vMerge w:val="continue"/>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exact"/>
        </w:trPr>
        <w:tc>
          <w:tcPr>
            <w:tcW w:w="375" w:type="pct"/>
            <w:vMerge w:val="continue"/>
            <w:vAlign w:val="center"/>
          </w:tcPr>
          <w:p>
            <w:pPr>
              <w:pStyle w:val="303"/>
              <w:rPr>
                <w:rFonts w:hint="default" w:ascii="Times New Roman" w:hAnsi="Times New Roman" w:cs="Times New Roman"/>
                <w:bCs/>
                <w:kern w:val="0"/>
                <w:sz w:val="21"/>
                <w:szCs w:val="21"/>
              </w:rPr>
            </w:pPr>
          </w:p>
        </w:tc>
        <w:tc>
          <w:tcPr>
            <w:tcW w:w="935" w:type="pct"/>
            <w:vMerge w:val="continue"/>
            <w:shd w:val="clear" w:color="auto" w:fill="auto"/>
            <w:tcMar>
              <w:top w:w="15" w:type="dxa"/>
              <w:left w:w="15" w:type="dxa"/>
              <w:right w:w="15" w:type="dxa"/>
            </w:tcMar>
            <w:vAlign w:val="center"/>
          </w:tcPr>
          <w:p>
            <w:pPr>
              <w:pStyle w:val="303"/>
              <w:rPr>
                <w:rFonts w:hint="default" w:ascii="Times New Roman" w:hAnsi="Times New Roman" w:cs="Times New Roman"/>
                <w:bCs/>
                <w:kern w:val="0"/>
                <w:sz w:val="21"/>
                <w:szCs w:val="21"/>
              </w:rPr>
            </w:pPr>
          </w:p>
        </w:tc>
        <w:tc>
          <w:tcPr>
            <w:tcW w:w="931" w:type="pct"/>
            <w:vMerge w:val="continue"/>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p>
        </w:tc>
        <w:tc>
          <w:tcPr>
            <w:tcW w:w="937" w:type="pc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192" w:lineRule="auto"/>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bCs/>
                <w:sz w:val="21"/>
                <w:szCs w:val="21"/>
              </w:rPr>
              <w:t>计容建筑面积≤10万平方米</w:t>
            </w:r>
          </w:p>
        </w:tc>
        <w:tc>
          <w:tcPr>
            <w:tcW w:w="603"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二星级</w:t>
            </w:r>
          </w:p>
        </w:tc>
        <w:tc>
          <w:tcPr>
            <w:tcW w:w="1217" w:type="pct"/>
            <w:vMerge w:val="continue"/>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exact"/>
        </w:trPr>
        <w:tc>
          <w:tcPr>
            <w:tcW w:w="375" w:type="pct"/>
            <w:vMerge w:val="continue"/>
            <w:vAlign w:val="center"/>
          </w:tcPr>
          <w:p>
            <w:pPr>
              <w:pStyle w:val="303"/>
              <w:rPr>
                <w:rFonts w:hint="default" w:ascii="Times New Roman" w:hAnsi="Times New Roman" w:cs="Times New Roman"/>
                <w:bCs/>
                <w:kern w:val="0"/>
                <w:sz w:val="21"/>
                <w:szCs w:val="21"/>
              </w:rPr>
            </w:pPr>
          </w:p>
        </w:tc>
        <w:tc>
          <w:tcPr>
            <w:tcW w:w="935" w:type="pct"/>
            <w:vMerge w:val="restart"/>
            <w:shd w:val="clear" w:color="auto" w:fill="auto"/>
            <w:tcMar>
              <w:top w:w="15" w:type="dxa"/>
              <w:left w:w="15" w:type="dxa"/>
              <w:right w:w="15" w:type="dxa"/>
            </w:tcMar>
            <w:vAlign w:val="center"/>
          </w:tcPr>
          <w:p>
            <w:pPr>
              <w:pStyle w:val="303"/>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公共建筑</w:t>
            </w:r>
          </w:p>
          <w:p>
            <w:pPr>
              <w:pStyle w:val="303"/>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（包括工业用地范围内用于办公功能的建筑）</w:t>
            </w:r>
          </w:p>
        </w:tc>
        <w:tc>
          <w:tcPr>
            <w:tcW w:w="931"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bCs/>
                <w:sz w:val="21"/>
                <w:szCs w:val="21"/>
              </w:rPr>
              <w:t>超高层建筑</w:t>
            </w:r>
          </w:p>
        </w:tc>
        <w:tc>
          <w:tcPr>
            <w:tcW w:w="937" w:type="pc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192" w:lineRule="auto"/>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bCs/>
                <w:sz w:val="21"/>
                <w:szCs w:val="21"/>
              </w:rPr>
              <w:t>——</w:t>
            </w:r>
          </w:p>
        </w:tc>
        <w:tc>
          <w:tcPr>
            <w:tcW w:w="603"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bCs/>
                <w:sz w:val="21"/>
                <w:szCs w:val="21"/>
              </w:rPr>
              <w:t>三星级</w:t>
            </w:r>
          </w:p>
        </w:tc>
        <w:tc>
          <w:tcPr>
            <w:tcW w:w="1217" w:type="pct"/>
            <w:vMerge w:val="restar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城镇新建公共建筑能效水平提升比例≥20%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exact"/>
        </w:trPr>
        <w:tc>
          <w:tcPr>
            <w:tcW w:w="375" w:type="pct"/>
            <w:vMerge w:val="continue"/>
            <w:vAlign w:val="center"/>
          </w:tcPr>
          <w:p>
            <w:pPr>
              <w:pStyle w:val="303"/>
              <w:spacing w:before="156" w:after="93"/>
              <w:rPr>
                <w:rFonts w:hint="default" w:ascii="Times New Roman" w:hAnsi="Times New Roman" w:eastAsia="仿宋" w:cs="Times New Roman"/>
                <w:bCs/>
                <w:sz w:val="21"/>
                <w:szCs w:val="21"/>
              </w:rPr>
            </w:pPr>
          </w:p>
        </w:tc>
        <w:tc>
          <w:tcPr>
            <w:tcW w:w="935" w:type="pct"/>
            <w:vMerge w:val="continue"/>
            <w:shd w:val="clear" w:color="auto" w:fill="auto"/>
            <w:tcMar>
              <w:top w:w="15" w:type="dxa"/>
              <w:left w:w="15" w:type="dxa"/>
              <w:right w:w="15" w:type="dxa"/>
            </w:tcMar>
            <w:vAlign w:val="center"/>
          </w:tcPr>
          <w:p>
            <w:pPr>
              <w:pStyle w:val="303"/>
              <w:spacing w:before="156" w:after="93"/>
              <w:rPr>
                <w:rFonts w:hint="default" w:ascii="Times New Roman" w:hAnsi="Times New Roman" w:eastAsia="仿宋" w:cs="Times New Roman"/>
                <w:bCs/>
                <w:sz w:val="21"/>
                <w:szCs w:val="21"/>
              </w:rPr>
            </w:pPr>
          </w:p>
        </w:tc>
        <w:tc>
          <w:tcPr>
            <w:tcW w:w="931" w:type="pct"/>
            <w:vMerge w:val="restar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bCs/>
                <w:sz w:val="21"/>
                <w:szCs w:val="21"/>
              </w:rPr>
              <w:t>非超高层建筑</w:t>
            </w:r>
          </w:p>
        </w:tc>
        <w:tc>
          <w:tcPr>
            <w:tcW w:w="937" w:type="pc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192" w:lineRule="auto"/>
              <w:jc w:val="center"/>
              <w:textAlignment w:val="center"/>
              <w:rPr>
                <w:rFonts w:hint="default" w:ascii="Times New Roman" w:hAnsi="Times New Roman" w:eastAsia="仿宋" w:cs="Times New Roman"/>
                <w:kern w:val="0"/>
                <w:sz w:val="21"/>
                <w:szCs w:val="21"/>
              </w:rPr>
            </w:pPr>
            <w:r>
              <w:rPr>
                <w:rFonts w:hint="eastAsia" w:ascii="Times New Roman" w:hAnsi="Times New Roman" w:eastAsia="仿宋" w:cs="Times New Roman"/>
                <w:bCs/>
                <w:sz w:val="21"/>
                <w:szCs w:val="21"/>
                <w:lang w:val="en-US" w:eastAsia="zh-CN"/>
              </w:rPr>
              <w:t>地上</w:t>
            </w:r>
            <w:r>
              <w:rPr>
                <w:rFonts w:hint="default" w:ascii="Times New Roman" w:hAnsi="Times New Roman" w:eastAsia="仿宋" w:cs="Times New Roman"/>
                <w:bCs/>
                <w:sz w:val="21"/>
                <w:szCs w:val="21"/>
              </w:rPr>
              <w:t>单体建筑面积＞2万平方米</w:t>
            </w:r>
          </w:p>
        </w:tc>
        <w:tc>
          <w:tcPr>
            <w:tcW w:w="603"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bCs/>
                <w:sz w:val="21"/>
                <w:szCs w:val="21"/>
              </w:rPr>
              <w:t>三星级</w:t>
            </w:r>
          </w:p>
        </w:tc>
        <w:tc>
          <w:tcPr>
            <w:tcW w:w="1217" w:type="pct"/>
            <w:vMerge w:val="continue"/>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exact"/>
        </w:trPr>
        <w:tc>
          <w:tcPr>
            <w:tcW w:w="375" w:type="pct"/>
            <w:vMerge w:val="continue"/>
            <w:vAlign w:val="center"/>
          </w:tcPr>
          <w:p>
            <w:pPr>
              <w:pStyle w:val="303"/>
              <w:spacing w:before="156" w:after="93"/>
              <w:rPr>
                <w:rFonts w:hint="default" w:ascii="Times New Roman" w:hAnsi="Times New Roman" w:eastAsia="仿宋" w:cs="Times New Roman"/>
                <w:bCs/>
                <w:sz w:val="21"/>
                <w:szCs w:val="21"/>
              </w:rPr>
            </w:pPr>
          </w:p>
        </w:tc>
        <w:tc>
          <w:tcPr>
            <w:tcW w:w="935" w:type="pct"/>
            <w:vMerge w:val="continue"/>
            <w:shd w:val="clear" w:color="auto" w:fill="auto"/>
            <w:tcMar>
              <w:top w:w="15" w:type="dxa"/>
              <w:left w:w="15" w:type="dxa"/>
              <w:right w:w="15" w:type="dxa"/>
            </w:tcMar>
            <w:vAlign w:val="center"/>
          </w:tcPr>
          <w:p>
            <w:pPr>
              <w:pStyle w:val="303"/>
              <w:spacing w:before="156" w:after="93"/>
              <w:rPr>
                <w:rFonts w:hint="default" w:ascii="Times New Roman" w:hAnsi="Times New Roman" w:eastAsia="仿宋" w:cs="Times New Roman"/>
                <w:bCs/>
                <w:sz w:val="21"/>
                <w:szCs w:val="21"/>
              </w:rPr>
            </w:pPr>
          </w:p>
        </w:tc>
        <w:tc>
          <w:tcPr>
            <w:tcW w:w="931" w:type="pct"/>
            <w:vMerge w:val="continue"/>
            <w:shd w:val="clear" w:color="auto" w:fill="auto"/>
            <w:tcMar>
              <w:top w:w="15" w:type="dxa"/>
              <w:left w:w="15" w:type="dxa"/>
              <w:right w:w="15" w:type="dxa"/>
            </w:tcMar>
            <w:vAlign w:val="center"/>
          </w:tcPr>
          <w:p>
            <w:pPr>
              <w:pStyle w:val="303"/>
              <w:spacing w:before="156" w:after="93"/>
              <w:rPr>
                <w:rFonts w:hint="default" w:ascii="Times New Roman" w:hAnsi="Times New Roman" w:eastAsia="仿宋" w:cs="Times New Roman"/>
                <w:b w:val="0"/>
                <w:bCs/>
                <w:sz w:val="21"/>
                <w:szCs w:val="21"/>
              </w:rPr>
            </w:pPr>
          </w:p>
        </w:tc>
        <w:tc>
          <w:tcPr>
            <w:tcW w:w="937" w:type="pct"/>
            <w:shd w:val="clear" w:color="auto" w:fill="auto"/>
            <w:tcMar>
              <w:top w:w="15" w:type="dxa"/>
              <w:left w:w="15" w:type="dxa"/>
              <w:right w:w="15" w:type="dxa"/>
            </w:tcMar>
            <w:vAlign w:val="center"/>
          </w:tcPr>
          <w:p>
            <w:pPr>
              <w:pStyle w:val="303"/>
              <w:keepNext w:val="0"/>
              <w:keepLines w:val="0"/>
              <w:pageBreakBefore w:val="0"/>
              <w:kinsoku/>
              <w:wordWrap/>
              <w:overflowPunct/>
              <w:topLinePunct w:val="0"/>
              <w:autoSpaceDE/>
              <w:autoSpaceDN/>
              <w:bidi w:val="0"/>
              <w:adjustRightInd/>
              <w:snapToGrid w:val="0"/>
              <w:spacing w:line="192" w:lineRule="auto"/>
              <w:rPr>
                <w:rFonts w:hint="default" w:ascii="Times New Roman" w:hAnsi="Times New Roman" w:eastAsia="仿宋" w:cs="Times New Roman"/>
                <w:b w:val="0"/>
                <w:bCs/>
                <w:sz w:val="21"/>
                <w:szCs w:val="21"/>
              </w:rPr>
            </w:pPr>
            <w:r>
              <w:rPr>
                <w:rFonts w:hint="eastAsia" w:ascii="Times New Roman" w:hAnsi="Times New Roman" w:eastAsia="仿宋" w:cs="Times New Roman"/>
                <w:b w:val="0"/>
                <w:bCs/>
                <w:sz w:val="21"/>
                <w:szCs w:val="21"/>
                <w:lang w:val="en-US" w:eastAsia="zh-CN"/>
              </w:rPr>
              <w:t>地上</w:t>
            </w:r>
            <w:r>
              <w:rPr>
                <w:rFonts w:hint="default" w:ascii="Times New Roman" w:hAnsi="Times New Roman" w:eastAsia="仿宋" w:cs="Times New Roman"/>
                <w:b w:val="0"/>
                <w:bCs/>
                <w:sz w:val="21"/>
                <w:szCs w:val="21"/>
              </w:rPr>
              <w:t>单体建筑面积≤2万平方米</w:t>
            </w:r>
          </w:p>
        </w:tc>
        <w:tc>
          <w:tcPr>
            <w:tcW w:w="603" w:type="pct"/>
            <w:shd w:val="clear" w:color="auto" w:fill="auto"/>
            <w:tcMar>
              <w:top w:w="15" w:type="dxa"/>
              <w:left w:w="15" w:type="dxa"/>
              <w:right w:w="15" w:type="dxa"/>
            </w:tcMar>
            <w:vAlign w:val="center"/>
          </w:tcPr>
          <w:p>
            <w:pPr>
              <w:pStyle w:val="303"/>
              <w:rPr>
                <w:rFonts w:hint="default" w:ascii="Times New Roman" w:hAnsi="Times New Roman" w:eastAsia="仿宋" w:cs="Times New Roman"/>
                <w:b w:val="0"/>
                <w:bCs/>
                <w:sz w:val="21"/>
                <w:szCs w:val="21"/>
              </w:rPr>
            </w:pPr>
            <w:r>
              <w:rPr>
                <w:rFonts w:hint="default" w:ascii="Times New Roman" w:hAnsi="Times New Roman" w:eastAsia="仿宋" w:cs="Times New Roman"/>
                <w:b w:val="0"/>
                <w:bCs/>
                <w:sz w:val="21"/>
                <w:szCs w:val="21"/>
              </w:rPr>
              <w:t>二星级</w:t>
            </w:r>
          </w:p>
        </w:tc>
        <w:tc>
          <w:tcPr>
            <w:tcW w:w="1217" w:type="pct"/>
            <w:vMerge w:val="continue"/>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exact"/>
        </w:trPr>
        <w:tc>
          <w:tcPr>
            <w:tcW w:w="375" w:type="pct"/>
            <w:vMerge w:val="restart"/>
            <w:vAlign w:val="center"/>
          </w:tcPr>
          <w:p>
            <w:pPr>
              <w:pStyle w:val="302"/>
              <w:spacing w:after="0" w:line="240" w:lineRule="auto"/>
              <w:ind w:left="0" w:leftChars="0"/>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核心目标单元</w:t>
            </w:r>
          </w:p>
        </w:tc>
        <w:tc>
          <w:tcPr>
            <w:tcW w:w="4624" w:type="pct"/>
            <w:gridSpan w:val="5"/>
            <w:shd w:val="clear" w:color="auto" w:fill="auto"/>
            <w:tcMar>
              <w:top w:w="15" w:type="dxa"/>
              <w:left w:w="15" w:type="dxa"/>
              <w:right w:w="15" w:type="dxa"/>
            </w:tcMar>
            <w:vAlign w:val="center"/>
          </w:tcPr>
          <w:p>
            <w:pPr>
              <w:pStyle w:val="302"/>
              <w:spacing w:after="0" w:line="240" w:lineRule="auto"/>
              <w:ind w:left="0" w:leftChars="0"/>
              <w:jc w:val="center"/>
              <w:rPr>
                <w:rFonts w:hint="default" w:ascii="Times New Roman" w:hAnsi="Times New Roman" w:eastAsia="仿宋" w:cs="Times New Roman"/>
                <w:b/>
                <w:sz w:val="21"/>
                <w:szCs w:val="21"/>
              </w:rPr>
            </w:pPr>
            <w:r>
              <w:rPr>
                <w:rFonts w:hint="default" w:ascii="Times New Roman" w:hAnsi="Times New Roman" w:cs="Times New Roman"/>
                <w:kern w:val="0"/>
                <w:sz w:val="21"/>
                <w:szCs w:val="21"/>
              </w:rPr>
              <w:t>新建民用建筑绿色建筑等级不低于</w:t>
            </w:r>
            <w:r>
              <w:rPr>
                <w:rFonts w:hint="default" w:ascii="Times New Roman" w:hAnsi="Times New Roman" w:cs="Times New Roman"/>
                <w:b/>
                <w:bCs/>
                <w:kern w:val="0"/>
                <w:sz w:val="21"/>
                <w:szCs w:val="21"/>
              </w:rPr>
              <w:t>一星级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exact"/>
        </w:trPr>
        <w:tc>
          <w:tcPr>
            <w:tcW w:w="375" w:type="pct"/>
            <w:vMerge w:val="continue"/>
            <w:vAlign w:val="center"/>
          </w:tcPr>
          <w:p>
            <w:pPr>
              <w:pStyle w:val="303"/>
              <w:rPr>
                <w:rFonts w:hint="default" w:ascii="Times New Roman" w:hAnsi="Times New Roman" w:cs="Times New Roman"/>
                <w:bCs/>
                <w:kern w:val="0"/>
                <w:sz w:val="21"/>
                <w:szCs w:val="21"/>
              </w:rPr>
            </w:pPr>
          </w:p>
        </w:tc>
        <w:tc>
          <w:tcPr>
            <w:tcW w:w="4624" w:type="pct"/>
            <w:gridSpan w:val="5"/>
            <w:shd w:val="clear" w:color="auto" w:fill="auto"/>
            <w:tcMar>
              <w:top w:w="15" w:type="dxa"/>
              <w:left w:w="15" w:type="dxa"/>
              <w:right w:w="15" w:type="dxa"/>
            </w:tcMar>
            <w:vAlign w:val="center"/>
          </w:tcPr>
          <w:p>
            <w:pPr>
              <w:pStyle w:val="303"/>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新建建筑类型对应要求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exact"/>
        </w:trPr>
        <w:tc>
          <w:tcPr>
            <w:tcW w:w="375" w:type="pct"/>
            <w:vMerge w:val="continue"/>
            <w:vAlign w:val="center"/>
          </w:tcPr>
          <w:p>
            <w:pPr>
              <w:pStyle w:val="303"/>
              <w:rPr>
                <w:rFonts w:hint="default" w:ascii="Times New Roman" w:hAnsi="Times New Roman" w:cs="Times New Roman"/>
                <w:bCs/>
                <w:kern w:val="0"/>
                <w:sz w:val="21"/>
                <w:szCs w:val="21"/>
              </w:rPr>
            </w:pPr>
          </w:p>
        </w:tc>
        <w:tc>
          <w:tcPr>
            <w:tcW w:w="935" w:type="pct"/>
            <w:shd w:val="clear" w:color="auto" w:fill="auto"/>
            <w:tcMar>
              <w:top w:w="15" w:type="dxa"/>
              <w:left w:w="15" w:type="dxa"/>
              <w:right w:w="15" w:type="dxa"/>
            </w:tcMar>
            <w:vAlign w:val="center"/>
          </w:tcPr>
          <w:p>
            <w:pPr>
              <w:pStyle w:val="303"/>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建筑类型</w:t>
            </w:r>
          </w:p>
        </w:tc>
        <w:tc>
          <w:tcPr>
            <w:tcW w:w="931"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投资方式</w:t>
            </w:r>
          </w:p>
        </w:tc>
        <w:tc>
          <w:tcPr>
            <w:tcW w:w="937"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建筑面积</w:t>
            </w:r>
          </w:p>
        </w:tc>
        <w:tc>
          <w:tcPr>
            <w:tcW w:w="603" w:type="pc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192" w:lineRule="auto"/>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绿色建筑等级要求</w:t>
            </w:r>
          </w:p>
        </w:tc>
        <w:tc>
          <w:tcPr>
            <w:tcW w:w="1217"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能效水平提升比例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exact"/>
        </w:trPr>
        <w:tc>
          <w:tcPr>
            <w:tcW w:w="375" w:type="pct"/>
            <w:vMerge w:val="continue"/>
            <w:vAlign w:val="center"/>
          </w:tcPr>
          <w:p>
            <w:pPr>
              <w:pStyle w:val="303"/>
              <w:rPr>
                <w:rFonts w:hint="default" w:ascii="Times New Roman" w:hAnsi="Times New Roman" w:cs="Times New Roman"/>
                <w:bCs/>
                <w:kern w:val="0"/>
                <w:sz w:val="21"/>
                <w:szCs w:val="21"/>
              </w:rPr>
            </w:pPr>
          </w:p>
        </w:tc>
        <w:tc>
          <w:tcPr>
            <w:tcW w:w="935" w:type="pct"/>
            <w:vMerge w:val="restart"/>
            <w:shd w:val="clear" w:color="auto" w:fill="auto"/>
            <w:tcMar>
              <w:top w:w="15" w:type="dxa"/>
              <w:left w:w="15" w:type="dxa"/>
              <w:right w:w="15" w:type="dxa"/>
            </w:tcMar>
            <w:vAlign w:val="center"/>
          </w:tcPr>
          <w:p>
            <w:pPr>
              <w:pStyle w:val="303"/>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居住建筑</w:t>
            </w:r>
          </w:p>
          <w:p>
            <w:pPr>
              <w:pStyle w:val="303"/>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（包括工业用地范围内用于居住功能的建筑）</w:t>
            </w:r>
          </w:p>
        </w:tc>
        <w:tc>
          <w:tcPr>
            <w:tcW w:w="931" w:type="pc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192" w:lineRule="auto"/>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财政投资或国有资金参与投资</w:t>
            </w:r>
          </w:p>
        </w:tc>
        <w:tc>
          <w:tcPr>
            <w:tcW w:w="937" w:type="pc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192" w:lineRule="auto"/>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603"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二星级</w:t>
            </w:r>
          </w:p>
        </w:tc>
        <w:tc>
          <w:tcPr>
            <w:tcW w:w="1217" w:type="pct"/>
            <w:vMerge w:val="restar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城镇新建居住建筑能效水平提升比例≥30%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exact"/>
        </w:trPr>
        <w:tc>
          <w:tcPr>
            <w:tcW w:w="375" w:type="pct"/>
            <w:vMerge w:val="continue"/>
            <w:vAlign w:val="center"/>
          </w:tcPr>
          <w:p>
            <w:pPr>
              <w:pStyle w:val="303"/>
              <w:rPr>
                <w:rFonts w:hint="default" w:ascii="Times New Roman" w:hAnsi="Times New Roman" w:cs="Times New Roman"/>
                <w:bCs/>
                <w:kern w:val="0"/>
                <w:sz w:val="21"/>
                <w:szCs w:val="21"/>
              </w:rPr>
            </w:pPr>
          </w:p>
        </w:tc>
        <w:tc>
          <w:tcPr>
            <w:tcW w:w="935" w:type="pct"/>
            <w:vMerge w:val="continue"/>
            <w:shd w:val="clear" w:color="auto" w:fill="auto"/>
            <w:tcMar>
              <w:top w:w="15" w:type="dxa"/>
              <w:left w:w="15" w:type="dxa"/>
              <w:right w:w="15" w:type="dxa"/>
            </w:tcMar>
            <w:vAlign w:val="center"/>
          </w:tcPr>
          <w:p>
            <w:pPr>
              <w:pStyle w:val="303"/>
              <w:rPr>
                <w:rFonts w:hint="default" w:ascii="Times New Roman" w:hAnsi="Times New Roman" w:cs="Times New Roman"/>
                <w:bCs/>
                <w:kern w:val="0"/>
                <w:sz w:val="21"/>
                <w:szCs w:val="21"/>
              </w:rPr>
            </w:pPr>
          </w:p>
        </w:tc>
        <w:tc>
          <w:tcPr>
            <w:tcW w:w="931" w:type="pct"/>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192" w:lineRule="auto"/>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其他</w:t>
            </w:r>
          </w:p>
        </w:tc>
        <w:tc>
          <w:tcPr>
            <w:tcW w:w="937" w:type="pc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192" w:lineRule="auto"/>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bCs/>
                <w:sz w:val="21"/>
                <w:szCs w:val="21"/>
              </w:rPr>
              <w:t>计容</w:t>
            </w:r>
            <w:r>
              <w:rPr>
                <w:rFonts w:hint="default" w:ascii="Times New Roman" w:hAnsi="Times New Roman" w:eastAsia="仿宋" w:cs="Times New Roman"/>
                <w:kern w:val="0"/>
                <w:sz w:val="21"/>
                <w:szCs w:val="21"/>
              </w:rPr>
              <w:t>建筑面积</w:t>
            </w:r>
          </w:p>
          <w:p>
            <w:pPr>
              <w:keepNext w:val="0"/>
              <w:keepLines w:val="0"/>
              <w:pageBreakBefore w:val="0"/>
              <w:widowControl/>
              <w:kinsoku/>
              <w:wordWrap/>
              <w:overflowPunct/>
              <w:topLinePunct w:val="0"/>
              <w:autoSpaceDE/>
              <w:autoSpaceDN/>
              <w:bidi w:val="0"/>
              <w:adjustRightInd/>
              <w:snapToGrid w:val="0"/>
              <w:spacing w:line="192" w:lineRule="auto"/>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＞10万平方米</w:t>
            </w:r>
          </w:p>
        </w:tc>
        <w:tc>
          <w:tcPr>
            <w:tcW w:w="603"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二星级</w:t>
            </w:r>
          </w:p>
        </w:tc>
        <w:tc>
          <w:tcPr>
            <w:tcW w:w="1217" w:type="pct"/>
            <w:vMerge w:val="continue"/>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exact"/>
        </w:trPr>
        <w:tc>
          <w:tcPr>
            <w:tcW w:w="375" w:type="pct"/>
            <w:vMerge w:val="continue"/>
            <w:vAlign w:val="center"/>
          </w:tcPr>
          <w:p>
            <w:pPr>
              <w:pStyle w:val="303"/>
              <w:rPr>
                <w:rFonts w:hint="default" w:ascii="Times New Roman" w:hAnsi="Times New Roman" w:cs="Times New Roman"/>
                <w:bCs/>
                <w:kern w:val="0"/>
                <w:sz w:val="21"/>
                <w:szCs w:val="21"/>
              </w:rPr>
            </w:pPr>
          </w:p>
        </w:tc>
        <w:tc>
          <w:tcPr>
            <w:tcW w:w="935" w:type="pct"/>
            <w:vMerge w:val="continue"/>
            <w:shd w:val="clear" w:color="auto" w:fill="auto"/>
            <w:tcMar>
              <w:top w:w="15" w:type="dxa"/>
              <w:left w:w="15" w:type="dxa"/>
              <w:right w:w="15" w:type="dxa"/>
            </w:tcMar>
            <w:vAlign w:val="center"/>
          </w:tcPr>
          <w:p>
            <w:pPr>
              <w:pStyle w:val="303"/>
              <w:rPr>
                <w:rFonts w:hint="default" w:ascii="Times New Roman" w:hAnsi="Times New Roman" w:cs="Times New Roman"/>
                <w:bCs/>
                <w:kern w:val="0"/>
                <w:sz w:val="21"/>
                <w:szCs w:val="21"/>
              </w:rPr>
            </w:pPr>
          </w:p>
        </w:tc>
        <w:tc>
          <w:tcPr>
            <w:tcW w:w="931" w:type="pct"/>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192" w:lineRule="auto"/>
              <w:jc w:val="center"/>
              <w:textAlignment w:val="center"/>
              <w:rPr>
                <w:rFonts w:hint="default" w:ascii="Times New Roman" w:hAnsi="Times New Roman" w:eastAsia="仿宋" w:cs="Times New Roman"/>
                <w:kern w:val="0"/>
                <w:sz w:val="21"/>
                <w:szCs w:val="21"/>
              </w:rPr>
            </w:pPr>
          </w:p>
        </w:tc>
        <w:tc>
          <w:tcPr>
            <w:tcW w:w="937" w:type="pc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192" w:lineRule="auto"/>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bCs/>
                <w:sz w:val="21"/>
                <w:szCs w:val="21"/>
              </w:rPr>
              <w:t>计容</w:t>
            </w:r>
            <w:r>
              <w:rPr>
                <w:rFonts w:hint="default" w:ascii="Times New Roman" w:hAnsi="Times New Roman" w:eastAsia="仿宋" w:cs="Times New Roman"/>
                <w:kern w:val="0"/>
                <w:sz w:val="21"/>
                <w:szCs w:val="21"/>
              </w:rPr>
              <w:t>建筑面积≤10万平方米</w:t>
            </w:r>
          </w:p>
        </w:tc>
        <w:tc>
          <w:tcPr>
            <w:tcW w:w="603"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一星级</w:t>
            </w:r>
          </w:p>
        </w:tc>
        <w:tc>
          <w:tcPr>
            <w:tcW w:w="1217" w:type="pct"/>
            <w:vMerge w:val="continue"/>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exact"/>
        </w:trPr>
        <w:tc>
          <w:tcPr>
            <w:tcW w:w="375" w:type="pct"/>
            <w:vMerge w:val="continue"/>
            <w:vAlign w:val="center"/>
          </w:tcPr>
          <w:p>
            <w:pPr>
              <w:pStyle w:val="303"/>
              <w:rPr>
                <w:rFonts w:hint="default" w:ascii="Times New Roman" w:hAnsi="Times New Roman" w:cs="Times New Roman"/>
                <w:bCs/>
                <w:kern w:val="0"/>
                <w:sz w:val="21"/>
                <w:szCs w:val="21"/>
              </w:rPr>
            </w:pPr>
          </w:p>
        </w:tc>
        <w:tc>
          <w:tcPr>
            <w:tcW w:w="935" w:type="pct"/>
            <w:vMerge w:val="restart"/>
            <w:shd w:val="clear" w:color="auto" w:fill="auto"/>
            <w:tcMar>
              <w:top w:w="15" w:type="dxa"/>
              <w:left w:w="15" w:type="dxa"/>
              <w:right w:w="15" w:type="dxa"/>
            </w:tcMar>
            <w:vAlign w:val="center"/>
          </w:tcPr>
          <w:p>
            <w:pPr>
              <w:pStyle w:val="303"/>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公共建筑</w:t>
            </w:r>
          </w:p>
          <w:p>
            <w:pPr>
              <w:pStyle w:val="303"/>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（包括工业用地范围内用于办公功能的建筑）</w:t>
            </w:r>
          </w:p>
        </w:tc>
        <w:tc>
          <w:tcPr>
            <w:tcW w:w="931" w:type="pc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192" w:lineRule="auto"/>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财政投资或国有资金参与投资</w:t>
            </w:r>
          </w:p>
        </w:tc>
        <w:tc>
          <w:tcPr>
            <w:tcW w:w="937" w:type="pc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192" w:lineRule="auto"/>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603"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二星级</w:t>
            </w:r>
          </w:p>
        </w:tc>
        <w:tc>
          <w:tcPr>
            <w:tcW w:w="1217" w:type="pct"/>
            <w:vMerge w:val="restar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城镇新建公共建筑能效水平提升比例≥20%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exact"/>
        </w:trPr>
        <w:tc>
          <w:tcPr>
            <w:tcW w:w="375" w:type="pct"/>
            <w:vMerge w:val="continue"/>
            <w:vAlign w:val="center"/>
          </w:tcPr>
          <w:p>
            <w:pPr>
              <w:pStyle w:val="303"/>
              <w:spacing w:before="156" w:after="93"/>
              <w:rPr>
                <w:rFonts w:hint="default" w:ascii="Times New Roman" w:hAnsi="Times New Roman" w:eastAsia="仿宋" w:cs="Times New Roman"/>
                <w:bCs/>
                <w:sz w:val="21"/>
                <w:szCs w:val="21"/>
              </w:rPr>
            </w:pPr>
          </w:p>
        </w:tc>
        <w:tc>
          <w:tcPr>
            <w:tcW w:w="935" w:type="pct"/>
            <w:vMerge w:val="continue"/>
            <w:shd w:val="clear" w:color="auto" w:fill="auto"/>
            <w:tcMar>
              <w:top w:w="15" w:type="dxa"/>
              <w:left w:w="15" w:type="dxa"/>
              <w:right w:w="15" w:type="dxa"/>
            </w:tcMar>
            <w:vAlign w:val="center"/>
          </w:tcPr>
          <w:p>
            <w:pPr>
              <w:pStyle w:val="303"/>
              <w:spacing w:before="156" w:after="93"/>
              <w:rPr>
                <w:rFonts w:hint="default" w:ascii="Times New Roman" w:hAnsi="Times New Roman" w:eastAsia="仿宋" w:cs="Times New Roman"/>
                <w:bCs/>
                <w:sz w:val="21"/>
                <w:szCs w:val="21"/>
              </w:rPr>
            </w:pPr>
          </w:p>
        </w:tc>
        <w:tc>
          <w:tcPr>
            <w:tcW w:w="931" w:type="pct"/>
            <w:vMerge w:val="restar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其它</w:t>
            </w:r>
          </w:p>
        </w:tc>
        <w:tc>
          <w:tcPr>
            <w:tcW w:w="937" w:type="pc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192" w:lineRule="auto"/>
              <w:jc w:val="center"/>
              <w:textAlignment w:val="center"/>
              <w:rPr>
                <w:rFonts w:hint="default" w:ascii="Times New Roman" w:hAnsi="Times New Roman" w:eastAsia="仿宋" w:cs="Times New Roman"/>
                <w:kern w:val="0"/>
                <w:sz w:val="21"/>
                <w:szCs w:val="21"/>
              </w:rPr>
            </w:pPr>
            <w:r>
              <w:rPr>
                <w:rFonts w:hint="eastAsia" w:ascii="Times New Roman" w:hAnsi="Times New Roman" w:eastAsia="仿宋" w:cs="Times New Roman"/>
                <w:kern w:val="0"/>
                <w:sz w:val="21"/>
                <w:szCs w:val="21"/>
                <w:lang w:val="en-US" w:eastAsia="zh-CN"/>
              </w:rPr>
              <w:t>地上</w:t>
            </w:r>
            <w:r>
              <w:rPr>
                <w:rFonts w:hint="default" w:ascii="Times New Roman" w:hAnsi="Times New Roman" w:eastAsia="仿宋" w:cs="Times New Roman"/>
                <w:kern w:val="0"/>
                <w:sz w:val="21"/>
                <w:szCs w:val="21"/>
              </w:rPr>
              <w:t>单体建筑面积＞2万平方米</w:t>
            </w:r>
          </w:p>
        </w:tc>
        <w:tc>
          <w:tcPr>
            <w:tcW w:w="603"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二星级</w:t>
            </w:r>
          </w:p>
        </w:tc>
        <w:tc>
          <w:tcPr>
            <w:tcW w:w="1217" w:type="pct"/>
            <w:vMerge w:val="continue"/>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exact"/>
        </w:trPr>
        <w:tc>
          <w:tcPr>
            <w:tcW w:w="375" w:type="pct"/>
            <w:vMerge w:val="continue"/>
            <w:vAlign w:val="center"/>
          </w:tcPr>
          <w:p>
            <w:pPr>
              <w:pStyle w:val="303"/>
              <w:spacing w:before="156" w:after="93"/>
              <w:rPr>
                <w:rFonts w:hint="default" w:ascii="Times New Roman" w:hAnsi="Times New Roman" w:eastAsia="仿宋" w:cs="Times New Roman"/>
                <w:bCs/>
                <w:sz w:val="21"/>
                <w:szCs w:val="21"/>
              </w:rPr>
            </w:pPr>
          </w:p>
        </w:tc>
        <w:tc>
          <w:tcPr>
            <w:tcW w:w="935" w:type="pct"/>
            <w:vMerge w:val="continue"/>
            <w:shd w:val="clear" w:color="auto" w:fill="auto"/>
            <w:tcMar>
              <w:top w:w="15" w:type="dxa"/>
              <w:left w:w="15" w:type="dxa"/>
              <w:right w:w="15" w:type="dxa"/>
            </w:tcMar>
            <w:vAlign w:val="center"/>
          </w:tcPr>
          <w:p>
            <w:pPr>
              <w:pStyle w:val="303"/>
              <w:spacing w:before="156" w:after="93"/>
              <w:rPr>
                <w:rFonts w:hint="default" w:ascii="Times New Roman" w:hAnsi="Times New Roman" w:eastAsia="仿宋" w:cs="Times New Roman"/>
                <w:bCs/>
                <w:sz w:val="21"/>
                <w:szCs w:val="21"/>
              </w:rPr>
            </w:pPr>
          </w:p>
        </w:tc>
        <w:tc>
          <w:tcPr>
            <w:tcW w:w="931" w:type="pct"/>
            <w:vMerge w:val="continue"/>
            <w:shd w:val="clear" w:color="auto" w:fill="auto"/>
            <w:tcMar>
              <w:top w:w="15" w:type="dxa"/>
              <w:left w:w="15" w:type="dxa"/>
              <w:right w:w="15" w:type="dxa"/>
            </w:tcMar>
            <w:vAlign w:val="center"/>
          </w:tcPr>
          <w:p>
            <w:pPr>
              <w:pStyle w:val="303"/>
              <w:spacing w:before="156" w:after="93"/>
              <w:rPr>
                <w:rFonts w:hint="default" w:ascii="Times New Roman" w:hAnsi="Times New Roman" w:eastAsia="仿宋" w:cs="Times New Roman"/>
                <w:b w:val="0"/>
                <w:bCs/>
                <w:sz w:val="21"/>
                <w:szCs w:val="21"/>
              </w:rPr>
            </w:pPr>
          </w:p>
        </w:tc>
        <w:tc>
          <w:tcPr>
            <w:tcW w:w="937" w:type="pct"/>
            <w:shd w:val="clear" w:color="auto" w:fill="auto"/>
            <w:tcMar>
              <w:top w:w="15" w:type="dxa"/>
              <w:left w:w="15" w:type="dxa"/>
              <w:right w:w="15" w:type="dxa"/>
            </w:tcMar>
            <w:vAlign w:val="center"/>
          </w:tcPr>
          <w:p>
            <w:pPr>
              <w:pStyle w:val="303"/>
              <w:keepNext w:val="0"/>
              <w:keepLines w:val="0"/>
              <w:pageBreakBefore w:val="0"/>
              <w:kinsoku/>
              <w:wordWrap/>
              <w:overflowPunct/>
              <w:topLinePunct w:val="0"/>
              <w:autoSpaceDE/>
              <w:autoSpaceDN/>
              <w:bidi w:val="0"/>
              <w:adjustRightInd/>
              <w:snapToGrid w:val="0"/>
              <w:spacing w:line="192" w:lineRule="auto"/>
              <w:rPr>
                <w:rFonts w:hint="default" w:ascii="Times New Roman" w:hAnsi="Times New Roman" w:eastAsia="仿宋" w:cs="Times New Roman"/>
                <w:b w:val="0"/>
                <w:bCs/>
                <w:sz w:val="21"/>
                <w:szCs w:val="21"/>
              </w:rPr>
            </w:pPr>
            <w:r>
              <w:rPr>
                <w:rFonts w:hint="eastAsia" w:ascii="Times New Roman" w:hAnsi="Times New Roman" w:eastAsia="仿宋" w:cs="Times New Roman"/>
                <w:b w:val="0"/>
                <w:bCs/>
                <w:sz w:val="21"/>
                <w:szCs w:val="21"/>
                <w:lang w:val="en-US" w:eastAsia="zh-CN"/>
              </w:rPr>
              <w:t>地上</w:t>
            </w:r>
            <w:r>
              <w:rPr>
                <w:rFonts w:hint="default" w:ascii="Times New Roman" w:hAnsi="Times New Roman" w:eastAsia="仿宋" w:cs="Times New Roman"/>
                <w:b w:val="0"/>
                <w:bCs/>
                <w:sz w:val="21"/>
                <w:szCs w:val="21"/>
              </w:rPr>
              <w:t>单体建筑面积≤2万平方米</w:t>
            </w:r>
          </w:p>
        </w:tc>
        <w:tc>
          <w:tcPr>
            <w:tcW w:w="603" w:type="pct"/>
            <w:shd w:val="clear" w:color="auto" w:fill="auto"/>
            <w:tcMar>
              <w:top w:w="15" w:type="dxa"/>
              <w:left w:w="15" w:type="dxa"/>
              <w:right w:w="15" w:type="dxa"/>
            </w:tcMar>
            <w:vAlign w:val="center"/>
          </w:tcPr>
          <w:p>
            <w:pPr>
              <w:pStyle w:val="303"/>
              <w:rPr>
                <w:rFonts w:hint="default" w:ascii="Times New Roman" w:hAnsi="Times New Roman" w:eastAsia="仿宋" w:cs="Times New Roman"/>
                <w:b w:val="0"/>
                <w:bCs/>
                <w:sz w:val="21"/>
                <w:szCs w:val="21"/>
              </w:rPr>
            </w:pPr>
            <w:r>
              <w:rPr>
                <w:rFonts w:hint="default" w:ascii="Times New Roman" w:hAnsi="Times New Roman" w:eastAsia="仿宋" w:cs="Times New Roman"/>
                <w:b w:val="0"/>
                <w:bCs/>
                <w:sz w:val="21"/>
                <w:szCs w:val="21"/>
              </w:rPr>
              <w:t>一星级</w:t>
            </w:r>
          </w:p>
        </w:tc>
        <w:tc>
          <w:tcPr>
            <w:tcW w:w="1217" w:type="pct"/>
            <w:vMerge w:val="continue"/>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exact"/>
        </w:trPr>
        <w:tc>
          <w:tcPr>
            <w:tcW w:w="375" w:type="pct"/>
            <w:vMerge w:val="continue"/>
            <w:vAlign w:val="center"/>
          </w:tcPr>
          <w:p>
            <w:pPr>
              <w:pStyle w:val="303"/>
              <w:rPr>
                <w:rFonts w:hint="default" w:ascii="Times New Roman" w:hAnsi="Times New Roman" w:cs="Times New Roman"/>
                <w:bCs/>
                <w:kern w:val="0"/>
                <w:sz w:val="21"/>
                <w:szCs w:val="21"/>
              </w:rPr>
            </w:pPr>
          </w:p>
        </w:tc>
        <w:tc>
          <w:tcPr>
            <w:tcW w:w="935" w:type="pct"/>
            <w:shd w:val="clear" w:color="auto" w:fill="auto"/>
            <w:tcMar>
              <w:top w:w="15" w:type="dxa"/>
              <w:left w:w="15" w:type="dxa"/>
              <w:right w:w="15" w:type="dxa"/>
            </w:tcMar>
            <w:vAlign w:val="center"/>
          </w:tcPr>
          <w:p>
            <w:pPr>
              <w:pStyle w:val="303"/>
              <w:rPr>
                <w:rFonts w:hint="default" w:ascii="Times New Roman" w:hAnsi="Times New Roman" w:eastAsia="仿宋" w:cs="Times New Roman"/>
                <w:bCs/>
                <w:sz w:val="21"/>
                <w:szCs w:val="21"/>
              </w:rPr>
            </w:pPr>
            <w:r>
              <w:rPr>
                <w:rFonts w:hint="default" w:ascii="Times New Roman" w:hAnsi="Times New Roman" w:cs="Times New Roman"/>
                <w:bCs/>
                <w:kern w:val="0"/>
                <w:sz w:val="21"/>
                <w:szCs w:val="21"/>
              </w:rPr>
              <w:t>超高层建筑</w:t>
            </w:r>
          </w:p>
        </w:tc>
        <w:tc>
          <w:tcPr>
            <w:tcW w:w="931"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937"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603"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三星级</w:t>
            </w:r>
          </w:p>
        </w:tc>
        <w:tc>
          <w:tcPr>
            <w:tcW w:w="1217"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按项目实际情况，参照居住或公共建筑执行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exact"/>
        </w:trPr>
        <w:tc>
          <w:tcPr>
            <w:tcW w:w="375" w:type="pct"/>
            <w:vMerge w:val="restart"/>
            <w:vAlign w:val="center"/>
          </w:tcPr>
          <w:p>
            <w:pPr>
              <w:pStyle w:val="302"/>
              <w:spacing w:after="0" w:line="240" w:lineRule="auto"/>
              <w:ind w:left="0" w:leftChars="0"/>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基础目标单元</w:t>
            </w:r>
          </w:p>
        </w:tc>
        <w:tc>
          <w:tcPr>
            <w:tcW w:w="4624" w:type="pct"/>
            <w:gridSpan w:val="5"/>
            <w:shd w:val="clear" w:color="auto" w:fill="auto"/>
            <w:tcMar>
              <w:top w:w="15" w:type="dxa"/>
              <w:left w:w="15" w:type="dxa"/>
              <w:right w:w="15" w:type="dxa"/>
            </w:tcMar>
            <w:vAlign w:val="center"/>
          </w:tcPr>
          <w:p>
            <w:pPr>
              <w:pStyle w:val="302"/>
              <w:spacing w:after="0" w:line="240" w:lineRule="auto"/>
              <w:ind w:left="0" w:leftChars="0"/>
              <w:jc w:val="center"/>
              <w:rPr>
                <w:rFonts w:hint="default" w:ascii="Times New Roman" w:hAnsi="Times New Roman" w:eastAsia="仿宋" w:cs="Times New Roman"/>
                <w:b/>
                <w:sz w:val="21"/>
                <w:szCs w:val="21"/>
              </w:rPr>
            </w:pPr>
            <w:r>
              <w:rPr>
                <w:rFonts w:hint="default" w:ascii="Times New Roman" w:hAnsi="Times New Roman" w:cs="Times New Roman"/>
                <w:kern w:val="0"/>
                <w:sz w:val="21"/>
                <w:szCs w:val="21"/>
              </w:rPr>
              <w:t>新建民用建筑绿色建筑等级不低于</w:t>
            </w:r>
            <w:r>
              <w:rPr>
                <w:rFonts w:hint="default" w:ascii="Times New Roman" w:hAnsi="Times New Roman" w:cs="Times New Roman"/>
                <w:b/>
                <w:bCs/>
                <w:kern w:val="0"/>
                <w:sz w:val="21"/>
                <w:szCs w:val="21"/>
              </w:rPr>
              <w:t>基本级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exact"/>
        </w:trPr>
        <w:tc>
          <w:tcPr>
            <w:tcW w:w="375" w:type="pct"/>
            <w:vMerge w:val="continue"/>
            <w:vAlign w:val="center"/>
          </w:tcPr>
          <w:p>
            <w:pPr>
              <w:pStyle w:val="303"/>
              <w:rPr>
                <w:rFonts w:hint="default" w:ascii="Times New Roman" w:hAnsi="Times New Roman" w:cs="Times New Roman"/>
                <w:bCs/>
                <w:kern w:val="0"/>
                <w:sz w:val="21"/>
                <w:szCs w:val="21"/>
              </w:rPr>
            </w:pPr>
          </w:p>
        </w:tc>
        <w:tc>
          <w:tcPr>
            <w:tcW w:w="935" w:type="pct"/>
            <w:vMerge w:val="restart"/>
            <w:shd w:val="clear" w:color="auto" w:fill="auto"/>
            <w:tcMar>
              <w:top w:w="15" w:type="dxa"/>
              <w:left w:w="15" w:type="dxa"/>
              <w:right w:w="15" w:type="dxa"/>
            </w:tcMar>
            <w:vAlign w:val="center"/>
          </w:tcPr>
          <w:p>
            <w:pPr>
              <w:pStyle w:val="303"/>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居住建筑</w:t>
            </w:r>
          </w:p>
          <w:p>
            <w:pPr>
              <w:pStyle w:val="303"/>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（包括工业用地范围内用于居住功能的建筑）</w:t>
            </w:r>
          </w:p>
        </w:tc>
        <w:tc>
          <w:tcPr>
            <w:tcW w:w="931" w:type="pc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192" w:lineRule="auto"/>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财政投资或国有资金参与投资</w:t>
            </w:r>
          </w:p>
        </w:tc>
        <w:tc>
          <w:tcPr>
            <w:tcW w:w="937" w:type="pc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192" w:lineRule="auto"/>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603"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一星级</w:t>
            </w:r>
          </w:p>
        </w:tc>
        <w:tc>
          <w:tcPr>
            <w:tcW w:w="1217" w:type="pct"/>
            <w:vMerge w:val="restar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城镇新建居住建筑能效水平提升比例≥30%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exact"/>
        </w:trPr>
        <w:tc>
          <w:tcPr>
            <w:tcW w:w="375" w:type="pct"/>
            <w:vMerge w:val="continue"/>
            <w:vAlign w:val="center"/>
          </w:tcPr>
          <w:p>
            <w:pPr>
              <w:pStyle w:val="303"/>
              <w:rPr>
                <w:rFonts w:hint="default" w:ascii="Times New Roman" w:hAnsi="Times New Roman" w:cs="Times New Roman"/>
                <w:bCs/>
                <w:kern w:val="0"/>
                <w:sz w:val="21"/>
                <w:szCs w:val="21"/>
              </w:rPr>
            </w:pPr>
          </w:p>
        </w:tc>
        <w:tc>
          <w:tcPr>
            <w:tcW w:w="935" w:type="pct"/>
            <w:vMerge w:val="continue"/>
            <w:shd w:val="clear" w:color="auto" w:fill="auto"/>
            <w:tcMar>
              <w:top w:w="15" w:type="dxa"/>
              <w:left w:w="15" w:type="dxa"/>
              <w:right w:w="15" w:type="dxa"/>
            </w:tcMar>
            <w:vAlign w:val="center"/>
          </w:tcPr>
          <w:p>
            <w:pPr>
              <w:pStyle w:val="303"/>
              <w:rPr>
                <w:rFonts w:hint="default" w:ascii="Times New Roman" w:hAnsi="Times New Roman" w:cs="Times New Roman"/>
                <w:bCs/>
                <w:kern w:val="0"/>
                <w:sz w:val="21"/>
                <w:szCs w:val="21"/>
              </w:rPr>
            </w:pPr>
          </w:p>
        </w:tc>
        <w:tc>
          <w:tcPr>
            <w:tcW w:w="931" w:type="pct"/>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192" w:lineRule="auto"/>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其他</w:t>
            </w:r>
          </w:p>
        </w:tc>
        <w:tc>
          <w:tcPr>
            <w:tcW w:w="937" w:type="pc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192" w:lineRule="auto"/>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bCs/>
                <w:sz w:val="21"/>
                <w:szCs w:val="21"/>
              </w:rPr>
              <w:t>计容</w:t>
            </w:r>
            <w:r>
              <w:rPr>
                <w:rFonts w:hint="default" w:ascii="Times New Roman" w:hAnsi="Times New Roman" w:eastAsia="仿宋" w:cs="Times New Roman"/>
                <w:kern w:val="0"/>
                <w:sz w:val="21"/>
                <w:szCs w:val="21"/>
              </w:rPr>
              <w:t>建筑面积</w:t>
            </w:r>
          </w:p>
          <w:p>
            <w:pPr>
              <w:keepNext w:val="0"/>
              <w:keepLines w:val="0"/>
              <w:pageBreakBefore w:val="0"/>
              <w:widowControl/>
              <w:kinsoku/>
              <w:wordWrap/>
              <w:overflowPunct/>
              <w:topLinePunct w:val="0"/>
              <w:autoSpaceDE/>
              <w:autoSpaceDN/>
              <w:bidi w:val="0"/>
              <w:adjustRightInd/>
              <w:snapToGrid w:val="0"/>
              <w:spacing w:line="192" w:lineRule="auto"/>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＞10万平方米</w:t>
            </w:r>
          </w:p>
        </w:tc>
        <w:tc>
          <w:tcPr>
            <w:tcW w:w="603"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一星级</w:t>
            </w:r>
          </w:p>
        </w:tc>
        <w:tc>
          <w:tcPr>
            <w:tcW w:w="1217" w:type="pct"/>
            <w:vMerge w:val="continue"/>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exact"/>
        </w:trPr>
        <w:tc>
          <w:tcPr>
            <w:tcW w:w="375" w:type="pct"/>
            <w:vMerge w:val="continue"/>
            <w:vAlign w:val="center"/>
          </w:tcPr>
          <w:p>
            <w:pPr>
              <w:pStyle w:val="303"/>
              <w:rPr>
                <w:rFonts w:hint="default" w:ascii="Times New Roman" w:hAnsi="Times New Roman" w:cs="Times New Roman"/>
                <w:bCs/>
                <w:kern w:val="0"/>
                <w:sz w:val="21"/>
                <w:szCs w:val="21"/>
              </w:rPr>
            </w:pPr>
          </w:p>
        </w:tc>
        <w:tc>
          <w:tcPr>
            <w:tcW w:w="935" w:type="pct"/>
            <w:vMerge w:val="continue"/>
            <w:shd w:val="clear" w:color="auto" w:fill="auto"/>
            <w:tcMar>
              <w:top w:w="15" w:type="dxa"/>
              <w:left w:w="15" w:type="dxa"/>
              <w:right w:w="15" w:type="dxa"/>
            </w:tcMar>
            <w:vAlign w:val="center"/>
          </w:tcPr>
          <w:p>
            <w:pPr>
              <w:pStyle w:val="303"/>
              <w:rPr>
                <w:rFonts w:hint="default" w:ascii="Times New Roman" w:hAnsi="Times New Roman" w:cs="Times New Roman"/>
                <w:bCs/>
                <w:kern w:val="0"/>
                <w:sz w:val="21"/>
                <w:szCs w:val="21"/>
              </w:rPr>
            </w:pPr>
          </w:p>
        </w:tc>
        <w:tc>
          <w:tcPr>
            <w:tcW w:w="931" w:type="pct"/>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192" w:lineRule="auto"/>
              <w:jc w:val="center"/>
              <w:textAlignment w:val="center"/>
              <w:rPr>
                <w:rFonts w:hint="default" w:ascii="Times New Roman" w:hAnsi="Times New Roman" w:eastAsia="仿宋" w:cs="Times New Roman"/>
                <w:kern w:val="0"/>
                <w:sz w:val="21"/>
                <w:szCs w:val="21"/>
              </w:rPr>
            </w:pPr>
          </w:p>
        </w:tc>
        <w:tc>
          <w:tcPr>
            <w:tcW w:w="937" w:type="pc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192" w:lineRule="auto"/>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bCs/>
                <w:sz w:val="21"/>
                <w:szCs w:val="21"/>
              </w:rPr>
              <w:t>计容</w:t>
            </w:r>
            <w:r>
              <w:rPr>
                <w:rFonts w:hint="default" w:ascii="Times New Roman" w:hAnsi="Times New Roman" w:eastAsia="仿宋" w:cs="Times New Roman"/>
                <w:kern w:val="0"/>
                <w:sz w:val="21"/>
                <w:szCs w:val="21"/>
              </w:rPr>
              <w:t>建筑面积≤10万平方米</w:t>
            </w:r>
          </w:p>
        </w:tc>
        <w:tc>
          <w:tcPr>
            <w:tcW w:w="603"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基本级</w:t>
            </w:r>
          </w:p>
        </w:tc>
        <w:tc>
          <w:tcPr>
            <w:tcW w:w="1217" w:type="pct"/>
            <w:vMerge w:val="continue"/>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exact"/>
        </w:trPr>
        <w:tc>
          <w:tcPr>
            <w:tcW w:w="375" w:type="pct"/>
            <w:vMerge w:val="continue"/>
            <w:vAlign w:val="center"/>
          </w:tcPr>
          <w:p>
            <w:pPr>
              <w:pStyle w:val="303"/>
              <w:rPr>
                <w:rFonts w:hint="default" w:ascii="Times New Roman" w:hAnsi="Times New Roman" w:cs="Times New Roman"/>
                <w:bCs/>
                <w:kern w:val="0"/>
                <w:sz w:val="21"/>
                <w:szCs w:val="21"/>
              </w:rPr>
            </w:pPr>
          </w:p>
        </w:tc>
        <w:tc>
          <w:tcPr>
            <w:tcW w:w="935" w:type="pct"/>
            <w:vMerge w:val="restart"/>
            <w:shd w:val="clear" w:color="auto" w:fill="auto"/>
            <w:tcMar>
              <w:top w:w="15" w:type="dxa"/>
              <w:left w:w="15" w:type="dxa"/>
              <w:right w:w="15" w:type="dxa"/>
            </w:tcMar>
            <w:vAlign w:val="center"/>
          </w:tcPr>
          <w:p>
            <w:pPr>
              <w:pStyle w:val="303"/>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公共建筑</w:t>
            </w:r>
          </w:p>
          <w:p>
            <w:pPr>
              <w:pStyle w:val="303"/>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（包括工业用地范围内用于办公功能的建筑）</w:t>
            </w:r>
          </w:p>
        </w:tc>
        <w:tc>
          <w:tcPr>
            <w:tcW w:w="931" w:type="pc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192" w:lineRule="auto"/>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财政投资或国有资金参与投资</w:t>
            </w:r>
          </w:p>
        </w:tc>
        <w:tc>
          <w:tcPr>
            <w:tcW w:w="937" w:type="pc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192" w:lineRule="auto"/>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603"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一星级</w:t>
            </w:r>
          </w:p>
        </w:tc>
        <w:tc>
          <w:tcPr>
            <w:tcW w:w="1217" w:type="pct"/>
            <w:vMerge w:val="restar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城镇新建公共建筑能效水平提升比例≥20%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exact"/>
        </w:trPr>
        <w:tc>
          <w:tcPr>
            <w:tcW w:w="375" w:type="pct"/>
            <w:vMerge w:val="continue"/>
            <w:vAlign w:val="center"/>
          </w:tcPr>
          <w:p>
            <w:pPr>
              <w:pStyle w:val="303"/>
              <w:spacing w:before="156" w:after="93"/>
              <w:rPr>
                <w:rFonts w:hint="default" w:ascii="Times New Roman" w:hAnsi="Times New Roman" w:eastAsia="仿宋" w:cs="Times New Roman"/>
                <w:bCs/>
                <w:sz w:val="21"/>
                <w:szCs w:val="21"/>
              </w:rPr>
            </w:pPr>
          </w:p>
        </w:tc>
        <w:tc>
          <w:tcPr>
            <w:tcW w:w="935" w:type="pct"/>
            <w:vMerge w:val="continue"/>
            <w:shd w:val="clear" w:color="auto" w:fill="auto"/>
            <w:tcMar>
              <w:top w:w="15" w:type="dxa"/>
              <w:left w:w="15" w:type="dxa"/>
              <w:right w:w="15" w:type="dxa"/>
            </w:tcMar>
            <w:vAlign w:val="center"/>
          </w:tcPr>
          <w:p>
            <w:pPr>
              <w:pStyle w:val="303"/>
              <w:spacing w:before="156" w:after="93"/>
              <w:rPr>
                <w:rFonts w:hint="default" w:ascii="Times New Roman" w:hAnsi="Times New Roman" w:eastAsia="仿宋" w:cs="Times New Roman"/>
                <w:bCs/>
                <w:sz w:val="21"/>
                <w:szCs w:val="21"/>
              </w:rPr>
            </w:pPr>
          </w:p>
        </w:tc>
        <w:tc>
          <w:tcPr>
            <w:tcW w:w="931" w:type="pct"/>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192" w:lineRule="auto"/>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其它</w:t>
            </w:r>
          </w:p>
        </w:tc>
        <w:tc>
          <w:tcPr>
            <w:tcW w:w="937" w:type="pc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192" w:lineRule="auto"/>
              <w:jc w:val="center"/>
              <w:textAlignment w:val="center"/>
              <w:rPr>
                <w:rFonts w:hint="default" w:ascii="Times New Roman" w:hAnsi="Times New Roman" w:eastAsia="仿宋" w:cs="Times New Roman"/>
                <w:kern w:val="0"/>
                <w:sz w:val="21"/>
                <w:szCs w:val="21"/>
              </w:rPr>
            </w:pPr>
            <w:r>
              <w:rPr>
                <w:rFonts w:hint="eastAsia" w:ascii="Times New Roman" w:hAnsi="Times New Roman" w:eastAsia="仿宋" w:cs="Times New Roman"/>
                <w:kern w:val="0"/>
                <w:sz w:val="21"/>
                <w:szCs w:val="21"/>
                <w:lang w:val="en-US" w:eastAsia="zh-CN"/>
              </w:rPr>
              <w:t>地上</w:t>
            </w:r>
            <w:r>
              <w:rPr>
                <w:rFonts w:hint="default" w:ascii="Times New Roman" w:hAnsi="Times New Roman" w:eastAsia="仿宋" w:cs="Times New Roman"/>
                <w:kern w:val="0"/>
                <w:sz w:val="21"/>
                <w:szCs w:val="21"/>
              </w:rPr>
              <w:t>单体建筑面积＞2万平方米</w:t>
            </w:r>
          </w:p>
        </w:tc>
        <w:tc>
          <w:tcPr>
            <w:tcW w:w="603"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一星级</w:t>
            </w:r>
          </w:p>
        </w:tc>
        <w:tc>
          <w:tcPr>
            <w:tcW w:w="1217" w:type="pct"/>
            <w:vMerge w:val="continue"/>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exact"/>
        </w:trPr>
        <w:tc>
          <w:tcPr>
            <w:tcW w:w="375" w:type="pct"/>
            <w:vMerge w:val="continue"/>
            <w:vAlign w:val="center"/>
          </w:tcPr>
          <w:p>
            <w:pPr>
              <w:pStyle w:val="303"/>
              <w:spacing w:before="156" w:after="93"/>
              <w:rPr>
                <w:rFonts w:hint="default" w:ascii="Times New Roman" w:hAnsi="Times New Roman" w:eastAsia="仿宋" w:cs="Times New Roman"/>
                <w:bCs/>
                <w:sz w:val="21"/>
                <w:szCs w:val="21"/>
              </w:rPr>
            </w:pPr>
          </w:p>
        </w:tc>
        <w:tc>
          <w:tcPr>
            <w:tcW w:w="935" w:type="pct"/>
            <w:vMerge w:val="continue"/>
            <w:shd w:val="clear" w:color="auto" w:fill="auto"/>
            <w:tcMar>
              <w:top w:w="15" w:type="dxa"/>
              <w:left w:w="15" w:type="dxa"/>
              <w:right w:w="15" w:type="dxa"/>
            </w:tcMar>
            <w:vAlign w:val="center"/>
          </w:tcPr>
          <w:p>
            <w:pPr>
              <w:pStyle w:val="303"/>
              <w:spacing w:before="156" w:after="93"/>
              <w:rPr>
                <w:rFonts w:hint="default" w:ascii="Times New Roman" w:hAnsi="Times New Roman" w:eastAsia="仿宋" w:cs="Times New Roman"/>
                <w:bCs/>
                <w:sz w:val="21"/>
                <w:szCs w:val="21"/>
              </w:rPr>
            </w:pPr>
          </w:p>
        </w:tc>
        <w:tc>
          <w:tcPr>
            <w:tcW w:w="931" w:type="pct"/>
            <w:vMerge w:val="continue"/>
            <w:shd w:val="clear" w:color="auto" w:fill="auto"/>
            <w:tcMar>
              <w:top w:w="15" w:type="dxa"/>
              <w:left w:w="15" w:type="dxa"/>
              <w:right w:w="15" w:type="dxa"/>
            </w:tcMar>
            <w:vAlign w:val="center"/>
          </w:tcPr>
          <w:p>
            <w:pPr>
              <w:pStyle w:val="303"/>
              <w:keepNext w:val="0"/>
              <w:keepLines w:val="0"/>
              <w:pageBreakBefore w:val="0"/>
              <w:kinsoku/>
              <w:wordWrap/>
              <w:overflowPunct/>
              <w:topLinePunct w:val="0"/>
              <w:autoSpaceDE/>
              <w:autoSpaceDN/>
              <w:bidi w:val="0"/>
              <w:adjustRightInd/>
              <w:snapToGrid w:val="0"/>
              <w:spacing w:before="156" w:after="93" w:line="192" w:lineRule="auto"/>
              <w:rPr>
                <w:rFonts w:hint="default" w:ascii="Times New Roman" w:hAnsi="Times New Roman" w:eastAsia="仿宋" w:cs="Times New Roman"/>
                <w:b w:val="0"/>
                <w:bCs/>
                <w:sz w:val="21"/>
                <w:szCs w:val="21"/>
              </w:rPr>
            </w:pPr>
          </w:p>
        </w:tc>
        <w:tc>
          <w:tcPr>
            <w:tcW w:w="937" w:type="pct"/>
            <w:shd w:val="clear" w:color="auto" w:fill="auto"/>
            <w:tcMar>
              <w:top w:w="15" w:type="dxa"/>
              <w:left w:w="15" w:type="dxa"/>
              <w:right w:w="15" w:type="dxa"/>
            </w:tcMar>
            <w:vAlign w:val="center"/>
          </w:tcPr>
          <w:p>
            <w:pPr>
              <w:pStyle w:val="303"/>
              <w:keepNext w:val="0"/>
              <w:keepLines w:val="0"/>
              <w:pageBreakBefore w:val="0"/>
              <w:kinsoku/>
              <w:wordWrap/>
              <w:overflowPunct/>
              <w:topLinePunct w:val="0"/>
              <w:autoSpaceDE/>
              <w:autoSpaceDN/>
              <w:bidi w:val="0"/>
              <w:adjustRightInd/>
              <w:snapToGrid w:val="0"/>
              <w:spacing w:line="192" w:lineRule="auto"/>
              <w:rPr>
                <w:rFonts w:hint="default" w:ascii="Times New Roman" w:hAnsi="Times New Roman" w:eastAsia="仿宋" w:cs="Times New Roman"/>
                <w:b w:val="0"/>
                <w:bCs/>
                <w:sz w:val="21"/>
                <w:szCs w:val="21"/>
              </w:rPr>
            </w:pPr>
            <w:r>
              <w:rPr>
                <w:rFonts w:hint="eastAsia" w:ascii="Times New Roman" w:hAnsi="Times New Roman" w:eastAsia="仿宋" w:cs="Times New Roman"/>
                <w:b w:val="0"/>
                <w:bCs/>
                <w:sz w:val="21"/>
                <w:szCs w:val="21"/>
                <w:lang w:val="en-US" w:eastAsia="zh-CN"/>
              </w:rPr>
              <w:t>地上</w:t>
            </w:r>
            <w:r>
              <w:rPr>
                <w:rFonts w:hint="default" w:ascii="Times New Roman" w:hAnsi="Times New Roman" w:eastAsia="仿宋" w:cs="Times New Roman"/>
                <w:b w:val="0"/>
                <w:bCs/>
                <w:sz w:val="21"/>
                <w:szCs w:val="21"/>
              </w:rPr>
              <w:t>单体建筑面积≤2万平方米</w:t>
            </w:r>
          </w:p>
        </w:tc>
        <w:tc>
          <w:tcPr>
            <w:tcW w:w="603" w:type="pct"/>
            <w:shd w:val="clear" w:color="auto" w:fill="auto"/>
            <w:tcMar>
              <w:top w:w="15" w:type="dxa"/>
              <w:left w:w="15" w:type="dxa"/>
              <w:right w:w="15" w:type="dxa"/>
            </w:tcMar>
            <w:vAlign w:val="center"/>
          </w:tcPr>
          <w:p>
            <w:pPr>
              <w:pStyle w:val="303"/>
              <w:rPr>
                <w:rFonts w:hint="default" w:ascii="Times New Roman" w:hAnsi="Times New Roman" w:eastAsia="仿宋" w:cs="Times New Roman"/>
                <w:b w:val="0"/>
                <w:bCs/>
                <w:sz w:val="21"/>
                <w:szCs w:val="21"/>
              </w:rPr>
            </w:pPr>
            <w:r>
              <w:rPr>
                <w:rFonts w:hint="default" w:ascii="Times New Roman" w:hAnsi="Times New Roman" w:eastAsia="仿宋" w:cs="Times New Roman"/>
                <w:b w:val="0"/>
                <w:bCs/>
                <w:sz w:val="21"/>
                <w:szCs w:val="21"/>
              </w:rPr>
              <w:t>基本级</w:t>
            </w:r>
          </w:p>
        </w:tc>
        <w:tc>
          <w:tcPr>
            <w:tcW w:w="1217" w:type="pct"/>
            <w:vMerge w:val="continue"/>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3" w:hRule="exact"/>
        </w:trPr>
        <w:tc>
          <w:tcPr>
            <w:tcW w:w="375" w:type="pct"/>
            <w:vMerge w:val="continue"/>
            <w:vAlign w:val="center"/>
          </w:tcPr>
          <w:p>
            <w:pPr>
              <w:pStyle w:val="303"/>
              <w:rPr>
                <w:rFonts w:hint="default" w:ascii="Times New Roman" w:hAnsi="Times New Roman" w:cs="Times New Roman"/>
                <w:bCs/>
                <w:kern w:val="0"/>
                <w:sz w:val="21"/>
                <w:szCs w:val="21"/>
              </w:rPr>
            </w:pPr>
          </w:p>
        </w:tc>
        <w:tc>
          <w:tcPr>
            <w:tcW w:w="935" w:type="pct"/>
            <w:shd w:val="clear" w:color="auto" w:fill="auto"/>
            <w:tcMar>
              <w:top w:w="15" w:type="dxa"/>
              <w:left w:w="15" w:type="dxa"/>
              <w:right w:w="15" w:type="dxa"/>
            </w:tcMar>
            <w:vAlign w:val="center"/>
          </w:tcPr>
          <w:p>
            <w:pPr>
              <w:pStyle w:val="303"/>
              <w:rPr>
                <w:rFonts w:hint="default" w:ascii="Times New Roman" w:hAnsi="Times New Roman" w:eastAsia="仿宋" w:cs="Times New Roman"/>
                <w:bCs/>
                <w:sz w:val="21"/>
                <w:szCs w:val="21"/>
              </w:rPr>
            </w:pPr>
            <w:r>
              <w:rPr>
                <w:rFonts w:hint="default" w:ascii="Times New Roman" w:hAnsi="Times New Roman" w:cs="Times New Roman"/>
                <w:bCs/>
                <w:kern w:val="0"/>
                <w:sz w:val="21"/>
                <w:szCs w:val="21"/>
              </w:rPr>
              <w:t>超高层建筑</w:t>
            </w:r>
          </w:p>
        </w:tc>
        <w:tc>
          <w:tcPr>
            <w:tcW w:w="931" w:type="pc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192" w:lineRule="auto"/>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937" w:type="pc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192" w:lineRule="auto"/>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603"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三星级</w:t>
            </w:r>
          </w:p>
        </w:tc>
        <w:tc>
          <w:tcPr>
            <w:tcW w:w="1217"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按项目实际情况，参照居住或公共建筑执行</w:t>
            </w:r>
          </w:p>
        </w:tc>
      </w:tr>
    </w:tbl>
    <w:p>
      <w:pPr>
        <w:widowControl/>
        <w:jc w:val="left"/>
        <w:rPr>
          <w:rFonts w:ascii="仿宋" w:hAnsi="仿宋" w:eastAsia="仿宋"/>
          <w:bCs/>
        </w:rPr>
        <w:sectPr>
          <w:type w:val="continuous"/>
          <w:pgSz w:w="11906" w:h="16838"/>
          <w:pgMar w:top="1440" w:right="1797" w:bottom="1440" w:left="1797" w:header="851" w:footer="992" w:gutter="0"/>
          <w:cols w:space="1260" w:num="1"/>
          <w:docGrid w:type="linesAndChars" w:linePitch="312" w:charSpace="0"/>
        </w:sectPr>
      </w:pPr>
    </w:p>
    <w:p>
      <w:pPr>
        <w:pStyle w:val="2"/>
        <w:spacing w:before="156" w:after="93"/>
        <w:ind w:firstLine="0" w:firstLineChars="0"/>
        <w:jc w:val="center"/>
        <w:rPr>
          <w:rFonts w:ascii="仿宋" w:hAnsi="仿宋" w:eastAsia="仿宋"/>
          <w:b/>
          <w:bCs/>
          <w:sz w:val="21"/>
          <w:szCs w:val="21"/>
        </w:rPr>
      </w:pPr>
      <w:r>
        <w:rPr>
          <w:rFonts w:ascii="仿宋" w:hAnsi="仿宋" w:eastAsia="仿宋"/>
          <w:b/>
          <w:bCs/>
          <w:sz w:val="21"/>
          <w:szCs w:val="21"/>
        </w:rPr>
        <w:t>表12 目标单元</w:t>
      </w:r>
      <w:r>
        <w:rPr>
          <w:rFonts w:hint="eastAsia" w:ascii="仿宋" w:hAnsi="仿宋" w:eastAsia="仿宋"/>
          <w:b/>
          <w:bCs/>
          <w:sz w:val="21"/>
          <w:szCs w:val="21"/>
        </w:rPr>
        <w:t>预期性</w:t>
      </w:r>
      <w:r>
        <w:rPr>
          <w:rFonts w:ascii="仿宋" w:hAnsi="仿宋" w:eastAsia="仿宋"/>
          <w:b/>
          <w:bCs/>
          <w:sz w:val="21"/>
          <w:szCs w:val="21"/>
        </w:rPr>
        <w:t>指标控制表</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13"/>
        <w:gridCol w:w="416"/>
        <w:gridCol w:w="1764"/>
        <w:gridCol w:w="4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5000" w:type="pct"/>
            <w:gridSpan w:val="4"/>
            <w:vAlign w:val="center"/>
          </w:tcPr>
          <w:p>
            <w:pPr>
              <w:pStyle w:val="302"/>
              <w:spacing w:after="0" w:line="240" w:lineRule="auto"/>
              <w:ind w:left="0" w:leftChars="0"/>
              <w:jc w:val="center"/>
              <w:rPr>
                <w:rFonts w:hint="default" w:ascii="Times New Roman" w:hAnsi="Times New Roman" w:eastAsia="仿宋" w:cs="Times New Roman"/>
                <w:kern w:val="0"/>
                <w:sz w:val="21"/>
                <w:szCs w:val="21"/>
              </w:rPr>
            </w:pPr>
            <w:r>
              <w:rPr>
                <w:rFonts w:hint="default" w:ascii="Times New Roman" w:hAnsi="Times New Roman" w:cs="Times New Roman"/>
                <w:b/>
                <w:bCs/>
                <w:kern w:val="0"/>
                <w:sz w:val="21"/>
                <w:szCs w:val="21"/>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789" w:type="pct"/>
            <w:vMerge w:val="restart"/>
            <w:vAlign w:val="center"/>
          </w:tcPr>
          <w:p>
            <w:pPr>
              <w:pStyle w:val="302"/>
              <w:spacing w:after="0" w:line="240" w:lineRule="auto"/>
              <w:ind w:left="0" w:leftChars="0"/>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重点区域</w:t>
            </w:r>
          </w:p>
        </w:tc>
        <w:tc>
          <w:tcPr>
            <w:tcW w:w="250" w:type="pct"/>
            <w:vAlign w:val="center"/>
          </w:tcPr>
          <w:p>
            <w:pPr>
              <w:pStyle w:val="302"/>
              <w:spacing w:after="0" w:line="240" w:lineRule="auto"/>
              <w:ind w:left="0" w:leftChars="0"/>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指标类型</w:t>
            </w:r>
          </w:p>
        </w:tc>
        <w:tc>
          <w:tcPr>
            <w:tcW w:w="1060" w:type="pct"/>
            <w:vAlign w:val="center"/>
          </w:tcPr>
          <w:p>
            <w:pPr>
              <w:pStyle w:val="302"/>
              <w:spacing w:after="0" w:line="240" w:lineRule="auto"/>
              <w:ind w:left="0" w:leftChars="0"/>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指标名称</w:t>
            </w:r>
          </w:p>
        </w:tc>
        <w:tc>
          <w:tcPr>
            <w:tcW w:w="2901" w:type="pct"/>
            <w:vAlign w:val="center"/>
          </w:tcPr>
          <w:p>
            <w:pPr>
              <w:pStyle w:val="302"/>
              <w:spacing w:after="0" w:line="240" w:lineRule="auto"/>
              <w:ind w:left="0" w:leftChars="0"/>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789" w:type="pct"/>
            <w:vMerge w:val="continue"/>
            <w:vAlign w:val="center"/>
          </w:tcPr>
          <w:p>
            <w:pPr>
              <w:pStyle w:val="302"/>
              <w:spacing w:after="0" w:line="240" w:lineRule="auto"/>
              <w:ind w:left="0" w:leftChars="0"/>
              <w:jc w:val="center"/>
              <w:rPr>
                <w:rFonts w:hint="default" w:ascii="Times New Roman" w:hAnsi="Times New Roman" w:cs="Times New Roman"/>
                <w:b/>
                <w:bCs/>
                <w:kern w:val="0"/>
                <w:sz w:val="21"/>
                <w:szCs w:val="21"/>
              </w:rPr>
            </w:pPr>
          </w:p>
        </w:tc>
        <w:tc>
          <w:tcPr>
            <w:tcW w:w="250" w:type="pct"/>
            <w:vMerge w:val="restar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土地利用</w:t>
            </w:r>
          </w:p>
        </w:tc>
        <w:tc>
          <w:tcPr>
            <w:tcW w:w="106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拥有混合用地功能的街坊数量比例</w:t>
            </w:r>
          </w:p>
        </w:tc>
        <w:tc>
          <w:tcPr>
            <w:tcW w:w="2901"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789" w:type="pct"/>
            <w:vMerge w:val="continue"/>
            <w:vAlign w:val="center"/>
          </w:tcPr>
          <w:p>
            <w:pPr>
              <w:pStyle w:val="302"/>
              <w:spacing w:after="0" w:line="240" w:lineRule="auto"/>
              <w:ind w:left="0" w:leftChars="0"/>
              <w:jc w:val="center"/>
              <w:rPr>
                <w:rFonts w:hint="default" w:ascii="Times New Roman" w:hAnsi="Times New Roman" w:cs="Times New Roman"/>
                <w:b/>
                <w:bCs/>
                <w:kern w:val="0"/>
                <w:sz w:val="21"/>
                <w:szCs w:val="21"/>
              </w:rPr>
            </w:pPr>
          </w:p>
        </w:tc>
        <w:tc>
          <w:tcPr>
            <w:tcW w:w="250" w:type="pct"/>
            <w:vMerge w:val="continue"/>
            <w:vAlign w:val="center"/>
          </w:tcPr>
          <w:p>
            <w:pPr>
              <w:widowControl/>
              <w:jc w:val="center"/>
              <w:textAlignment w:val="center"/>
              <w:rPr>
                <w:rFonts w:hint="default" w:ascii="Times New Roman" w:hAnsi="Times New Roman" w:eastAsia="仿宋" w:cs="Times New Roman"/>
                <w:kern w:val="0"/>
                <w:sz w:val="21"/>
                <w:szCs w:val="21"/>
              </w:rPr>
            </w:pPr>
          </w:p>
        </w:tc>
        <w:tc>
          <w:tcPr>
            <w:tcW w:w="106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公共服务设施覆盖率</w:t>
            </w:r>
          </w:p>
        </w:tc>
        <w:tc>
          <w:tcPr>
            <w:tcW w:w="2901"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789" w:type="pct"/>
            <w:vMerge w:val="continue"/>
            <w:vAlign w:val="center"/>
          </w:tcPr>
          <w:p>
            <w:pPr>
              <w:pStyle w:val="302"/>
              <w:spacing w:after="0" w:line="240" w:lineRule="auto"/>
              <w:ind w:left="0" w:leftChars="0"/>
              <w:jc w:val="center"/>
              <w:rPr>
                <w:rFonts w:hint="default" w:ascii="Times New Roman" w:hAnsi="Times New Roman" w:cs="Times New Roman"/>
                <w:b/>
                <w:bCs/>
                <w:kern w:val="0"/>
                <w:sz w:val="21"/>
                <w:szCs w:val="21"/>
              </w:rPr>
            </w:pPr>
          </w:p>
        </w:tc>
        <w:tc>
          <w:tcPr>
            <w:tcW w:w="250" w:type="pct"/>
            <w:vMerge w:val="continue"/>
            <w:vAlign w:val="center"/>
          </w:tcPr>
          <w:p>
            <w:pPr>
              <w:widowControl/>
              <w:jc w:val="center"/>
              <w:textAlignment w:val="center"/>
              <w:rPr>
                <w:rFonts w:hint="default" w:ascii="Times New Roman" w:hAnsi="Times New Roman" w:eastAsia="仿宋" w:cs="Times New Roman"/>
                <w:kern w:val="0"/>
                <w:sz w:val="21"/>
                <w:szCs w:val="21"/>
              </w:rPr>
            </w:pPr>
          </w:p>
        </w:tc>
        <w:tc>
          <w:tcPr>
            <w:tcW w:w="106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开放空间500m覆盖率</w:t>
            </w:r>
          </w:p>
        </w:tc>
        <w:tc>
          <w:tcPr>
            <w:tcW w:w="2901"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789" w:type="pct"/>
            <w:vMerge w:val="continue"/>
            <w:vAlign w:val="center"/>
          </w:tcPr>
          <w:p>
            <w:pPr>
              <w:pStyle w:val="302"/>
              <w:spacing w:after="0" w:line="240" w:lineRule="auto"/>
              <w:ind w:left="0" w:leftChars="0"/>
              <w:jc w:val="center"/>
              <w:rPr>
                <w:rFonts w:hint="default" w:ascii="Times New Roman" w:hAnsi="Times New Roman" w:cs="Times New Roman"/>
                <w:b/>
                <w:bCs/>
                <w:kern w:val="0"/>
                <w:sz w:val="21"/>
                <w:szCs w:val="21"/>
              </w:rPr>
            </w:pPr>
          </w:p>
        </w:tc>
        <w:tc>
          <w:tcPr>
            <w:tcW w:w="250" w:type="pct"/>
            <w:vMerge w:val="continue"/>
            <w:vAlign w:val="center"/>
          </w:tcPr>
          <w:p>
            <w:pPr>
              <w:pStyle w:val="302"/>
              <w:spacing w:after="0" w:line="240" w:lineRule="auto"/>
              <w:ind w:left="0" w:leftChars="0"/>
              <w:jc w:val="center"/>
              <w:rPr>
                <w:rFonts w:hint="default" w:ascii="Times New Roman" w:hAnsi="Times New Roman" w:cs="Times New Roman"/>
                <w:b/>
                <w:bCs/>
                <w:kern w:val="0"/>
                <w:sz w:val="21"/>
                <w:szCs w:val="21"/>
              </w:rPr>
            </w:pPr>
          </w:p>
        </w:tc>
        <w:tc>
          <w:tcPr>
            <w:tcW w:w="106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地下空间开发利用率</w:t>
            </w:r>
          </w:p>
        </w:tc>
        <w:tc>
          <w:tcPr>
            <w:tcW w:w="2901"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789" w:type="pct"/>
            <w:vMerge w:val="continue"/>
            <w:vAlign w:val="center"/>
          </w:tcPr>
          <w:p>
            <w:pPr>
              <w:pStyle w:val="302"/>
              <w:spacing w:after="0" w:line="240" w:lineRule="auto"/>
              <w:ind w:left="0" w:leftChars="0"/>
              <w:jc w:val="center"/>
              <w:rPr>
                <w:rFonts w:hint="default" w:ascii="Times New Roman" w:hAnsi="Times New Roman" w:cs="Times New Roman"/>
                <w:b/>
                <w:bCs/>
                <w:kern w:val="0"/>
                <w:sz w:val="21"/>
                <w:szCs w:val="21"/>
              </w:rPr>
            </w:pPr>
          </w:p>
        </w:tc>
        <w:tc>
          <w:tcPr>
            <w:tcW w:w="250" w:type="pct"/>
            <w:vMerge w:val="continue"/>
            <w:vAlign w:val="center"/>
          </w:tcPr>
          <w:p>
            <w:pPr>
              <w:pStyle w:val="302"/>
              <w:spacing w:after="0" w:line="240" w:lineRule="auto"/>
              <w:ind w:left="0" w:leftChars="0"/>
              <w:jc w:val="center"/>
              <w:rPr>
                <w:rFonts w:hint="default" w:ascii="Times New Roman" w:hAnsi="Times New Roman" w:cs="Times New Roman"/>
                <w:b/>
                <w:bCs/>
                <w:kern w:val="0"/>
                <w:sz w:val="21"/>
                <w:szCs w:val="21"/>
              </w:rPr>
            </w:pPr>
          </w:p>
        </w:tc>
        <w:tc>
          <w:tcPr>
            <w:tcW w:w="106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通风架空率</w:t>
            </w:r>
          </w:p>
        </w:tc>
        <w:tc>
          <w:tcPr>
            <w:tcW w:w="2901"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789" w:type="pct"/>
            <w:vMerge w:val="continue"/>
            <w:vAlign w:val="center"/>
          </w:tcPr>
          <w:p>
            <w:pPr>
              <w:pStyle w:val="302"/>
              <w:spacing w:after="0" w:line="240" w:lineRule="auto"/>
              <w:ind w:left="0" w:leftChars="0"/>
              <w:jc w:val="center"/>
              <w:rPr>
                <w:rFonts w:hint="default" w:ascii="Times New Roman" w:hAnsi="Times New Roman" w:cs="Times New Roman"/>
                <w:b/>
                <w:bCs/>
                <w:kern w:val="0"/>
                <w:sz w:val="21"/>
                <w:szCs w:val="21"/>
              </w:rPr>
            </w:pPr>
          </w:p>
        </w:tc>
        <w:tc>
          <w:tcPr>
            <w:tcW w:w="250" w:type="pct"/>
            <w:vMerge w:val="restar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交通组织</w:t>
            </w:r>
          </w:p>
        </w:tc>
        <w:tc>
          <w:tcPr>
            <w:tcW w:w="106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路网密度</w:t>
            </w:r>
          </w:p>
        </w:tc>
        <w:tc>
          <w:tcPr>
            <w:tcW w:w="2901"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≥8km/km²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789" w:type="pct"/>
            <w:vMerge w:val="continue"/>
            <w:vAlign w:val="center"/>
          </w:tcPr>
          <w:p>
            <w:pPr>
              <w:pStyle w:val="302"/>
              <w:spacing w:after="0" w:line="240" w:lineRule="auto"/>
              <w:ind w:left="0" w:leftChars="0"/>
              <w:jc w:val="center"/>
              <w:rPr>
                <w:rFonts w:hint="default" w:ascii="Times New Roman" w:hAnsi="Times New Roman" w:cs="Times New Roman"/>
                <w:b/>
                <w:bCs/>
                <w:kern w:val="0"/>
                <w:sz w:val="21"/>
                <w:szCs w:val="21"/>
              </w:rPr>
            </w:pPr>
          </w:p>
        </w:tc>
        <w:tc>
          <w:tcPr>
            <w:tcW w:w="250" w:type="pct"/>
            <w:vMerge w:val="continue"/>
            <w:vAlign w:val="center"/>
          </w:tcPr>
          <w:p>
            <w:pPr>
              <w:widowControl/>
              <w:jc w:val="center"/>
              <w:textAlignment w:val="center"/>
              <w:rPr>
                <w:rFonts w:hint="default" w:ascii="Times New Roman" w:hAnsi="Times New Roman" w:eastAsia="仿宋" w:cs="Times New Roman"/>
                <w:kern w:val="0"/>
                <w:sz w:val="21"/>
                <w:szCs w:val="21"/>
              </w:rPr>
            </w:pPr>
          </w:p>
        </w:tc>
        <w:tc>
          <w:tcPr>
            <w:tcW w:w="106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绿色交通出行率</w:t>
            </w:r>
          </w:p>
        </w:tc>
        <w:tc>
          <w:tcPr>
            <w:tcW w:w="2901"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789" w:type="pct"/>
            <w:vMerge w:val="continue"/>
            <w:vAlign w:val="center"/>
          </w:tcPr>
          <w:p>
            <w:pPr>
              <w:pStyle w:val="302"/>
              <w:spacing w:after="0" w:line="240" w:lineRule="auto"/>
              <w:ind w:left="0" w:leftChars="0"/>
              <w:jc w:val="center"/>
              <w:rPr>
                <w:rFonts w:hint="default" w:ascii="Times New Roman" w:hAnsi="Times New Roman" w:cs="Times New Roman"/>
                <w:b/>
                <w:bCs/>
                <w:kern w:val="0"/>
                <w:sz w:val="21"/>
                <w:szCs w:val="21"/>
              </w:rPr>
            </w:pPr>
          </w:p>
        </w:tc>
        <w:tc>
          <w:tcPr>
            <w:tcW w:w="250" w:type="pct"/>
            <w:vMerge w:val="continue"/>
            <w:vAlign w:val="center"/>
          </w:tcPr>
          <w:p>
            <w:pPr>
              <w:widowControl/>
              <w:jc w:val="center"/>
              <w:textAlignment w:val="center"/>
              <w:rPr>
                <w:rFonts w:hint="default" w:ascii="Times New Roman" w:hAnsi="Times New Roman" w:eastAsia="仿宋" w:cs="Times New Roman"/>
                <w:kern w:val="0"/>
                <w:sz w:val="21"/>
                <w:szCs w:val="21"/>
              </w:rPr>
            </w:pPr>
          </w:p>
        </w:tc>
        <w:tc>
          <w:tcPr>
            <w:tcW w:w="106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轨道交通站点800m覆盖率</w:t>
            </w:r>
          </w:p>
        </w:tc>
        <w:tc>
          <w:tcPr>
            <w:tcW w:w="2901"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789" w:type="pct"/>
            <w:vMerge w:val="continue"/>
            <w:vAlign w:val="center"/>
          </w:tcPr>
          <w:p>
            <w:pPr>
              <w:pStyle w:val="302"/>
              <w:spacing w:after="0" w:line="240" w:lineRule="auto"/>
              <w:ind w:left="0" w:leftChars="0"/>
              <w:jc w:val="center"/>
              <w:rPr>
                <w:rFonts w:hint="default" w:ascii="Times New Roman" w:hAnsi="Times New Roman" w:cs="Times New Roman"/>
                <w:b/>
                <w:bCs/>
                <w:kern w:val="0"/>
                <w:sz w:val="21"/>
                <w:szCs w:val="21"/>
              </w:rPr>
            </w:pPr>
          </w:p>
        </w:tc>
        <w:tc>
          <w:tcPr>
            <w:tcW w:w="250" w:type="pct"/>
            <w:vMerge w:val="continue"/>
            <w:vAlign w:val="center"/>
          </w:tcPr>
          <w:p>
            <w:pPr>
              <w:widowControl/>
              <w:jc w:val="center"/>
              <w:textAlignment w:val="center"/>
              <w:rPr>
                <w:rFonts w:hint="default" w:ascii="Times New Roman" w:hAnsi="Times New Roman" w:eastAsia="仿宋" w:cs="Times New Roman"/>
                <w:kern w:val="0"/>
                <w:sz w:val="21"/>
                <w:szCs w:val="21"/>
              </w:rPr>
            </w:pPr>
          </w:p>
        </w:tc>
        <w:tc>
          <w:tcPr>
            <w:tcW w:w="106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公共交通站点500m覆盖率</w:t>
            </w:r>
          </w:p>
        </w:tc>
        <w:tc>
          <w:tcPr>
            <w:tcW w:w="2901"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789" w:type="pct"/>
            <w:vMerge w:val="continue"/>
            <w:vAlign w:val="center"/>
          </w:tcPr>
          <w:p>
            <w:pPr>
              <w:pStyle w:val="302"/>
              <w:spacing w:after="0" w:line="240" w:lineRule="auto"/>
              <w:ind w:left="0" w:leftChars="0"/>
              <w:jc w:val="center"/>
              <w:rPr>
                <w:rFonts w:hint="default" w:ascii="Times New Roman" w:hAnsi="Times New Roman" w:cs="Times New Roman"/>
                <w:b/>
                <w:bCs/>
                <w:kern w:val="0"/>
                <w:sz w:val="21"/>
                <w:szCs w:val="21"/>
              </w:rPr>
            </w:pPr>
          </w:p>
        </w:tc>
        <w:tc>
          <w:tcPr>
            <w:tcW w:w="250" w:type="pct"/>
            <w:vMerge w:val="restar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资源利用</w:t>
            </w:r>
          </w:p>
        </w:tc>
        <w:tc>
          <w:tcPr>
            <w:tcW w:w="106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可再生能源利用率</w:t>
            </w:r>
          </w:p>
        </w:tc>
        <w:tc>
          <w:tcPr>
            <w:tcW w:w="2901"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789" w:type="pct"/>
            <w:vMerge w:val="continue"/>
            <w:vAlign w:val="center"/>
          </w:tcPr>
          <w:p>
            <w:pPr>
              <w:pStyle w:val="302"/>
              <w:spacing w:after="0" w:line="240" w:lineRule="auto"/>
              <w:ind w:left="0" w:leftChars="0"/>
              <w:jc w:val="center"/>
              <w:rPr>
                <w:rFonts w:hint="default" w:ascii="Times New Roman" w:hAnsi="Times New Roman" w:cs="Times New Roman"/>
                <w:b/>
                <w:bCs/>
                <w:kern w:val="0"/>
                <w:sz w:val="21"/>
                <w:szCs w:val="21"/>
              </w:rPr>
            </w:pPr>
          </w:p>
        </w:tc>
        <w:tc>
          <w:tcPr>
            <w:tcW w:w="250" w:type="pct"/>
            <w:vMerge w:val="continue"/>
            <w:vAlign w:val="center"/>
          </w:tcPr>
          <w:p>
            <w:pPr>
              <w:widowControl/>
              <w:jc w:val="center"/>
              <w:textAlignment w:val="center"/>
              <w:rPr>
                <w:rFonts w:hint="default" w:ascii="Times New Roman" w:hAnsi="Times New Roman" w:eastAsia="仿宋" w:cs="Times New Roman"/>
                <w:kern w:val="0"/>
                <w:sz w:val="21"/>
                <w:szCs w:val="21"/>
              </w:rPr>
            </w:pPr>
          </w:p>
        </w:tc>
        <w:tc>
          <w:tcPr>
            <w:tcW w:w="106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雨水资源替代率</w:t>
            </w:r>
          </w:p>
        </w:tc>
        <w:tc>
          <w:tcPr>
            <w:tcW w:w="2901"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789" w:type="pct"/>
            <w:vMerge w:val="continue"/>
            <w:vAlign w:val="center"/>
          </w:tcPr>
          <w:p>
            <w:pPr>
              <w:pStyle w:val="302"/>
              <w:spacing w:after="0" w:line="240" w:lineRule="auto"/>
              <w:ind w:left="0" w:leftChars="0"/>
              <w:jc w:val="center"/>
              <w:rPr>
                <w:rFonts w:hint="default" w:ascii="Times New Roman" w:hAnsi="Times New Roman" w:cs="Times New Roman"/>
                <w:b/>
                <w:bCs/>
                <w:kern w:val="0"/>
                <w:sz w:val="21"/>
                <w:szCs w:val="21"/>
              </w:rPr>
            </w:pPr>
          </w:p>
        </w:tc>
        <w:tc>
          <w:tcPr>
            <w:tcW w:w="250" w:type="pct"/>
            <w:vMerge w:val="continue"/>
            <w:vAlign w:val="center"/>
          </w:tcPr>
          <w:p>
            <w:pPr>
              <w:widowControl/>
              <w:jc w:val="center"/>
              <w:textAlignment w:val="center"/>
              <w:rPr>
                <w:rFonts w:hint="default" w:ascii="Times New Roman" w:hAnsi="Times New Roman" w:eastAsia="仿宋" w:cs="Times New Roman"/>
                <w:kern w:val="0"/>
                <w:sz w:val="21"/>
                <w:szCs w:val="21"/>
              </w:rPr>
            </w:pPr>
          </w:p>
        </w:tc>
        <w:tc>
          <w:tcPr>
            <w:tcW w:w="106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生活垃圾分类收集率</w:t>
            </w:r>
          </w:p>
        </w:tc>
        <w:tc>
          <w:tcPr>
            <w:tcW w:w="2901"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789" w:type="pct"/>
            <w:vMerge w:val="continue"/>
            <w:vAlign w:val="center"/>
          </w:tcPr>
          <w:p>
            <w:pPr>
              <w:pStyle w:val="302"/>
              <w:spacing w:after="0" w:line="240" w:lineRule="auto"/>
              <w:ind w:left="0" w:leftChars="0"/>
              <w:jc w:val="center"/>
              <w:rPr>
                <w:rFonts w:hint="default" w:ascii="Times New Roman" w:hAnsi="Times New Roman" w:cs="Times New Roman"/>
                <w:b/>
                <w:bCs/>
                <w:kern w:val="0"/>
                <w:sz w:val="21"/>
                <w:szCs w:val="21"/>
              </w:rPr>
            </w:pPr>
          </w:p>
        </w:tc>
        <w:tc>
          <w:tcPr>
            <w:tcW w:w="250" w:type="pct"/>
            <w:vMerge w:val="restar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生态环境</w:t>
            </w:r>
          </w:p>
        </w:tc>
        <w:tc>
          <w:tcPr>
            <w:tcW w:w="106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年径流总量控制率</w:t>
            </w:r>
          </w:p>
        </w:tc>
        <w:tc>
          <w:tcPr>
            <w:tcW w:w="2901"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789" w:type="pct"/>
            <w:vMerge w:val="continue"/>
            <w:vAlign w:val="center"/>
          </w:tcPr>
          <w:p>
            <w:pPr>
              <w:pStyle w:val="302"/>
              <w:spacing w:after="0" w:line="240" w:lineRule="auto"/>
              <w:ind w:left="0" w:leftChars="0"/>
              <w:jc w:val="center"/>
              <w:rPr>
                <w:rFonts w:hint="default" w:ascii="Times New Roman" w:hAnsi="Times New Roman" w:cs="Times New Roman"/>
                <w:b/>
                <w:bCs/>
                <w:kern w:val="0"/>
                <w:sz w:val="21"/>
                <w:szCs w:val="21"/>
              </w:rPr>
            </w:pPr>
          </w:p>
        </w:tc>
        <w:tc>
          <w:tcPr>
            <w:tcW w:w="250" w:type="pct"/>
            <w:vMerge w:val="continue"/>
            <w:vAlign w:val="center"/>
          </w:tcPr>
          <w:p>
            <w:pPr>
              <w:pStyle w:val="302"/>
              <w:spacing w:after="0" w:line="240" w:lineRule="auto"/>
              <w:ind w:left="0" w:leftChars="0"/>
              <w:jc w:val="center"/>
              <w:rPr>
                <w:rFonts w:hint="default" w:ascii="Times New Roman" w:hAnsi="Times New Roman" w:cs="Times New Roman"/>
                <w:b/>
                <w:bCs/>
                <w:kern w:val="0"/>
                <w:sz w:val="21"/>
                <w:szCs w:val="21"/>
              </w:rPr>
            </w:pPr>
          </w:p>
        </w:tc>
        <w:tc>
          <w:tcPr>
            <w:tcW w:w="106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公共空间300m覆盖率</w:t>
            </w:r>
          </w:p>
        </w:tc>
        <w:tc>
          <w:tcPr>
            <w:tcW w:w="2901"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789" w:type="pct"/>
            <w:vMerge w:val="continue"/>
            <w:vAlign w:val="center"/>
          </w:tcPr>
          <w:p>
            <w:pPr>
              <w:pStyle w:val="302"/>
              <w:spacing w:after="0" w:line="240" w:lineRule="auto"/>
              <w:ind w:left="0" w:leftChars="0"/>
              <w:jc w:val="center"/>
              <w:rPr>
                <w:rFonts w:hint="default" w:ascii="Times New Roman" w:hAnsi="Times New Roman" w:cs="Times New Roman"/>
                <w:b/>
                <w:bCs/>
                <w:kern w:val="0"/>
                <w:sz w:val="21"/>
                <w:szCs w:val="21"/>
              </w:rPr>
            </w:pPr>
          </w:p>
        </w:tc>
        <w:tc>
          <w:tcPr>
            <w:tcW w:w="250" w:type="pct"/>
            <w:vMerge w:val="continue"/>
            <w:vAlign w:val="center"/>
          </w:tcPr>
          <w:p>
            <w:pPr>
              <w:pStyle w:val="302"/>
              <w:spacing w:after="0" w:line="240" w:lineRule="auto"/>
              <w:ind w:left="0" w:leftChars="0"/>
              <w:jc w:val="center"/>
              <w:rPr>
                <w:rFonts w:hint="default" w:ascii="Times New Roman" w:hAnsi="Times New Roman" w:cs="Times New Roman"/>
                <w:b/>
                <w:bCs/>
                <w:kern w:val="0"/>
                <w:sz w:val="21"/>
                <w:szCs w:val="21"/>
              </w:rPr>
            </w:pPr>
          </w:p>
        </w:tc>
        <w:tc>
          <w:tcPr>
            <w:tcW w:w="106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环境空气质量优良天气</w:t>
            </w:r>
          </w:p>
        </w:tc>
        <w:tc>
          <w:tcPr>
            <w:tcW w:w="2901"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≥310天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789" w:type="pct"/>
            <w:vMerge w:val="continue"/>
            <w:vAlign w:val="center"/>
          </w:tcPr>
          <w:p>
            <w:pPr>
              <w:pStyle w:val="302"/>
              <w:spacing w:after="0" w:line="240" w:lineRule="auto"/>
              <w:ind w:left="0" w:leftChars="0"/>
              <w:jc w:val="center"/>
              <w:rPr>
                <w:rFonts w:hint="default" w:ascii="Times New Roman" w:hAnsi="Times New Roman" w:cs="Times New Roman"/>
                <w:b/>
                <w:bCs/>
                <w:kern w:val="0"/>
                <w:sz w:val="21"/>
                <w:szCs w:val="21"/>
              </w:rPr>
            </w:pPr>
          </w:p>
        </w:tc>
        <w:tc>
          <w:tcPr>
            <w:tcW w:w="250" w:type="pct"/>
            <w:vMerge w:val="continue"/>
            <w:vAlign w:val="center"/>
          </w:tcPr>
          <w:p>
            <w:pPr>
              <w:pStyle w:val="302"/>
              <w:spacing w:after="0" w:line="240" w:lineRule="auto"/>
              <w:ind w:left="0" w:leftChars="0"/>
              <w:jc w:val="center"/>
              <w:rPr>
                <w:rFonts w:hint="default" w:ascii="Times New Roman" w:hAnsi="Times New Roman" w:cs="Times New Roman"/>
                <w:b/>
                <w:bCs/>
                <w:kern w:val="0"/>
                <w:sz w:val="21"/>
                <w:szCs w:val="21"/>
              </w:rPr>
            </w:pPr>
          </w:p>
        </w:tc>
        <w:tc>
          <w:tcPr>
            <w:tcW w:w="1060"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通风廊道控制</w:t>
            </w:r>
          </w:p>
        </w:tc>
        <w:tc>
          <w:tcPr>
            <w:tcW w:w="2901"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利用河流、湿地、绿地、街道等形成连续的开敞空间打造通风廊道，廊道宽度不小于50m，长度不小于1000m</w:t>
            </w:r>
          </w:p>
        </w:tc>
      </w:tr>
    </w:tbl>
    <w:p>
      <w:pPr>
        <w:jc w:val="center"/>
      </w:pPr>
    </w:p>
    <w:p>
      <w:pPr>
        <w:pStyle w:val="2"/>
        <w:spacing w:before="156" w:after="93"/>
        <w:ind w:firstLine="400"/>
      </w:pPr>
    </w:p>
    <w:p>
      <w:pPr>
        <w:pStyle w:val="3"/>
      </w:pPr>
    </w:p>
    <w:p/>
    <w:p>
      <w:pPr>
        <w:pStyle w:val="2"/>
        <w:spacing w:before="156" w:after="93"/>
        <w:ind w:left="0" w:leftChars="0" w:firstLine="0" w:firstLineChars="0"/>
      </w:pPr>
    </w:p>
    <w:p>
      <w:pPr>
        <w:pStyle w:val="2"/>
        <w:spacing w:before="156" w:after="93"/>
        <w:ind w:firstLine="0" w:firstLineChars="0"/>
        <w:jc w:val="center"/>
        <w:rPr>
          <w:rFonts w:ascii="仿宋" w:hAnsi="仿宋" w:eastAsia="仿宋"/>
          <w:b/>
          <w:bCs/>
          <w:sz w:val="21"/>
          <w:szCs w:val="21"/>
        </w:rPr>
      </w:pPr>
      <w:r>
        <w:rPr>
          <w:rFonts w:hint="eastAsia" w:ascii="仿宋" w:hAnsi="仿宋" w:eastAsia="仿宋"/>
          <w:b/>
          <w:bCs/>
          <w:sz w:val="21"/>
          <w:szCs w:val="21"/>
        </w:rPr>
        <w:t>续表1</w:t>
      </w:r>
      <w:r>
        <w:rPr>
          <w:rFonts w:ascii="仿宋" w:hAnsi="仿宋" w:eastAsia="仿宋"/>
          <w:b/>
          <w:bCs/>
          <w:sz w:val="21"/>
          <w:szCs w:val="21"/>
        </w:rPr>
        <w:t>2</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15"/>
        <w:gridCol w:w="417"/>
        <w:gridCol w:w="1767"/>
        <w:gridCol w:w="4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789" w:type="pct"/>
            <w:vMerge w:val="restart"/>
            <w:vAlign w:val="center"/>
          </w:tcPr>
          <w:p>
            <w:pPr>
              <w:pStyle w:val="303"/>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核心目标单元和基础目标单元</w:t>
            </w:r>
          </w:p>
        </w:tc>
        <w:tc>
          <w:tcPr>
            <w:tcW w:w="250" w:type="pct"/>
            <w:shd w:val="clear" w:color="auto" w:fill="auto"/>
            <w:tcMar>
              <w:top w:w="15" w:type="dxa"/>
              <w:left w:w="15" w:type="dxa"/>
              <w:right w:w="15" w:type="dxa"/>
            </w:tcMar>
            <w:vAlign w:val="center"/>
          </w:tcPr>
          <w:p>
            <w:pPr>
              <w:pStyle w:val="303"/>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建筑类型</w:t>
            </w:r>
          </w:p>
        </w:tc>
        <w:tc>
          <w:tcPr>
            <w:tcW w:w="1060" w:type="pct"/>
            <w:shd w:val="clear" w:color="auto" w:fill="auto"/>
            <w:tcMar>
              <w:top w:w="15" w:type="dxa"/>
              <w:left w:w="15" w:type="dxa"/>
              <w:right w:w="15" w:type="dxa"/>
            </w:tcMar>
            <w:vAlign w:val="center"/>
          </w:tcPr>
          <w:p>
            <w:pPr>
              <w:pStyle w:val="303"/>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指标名称</w:t>
            </w:r>
          </w:p>
        </w:tc>
        <w:tc>
          <w:tcPr>
            <w:tcW w:w="2899" w:type="pct"/>
            <w:shd w:val="clear" w:color="auto" w:fill="auto"/>
            <w:tcMar>
              <w:top w:w="15" w:type="dxa"/>
              <w:left w:w="15" w:type="dxa"/>
              <w:right w:w="15" w:type="dxa"/>
            </w:tcMar>
            <w:vAlign w:val="center"/>
          </w:tcPr>
          <w:p>
            <w:pPr>
              <w:pStyle w:val="303"/>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789" w:type="pct"/>
            <w:vMerge w:val="continue"/>
            <w:vAlign w:val="center"/>
          </w:tcPr>
          <w:p>
            <w:pPr>
              <w:pStyle w:val="303"/>
              <w:rPr>
                <w:rFonts w:hint="default" w:ascii="Times New Roman" w:hAnsi="Times New Roman" w:cs="Times New Roman"/>
                <w:bCs/>
                <w:kern w:val="0"/>
                <w:sz w:val="21"/>
                <w:szCs w:val="21"/>
              </w:rPr>
            </w:pPr>
          </w:p>
        </w:tc>
        <w:tc>
          <w:tcPr>
            <w:tcW w:w="250" w:type="pct"/>
            <w:vMerge w:val="restar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居住建筑</w:t>
            </w:r>
          </w:p>
        </w:tc>
        <w:tc>
          <w:tcPr>
            <w:tcW w:w="1060"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绿色化改造</w:t>
            </w:r>
          </w:p>
        </w:tc>
        <w:tc>
          <w:tcPr>
            <w:tcW w:w="2899"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建筑改造鼓励采用节能绿色化技术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789" w:type="pct"/>
            <w:vMerge w:val="continue"/>
            <w:vAlign w:val="center"/>
          </w:tcPr>
          <w:p>
            <w:pPr>
              <w:pStyle w:val="303"/>
              <w:rPr>
                <w:rFonts w:hint="default" w:ascii="Times New Roman" w:hAnsi="Times New Roman" w:cs="Times New Roman"/>
                <w:bCs/>
                <w:kern w:val="0"/>
                <w:sz w:val="21"/>
                <w:szCs w:val="21"/>
              </w:rPr>
            </w:pPr>
          </w:p>
        </w:tc>
        <w:tc>
          <w:tcPr>
            <w:tcW w:w="250" w:type="pct"/>
            <w:vMerge w:val="continue"/>
            <w:shd w:val="clear" w:color="auto" w:fill="auto"/>
            <w:tcMar>
              <w:top w:w="15" w:type="dxa"/>
              <w:left w:w="15" w:type="dxa"/>
              <w:right w:w="15" w:type="dxa"/>
            </w:tcMar>
            <w:vAlign w:val="center"/>
          </w:tcPr>
          <w:p>
            <w:pPr>
              <w:pStyle w:val="303"/>
              <w:rPr>
                <w:rFonts w:hint="default" w:ascii="Times New Roman" w:hAnsi="Times New Roman" w:cs="Times New Roman"/>
                <w:bCs/>
                <w:kern w:val="0"/>
                <w:sz w:val="21"/>
                <w:szCs w:val="21"/>
              </w:rPr>
            </w:pPr>
          </w:p>
        </w:tc>
        <w:tc>
          <w:tcPr>
            <w:tcW w:w="1060"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体育设施室外用地面积</w:t>
            </w:r>
          </w:p>
        </w:tc>
        <w:tc>
          <w:tcPr>
            <w:tcW w:w="2899"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≥0.3㎡/人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789" w:type="pct"/>
            <w:vMerge w:val="continue"/>
            <w:vAlign w:val="center"/>
          </w:tcPr>
          <w:p>
            <w:pPr>
              <w:pStyle w:val="303"/>
              <w:rPr>
                <w:rFonts w:hint="default" w:ascii="Times New Roman" w:hAnsi="Times New Roman" w:cs="Times New Roman"/>
                <w:bCs/>
                <w:kern w:val="0"/>
                <w:sz w:val="21"/>
                <w:szCs w:val="21"/>
              </w:rPr>
            </w:pPr>
          </w:p>
        </w:tc>
        <w:tc>
          <w:tcPr>
            <w:tcW w:w="250" w:type="pct"/>
            <w:vMerge w:val="continue"/>
            <w:shd w:val="clear" w:color="auto" w:fill="auto"/>
            <w:tcMar>
              <w:top w:w="15" w:type="dxa"/>
              <w:left w:w="15" w:type="dxa"/>
              <w:right w:w="15" w:type="dxa"/>
            </w:tcMar>
            <w:vAlign w:val="center"/>
          </w:tcPr>
          <w:p>
            <w:pPr>
              <w:pStyle w:val="303"/>
              <w:rPr>
                <w:rFonts w:hint="default" w:ascii="Times New Roman" w:hAnsi="Times New Roman" w:cs="Times New Roman"/>
                <w:bCs/>
                <w:kern w:val="0"/>
                <w:sz w:val="21"/>
                <w:szCs w:val="21"/>
              </w:rPr>
            </w:pPr>
          </w:p>
        </w:tc>
        <w:tc>
          <w:tcPr>
            <w:tcW w:w="1060"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场地声环境质量</w:t>
            </w:r>
          </w:p>
        </w:tc>
        <w:tc>
          <w:tcPr>
            <w:tcW w:w="2899"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2类及以上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789" w:type="pct"/>
            <w:vMerge w:val="continue"/>
            <w:vAlign w:val="center"/>
          </w:tcPr>
          <w:p>
            <w:pPr>
              <w:pStyle w:val="303"/>
              <w:rPr>
                <w:rFonts w:hint="default" w:ascii="Times New Roman" w:hAnsi="Times New Roman" w:cs="Times New Roman"/>
                <w:bCs/>
                <w:kern w:val="0"/>
                <w:sz w:val="21"/>
                <w:szCs w:val="21"/>
              </w:rPr>
            </w:pPr>
          </w:p>
        </w:tc>
        <w:tc>
          <w:tcPr>
            <w:tcW w:w="250" w:type="pct"/>
            <w:vMerge w:val="continue"/>
            <w:shd w:val="clear" w:color="auto" w:fill="auto"/>
            <w:tcMar>
              <w:top w:w="15" w:type="dxa"/>
              <w:left w:w="15" w:type="dxa"/>
              <w:right w:w="15" w:type="dxa"/>
            </w:tcMar>
            <w:vAlign w:val="center"/>
          </w:tcPr>
          <w:p>
            <w:pPr>
              <w:pStyle w:val="303"/>
              <w:rPr>
                <w:rFonts w:hint="default" w:ascii="Times New Roman" w:hAnsi="Times New Roman" w:cs="Times New Roman"/>
                <w:bCs/>
                <w:kern w:val="0"/>
                <w:sz w:val="21"/>
                <w:szCs w:val="21"/>
              </w:rPr>
            </w:pPr>
          </w:p>
        </w:tc>
        <w:tc>
          <w:tcPr>
            <w:tcW w:w="1060"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电动汽车充电设施安装（预留）比例</w:t>
            </w:r>
          </w:p>
        </w:tc>
        <w:tc>
          <w:tcPr>
            <w:tcW w:w="2899"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789" w:type="pct"/>
            <w:vMerge w:val="continue"/>
            <w:vAlign w:val="center"/>
          </w:tcPr>
          <w:p>
            <w:pPr>
              <w:pStyle w:val="303"/>
              <w:rPr>
                <w:rFonts w:hint="default" w:ascii="Times New Roman" w:hAnsi="Times New Roman" w:cs="Times New Roman"/>
                <w:bCs/>
                <w:kern w:val="0"/>
                <w:sz w:val="21"/>
                <w:szCs w:val="21"/>
              </w:rPr>
            </w:pPr>
          </w:p>
        </w:tc>
        <w:tc>
          <w:tcPr>
            <w:tcW w:w="250" w:type="pct"/>
            <w:vMerge w:val="continue"/>
            <w:shd w:val="clear" w:color="auto" w:fill="auto"/>
            <w:tcMar>
              <w:top w:w="15" w:type="dxa"/>
              <w:left w:w="15" w:type="dxa"/>
              <w:right w:w="15" w:type="dxa"/>
            </w:tcMar>
            <w:vAlign w:val="center"/>
          </w:tcPr>
          <w:p>
            <w:pPr>
              <w:pStyle w:val="303"/>
              <w:rPr>
                <w:rFonts w:hint="default" w:ascii="Times New Roman" w:hAnsi="Times New Roman" w:cs="Times New Roman"/>
                <w:bCs/>
                <w:kern w:val="0"/>
                <w:sz w:val="21"/>
                <w:szCs w:val="21"/>
              </w:rPr>
            </w:pPr>
          </w:p>
        </w:tc>
        <w:tc>
          <w:tcPr>
            <w:tcW w:w="1060"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节水器具普及率</w:t>
            </w:r>
          </w:p>
        </w:tc>
        <w:tc>
          <w:tcPr>
            <w:tcW w:w="2899"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789" w:type="pct"/>
            <w:vMerge w:val="continue"/>
            <w:vAlign w:val="center"/>
          </w:tcPr>
          <w:p>
            <w:pPr>
              <w:pStyle w:val="303"/>
              <w:rPr>
                <w:rFonts w:hint="default" w:ascii="Times New Roman" w:hAnsi="Times New Roman" w:cs="Times New Roman"/>
                <w:bCs/>
                <w:kern w:val="0"/>
                <w:sz w:val="21"/>
                <w:szCs w:val="21"/>
              </w:rPr>
            </w:pPr>
          </w:p>
        </w:tc>
        <w:tc>
          <w:tcPr>
            <w:tcW w:w="250" w:type="pct"/>
            <w:vMerge w:val="continue"/>
            <w:shd w:val="clear" w:color="auto" w:fill="auto"/>
            <w:tcMar>
              <w:top w:w="15" w:type="dxa"/>
              <w:left w:w="15" w:type="dxa"/>
              <w:right w:w="15" w:type="dxa"/>
            </w:tcMar>
            <w:vAlign w:val="center"/>
          </w:tcPr>
          <w:p>
            <w:pPr>
              <w:pStyle w:val="303"/>
              <w:rPr>
                <w:rFonts w:hint="default" w:ascii="Times New Roman" w:hAnsi="Times New Roman" w:cs="Times New Roman"/>
                <w:bCs/>
                <w:kern w:val="0"/>
                <w:sz w:val="21"/>
                <w:szCs w:val="21"/>
              </w:rPr>
            </w:pPr>
          </w:p>
        </w:tc>
        <w:tc>
          <w:tcPr>
            <w:tcW w:w="1060"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建筑外门窗可开启比例</w:t>
            </w:r>
          </w:p>
        </w:tc>
        <w:tc>
          <w:tcPr>
            <w:tcW w:w="2899"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789" w:type="pct"/>
            <w:vMerge w:val="continue"/>
            <w:vAlign w:val="center"/>
          </w:tcPr>
          <w:p>
            <w:pPr>
              <w:pStyle w:val="303"/>
              <w:rPr>
                <w:rFonts w:hint="default" w:ascii="Times New Roman" w:hAnsi="Times New Roman" w:cs="Times New Roman"/>
                <w:bCs/>
                <w:kern w:val="0"/>
                <w:sz w:val="21"/>
                <w:szCs w:val="21"/>
              </w:rPr>
            </w:pPr>
          </w:p>
        </w:tc>
        <w:tc>
          <w:tcPr>
            <w:tcW w:w="250" w:type="pct"/>
            <w:vMerge w:val="continue"/>
            <w:shd w:val="clear" w:color="auto" w:fill="auto"/>
            <w:tcMar>
              <w:top w:w="15" w:type="dxa"/>
              <w:left w:w="15" w:type="dxa"/>
              <w:right w:w="15" w:type="dxa"/>
            </w:tcMar>
            <w:vAlign w:val="center"/>
          </w:tcPr>
          <w:p>
            <w:pPr>
              <w:pStyle w:val="303"/>
              <w:rPr>
                <w:rFonts w:hint="default" w:ascii="Times New Roman" w:hAnsi="Times New Roman" w:cs="Times New Roman"/>
                <w:bCs/>
                <w:kern w:val="0"/>
                <w:sz w:val="21"/>
                <w:szCs w:val="21"/>
              </w:rPr>
            </w:pPr>
          </w:p>
        </w:tc>
        <w:tc>
          <w:tcPr>
            <w:tcW w:w="1060"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玻璃幕墙可开启比例</w:t>
            </w:r>
          </w:p>
        </w:tc>
        <w:tc>
          <w:tcPr>
            <w:tcW w:w="2899"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789" w:type="pct"/>
            <w:vMerge w:val="continue"/>
            <w:vAlign w:val="center"/>
          </w:tcPr>
          <w:p>
            <w:pPr>
              <w:pStyle w:val="303"/>
              <w:rPr>
                <w:rFonts w:hint="default" w:ascii="Times New Roman" w:hAnsi="Times New Roman" w:cs="Times New Roman"/>
                <w:bCs/>
                <w:kern w:val="0"/>
                <w:sz w:val="21"/>
                <w:szCs w:val="21"/>
              </w:rPr>
            </w:pPr>
          </w:p>
        </w:tc>
        <w:tc>
          <w:tcPr>
            <w:tcW w:w="250" w:type="pct"/>
            <w:vMerge w:val="continue"/>
            <w:shd w:val="clear" w:color="auto" w:fill="auto"/>
            <w:tcMar>
              <w:top w:w="15" w:type="dxa"/>
              <w:left w:w="15" w:type="dxa"/>
              <w:right w:w="15" w:type="dxa"/>
            </w:tcMar>
            <w:vAlign w:val="center"/>
          </w:tcPr>
          <w:p>
            <w:pPr>
              <w:pStyle w:val="303"/>
              <w:rPr>
                <w:rFonts w:hint="default" w:ascii="Times New Roman" w:hAnsi="Times New Roman" w:cs="Times New Roman"/>
                <w:bCs/>
                <w:kern w:val="0"/>
                <w:sz w:val="21"/>
                <w:szCs w:val="21"/>
              </w:rPr>
            </w:pPr>
          </w:p>
        </w:tc>
        <w:tc>
          <w:tcPr>
            <w:tcW w:w="1060"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地面停车位</w:t>
            </w:r>
          </w:p>
        </w:tc>
        <w:tc>
          <w:tcPr>
            <w:tcW w:w="2899"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地面停车位数量与住宅总套数的比率＜10%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789" w:type="pct"/>
            <w:vMerge w:val="continue"/>
            <w:vAlign w:val="center"/>
          </w:tcPr>
          <w:p>
            <w:pPr>
              <w:pStyle w:val="303"/>
              <w:rPr>
                <w:rFonts w:hint="default" w:ascii="Times New Roman" w:hAnsi="Times New Roman" w:cs="Times New Roman"/>
                <w:bCs/>
                <w:kern w:val="0"/>
                <w:sz w:val="21"/>
                <w:szCs w:val="21"/>
              </w:rPr>
            </w:pPr>
          </w:p>
        </w:tc>
        <w:tc>
          <w:tcPr>
            <w:tcW w:w="250" w:type="pct"/>
            <w:vMerge w:val="restar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公共建筑</w:t>
            </w:r>
          </w:p>
        </w:tc>
        <w:tc>
          <w:tcPr>
            <w:tcW w:w="1060"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绿色化改造</w:t>
            </w:r>
          </w:p>
        </w:tc>
        <w:tc>
          <w:tcPr>
            <w:tcW w:w="2899"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建筑改造鼓励采用节能绿色化技术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789" w:type="pct"/>
            <w:vMerge w:val="continue"/>
            <w:vAlign w:val="center"/>
          </w:tcPr>
          <w:p>
            <w:pPr>
              <w:pStyle w:val="303"/>
              <w:rPr>
                <w:rFonts w:hint="default" w:ascii="Times New Roman" w:hAnsi="Times New Roman" w:cs="Times New Roman"/>
                <w:bCs/>
                <w:kern w:val="0"/>
                <w:sz w:val="21"/>
                <w:szCs w:val="21"/>
              </w:rPr>
            </w:pPr>
          </w:p>
        </w:tc>
        <w:tc>
          <w:tcPr>
            <w:tcW w:w="250" w:type="pct"/>
            <w:vMerge w:val="continue"/>
            <w:shd w:val="clear" w:color="auto" w:fill="auto"/>
            <w:tcMar>
              <w:top w:w="15" w:type="dxa"/>
              <w:left w:w="15" w:type="dxa"/>
              <w:right w:w="15" w:type="dxa"/>
            </w:tcMar>
            <w:vAlign w:val="center"/>
          </w:tcPr>
          <w:p>
            <w:pPr>
              <w:pStyle w:val="303"/>
              <w:rPr>
                <w:rFonts w:hint="default" w:ascii="Times New Roman" w:hAnsi="Times New Roman" w:cs="Times New Roman"/>
                <w:bCs/>
                <w:kern w:val="0"/>
                <w:sz w:val="21"/>
                <w:szCs w:val="21"/>
              </w:rPr>
            </w:pPr>
          </w:p>
        </w:tc>
        <w:tc>
          <w:tcPr>
            <w:tcW w:w="1060"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场地声环境质量</w:t>
            </w:r>
          </w:p>
        </w:tc>
        <w:tc>
          <w:tcPr>
            <w:tcW w:w="2899"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2类及以上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789" w:type="pct"/>
            <w:vMerge w:val="continue"/>
            <w:vAlign w:val="center"/>
          </w:tcPr>
          <w:p>
            <w:pPr>
              <w:pStyle w:val="303"/>
              <w:rPr>
                <w:rFonts w:hint="default" w:ascii="Times New Roman" w:hAnsi="Times New Roman" w:cs="Times New Roman"/>
                <w:bCs/>
                <w:kern w:val="0"/>
                <w:sz w:val="21"/>
                <w:szCs w:val="21"/>
              </w:rPr>
            </w:pPr>
          </w:p>
        </w:tc>
        <w:tc>
          <w:tcPr>
            <w:tcW w:w="250" w:type="pct"/>
            <w:vMerge w:val="continue"/>
            <w:shd w:val="clear" w:color="auto" w:fill="auto"/>
            <w:tcMar>
              <w:top w:w="15" w:type="dxa"/>
              <w:left w:w="15" w:type="dxa"/>
              <w:right w:w="15" w:type="dxa"/>
            </w:tcMar>
            <w:vAlign w:val="center"/>
          </w:tcPr>
          <w:p>
            <w:pPr>
              <w:pStyle w:val="303"/>
              <w:rPr>
                <w:rFonts w:hint="default" w:ascii="Times New Roman" w:hAnsi="Times New Roman" w:cs="Times New Roman"/>
                <w:bCs/>
                <w:kern w:val="0"/>
                <w:sz w:val="21"/>
                <w:szCs w:val="21"/>
              </w:rPr>
            </w:pPr>
          </w:p>
        </w:tc>
        <w:tc>
          <w:tcPr>
            <w:tcW w:w="1060"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电动汽车充电设施安装（预留）比例</w:t>
            </w:r>
          </w:p>
        </w:tc>
        <w:tc>
          <w:tcPr>
            <w:tcW w:w="2899"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789" w:type="pct"/>
            <w:vMerge w:val="continue"/>
            <w:vAlign w:val="center"/>
          </w:tcPr>
          <w:p>
            <w:pPr>
              <w:pStyle w:val="303"/>
              <w:rPr>
                <w:rFonts w:hint="default" w:ascii="Times New Roman" w:hAnsi="Times New Roman" w:cs="Times New Roman"/>
                <w:bCs/>
                <w:kern w:val="0"/>
                <w:sz w:val="21"/>
                <w:szCs w:val="21"/>
              </w:rPr>
            </w:pPr>
          </w:p>
        </w:tc>
        <w:tc>
          <w:tcPr>
            <w:tcW w:w="250" w:type="pct"/>
            <w:vMerge w:val="continue"/>
            <w:shd w:val="clear" w:color="auto" w:fill="auto"/>
            <w:tcMar>
              <w:top w:w="15" w:type="dxa"/>
              <w:left w:w="15" w:type="dxa"/>
              <w:right w:w="15" w:type="dxa"/>
            </w:tcMar>
            <w:vAlign w:val="center"/>
          </w:tcPr>
          <w:p>
            <w:pPr>
              <w:pStyle w:val="303"/>
              <w:rPr>
                <w:rFonts w:hint="default" w:ascii="Times New Roman" w:hAnsi="Times New Roman" w:cs="Times New Roman"/>
                <w:bCs/>
                <w:kern w:val="0"/>
                <w:sz w:val="21"/>
                <w:szCs w:val="21"/>
              </w:rPr>
            </w:pPr>
          </w:p>
        </w:tc>
        <w:tc>
          <w:tcPr>
            <w:tcW w:w="1060"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能耗监测覆盖率</w:t>
            </w:r>
          </w:p>
        </w:tc>
        <w:tc>
          <w:tcPr>
            <w:tcW w:w="2899"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789" w:type="pct"/>
            <w:vMerge w:val="continue"/>
            <w:vAlign w:val="center"/>
          </w:tcPr>
          <w:p>
            <w:pPr>
              <w:pStyle w:val="303"/>
              <w:rPr>
                <w:rFonts w:hint="default" w:ascii="Times New Roman" w:hAnsi="Times New Roman" w:cs="Times New Roman"/>
                <w:bCs/>
                <w:kern w:val="0"/>
                <w:sz w:val="21"/>
                <w:szCs w:val="21"/>
              </w:rPr>
            </w:pPr>
          </w:p>
        </w:tc>
        <w:tc>
          <w:tcPr>
            <w:tcW w:w="250" w:type="pct"/>
            <w:vMerge w:val="continue"/>
            <w:shd w:val="clear" w:color="auto" w:fill="auto"/>
            <w:tcMar>
              <w:top w:w="15" w:type="dxa"/>
              <w:left w:w="15" w:type="dxa"/>
              <w:right w:w="15" w:type="dxa"/>
            </w:tcMar>
            <w:vAlign w:val="center"/>
          </w:tcPr>
          <w:p>
            <w:pPr>
              <w:pStyle w:val="303"/>
              <w:rPr>
                <w:rFonts w:hint="default" w:ascii="Times New Roman" w:hAnsi="Times New Roman" w:cs="Times New Roman"/>
                <w:bCs/>
                <w:kern w:val="0"/>
                <w:sz w:val="21"/>
                <w:szCs w:val="21"/>
              </w:rPr>
            </w:pPr>
          </w:p>
        </w:tc>
        <w:tc>
          <w:tcPr>
            <w:tcW w:w="1060"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建筑外门窗可开启比例</w:t>
            </w:r>
          </w:p>
        </w:tc>
        <w:tc>
          <w:tcPr>
            <w:tcW w:w="2899"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789" w:type="pct"/>
            <w:vMerge w:val="continue"/>
            <w:vAlign w:val="center"/>
          </w:tcPr>
          <w:p>
            <w:pPr>
              <w:pStyle w:val="303"/>
              <w:rPr>
                <w:rFonts w:hint="default" w:ascii="Times New Roman" w:hAnsi="Times New Roman" w:cs="Times New Roman"/>
                <w:bCs/>
                <w:kern w:val="0"/>
                <w:sz w:val="21"/>
                <w:szCs w:val="21"/>
              </w:rPr>
            </w:pPr>
          </w:p>
        </w:tc>
        <w:tc>
          <w:tcPr>
            <w:tcW w:w="250" w:type="pct"/>
            <w:vMerge w:val="continue"/>
            <w:shd w:val="clear" w:color="auto" w:fill="auto"/>
            <w:tcMar>
              <w:top w:w="15" w:type="dxa"/>
              <w:left w:w="15" w:type="dxa"/>
              <w:right w:w="15" w:type="dxa"/>
            </w:tcMar>
            <w:vAlign w:val="center"/>
          </w:tcPr>
          <w:p>
            <w:pPr>
              <w:pStyle w:val="303"/>
              <w:rPr>
                <w:rFonts w:hint="default" w:ascii="Times New Roman" w:hAnsi="Times New Roman" w:cs="Times New Roman"/>
                <w:bCs/>
                <w:kern w:val="0"/>
                <w:sz w:val="21"/>
                <w:szCs w:val="21"/>
              </w:rPr>
            </w:pPr>
          </w:p>
        </w:tc>
        <w:tc>
          <w:tcPr>
            <w:tcW w:w="1060"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玻璃幕墙可开启比例</w:t>
            </w:r>
          </w:p>
        </w:tc>
        <w:tc>
          <w:tcPr>
            <w:tcW w:w="2899"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789" w:type="pct"/>
            <w:vMerge w:val="continue"/>
            <w:vAlign w:val="center"/>
          </w:tcPr>
          <w:p>
            <w:pPr>
              <w:pStyle w:val="303"/>
              <w:rPr>
                <w:rFonts w:hint="default" w:ascii="Times New Roman" w:hAnsi="Times New Roman" w:cs="Times New Roman"/>
                <w:bCs/>
                <w:kern w:val="0"/>
                <w:sz w:val="21"/>
                <w:szCs w:val="21"/>
              </w:rPr>
            </w:pPr>
          </w:p>
        </w:tc>
        <w:tc>
          <w:tcPr>
            <w:tcW w:w="250" w:type="pct"/>
            <w:vMerge w:val="continue"/>
            <w:shd w:val="clear" w:color="auto" w:fill="auto"/>
            <w:tcMar>
              <w:top w:w="15" w:type="dxa"/>
              <w:left w:w="15" w:type="dxa"/>
              <w:right w:w="15" w:type="dxa"/>
            </w:tcMar>
            <w:vAlign w:val="center"/>
          </w:tcPr>
          <w:p>
            <w:pPr>
              <w:pStyle w:val="303"/>
              <w:rPr>
                <w:rFonts w:hint="default" w:ascii="Times New Roman" w:hAnsi="Times New Roman" w:cs="Times New Roman"/>
                <w:bCs/>
                <w:kern w:val="0"/>
                <w:sz w:val="21"/>
                <w:szCs w:val="21"/>
              </w:rPr>
            </w:pPr>
          </w:p>
        </w:tc>
        <w:tc>
          <w:tcPr>
            <w:tcW w:w="1060"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地面停车位</w:t>
            </w:r>
          </w:p>
        </w:tc>
        <w:tc>
          <w:tcPr>
            <w:tcW w:w="2899"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地面停车占地面积与其总建设用地面积的比率＜8%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789" w:type="pct"/>
            <w:vMerge w:val="continue"/>
            <w:vAlign w:val="center"/>
          </w:tcPr>
          <w:p>
            <w:pPr>
              <w:pStyle w:val="303"/>
              <w:rPr>
                <w:rFonts w:hint="default" w:ascii="Times New Roman" w:hAnsi="Times New Roman" w:cs="Times New Roman"/>
                <w:bCs/>
                <w:kern w:val="0"/>
                <w:sz w:val="21"/>
                <w:szCs w:val="21"/>
              </w:rPr>
            </w:pPr>
          </w:p>
        </w:tc>
        <w:tc>
          <w:tcPr>
            <w:tcW w:w="250" w:type="pct"/>
            <w:vMerge w:val="restar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工业建筑</w:t>
            </w:r>
          </w:p>
        </w:tc>
        <w:tc>
          <w:tcPr>
            <w:tcW w:w="1060"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屋顶面积大于2000平方米的光伏覆盖率</w:t>
            </w:r>
          </w:p>
        </w:tc>
        <w:tc>
          <w:tcPr>
            <w:tcW w:w="2899"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789" w:type="pct"/>
            <w:vMerge w:val="continue"/>
            <w:vAlign w:val="center"/>
          </w:tcPr>
          <w:p>
            <w:pPr>
              <w:pStyle w:val="303"/>
              <w:rPr>
                <w:rFonts w:hint="default" w:ascii="Times New Roman" w:hAnsi="Times New Roman" w:cs="Times New Roman"/>
                <w:bCs/>
                <w:kern w:val="0"/>
                <w:sz w:val="21"/>
                <w:szCs w:val="21"/>
              </w:rPr>
            </w:pPr>
          </w:p>
        </w:tc>
        <w:tc>
          <w:tcPr>
            <w:tcW w:w="250" w:type="pct"/>
            <w:vMerge w:val="continue"/>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p>
        </w:tc>
        <w:tc>
          <w:tcPr>
            <w:tcW w:w="1060"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电动汽车充电设施安装（预留）比例</w:t>
            </w:r>
          </w:p>
        </w:tc>
        <w:tc>
          <w:tcPr>
            <w:tcW w:w="2899"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≥10%</w:t>
            </w:r>
          </w:p>
        </w:tc>
      </w:tr>
    </w:tbl>
    <w:p>
      <w:pPr>
        <w:pStyle w:val="2"/>
        <w:spacing w:before="156" w:after="93"/>
        <w:ind w:firstLine="400"/>
      </w:pPr>
    </w:p>
    <w:p/>
    <w:p>
      <w:pPr>
        <w:pStyle w:val="5"/>
        <w:rPr>
          <w:rFonts w:ascii="Times New Roman" w:hAnsi="Times New Roman" w:eastAsia="仿宋" w:cs="Times New Roman"/>
          <w:sz w:val="30"/>
          <w:szCs w:val="30"/>
        </w:rPr>
        <w:sectPr>
          <w:pgSz w:w="11906" w:h="16838"/>
          <w:pgMar w:top="1440" w:right="1797" w:bottom="1440" w:left="1797" w:header="851" w:footer="992" w:gutter="0"/>
          <w:cols w:space="425" w:num="1"/>
          <w:docGrid w:type="linesAndChars" w:linePitch="312" w:charSpace="0"/>
        </w:sectPr>
      </w:pPr>
    </w:p>
    <w:p>
      <w:pPr>
        <w:pStyle w:val="5"/>
        <w:rPr>
          <w:rFonts w:ascii="Times New Roman" w:hAnsi="Times New Roman" w:eastAsia="仿宋" w:cs="Times New Roman"/>
          <w:sz w:val="30"/>
          <w:szCs w:val="30"/>
        </w:rPr>
      </w:pPr>
      <w:bookmarkStart w:id="96" w:name="_Toc124321384"/>
      <w:r>
        <w:rPr>
          <w:rFonts w:hint="eastAsia" w:ascii="Times New Roman" w:hAnsi="Times New Roman" w:eastAsia="仿宋" w:cs="Times New Roman"/>
          <w:sz w:val="30"/>
          <w:szCs w:val="30"/>
        </w:rPr>
        <w:t>第</w:t>
      </w:r>
      <w:r>
        <w:rPr>
          <w:rFonts w:ascii="Times New Roman" w:hAnsi="Times New Roman" w:eastAsia="仿宋" w:cs="Times New Roman"/>
          <w:sz w:val="30"/>
          <w:szCs w:val="30"/>
        </w:rPr>
        <w:t>1</w:t>
      </w:r>
      <w:r>
        <w:rPr>
          <w:rFonts w:hint="eastAsia" w:ascii="Times New Roman" w:hAnsi="Times New Roman" w:eastAsia="仿宋" w:cs="Times New Roman"/>
          <w:sz w:val="30"/>
          <w:szCs w:val="30"/>
        </w:rPr>
        <w:t>8条</w:t>
      </w:r>
      <w:r>
        <w:rPr>
          <w:rFonts w:ascii="Times New Roman" w:hAnsi="Times New Roman" w:eastAsia="仿宋" w:cs="Times New Roman"/>
          <w:sz w:val="30"/>
          <w:szCs w:val="30"/>
        </w:rPr>
        <w:t xml:space="preserve"> </w:t>
      </w:r>
      <w:r>
        <w:rPr>
          <w:rFonts w:hint="eastAsia" w:ascii="Times New Roman" w:hAnsi="Times New Roman" w:eastAsia="仿宋" w:cs="Times New Roman"/>
          <w:sz w:val="30"/>
          <w:szCs w:val="30"/>
        </w:rPr>
        <w:t>重点发展区域</w:t>
      </w:r>
      <w:bookmarkEnd w:id="96"/>
    </w:p>
    <w:p>
      <w:pPr>
        <w:pStyle w:val="2"/>
        <w:spacing w:before="156" w:after="93"/>
        <w:ind w:firstLine="480"/>
        <w:rPr>
          <w:rFonts w:ascii="Times New Roman" w:hAnsi="Times New Roman" w:eastAsia="仿宋"/>
          <w:sz w:val="24"/>
        </w:rPr>
      </w:pPr>
      <w:r>
        <w:rPr>
          <w:rFonts w:hint="eastAsia" w:ascii="Times New Roman" w:hAnsi="Times New Roman" w:eastAsia="仿宋"/>
          <w:sz w:val="24"/>
        </w:rPr>
        <w:t>对接中山市国土空间规划内容以及</w:t>
      </w:r>
      <w:r>
        <w:rPr>
          <w:rFonts w:hint="eastAsia" w:ascii="Times New Roman" w:hAnsi="Times New Roman" w:eastAsia="仿宋"/>
          <w:sz w:val="24"/>
          <w:lang w:val="en-US" w:eastAsia="zh-CN"/>
        </w:rPr>
        <w:t>根据</w:t>
      </w:r>
      <w:r>
        <w:rPr>
          <w:rFonts w:hint="eastAsia" w:ascii="Times New Roman" w:hAnsi="Times New Roman" w:eastAsia="仿宋"/>
          <w:sz w:val="24"/>
        </w:rPr>
        <w:t>绿色建筑发展潜力分析结果，选择翠亨新区、火炬开发区和岐江新城作为中山市绿色建筑的重点发展区域。绿色建筑发展重点发展区域内新建建筑项目应按照二星级绿色建筑标准或以上进行建设。</w:t>
      </w:r>
    </w:p>
    <w:p>
      <w:pPr>
        <w:pStyle w:val="2"/>
        <w:spacing w:before="156" w:after="93"/>
        <w:ind w:firstLine="0" w:firstLineChars="0"/>
        <w:jc w:val="center"/>
        <w:rPr>
          <w:rFonts w:ascii="仿宋" w:hAnsi="仿宋" w:eastAsia="仿宋"/>
          <w:b/>
          <w:bCs/>
          <w:sz w:val="21"/>
          <w:szCs w:val="21"/>
        </w:rPr>
      </w:pPr>
      <w:r>
        <w:rPr>
          <w:rFonts w:hint="eastAsia" w:ascii="仿宋" w:hAnsi="仿宋" w:eastAsia="仿宋"/>
          <w:b/>
          <w:bCs/>
          <w:sz w:val="21"/>
          <w:szCs w:val="21"/>
        </w:rPr>
        <w:t>表</w:t>
      </w:r>
      <w:r>
        <w:rPr>
          <w:rFonts w:hint="eastAsia" w:ascii="仿宋" w:hAnsi="仿宋" w:eastAsia="仿宋"/>
          <w:b/>
          <w:bCs/>
          <w:sz w:val="21"/>
          <w:szCs w:val="21"/>
          <w:lang w:val="en-US" w:eastAsia="zh-CN"/>
        </w:rPr>
        <w:t>13</w:t>
      </w:r>
      <w:r>
        <w:rPr>
          <w:rFonts w:ascii="仿宋" w:hAnsi="仿宋" w:eastAsia="仿宋"/>
          <w:b/>
          <w:bCs/>
          <w:sz w:val="21"/>
          <w:szCs w:val="21"/>
        </w:rPr>
        <w:t xml:space="preserve"> </w:t>
      </w:r>
      <w:r>
        <w:rPr>
          <w:rFonts w:hint="eastAsia" w:ascii="仿宋" w:hAnsi="仿宋" w:eastAsia="仿宋"/>
          <w:b/>
          <w:bCs/>
          <w:sz w:val="21"/>
          <w:szCs w:val="21"/>
        </w:rPr>
        <w:t>中山市重点发展区域绿色建筑发展目标表</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4"/>
        <w:gridCol w:w="1402"/>
        <w:gridCol w:w="2219"/>
        <w:gridCol w:w="2331"/>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tblHeader/>
          <w:jc w:val="center"/>
        </w:trPr>
        <w:tc>
          <w:tcPr>
            <w:tcW w:w="350" w:type="pct"/>
            <w:shd w:val="clear" w:color="auto" w:fill="auto"/>
            <w:tcMar>
              <w:top w:w="15" w:type="dxa"/>
              <w:left w:w="86" w:type="dxa"/>
              <w:bottom w:w="0" w:type="dxa"/>
              <w:right w:w="86"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序号</w:t>
            </w:r>
          </w:p>
        </w:tc>
        <w:tc>
          <w:tcPr>
            <w:tcW w:w="826" w:type="pct"/>
            <w:shd w:val="clear" w:color="auto" w:fill="auto"/>
            <w:tcMar>
              <w:top w:w="15" w:type="dxa"/>
              <w:left w:w="86" w:type="dxa"/>
              <w:bottom w:w="0" w:type="dxa"/>
              <w:right w:w="86"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重点区域名称</w:t>
            </w:r>
          </w:p>
        </w:tc>
        <w:tc>
          <w:tcPr>
            <w:tcW w:w="1307"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目标单元编号</w:t>
            </w:r>
          </w:p>
        </w:tc>
        <w:tc>
          <w:tcPr>
            <w:tcW w:w="1373" w:type="pct"/>
            <w:shd w:val="clear" w:color="auto" w:fill="auto"/>
            <w:tcMar>
              <w:top w:w="15" w:type="dxa"/>
              <w:left w:w="86" w:type="dxa"/>
              <w:bottom w:w="0" w:type="dxa"/>
              <w:right w:w="86"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二星级及以上绿色建筑占比</w:t>
            </w:r>
          </w:p>
        </w:tc>
        <w:tc>
          <w:tcPr>
            <w:tcW w:w="1141" w:type="pct"/>
            <w:shd w:val="clear" w:color="auto" w:fill="auto"/>
            <w:tcMar>
              <w:top w:w="15" w:type="dxa"/>
              <w:left w:w="86" w:type="dxa"/>
              <w:bottom w:w="0" w:type="dxa"/>
              <w:right w:w="86"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350" w:type="pct"/>
            <w:vMerge w:val="restart"/>
            <w:shd w:val="clear" w:color="auto" w:fill="auto"/>
            <w:tcMar>
              <w:top w:w="15" w:type="dxa"/>
              <w:left w:w="86" w:type="dxa"/>
              <w:bottom w:w="0" w:type="dxa"/>
              <w:right w:w="86"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w:t>
            </w:r>
          </w:p>
        </w:tc>
        <w:tc>
          <w:tcPr>
            <w:tcW w:w="826" w:type="pct"/>
            <w:vMerge w:val="restart"/>
            <w:shd w:val="clear" w:color="auto" w:fill="auto"/>
            <w:tcMar>
              <w:top w:w="15" w:type="dxa"/>
              <w:left w:w="86" w:type="dxa"/>
              <w:bottom w:w="0" w:type="dxa"/>
              <w:right w:w="86"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翠亨新区</w:t>
            </w:r>
          </w:p>
        </w:tc>
        <w:tc>
          <w:tcPr>
            <w:tcW w:w="1307"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CHXQ-NL</w:t>
            </w:r>
          </w:p>
        </w:tc>
        <w:tc>
          <w:tcPr>
            <w:tcW w:w="1373" w:type="pct"/>
            <w:vMerge w:val="restart"/>
            <w:shd w:val="clear" w:color="auto" w:fill="auto"/>
            <w:tcMar>
              <w:top w:w="15" w:type="dxa"/>
              <w:left w:w="86" w:type="dxa"/>
              <w:bottom w:w="0" w:type="dxa"/>
              <w:right w:w="86"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100%</w:t>
            </w:r>
          </w:p>
        </w:tc>
        <w:tc>
          <w:tcPr>
            <w:tcW w:w="1141" w:type="pct"/>
            <w:vMerge w:val="restart"/>
            <w:shd w:val="clear" w:color="auto" w:fill="auto"/>
            <w:tcMar>
              <w:top w:w="15" w:type="dxa"/>
              <w:left w:w="86" w:type="dxa"/>
              <w:bottom w:w="0" w:type="dxa"/>
              <w:right w:w="86"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限民用建筑，包括工业用地范围内用于办公、居住等民用建筑功能的建筑。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350" w:type="pct"/>
            <w:vMerge w:val="continue"/>
            <w:shd w:val="clear" w:color="auto" w:fill="auto"/>
            <w:tcMar>
              <w:top w:w="15" w:type="dxa"/>
              <w:left w:w="86" w:type="dxa"/>
              <w:bottom w:w="0" w:type="dxa"/>
              <w:right w:w="86" w:type="dxa"/>
            </w:tcMar>
            <w:vAlign w:val="center"/>
          </w:tcPr>
          <w:p>
            <w:pPr>
              <w:widowControl/>
              <w:jc w:val="center"/>
              <w:textAlignment w:val="center"/>
              <w:rPr>
                <w:rFonts w:hint="default" w:ascii="Times New Roman" w:hAnsi="Times New Roman" w:eastAsia="仿宋" w:cs="Times New Roman"/>
                <w:kern w:val="0"/>
                <w:sz w:val="21"/>
                <w:szCs w:val="21"/>
              </w:rPr>
            </w:pPr>
          </w:p>
        </w:tc>
        <w:tc>
          <w:tcPr>
            <w:tcW w:w="826" w:type="pct"/>
            <w:vMerge w:val="continue"/>
            <w:shd w:val="clear" w:color="auto" w:fill="auto"/>
            <w:tcMar>
              <w:top w:w="15" w:type="dxa"/>
              <w:left w:w="86" w:type="dxa"/>
              <w:bottom w:w="0" w:type="dxa"/>
              <w:right w:w="86" w:type="dxa"/>
            </w:tcMar>
            <w:vAlign w:val="center"/>
          </w:tcPr>
          <w:p>
            <w:pPr>
              <w:widowControl/>
              <w:jc w:val="center"/>
              <w:textAlignment w:val="center"/>
              <w:rPr>
                <w:rFonts w:hint="default" w:ascii="Times New Roman" w:hAnsi="Times New Roman" w:eastAsia="仿宋" w:cs="Times New Roman"/>
                <w:kern w:val="0"/>
                <w:sz w:val="21"/>
                <w:szCs w:val="21"/>
              </w:rPr>
            </w:pPr>
          </w:p>
        </w:tc>
        <w:tc>
          <w:tcPr>
            <w:tcW w:w="1307"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CHXQ-CH</w:t>
            </w:r>
          </w:p>
        </w:tc>
        <w:tc>
          <w:tcPr>
            <w:tcW w:w="1373" w:type="pct"/>
            <w:vMerge w:val="continue"/>
            <w:shd w:val="clear" w:color="auto" w:fill="auto"/>
            <w:tcMar>
              <w:top w:w="15" w:type="dxa"/>
              <w:left w:w="86" w:type="dxa"/>
              <w:bottom w:w="0" w:type="dxa"/>
              <w:right w:w="86" w:type="dxa"/>
            </w:tcMar>
            <w:vAlign w:val="center"/>
          </w:tcPr>
          <w:p>
            <w:pPr>
              <w:widowControl/>
              <w:jc w:val="center"/>
              <w:textAlignment w:val="center"/>
              <w:rPr>
                <w:rFonts w:hint="default" w:ascii="Times New Roman" w:hAnsi="Times New Roman" w:eastAsia="仿宋" w:cs="Times New Roman"/>
                <w:kern w:val="0"/>
                <w:sz w:val="21"/>
                <w:szCs w:val="21"/>
              </w:rPr>
            </w:pPr>
          </w:p>
        </w:tc>
        <w:tc>
          <w:tcPr>
            <w:tcW w:w="1141" w:type="pct"/>
            <w:vMerge w:val="continue"/>
            <w:shd w:val="clear" w:color="auto" w:fill="auto"/>
            <w:tcMar>
              <w:top w:w="15" w:type="dxa"/>
              <w:left w:w="86" w:type="dxa"/>
              <w:bottom w:w="0" w:type="dxa"/>
              <w:right w:w="86" w:type="dxa"/>
            </w:tcMar>
            <w:vAlign w:val="center"/>
          </w:tcPr>
          <w:p>
            <w:pPr>
              <w:widowControl/>
              <w:jc w:val="center"/>
              <w:textAlignment w:val="center"/>
              <w:rPr>
                <w:rFonts w:hint="default" w:ascii="Times New Roman" w:hAnsi="Times New Roman"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350" w:type="pct"/>
            <w:vMerge w:val="restart"/>
            <w:shd w:val="clear" w:color="auto" w:fill="auto"/>
            <w:tcMar>
              <w:top w:w="15" w:type="dxa"/>
              <w:left w:w="86" w:type="dxa"/>
              <w:bottom w:w="0" w:type="dxa"/>
              <w:right w:w="86"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w:t>
            </w:r>
          </w:p>
        </w:tc>
        <w:tc>
          <w:tcPr>
            <w:tcW w:w="826" w:type="pct"/>
            <w:vMerge w:val="restart"/>
            <w:shd w:val="clear" w:color="auto" w:fill="auto"/>
            <w:tcMar>
              <w:top w:w="15" w:type="dxa"/>
              <w:left w:w="86" w:type="dxa"/>
              <w:bottom w:w="0" w:type="dxa"/>
              <w:right w:w="86"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火炬开发区</w:t>
            </w:r>
          </w:p>
        </w:tc>
        <w:tc>
          <w:tcPr>
            <w:tcW w:w="1307"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HJQ-MZ</w:t>
            </w:r>
          </w:p>
        </w:tc>
        <w:tc>
          <w:tcPr>
            <w:tcW w:w="1373" w:type="pct"/>
            <w:vMerge w:val="restart"/>
            <w:shd w:val="clear" w:color="auto" w:fill="auto"/>
            <w:tcMar>
              <w:top w:w="15" w:type="dxa"/>
              <w:left w:w="86" w:type="dxa"/>
              <w:bottom w:w="0" w:type="dxa"/>
              <w:right w:w="86"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100%</w:t>
            </w:r>
          </w:p>
        </w:tc>
        <w:tc>
          <w:tcPr>
            <w:tcW w:w="1141" w:type="pct"/>
            <w:vMerge w:val="continue"/>
            <w:shd w:val="clear" w:color="auto" w:fill="auto"/>
            <w:tcMar>
              <w:top w:w="15" w:type="dxa"/>
              <w:left w:w="86" w:type="dxa"/>
              <w:bottom w:w="0" w:type="dxa"/>
              <w:right w:w="86" w:type="dxa"/>
            </w:tcMar>
            <w:vAlign w:val="center"/>
          </w:tcPr>
          <w:p>
            <w:pPr>
              <w:widowControl/>
              <w:jc w:val="center"/>
              <w:textAlignment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350" w:type="pct"/>
            <w:vMerge w:val="continue"/>
            <w:shd w:val="clear" w:color="auto" w:fill="auto"/>
            <w:tcMar>
              <w:top w:w="15" w:type="dxa"/>
              <w:left w:w="86" w:type="dxa"/>
              <w:bottom w:w="0" w:type="dxa"/>
              <w:right w:w="86" w:type="dxa"/>
            </w:tcMar>
            <w:vAlign w:val="center"/>
          </w:tcPr>
          <w:p>
            <w:pPr>
              <w:widowControl/>
              <w:jc w:val="center"/>
              <w:textAlignment w:val="center"/>
              <w:rPr>
                <w:rFonts w:hint="default" w:ascii="Times New Roman" w:hAnsi="Times New Roman" w:eastAsia="仿宋" w:cs="Times New Roman"/>
                <w:kern w:val="0"/>
                <w:sz w:val="21"/>
                <w:szCs w:val="21"/>
              </w:rPr>
            </w:pPr>
          </w:p>
        </w:tc>
        <w:tc>
          <w:tcPr>
            <w:tcW w:w="826" w:type="pct"/>
            <w:vMerge w:val="continue"/>
            <w:shd w:val="clear" w:color="auto" w:fill="auto"/>
            <w:tcMar>
              <w:top w:w="15" w:type="dxa"/>
              <w:left w:w="86" w:type="dxa"/>
              <w:bottom w:w="0" w:type="dxa"/>
              <w:right w:w="86" w:type="dxa"/>
            </w:tcMar>
            <w:vAlign w:val="center"/>
          </w:tcPr>
          <w:p>
            <w:pPr>
              <w:widowControl/>
              <w:jc w:val="center"/>
              <w:textAlignment w:val="center"/>
              <w:rPr>
                <w:rFonts w:hint="default" w:ascii="Times New Roman" w:hAnsi="Times New Roman" w:eastAsia="仿宋" w:cs="Times New Roman"/>
                <w:kern w:val="0"/>
                <w:sz w:val="21"/>
                <w:szCs w:val="21"/>
              </w:rPr>
            </w:pPr>
          </w:p>
        </w:tc>
        <w:tc>
          <w:tcPr>
            <w:tcW w:w="1307"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HJQ-ZSG</w:t>
            </w:r>
          </w:p>
        </w:tc>
        <w:tc>
          <w:tcPr>
            <w:tcW w:w="1373" w:type="pct"/>
            <w:vMerge w:val="continue"/>
            <w:shd w:val="clear" w:color="auto" w:fill="auto"/>
            <w:tcMar>
              <w:top w:w="15" w:type="dxa"/>
              <w:left w:w="86" w:type="dxa"/>
              <w:bottom w:w="0" w:type="dxa"/>
              <w:right w:w="86" w:type="dxa"/>
            </w:tcMar>
            <w:vAlign w:val="center"/>
          </w:tcPr>
          <w:p>
            <w:pPr>
              <w:widowControl/>
              <w:jc w:val="center"/>
              <w:textAlignment w:val="center"/>
              <w:rPr>
                <w:rFonts w:hint="default" w:ascii="Times New Roman" w:hAnsi="Times New Roman" w:eastAsia="仿宋" w:cs="Times New Roman"/>
                <w:kern w:val="0"/>
                <w:sz w:val="21"/>
                <w:szCs w:val="21"/>
              </w:rPr>
            </w:pPr>
          </w:p>
        </w:tc>
        <w:tc>
          <w:tcPr>
            <w:tcW w:w="1141" w:type="pct"/>
            <w:vMerge w:val="continue"/>
            <w:shd w:val="clear" w:color="auto" w:fill="auto"/>
            <w:tcMar>
              <w:top w:w="15" w:type="dxa"/>
              <w:left w:w="86" w:type="dxa"/>
              <w:bottom w:w="0" w:type="dxa"/>
              <w:right w:w="86" w:type="dxa"/>
            </w:tcMar>
            <w:vAlign w:val="center"/>
          </w:tcPr>
          <w:p>
            <w:pPr>
              <w:widowControl/>
              <w:jc w:val="center"/>
              <w:textAlignment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tblHeader/>
          <w:jc w:val="center"/>
        </w:trPr>
        <w:tc>
          <w:tcPr>
            <w:tcW w:w="350" w:type="pct"/>
            <w:vMerge w:val="restart"/>
            <w:shd w:val="clear" w:color="auto" w:fill="auto"/>
            <w:tcMar>
              <w:top w:w="15" w:type="dxa"/>
              <w:left w:w="86" w:type="dxa"/>
              <w:bottom w:w="0" w:type="dxa"/>
              <w:right w:w="86"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3</w:t>
            </w:r>
          </w:p>
        </w:tc>
        <w:tc>
          <w:tcPr>
            <w:tcW w:w="826" w:type="pct"/>
            <w:vMerge w:val="restart"/>
            <w:shd w:val="clear" w:color="auto" w:fill="auto"/>
            <w:tcMar>
              <w:top w:w="15" w:type="dxa"/>
              <w:left w:w="86" w:type="dxa"/>
              <w:bottom w:w="0" w:type="dxa"/>
              <w:right w:w="86"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岐江新城</w:t>
            </w:r>
          </w:p>
        </w:tc>
        <w:tc>
          <w:tcPr>
            <w:tcW w:w="1307"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ZXCQ-GK-B</w:t>
            </w:r>
          </w:p>
        </w:tc>
        <w:tc>
          <w:tcPr>
            <w:tcW w:w="1373" w:type="pct"/>
            <w:vMerge w:val="restart"/>
            <w:shd w:val="clear" w:color="auto" w:fill="auto"/>
            <w:tcMar>
              <w:top w:w="15" w:type="dxa"/>
              <w:left w:w="86" w:type="dxa"/>
              <w:bottom w:w="0" w:type="dxa"/>
              <w:right w:w="86" w:type="dxa"/>
            </w:tcMar>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100%</w:t>
            </w:r>
          </w:p>
        </w:tc>
        <w:tc>
          <w:tcPr>
            <w:tcW w:w="1141" w:type="pct"/>
            <w:vMerge w:val="continue"/>
            <w:shd w:val="clear" w:color="auto" w:fill="auto"/>
            <w:tcMar>
              <w:top w:w="15" w:type="dxa"/>
              <w:left w:w="86" w:type="dxa"/>
              <w:bottom w:w="0" w:type="dxa"/>
              <w:right w:w="86" w:type="dxa"/>
            </w:tcMar>
            <w:vAlign w:val="center"/>
          </w:tcPr>
          <w:p>
            <w:pPr>
              <w:widowControl/>
              <w:jc w:val="center"/>
              <w:textAlignment w:val="center"/>
              <w:rPr>
                <w:rFonts w:hint="default" w:ascii="Times New Roman" w:hAnsi="Times New Roman"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tblHeader/>
          <w:jc w:val="center"/>
        </w:trPr>
        <w:tc>
          <w:tcPr>
            <w:tcW w:w="350" w:type="pct"/>
            <w:vMerge w:val="continue"/>
            <w:shd w:val="clear" w:color="auto" w:fill="auto"/>
            <w:tcMar>
              <w:top w:w="15" w:type="dxa"/>
              <w:left w:w="86" w:type="dxa"/>
              <w:bottom w:w="0" w:type="dxa"/>
              <w:right w:w="86" w:type="dxa"/>
            </w:tcMar>
            <w:vAlign w:val="center"/>
          </w:tcPr>
          <w:p>
            <w:pPr>
              <w:widowControl/>
              <w:jc w:val="center"/>
              <w:textAlignment w:val="center"/>
              <w:rPr>
                <w:rFonts w:hint="default" w:ascii="Times New Roman" w:hAnsi="Times New Roman" w:eastAsia="仿宋" w:cs="Times New Roman"/>
                <w:kern w:val="0"/>
                <w:sz w:val="21"/>
                <w:szCs w:val="21"/>
              </w:rPr>
            </w:pPr>
          </w:p>
        </w:tc>
        <w:tc>
          <w:tcPr>
            <w:tcW w:w="826" w:type="pct"/>
            <w:vMerge w:val="continue"/>
            <w:shd w:val="clear" w:color="auto" w:fill="auto"/>
            <w:tcMar>
              <w:top w:w="15" w:type="dxa"/>
              <w:left w:w="86" w:type="dxa"/>
              <w:bottom w:w="0" w:type="dxa"/>
              <w:right w:w="86" w:type="dxa"/>
            </w:tcMar>
            <w:vAlign w:val="center"/>
          </w:tcPr>
          <w:p>
            <w:pPr>
              <w:widowControl/>
              <w:jc w:val="center"/>
              <w:textAlignment w:val="center"/>
              <w:rPr>
                <w:rFonts w:hint="default" w:ascii="Times New Roman" w:hAnsi="Times New Roman" w:eastAsia="仿宋" w:cs="Times New Roman"/>
                <w:kern w:val="0"/>
                <w:sz w:val="21"/>
                <w:szCs w:val="21"/>
              </w:rPr>
            </w:pPr>
          </w:p>
        </w:tc>
        <w:tc>
          <w:tcPr>
            <w:tcW w:w="1307" w:type="pct"/>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ZXCQ-SQ-A</w:t>
            </w:r>
          </w:p>
        </w:tc>
        <w:tc>
          <w:tcPr>
            <w:tcW w:w="1373" w:type="pct"/>
            <w:vMerge w:val="continue"/>
            <w:shd w:val="clear" w:color="auto" w:fill="auto"/>
            <w:tcMar>
              <w:top w:w="15" w:type="dxa"/>
              <w:left w:w="86" w:type="dxa"/>
              <w:bottom w:w="0" w:type="dxa"/>
              <w:right w:w="86" w:type="dxa"/>
            </w:tcMar>
            <w:vAlign w:val="center"/>
          </w:tcPr>
          <w:p>
            <w:pPr>
              <w:widowControl/>
              <w:jc w:val="center"/>
              <w:textAlignment w:val="center"/>
              <w:rPr>
                <w:rFonts w:hint="default" w:ascii="Times New Roman" w:hAnsi="Times New Roman" w:eastAsia="仿宋" w:cs="Times New Roman"/>
                <w:kern w:val="0"/>
                <w:sz w:val="21"/>
                <w:szCs w:val="21"/>
              </w:rPr>
            </w:pPr>
          </w:p>
        </w:tc>
        <w:tc>
          <w:tcPr>
            <w:tcW w:w="1141" w:type="pct"/>
            <w:vMerge w:val="continue"/>
            <w:shd w:val="clear" w:color="auto" w:fill="auto"/>
            <w:tcMar>
              <w:top w:w="15" w:type="dxa"/>
              <w:left w:w="86" w:type="dxa"/>
              <w:bottom w:w="0" w:type="dxa"/>
              <w:right w:w="86" w:type="dxa"/>
            </w:tcMar>
            <w:vAlign w:val="center"/>
          </w:tcPr>
          <w:p>
            <w:pPr>
              <w:widowControl/>
              <w:jc w:val="center"/>
              <w:textAlignment w:val="center"/>
              <w:rPr>
                <w:rFonts w:hint="default" w:ascii="Times New Roman" w:hAnsi="Times New Roman" w:eastAsia="仿宋" w:cs="Times New Roman"/>
                <w:kern w:val="0"/>
                <w:sz w:val="21"/>
                <w:szCs w:val="21"/>
              </w:rPr>
            </w:pPr>
          </w:p>
        </w:tc>
      </w:tr>
      <w:bookmarkEnd w:id="90"/>
      <w:bookmarkEnd w:id="91"/>
      <w:bookmarkEnd w:id="92"/>
      <w:bookmarkEnd w:id="93"/>
      <w:bookmarkEnd w:id="94"/>
    </w:tbl>
    <w:p>
      <w:pPr>
        <w:pStyle w:val="2"/>
        <w:spacing w:before="156" w:after="93"/>
        <w:ind w:firstLine="480"/>
        <w:rPr>
          <w:rFonts w:ascii="Times New Roman" w:hAnsi="Times New Roman" w:eastAsia="仿宋"/>
          <w:sz w:val="24"/>
        </w:rPr>
      </w:pPr>
      <w:bookmarkStart w:id="97" w:name="_Toc501619270"/>
      <w:bookmarkStart w:id="98" w:name="_Toc525718523"/>
      <w:r>
        <w:rPr>
          <w:rFonts w:hint="eastAsia" w:ascii="Times New Roman" w:hAnsi="Times New Roman" w:eastAsia="仿宋"/>
          <w:sz w:val="24"/>
        </w:rPr>
        <w:t>重点区域管控要求如上表</w:t>
      </w:r>
      <w:r>
        <w:rPr>
          <w:rFonts w:ascii="Times New Roman" w:hAnsi="Times New Roman" w:eastAsia="仿宋"/>
          <w:sz w:val="24"/>
        </w:rPr>
        <w:t>11</w:t>
      </w:r>
      <w:r>
        <w:rPr>
          <w:rFonts w:hint="eastAsia" w:ascii="Times New Roman" w:hAnsi="Times New Roman" w:eastAsia="仿宋"/>
          <w:sz w:val="24"/>
        </w:rPr>
        <w:t>和表</w:t>
      </w:r>
      <w:r>
        <w:rPr>
          <w:rFonts w:ascii="Times New Roman" w:hAnsi="Times New Roman" w:eastAsia="仿宋"/>
          <w:sz w:val="24"/>
        </w:rPr>
        <w:t>12</w:t>
      </w:r>
      <w:r>
        <w:rPr>
          <w:rFonts w:hint="eastAsia" w:ascii="Times New Roman" w:hAnsi="Times New Roman" w:eastAsia="仿宋"/>
          <w:sz w:val="24"/>
        </w:rPr>
        <w:t>所示，分为约束性指标和预期性指标两大类。</w:t>
      </w:r>
    </w:p>
    <w:p>
      <w:pPr>
        <w:pStyle w:val="3"/>
        <w:rPr>
          <w:rFonts w:ascii="Times New Roman" w:hAnsi="Times New Roman" w:eastAsia="仿宋"/>
          <w:sz w:val="24"/>
        </w:rPr>
      </w:pPr>
    </w:p>
    <w:p>
      <w:pPr>
        <w:rPr>
          <w:rFonts w:ascii="Times New Roman" w:hAnsi="Times New Roman" w:eastAsia="仿宋"/>
          <w:sz w:val="24"/>
        </w:rPr>
      </w:pPr>
    </w:p>
    <w:p>
      <w:pPr>
        <w:pStyle w:val="54"/>
        <w:spacing w:before="156" w:after="93"/>
        <w:ind w:firstLine="480"/>
        <w:rPr>
          <w:rFonts w:eastAsia="仿宋"/>
        </w:rPr>
      </w:pPr>
    </w:p>
    <w:p/>
    <w:p>
      <w:pPr>
        <w:rPr>
          <w:rFonts w:ascii="Times New Roman" w:hAnsi="Times New Roman" w:eastAsia="黑体" w:cs="Times New Roman"/>
          <w:sz w:val="36"/>
          <w:szCs w:val="36"/>
        </w:rPr>
      </w:pPr>
    </w:p>
    <w:p>
      <w:pPr>
        <w:rPr>
          <w:rFonts w:ascii="Times New Roman" w:hAnsi="Times New Roman" w:eastAsia="黑体" w:cs="Times New Roman"/>
          <w:sz w:val="36"/>
          <w:szCs w:val="36"/>
        </w:rPr>
      </w:pPr>
      <w:r>
        <w:rPr>
          <w:rFonts w:hint="eastAsia" w:ascii="Times New Roman" w:hAnsi="Times New Roman" w:eastAsia="黑体" w:cs="Times New Roman"/>
          <w:sz w:val="36"/>
          <w:szCs w:val="36"/>
        </w:rPr>
        <w:br w:type="page"/>
      </w:r>
    </w:p>
    <w:p>
      <w:pPr>
        <w:pStyle w:val="4"/>
        <w:jc w:val="center"/>
        <w:rPr>
          <w:rFonts w:ascii="Times New Roman" w:hAnsi="Times New Roman" w:eastAsia="黑体" w:cs="Times New Roman"/>
          <w:sz w:val="36"/>
          <w:szCs w:val="36"/>
        </w:rPr>
      </w:pPr>
      <w:bookmarkStart w:id="99" w:name="_Toc124321385"/>
      <w:r>
        <w:rPr>
          <w:rFonts w:hint="eastAsia" w:ascii="Times New Roman" w:hAnsi="Times New Roman" w:eastAsia="黑体" w:cs="Times New Roman"/>
          <w:sz w:val="36"/>
          <w:szCs w:val="36"/>
        </w:rPr>
        <w:t xml:space="preserve">第五章 </w:t>
      </w:r>
      <w:bookmarkEnd w:id="97"/>
      <w:bookmarkEnd w:id="98"/>
      <w:r>
        <w:rPr>
          <w:rFonts w:hint="eastAsia" w:ascii="Times New Roman" w:hAnsi="Times New Roman" w:eastAsia="黑体" w:cs="Times New Roman"/>
          <w:sz w:val="36"/>
          <w:szCs w:val="36"/>
        </w:rPr>
        <w:t>实施保障</w:t>
      </w:r>
      <w:bookmarkEnd w:id="99"/>
    </w:p>
    <w:bookmarkEnd w:id="95"/>
    <w:p>
      <w:pPr>
        <w:pStyle w:val="5"/>
        <w:rPr>
          <w:rFonts w:ascii="Times New Roman" w:hAnsi="Times New Roman" w:eastAsia="仿宋" w:cs="Times New Roman"/>
          <w:sz w:val="30"/>
          <w:szCs w:val="30"/>
        </w:rPr>
      </w:pPr>
      <w:bookmarkStart w:id="100" w:name="_Toc525718524"/>
      <w:bookmarkStart w:id="101" w:name="_Toc500944311"/>
      <w:bookmarkStart w:id="102" w:name="_Toc124321386"/>
      <w:r>
        <w:rPr>
          <w:rFonts w:hint="eastAsia" w:ascii="Times New Roman" w:hAnsi="Times New Roman" w:eastAsia="仿宋" w:cs="Times New Roman"/>
          <w:sz w:val="30"/>
          <w:szCs w:val="30"/>
        </w:rPr>
        <w:t>第19条</w:t>
      </w:r>
      <w:r>
        <w:rPr>
          <w:rFonts w:ascii="Times New Roman" w:hAnsi="Times New Roman" w:eastAsia="仿宋" w:cs="Times New Roman"/>
          <w:sz w:val="30"/>
          <w:szCs w:val="30"/>
        </w:rPr>
        <w:t xml:space="preserve"> </w:t>
      </w:r>
      <w:bookmarkEnd w:id="100"/>
      <w:bookmarkEnd w:id="101"/>
      <w:r>
        <w:rPr>
          <w:rFonts w:hint="eastAsia" w:ascii="Times New Roman" w:hAnsi="Times New Roman" w:eastAsia="仿宋" w:cs="Times New Roman"/>
          <w:sz w:val="30"/>
          <w:szCs w:val="30"/>
        </w:rPr>
        <w:t>组织实施</w:t>
      </w:r>
      <w:bookmarkEnd w:id="102"/>
    </w:p>
    <w:p>
      <w:pPr>
        <w:pStyle w:val="6"/>
        <w:spacing w:before="93" w:after="93"/>
        <w:ind w:firstLine="480" w:firstLineChars="200"/>
        <w:rPr>
          <w:rFonts w:ascii="Times New Roman" w:hAnsi="Times New Roman" w:eastAsia="仿宋" w:cs="Times New Roman"/>
          <w:bCs w:val="0"/>
          <w:sz w:val="24"/>
          <w:szCs w:val="24"/>
        </w:rPr>
      </w:pPr>
      <w:bookmarkStart w:id="103" w:name="_Toc500944312"/>
      <w:bookmarkStart w:id="104" w:name="_Hlk103242200"/>
      <w:r>
        <w:rPr>
          <w:rFonts w:ascii="Times New Roman" w:hAnsi="Times New Roman" w:eastAsia="仿宋" w:cs="Times New Roman"/>
          <w:bCs w:val="0"/>
          <w:sz w:val="24"/>
          <w:szCs w:val="24"/>
        </w:rPr>
        <w:t>1</w:t>
      </w:r>
      <w:bookmarkEnd w:id="103"/>
      <w:r>
        <w:rPr>
          <w:rFonts w:hint="eastAsia" w:ascii="Times New Roman" w:hAnsi="Times New Roman" w:eastAsia="仿宋" w:cs="Times New Roman"/>
          <w:bCs w:val="0"/>
          <w:sz w:val="24"/>
          <w:szCs w:val="24"/>
          <w:lang w:val="en-US" w:eastAsia="zh-CN"/>
        </w:rPr>
        <w:t>.</w:t>
      </w:r>
      <w:r>
        <w:rPr>
          <w:rFonts w:hint="eastAsia" w:ascii="Times New Roman" w:hAnsi="Times New Roman" w:eastAsia="仿宋" w:cs="Times New Roman"/>
          <w:bCs w:val="0"/>
          <w:sz w:val="24"/>
          <w:szCs w:val="24"/>
        </w:rPr>
        <w:t>加强组织领导</w:t>
      </w:r>
    </w:p>
    <w:p>
      <w:pPr>
        <w:adjustRightInd w:val="0"/>
        <w:snapToGrid w:val="0"/>
        <w:spacing w:before="93" w:beforeLines="30" w:after="93" w:afterLines="30" w:line="360" w:lineRule="auto"/>
        <w:ind w:firstLine="480" w:firstLineChars="200"/>
        <w:jc w:val="left"/>
        <w:rPr>
          <w:rFonts w:ascii="Times New Roman" w:hAnsi="Times New Roman" w:eastAsia="仿宋" w:cs="Times New Roman"/>
          <w:sz w:val="24"/>
        </w:rPr>
      </w:pPr>
      <w:r>
        <w:rPr>
          <w:rFonts w:hint="eastAsia" w:ascii="Times New Roman" w:hAnsi="Times New Roman" w:eastAsia="仿宋" w:cs="Times New Roman"/>
          <w:sz w:val="24"/>
        </w:rPr>
        <w:t>中山市住房和城乡建设局会同发展改革、自然资源、财政局等主管部门，出台配套支持政策，推动建立中山市建筑节能与绿色建筑发展工作领导小组，密切协作配合，形成工作合力，共同推动城乡建设领域绿色低碳发展。同时，住房城乡建设主管部门要加强组织领导，依托中山地区散装水泥主管机构、墙材革新与建筑节能机构和工程质量安全监督机构等相关部门，建立跨部门间的工作协调联动机制，强化工作责任，加强监督管理，推行签订协商契约和承诺制，建立健全以信用为基础的新型监管机制，公布实行承诺制的工程建设项目审批事项清单及具体要求，对未履行承诺的申请人进行相应处罚，促进事中事后监管，推动各项工作的落实，推进中山市绿色建筑高质量发展。</w:t>
      </w:r>
    </w:p>
    <w:p>
      <w:pPr>
        <w:pStyle w:val="2"/>
        <w:spacing w:before="156" w:after="93"/>
        <w:ind w:firstLine="0" w:firstLineChars="0"/>
        <w:jc w:val="center"/>
        <w:rPr>
          <w:rFonts w:ascii="仿宋" w:hAnsi="仿宋" w:eastAsia="仿宋"/>
          <w:b/>
          <w:bCs/>
          <w:sz w:val="21"/>
          <w:szCs w:val="21"/>
        </w:rPr>
      </w:pPr>
      <w:r>
        <w:rPr>
          <w:rFonts w:hint="eastAsia" w:ascii="仿宋" w:hAnsi="仿宋" w:eastAsia="仿宋"/>
          <w:b/>
          <w:bCs/>
          <w:sz w:val="21"/>
          <w:szCs w:val="21"/>
        </w:rPr>
        <w:t>表</w:t>
      </w:r>
      <w:r>
        <w:rPr>
          <w:rFonts w:ascii="仿宋" w:hAnsi="仿宋" w:eastAsia="仿宋"/>
          <w:b/>
          <w:bCs/>
          <w:sz w:val="21"/>
          <w:szCs w:val="21"/>
        </w:rPr>
        <w:t>1</w:t>
      </w:r>
      <w:r>
        <w:rPr>
          <w:rFonts w:hint="eastAsia" w:ascii="仿宋" w:hAnsi="仿宋" w:eastAsia="仿宋"/>
          <w:b/>
          <w:bCs/>
          <w:sz w:val="21"/>
          <w:szCs w:val="21"/>
          <w:lang w:val="en-US" w:eastAsia="zh-CN"/>
        </w:rPr>
        <w:t>4</w:t>
      </w:r>
      <w:r>
        <w:rPr>
          <w:rFonts w:ascii="仿宋" w:hAnsi="仿宋" w:eastAsia="仿宋"/>
          <w:b/>
          <w:bCs/>
          <w:sz w:val="21"/>
          <w:szCs w:val="21"/>
        </w:rPr>
        <w:t xml:space="preserve"> 新建建筑绿色发展</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0"/>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 w:hRule="atLeast"/>
          <w:tblHeader/>
        </w:trPr>
        <w:tc>
          <w:tcPr>
            <w:tcW w:w="4228"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主要管理工作内容</w:t>
            </w:r>
          </w:p>
        </w:tc>
        <w:tc>
          <w:tcPr>
            <w:tcW w:w="771"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政府职能部门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4228" w:type="pct"/>
            <w:shd w:val="clear" w:color="auto" w:fill="auto"/>
            <w:vAlign w:val="center"/>
          </w:tcPr>
          <w:p>
            <w:pPr>
              <w:widowControl/>
              <w:jc w:val="left"/>
              <w:textAlignment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rPr>
              <w:t>可行性研究</w:t>
            </w:r>
            <w:r>
              <w:rPr>
                <w:rFonts w:hint="default" w:ascii="Times New Roman" w:hAnsi="Times New Roman" w:eastAsia="仿宋" w:cs="Times New Roman"/>
                <w:b/>
                <w:bCs/>
                <w:kern w:val="0"/>
                <w:sz w:val="21"/>
                <w:szCs w:val="21"/>
              </w:rPr>
              <w:t>或核准阶段：</w:t>
            </w:r>
          </w:p>
          <w:p>
            <w:pPr>
              <w:widowControl/>
              <w:jc w:val="left"/>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对于绿色建筑项目，要求项目可行性研究报告中包含绿色建筑相关内容，明确绿色建筑等级、技术以及节能减排等内容，并将绿色建筑的相关费用纳入工程投资概预算；对拟采用的绿色建筑技术进行可行性分析。进行可行性研究报告审查时，组织专家对绿色建筑专项内容中的绿色建筑技术进行论证，不具备可行性或者未按要求执行绿色建筑标准的，不得审批或核准。</w:t>
            </w:r>
          </w:p>
          <w:p>
            <w:pPr>
              <w:widowControl/>
              <w:jc w:val="left"/>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2、按规定需进行节能评估的项目，节能评估应严格按绿色建筑星级标准把关，在节能评估意见中明确应达到的绿色建筑星级标准。</w:t>
            </w:r>
          </w:p>
        </w:tc>
        <w:tc>
          <w:tcPr>
            <w:tcW w:w="771"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市发展改革局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228" w:type="pct"/>
            <w:shd w:val="clear" w:color="auto" w:fill="auto"/>
            <w:vAlign w:val="center"/>
          </w:tcPr>
          <w:p>
            <w:pPr>
              <w:widowControl/>
              <w:jc w:val="left"/>
              <w:textAlignment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规划阶段：</w:t>
            </w:r>
          </w:p>
          <w:p>
            <w:pPr>
              <w:widowControl/>
              <w:jc w:val="left"/>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sz w:val="21"/>
                <w:szCs w:val="21"/>
              </w:rPr>
              <w:t>将绿色建筑发展专项规划相关指标内容纳入国土空间规划；将《中山市绿色建筑发展专项规划》相关要求纳入控制性详细规划</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在建设用地规划条件中明确</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项目绿色建筑等级应按《中山市绿色建筑发展专项规划》要求执行</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，并落实装配式建筑相关要求。</w:t>
            </w:r>
          </w:p>
          <w:p>
            <w:pPr>
              <w:widowControl/>
              <w:jc w:val="left"/>
              <w:textAlignment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土地划拨、出让阶段：</w:t>
            </w:r>
          </w:p>
          <w:p>
            <w:pPr>
              <w:widowControl/>
              <w:jc w:val="left"/>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将规划决策的绿色建筑星级、绿地率、年径流总量控制率指标列为土地出让的基本条件并作为土地使用权出让合同的组成部分，并在国有建设用地使用权出让合同或者国有建设用地使用权划拨决定书中注明，可考虑可再生能源应用量、非传统水源利用率、用地用电、建筑材料回用率等其它绿色建筑指标。</w:t>
            </w:r>
          </w:p>
        </w:tc>
        <w:tc>
          <w:tcPr>
            <w:tcW w:w="771"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市自然资源局、</w:t>
            </w:r>
            <w:r>
              <w:rPr>
                <w:rFonts w:hint="default" w:ascii="Times New Roman" w:hAnsi="Times New Roman" w:eastAsia="仿宋" w:cs="Times New Roman"/>
                <w:sz w:val="21"/>
                <w:szCs w:val="21"/>
              </w:rPr>
              <w:t>各镇街自然资源分局和规划部门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4228" w:type="pct"/>
            <w:shd w:val="clear" w:color="auto" w:fill="auto"/>
            <w:vAlign w:val="center"/>
          </w:tcPr>
          <w:p>
            <w:pPr>
              <w:widowControl/>
              <w:jc w:val="left"/>
              <w:textAlignment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设计审查阶段：</w:t>
            </w:r>
          </w:p>
          <w:p>
            <w:pPr>
              <w:widowControl/>
              <w:jc w:val="left"/>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1、依法招标的项目应将绿色建筑内容作为评标的重要内容；</w:t>
            </w:r>
          </w:p>
          <w:p>
            <w:pPr>
              <w:widowControl/>
              <w:jc w:val="left"/>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2、在方案设计、初步设计审查中增加绿色建筑星级及相关指标审查；</w:t>
            </w:r>
          </w:p>
          <w:p>
            <w:pPr>
              <w:widowControl/>
              <w:jc w:val="left"/>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3、在施工图审查中要求审查机构按相关要求出具审查意见，不符合绿色建筑等级标准的，不予颁发</w:t>
            </w:r>
            <w:r>
              <w:rPr>
                <w:rFonts w:hint="default" w:ascii="Times New Roman" w:hAnsi="Times New Roman" w:eastAsia="仿宋" w:cs="Times New Roman"/>
                <w:kern w:val="0"/>
                <w:sz w:val="21"/>
                <w:szCs w:val="21"/>
                <w:lang w:val="en-US" w:eastAsia="zh-CN"/>
              </w:rPr>
              <w:t>建设工程</w:t>
            </w:r>
            <w:r>
              <w:rPr>
                <w:rFonts w:hint="default" w:ascii="Times New Roman" w:hAnsi="Times New Roman" w:eastAsia="仿宋" w:cs="Times New Roman"/>
                <w:kern w:val="0"/>
                <w:sz w:val="21"/>
                <w:szCs w:val="21"/>
              </w:rPr>
              <w:t>施工许可证。</w:t>
            </w:r>
            <w:r>
              <w:rPr>
                <w:rFonts w:hint="default" w:ascii="Times New Roman" w:hAnsi="Times New Roman" w:eastAsia="仿宋" w:cs="Times New Roman"/>
                <w:sz w:val="21"/>
                <w:szCs w:val="21"/>
              </w:rPr>
              <w:t>加强对施工图审查机构的审查监管及定期抽查。</w:t>
            </w:r>
          </w:p>
          <w:p>
            <w:pPr>
              <w:widowControl/>
              <w:jc w:val="left"/>
              <w:textAlignment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施工及竣工验收阶段：</w:t>
            </w:r>
          </w:p>
          <w:p>
            <w:pPr>
              <w:widowControl/>
              <w:jc w:val="left"/>
              <w:textAlignment w:val="center"/>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rPr>
              <w:t>1、绿色建筑项目施工招标时，在招标文件中应要求投标人编制绿色施工专篇，并将其作为技术标评审条件</w:t>
            </w:r>
            <w:r>
              <w:rPr>
                <w:rFonts w:hint="default" w:ascii="Times New Roman" w:hAnsi="Times New Roman" w:eastAsia="仿宋" w:cs="Times New Roman"/>
                <w:kern w:val="0"/>
                <w:sz w:val="21"/>
                <w:szCs w:val="21"/>
                <w:lang w:eastAsia="zh-CN"/>
              </w:rPr>
              <w:t>；</w:t>
            </w:r>
          </w:p>
          <w:p>
            <w:pPr>
              <w:widowControl/>
              <w:jc w:val="left"/>
              <w:textAlignment w:val="center"/>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rPr>
              <w:t>2、建议要求施工单位在工程开工前根据绿色建筑相关标准、规范在施工组织设计中制定详细的专项施工方案，确定施工控制流程，并报监理单位审批后执行</w:t>
            </w:r>
            <w:r>
              <w:rPr>
                <w:rFonts w:hint="default" w:ascii="Times New Roman" w:hAnsi="Times New Roman" w:eastAsia="仿宋" w:cs="Times New Roman"/>
                <w:kern w:val="0"/>
                <w:sz w:val="21"/>
                <w:szCs w:val="21"/>
                <w:lang w:eastAsia="zh-CN"/>
              </w:rPr>
              <w:t>；</w:t>
            </w:r>
          </w:p>
          <w:p>
            <w:pPr>
              <w:widowControl/>
              <w:jc w:val="left"/>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3、组织编制绿色建筑验收管理办法、竣工验收导则及相关验收文件，并要求建设单位提交绿色建筑相关资料，建筑节能专项验收应与竣工验收同步进行。对未按照绿色建筑标准、施工图设计文件和绿色施工专篇施工的项目，不得通过节能专项验收。</w:t>
            </w:r>
          </w:p>
          <w:p>
            <w:pPr>
              <w:widowControl/>
              <w:jc w:val="left"/>
              <w:textAlignment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销售和运行管理阶段：</w:t>
            </w:r>
          </w:p>
          <w:p>
            <w:pPr>
              <w:widowControl/>
              <w:jc w:val="left"/>
              <w:textAlignment w:val="center"/>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rPr>
              <w:t>1、要求房地产开发企业明示所售房屋建筑节能设计和绿建要求，按国家要求在商品房买卖合同和住宅质量保证书、住宅使用说明书中载明</w:t>
            </w:r>
            <w:r>
              <w:rPr>
                <w:rFonts w:hint="default" w:ascii="Times New Roman" w:hAnsi="Times New Roman" w:eastAsia="仿宋" w:cs="Times New Roman"/>
                <w:kern w:val="0"/>
                <w:sz w:val="21"/>
                <w:szCs w:val="21"/>
                <w:lang w:eastAsia="zh-CN"/>
              </w:rPr>
              <w:t>；</w:t>
            </w:r>
          </w:p>
          <w:p>
            <w:pPr>
              <w:widowControl/>
              <w:jc w:val="left"/>
              <w:textAlignment w:val="center"/>
              <w:rPr>
                <w:rFonts w:hint="default" w:ascii="Times New Roman" w:hAnsi="Times New Roman" w:cs="Times New Roman"/>
                <w:sz w:val="21"/>
                <w:szCs w:val="21"/>
              </w:rPr>
            </w:pPr>
            <w:r>
              <w:rPr>
                <w:rFonts w:hint="default" w:ascii="Times New Roman" w:hAnsi="Times New Roman" w:eastAsia="仿宋" w:cs="Times New Roman"/>
                <w:kern w:val="0"/>
                <w:sz w:val="21"/>
                <w:szCs w:val="21"/>
              </w:rPr>
              <w:t>2、要求物业管理部门上报能耗数据，建设主管部门按建设单位申报材料不定期抽查，对超过规划制定的用地用电指标上限的建筑，由建设主管部门会同电力部门进行评定、处理，并要求如期改正。</w:t>
            </w:r>
          </w:p>
        </w:tc>
        <w:tc>
          <w:tcPr>
            <w:tcW w:w="771"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市住房城乡建设局、市城管和执法局</w:t>
            </w:r>
          </w:p>
        </w:tc>
      </w:tr>
    </w:tbl>
    <w:p>
      <w:pPr>
        <w:ind w:firstLine="562"/>
        <w:jc w:val="center"/>
        <w:rPr>
          <w:rFonts w:ascii="仿宋" w:hAnsi="仿宋" w:eastAsia="仿宋"/>
          <w:b/>
          <w:bCs/>
        </w:rPr>
      </w:pPr>
    </w:p>
    <w:p>
      <w:pPr>
        <w:pStyle w:val="2"/>
        <w:spacing w:before="156" w:after="93"/>
        <w:ind w:firstLine="0" w:firstLineChars="0"/>
        <w:jc w:val="center"/>
        <w:rPr>
          <w:rFonts w:ascii="仿宋" w:hAnsi="仿宋" w:eastAsia="仿宋"/>
          <w:b/>
          <w:bCs/>
          <w:sz w:val="21"/>
          <w:szCs w:val="21"/>
        </w:rPr>
      </w:pPr>
      <w:r>
        <w:rPr>
          <w:rFonts w:hint="eastAsia" w:ascii="仿宋" w:hAnsi="仿宋" w:eastAsia="仿宋"/>
          <w:b/>
          <w:bCs/>
          <w:sz w:val="21"/>
          <w:szCs w:val="21"/>
        </w:rPr>
        <w:t>表</w:t>
      </w:r>
      <w:r>
        <w:rPr>
          <w:rFonts w:ascii="仿宋" w:hAnsi="仿宋" w:eastAsia="仿宋"/>
          <w:b/>
          <w:bCs/>
          <w:sz w:val="21"/>
          <w:szCs w:val="21"/>
        </w:rPr>
        <w:t xml:space="preserve"> 1</w:t>
      </w:r>
      <w:r>
        <w:rPr>
          <w:rFonts w:hint="eastAsia" w:ascii="仿宋" w:hAnsi="仿宋" w:eastAsia="仿宋"/>
          <w:b/>
          <w:bCs/>
          <w:sz w:val="21"/>
          <w:szCs w:val="21"/>
          <w:lang w:val="en-US" w:eastAsia="zh-CN"/>
        </w:rPr>
        <w:t>5</w:t>
      </w:r>
      <w:r>
        <w:rPr>
          <w:rFonts w:ascii="仿宋" w:hAnsi="仿宋" w:eastAsia="仿宋"/>
          <w:b/>
          <w:bCs/>
          <w:sz w:val="21"/>
          <w:szCs w:val="21"/>
        </w:rPr>
        <w:t xml:space="preserve"> 既有建筑节能绿色化改造</w:t>
      </w:r>
    </w:p>
    <w:tbl>
      <w:tblPr>
        <w:tblStyle w:val="44"/>
        <w:tblW w:w="4999" w:type="pct"/>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6461"/>
        <w:gridCol w:w="2065"/>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65" w:hRule="atLeast"/>
          <w:tblHeader/>
        </w:trPr>
        <w:tc>
          <w:tcPr>
            <w:tcW w:w="3789" w:type="pc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主要管理工作内容</w:t>
            </w:r>
          </w:p>
        </w:tc>
        <w:tc>
          <w:tcPr>
            <w:tcW w:w="1211" w:type="pc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政府职能部门</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37" w:hRule="atLeast"/>
        </w:trPr>
        <w:tc>
          <w:tcPr>
            <w:tcW w:w="3789" w:type="pct"/>
            <w:tcBorders>
              <w:left w:val="single" w:color="auto" w:sz="4" w:space="0"/>
              <w:right w:val="single" w:color="auto" w:sz="4" w:space="0"/>
            </w:tcBorders>
            <w:vAlign w:val="center"/>
          </w:tcPr>
          <w:p>
            <w:pPr>
              <w:widowControl/>
              <w:jc w:val="left"/>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编制并推广既有建筑节能改造、绿色化改造相关技术规范标准。</w:t>
            </w:r>
          </w:p>
        </w:tc>
        <w:tc>
          <w:tcPr>
            <w:tcW w:w="1211" w:type="pct"/>
            <w:tcBorders>
              <w:left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市住房城乡建设局</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0" w:hRule="atLeast"/>
        </w:trPr>
        <w:tc>
          <w:tcPr>
            <w:tcW w:w="3789" w:type="pct"/>
            <w:tcBorders>
              <w:left w:val="single" w:color="auto" w:sz="4" w:space="0"/>
              <w:right w:val="single" w:color="auto" w:sz="4" w:space="0"/>
            </w:tcBorders>
            <w:vAlign w:val="center"/>
          </w:tcPr>
          <w:p>
            <w:pPr>
              <w:widowControl/>
              <w:jc w:val="left"/>
              <w:textAlignment w:val="center"/>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rPr>
              <w:t>1、开展全市既有建筑现状调查，制订既有建筑节能绿色化改造工作目标与实施方案；</w:t>
            </w:r>
            <w:r>
              <w:rPr>
                <w:rFonts w:hint="default" w:ascii="Times New Roman" w:hAnsi="Times New Roman" w:eastAsia="仿宋" w:cs="Times New Roman"/>
                <w:kern w:val="0"/>
                <w:sz w:val="21"/>
                <w:szCs w:val="21"/>
                <w:lang w:val="en-US" w:eastAsia="zh-CN"/>
              </w:rPr>
              <w:t>2、</w:t>
            </w:r>
            <w:r>
              <w:rPr>
                <w:rFonts w:hint="default" w:ascii="Times New Roman" w:hAnsi="Times New Roman" w:eastAsia="仿宋" w:cs="Times New Roman"/>
                <w:kern w:val="0"/>
                <w:sz w:val="21"/>
                <w:szCs w:val="21"/>
              </w:rPr>
              <w:t>结合建筑能耗统计情况，依托</w:t>
            </w:r>
            <w:r>
              <w:rPr>
                <w:rFonts w:hint="eastAsia" w:ascii="Times New Roman" w:hAnsi="Times New Roman" w:eastAsia="仿宋" w:cs="Times New Roman"/>
                <w:kern w:val="0"/>
                <w:sz w:val="21"/>
                <w:szCs w:val="21"/>
                <w:lang w:eastAsia="zh-CN"/>
              </w:rPr>
              <w:t>“三旧”改造</w:t>
            </w:r>
            <w:r>
              <w:rPr>
                <w:rFonts w:hint="default" w:ascii="Times New Roman" w:hAnsi="Times New Roman" w:eastAsia="仿宋" w:cs="Times New Roman"/>
                <w:kern w:val="0"/>
                <w:sz w:val="21"/>
                <w:szCs w:val="21"/>
              </w:rPr>
              <w:t>、老旧小区改造、城市更新工作计划，推广应用</w:t>
            </w:r>
            <w:r>
              <w:rPr>
                <w:rFonts w:hint="eastAsia" w:ascii="Times New Roman" w:hAnsi="Times New Roman" w:eastAsia="仿宋" w:cs="Times New Roman"/>
                <w:kern w:val="0"/>
                <w:sz w:val="21"/>
                <w:szCs w:val="21"/>
                <w:lang w:eastAsia="zh-CN"/>
              </w:rPr>
              <w:t>节能绿色化改造</w:t>
            </w:r>
            <w:r>
              <w:rPr>
                <w:rFonts w:hint="default" w:ascii="Times New Roman" w:hAnsi="Times New Roman" w:eastAsia="仿宋" w:cs="Times New Roman"/>
                <w:kern w:val="0"/>
                <w:sz w:val="21"/>
                <w:szCs w:val="21"/>
              </w:rPr>
              <w:t>，对于改造潜力较大的国家机关办公建筑、以政府投资为主的建筑、大型公共建筑，优先纳入改造计划</w:t>
            </w:r>
            <w:r>
              <w:rPr>
                <w:rFonts w:hint="default" w:ascii="Times New Roman" w:hAnsi="Times New Roman" w:eastAsia="仿宋" w:cs="Times New Roman"/>
                <w:kern w:val="0"/>
                <w:sz w:val="21"/>
                <w:szCs w:val="21"/>
                <w:lang w:eastAsia="zh-CN"/>
              </w:rPr>
              <w:t>；</w:t>
            </w:r>
          </w:p>
          <w:p>
            <w:pPr>
              <w:widowControl/>
              <w:jc w:val="left"/>
              <w:textAlignment w:val="center"/>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rPr>
              <w:t>2、开展党政机关集中办公区、学校、医院、场馆等进行试点改造</w:t>
            </w:r>
            <w:r>
              <w:rPr>
                <w:rFonts w:hint="default" w:ascii="Times New Roman" w:hAnsi="Times New Roman" w:eastAsia="仿宋" w:cs="Times New Roman"/>
                <w:kern w:val="0"/>
                <w:sz w:val="21"/>
                <w:szCs w:val="21"/>
                <w:lang w:eastAsia="zh-CN"/>
              </w:rPr>
              <w:t>。</w:t>
            </w:r>
          </w:p>
        </w:tc>
        <w:tc>
          <w:tcPr>
            <w:tcW w:w="1211" w:type="pct"/>
            <w:tcBorders>
              <w:left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市发展改革局、市住房城乡建设局</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7" w:hRule="atLeast"/>
        </w:trPr>
        <w:tc>
          <w:tcPr>
            <w:tcW w:w="3789" w:type="pct"/>
            <w:tcBorders>
              <w:left w:val="single" w:color="auto" w:sz="4" w:space="0"/>
              <w:bottom w:val="single" w:color="auto" w:sz="4" w:space="0"/>
              <w:right w:val="single" w:color="auto" w:sz="4" w:space="0"/>
            </w:tcBorders>
            <w:vAlign w:val="center"/>
          </w:tcPr>
          <w:p>
            <w:pPr>
              <w:widowControl/>
              <w:jc w:val="left"/>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1、推进政府既有公共建筑节能、绿色化改造工作；</w:t>
            </w:r>
          </w:p>
          <w:p>
            <w:pPr>
              <w:widowControl/>
              <w:jc w:val="left"/>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2、落实大型政府公共建筑能耗监测。</w:t>
            </w:r>
          </w:p>
        </w:tc>
        <w:tc>
          <w:tcPr>
            <w:tcW w:w="1211" w:type="pct"/>
            <w:tcBorders>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市发展改革局、市住房城乡建设局</w:t>
            </w:r>
          </w:p>
        </w:tc>
      </w:tr>
    </w:tbl>
    <w:p>
      <w:pPr>
        <w:pStyle w:val="6"/>
        <w:spacing w:before="93" w:after="93"/>
        <w:ind w:firstLine="480" w:firstLineChars="200"/>
        <w:rPr>
          <w:rFonts w:ascii="Times New Roman" w:hAnsi="Times New Roman" w:eastAsia="仿宋" w:cs="Times New Roman"/>
          <w:bCs w:val="0"/>
          <w:sz w:val="24"/>
          <w:szCs w:val="24"/>
        </w:rPr>
      </w:pPr>
      <w:r>
        <w:rPr>
          <w:rFonts w:hint="eastAsia" w:ascii="Times New Roman" w:hAnsi="Times New Roman" w:eastAsia="仿宋" w:cs="Times New Roman"/>
          <w:bCs w:val="0"/>
          <w:sz w:val="24"/>
          <w:szCs w:val="24"/>
        </w:rPr>
        <w:t>2</w:t>
      </w:r>
      <w:r>
        <w:rPr>
          <w:rFonts w:hint="eastAsia" w:ascii="Times New Roman" w:hAnsi="Times New Roman" w:eastAsia="仿宋" w:cs="Times New Roman"/>
          <w:bCs w:val="0"/>
          <w:sz w:val="24"/>
          <w:szCs w:val="24"/>
          <w:lang w:val="en-US" w:eastAsia="zh-CN"/>
        </w:rPr>
        <w:t>.</w:t>
      </w:r>
      <w:r>
        <w:rPr>
          <w:rFonts w:hint="eastAsia" w:ascii="Times New Roman" w:hAnsi="Times New Roman" w:eastAsia="仿宋" w:cs="Times New Roman"/>
          <w:bCs w:val="0"/>
          <w:sz w:val="24"/>
          <w:szCs w:val="24"/>
        </w:rPr>
        <w:t>强化规划衔接</w:t>
      </w:r>
    </w:p>
    <w:p>
      <w:pPr>
        <w:adjustRightInd w:val="0"/>
        <w:snapToGrid w:val="0"/>
        <w:spacing w:before="93" w:beforeLines="30" w:after="93" w:afterLines="30" w:line="360" w:lineRule="auto"/>
        <w:ind w:firstLine="480" w:firstLineChars="200"/>
        <w:jc w:val="left"/>
        <w:rPr>
          <w:rFonts w:ascii="Times New Roman" w:hAnsi="Times New Roman" w:eastAsia="仿宋" w:cs="Times New Roman"/>
          <w:sz w:val="24"/>
        </w:rPr>
      </w:pPr>
      <w:r>
        <w:rPr>
          <w:rFonts w:hint="eastAsia" w:ascii="Times New Roman" w:hAnsi="Times New Roman" w:eastAsia="仿宋" w:cs="Times New Roman"/>
          <w:sz w:val="24"/>
        </w:rPr>
        <w:t>按照中山市控制性详细规划编制情况，分以下三种情况在规划阶段落实本规划的绿色建筑相关要求。本规划发布后：</w:t>
      </w:r>
    </w:p>
    <w:p>
      <w:pPr>
        <w:adjustRightInd w:val="0"/>
        <w:snapToGrid w:val="0"/>
        <w:spacing w:before="93" w:beforeLines="30" w:after="93" w:afterLines="30" w:line="360" w:lineRule="auto"/>
        <w:ind w:firstLine="480" w:firstLineChars="200"/>
        <w:jc w:val="left"/>
        <w:rPr>
          <w:rFonts w:ascii="Times New Roman" w:hAnsi="Times New Roman" w:eastAsia="仿宋" w:cs="Times New Roman"/>
          <w:sz w:val="24"/>
        </w:rPr>
      </w:pPr>
      <w:r>
        <w:rPr>
          <w:rFonts w:hint="eastAsia" w:ascii="Times New Roman" w:hAnsi="Times New Roman" w:eastAsia="仿宋" w:cs="Times New Roman"/>
          <w:sz w:val="24"/>
          <w:lang w:eastAsia="zh-CN"/>
        </w:rPr>
        <w:t>（</w:t>
      </w:r>
      <w:r>
        <w:rPr>
          <w:rFonts w:hint="eastAsia" w:ascii="Times New Roman" w:hAnsi="Times New Roman" w:eastAsia="仿宋" w:cs="Times New Roman"/>
          <w:sz w:val="24"/>
          <w:lang w:val="en-US" w:eastAsia="zh-CN"/>
        </w:rPr>
        <w:t>1</w:t>
      </w:r>
      <w:r>
        <w:rPr>
          <w:rFonts w:hint="eastAsia" w:ascii="Times New Roman" w:hAnsi="Times New Roman" w:eastAsia="仿宋" w:cs="Times New Roman"/>
          <w:sz w:val="24"/>
          <w:lang w:eastAsia="zh-CN"/>
        </w:rPr>
        <w:t>）</w:t>
      </w:r>
      <w:r>
        <w:rPr>
          <w:rFonts w:hint="eastAsia" w:ascii="Times New Roman" w:hAnsi="Times New Roman" w:eastAsia="仿宋" w:cs="Times New Roman"/>
          <w:sz w:val="24"/>
        </w:rPr>
        <w:t>在编或正在修编的控制性详细规划片区，在法定图则或管理图则中明确绿色建筑要求，绿色建筑要求按照本规划对应的目标单元指标要求执行；</w:t>
      </w:r>
    </w:p>
    <w:p>
      <w:pPr>
        <w:adjustRightInd w:val="0"/>
        <w:snapToGrid w:val="0"/>
        <w:spacing w:before="93" w:beforeLines="30" w:after="93" w:afterLines="30" w:line="360" w:lineRule="auto"/>
        <w:ind w:firstLine="480" w:firstLineChars="200"/>
        <w:jc w:val="left"/>
        <w:rPr>
          <w:rFonts w:ascii="Times New Roman" w:hAnsi="Times New Roman" w:eastAsia="仿宋" w:cs="Times New Roman"/>
          <w:sz w:val="24"/>
        </w:rPr>
      </w:pPr>
      <w:r>
        <w:rPr>
          <w:rFonts w:hint="eastAsia" w:ascii="Times New Roman" w:hAnsi="Times New Roman" w:eastAsia="仿宋" w:cs="Times New Roman"/>
          <w:sz w:val="24"/>
          <w:lang w:eastAsia="zh-CN"/>
        </w:rPr>
        <w:t>（</w:t>
      </w:r>
      <w:r>
        <w:rPr>
          <w:rFonts w:hint="eastAsia" w:ascii="Times New Roman" w:hAnsi="Times New Roman" w:eastAsia="仿宋" w:cs="Times New Roman"/>
          <w:sz w:val="24"/>
          <w:lang w:val="en-US" w:eastAsia="zh-CN"/>
        </w:rPr>
        <w:t>2</w:t>
      </w:r>
      <w:r>
        <w:rPr>
          <w:rFonts w:hint="eastAsia" w:ascii="Times New Roman" w:hAnsi="Times New Roman" w:eastAsia="仿宋" w:cs="Times New Roman"/>
          <w:sz w:val="24"/>
          <w:lang w:eastAsia="zh-CN"/>
        </w:rPr>
        <w:t>）</w:t>
      </w:r>
      <w:r>
        <w:rPr>
          <w:rFonts w:hint="eastAsia" w:ascii="Times New Roman" w:hAnsi="Times New Roman" w:eastAsia="仿宋" w:cs="Times New Roman"/>
          <w:sz w:val="24"/>
        </w:rPr>
        <w:t>已编控制性详细规划暂未计划修编的，在控规技术规范或规划用地条件中明确绿色建筑要求，绿色建筑要求按照本规划对应的目标单元指标要求执行；</w:t>
      </w:r>
    </w:p>
    <w:p>
      <w:pPr>
        <w:adjustRightInd w:val="0"/>
        <w:snapToGrid w:val="0"/>
        <w:spacing w:before="93" w:beforeLines="30" w:after="93" w:afterLines="30" w:line="360" w:lineRule="auto"/>
        <w:ind w:firstLine="480" w:firstLineChars="200"/>
        <w:jc w:val="left"/>
        <w:rPr>
          <w:rFonts w:ascii="Times New Roman" w:hAnsi="Times New Roman" w:eastAsia="仿宋" w:cs="Times New Roman"/>
          <w:sz w:val="24"/>
        </w:rPr>
      </w:pPr>
      <w:r>
        <w:rPr>
          <w:rFonts w:hint="eastAsia" w:ascii="Times New Roman" w:hAnsi="Times New Roman" w:eastAsia="仿宋" w:cs="Times New Roman"/>
          <w:sz w:val="24"/>
          <w:lang w:eastAsia="zh-CN"/>
        </w:rPr>
        <w:t>（</w:t>
      </w:r>
      <w:r>
        <w:rPr>
          <w:rFonts w:hint="eastAsia" w:ascii="Times New Roman" w:hAnsi="Times New Roman" w:eastAsia="仿宋" w:cs="Times New Roman"/>
          <w:sz w:val="24"/>
          <w:lang w:val="en-US" w:eastAsia="zh-CN"/>
        </w:rPr>
        <w:t>3</w:t>
      </w:r>
      <w:r>
        <w:rPr>
          <w:rFonts w:hint="eastAsia" w:ascii="Times New Roman" w:hAnsi="Times New Roman" w:eastAsia="仿宋" w:cs="Times New Roman"/>
          <w:sz w:val="24"/>
          <w:lang w:eastAsia="zh-CN"/>
        </w:rPr>
        <w:t>）</w:t>
      </w:r>
      <w:r>
        <w:rPr>
          <w:rFonts w:hint="eastAsia" w:ascii="Times New Roman" w:hAnsi="Times New Roman" w:eastAsia="仿宋" w:cs="Times New Roman"/>
          <w:sz w:val="24"/>
        </w:rPr>
        <w:t>未开展编制控制性详细规划的，在规划用地条件中明确绿色建筑要求，绿色建筑要求按照本规划对应的目标单元指标要求执行。</w:t>
      </w:r>
    </w:p>
    <w:p>
      <w:pPr>
        <w:pStyle w:val="6"/>
        <w:spacing w:before="93" w:after="93"/>
        <w:ind w:firstLine="480" w:firstLineChars="200"/>
        <w:rPr>
          <w:rFonts w:ascii="Times New Roman" w:hAnsi="Times New Roman" w:eastAsia="仿宋" w:cs="Times New Roman"/>
          <w:bCs w:val="0"/>
          <w:sz w:val="24"/>
          <w:szCs w:val="24"/>
        </w:rPr>
      </w:pPr>
      <w:r>
        <w:rPr>
          <w:rFonts w:hint="eastAsia" w:ascii="Times New Roman" w:hAnsi="Times New Roman" w:eastAsia="仿宋" w:cs="Times New Roman"/>
          <w:bCs w:val="0"/>
          <w:sz w:val="24"/>
          <w:szCs w:val="24"/>
        </w:rPr>
        <w:t>3</w:t>
      </w:r>
      <w:r>
        <w:rPr>
          <w:rFonts w:hint="eastAsia" w:ascii="Times New Roman" w:hAnsi="Times New Roman" w:eastAsia="仿宋" w:cs="Times New Roman"/>
          <w:bCs w:val="0"/>
          <w:sz w:val="24"/>
          <w:szCs w:val="24"/>
          <w:lang w:val="en-US" w:eastAsia="zh-CN"/>
        </w:rPr>
        <w:t>.</w:t>
      </w:r>
      <w:r>
        <w:rPr>
          <w:rFonts w:hint="eastAsia" w:ascii="Times New Roman" w:hAnsi="Times New Roman" w:eastAsia="仿宋" w:cs="Times New Roman"/>
          <w:bCs w:val="0"/>
          <w:sz w:val="24"/>
          <w:szCs w:val="24"/>
        </w:rPr>
        <w:t>完善考核机制</w:t>
      </w:r>
    </w:p>
    <w:p>
      <w:pPr>
        <w:adjustRightInd w:val="0"/>
        <w:snapToGrid w:val="0"/>
        <w:spacing w:before="93" w:beforeLines="30" w:after="93" w:afterLines="30" w:line="360" w:lineRule="auto"/>
        <w:ind w:firstLine="480" w:firstLineChars="200"/>
        <w:jc w:val="left"/>
        <w:rPr>
          <w:rFonts w:ascii="Times New Roman" w:hAnsi="Times New Roman" w:eastAsia="仿宋" w:cs="Times New Roman"/>
          <w:sz w:val="24"/>
        </w:rPr>
      </w:pPr>
      <w:r>
        <w:rPr>
          <w:rFonts w:hint="eastAsia" w:ascii="Times New Roman" w:hAnsi="Times New Roman" w:eastAsia="仿宋" w:cs="Times New Roman"/>
          <w:sz w:val="24"/>
        </w:rPr>
        <w:t>中山市住房和城乡建设局会同有关部门加强对本专项规划落实情况的指导监督，将相关工作完成情况纳入市人民政府节能目标责任评价考核范围。各镇街积极配合住房城乡建设主管部门推进绿色建筑发展的相关工作，健全工作反馈机制，分解落实年度目标，将绿色建筑发展任务和计划执行情况纳入镇街考核体系，合理设置分值权重，按年度对各镇街进行考核评价，考评结果纳入各镇街节能目标责任评价的重要内容。</w:t>
      </w:r>
    </w:p>
    <w:p>
      <w:pPr>
        <w:pStyle w:val="5"/>
        <w:rPr>
          <w:rFonts w:ascii="Times New Roman" w:hAnsi="Times New Roman" w:eastAsia="仿宋" w:cs="Times New Roman"/>
          <w:sz w:val="30"/>
          <w:szCs w:val="30"/>
        </w:rPr>
      </w:pPr>
      <w:bookmarkStart w:id="105" w:name="_Toc124321387"/>
      <w:r>
        <w:rPr>
          <w:rFonts w:hint="eastAsia" w:ascii="Times New Roman" w:hAnsi="Times New Roman" w:eastAsia="仿宋" w:cs="Times New Roman"/>
          <w:sz w:val="30"/>
          <w:szCs w:val="30"/>
        </w:rPr>
        <w:t>第20条 保障措施</w:t>
      </w:r>
      <w:bookmarkEnd w:id="105"/>
    </w:p>
    <w:p>
      <w:pPr>
        <w:pStyle w:val="6"/>
        <w:spacing w:before="93" w:after="93"/>
        <w:ind w:firstLine="480" w:firstLineChars="200"/>
        <w:rPr>
          <w:rFonts w:ascii="Times New Roman" w:hAnsi="Times New Roman" w:eastAsia="仿宋" w:cs="Times New Roman"/>
          <w:bCs w:val="0"/>
          <w:sz w:val="24"/>
          <w:szCs w:val="24"/>
        </w:rPr>
      </w:pPr>
      <w:r>
        <w:rPr>
          <w:rFonts w:hint="eastAsia" w:ascii="Times New Roman" w:hAnsi="Times New Roman" w:eastAsia="仿宋" w:cs="Times New Roman"/>
          <w:bCs w:val="0"/>
          <w:sz w:val="24"/>
          <w:szCs w:val="24"/>
        </w:rPr>
        <w:t>1</w:t>
      </w:r>
      <w:r>
        <w:rPr>
          <w:rFonts w:hint="eastAsia" w:ascii="Times New Roman" w:hAnsi="Times New Roman" w:eastAsia="仿宋" w:cs="Times New Roman"/>
          <w:bCs w:val="0"/>
          <w:sz w:val="24"/>
          <w:szCs w:val="24"/>
          <w:lang w:val="en-US" w:eastAsia="zh-CN"/>
        </w:rPr>
        <w:t>.</w:t>
      </w:r>
      <w:r>
        <w:rPr>
          <w:rFonts w:hint="eastAsia" w:ascii="Times New Roman" w:hAnsi="Times New Roman" w:eastAsia="仿宋" w:cs="Times New Roman"/>
          <w:bCs w:val="0"/>
          <w:sz w:val="24"/>
          <w:szCs w:val="24"/>
        </w:rPr>
        <w:t>制定激励政策</w:t>
      </w:r>
    </w:p>
    <w:p>
      <w:pPr>
        <w:adjustRightInd w:val="0"/>
        <w:snapToGrid w:val="0"/>
        <w:spacing w:before="93" w:beforeLines="30" w:after="93" w:afterLines="30" w:line="360" w:lineRule="auto"/>
        <w:ind w:firstLine="480" w:firstLineChars="200"/>
        <w:jc w:val="left"/>
        <w:rPr>
          <w:rFonts w:ascii="Times New Roman" w:hAnsi="Times New Roman" w:eastAsia="仿宋" w:cs="Times New Roman"/>
          <w:sz w:val="24"/>
        </w:rPr>
      </w:pPr>
      <w:r>
        <w:rPr>
          <w:rFonts w:hint="eastAsia" w:ascii="Times New Roman" w:hAnsi="Times New Roman" w:eastAsia="仿宋" w:cs="Times New Roman"/>
          <w:sz w:val="24"/>
        </w:rPr>
        <w:t>按规定因采取绿色建筑技术措施增加的建筑面积不计入容积率核算。使用住房公积金贷款购买星级绿色建筑自住房的，贷款额度可以按照不超过百分之二十的比例上浮。积极创造条件开展绿色金融试点，通过绿色信贷、绿色保险、绿色债券等多种方式为绿色建筑、既有建筑节能改造提供绿色金融服务。采用最高等级标准建设项目，在各类建筑工程奖项评审中可以优先推荐。</w:t>
      </w:r>
    </w:p>
    <w:p>
      <w:pPr>
        <w:pStyle w:val="2"/>
        <w:spacing w:before="156" w:after="93"/>
        <w:ind w:firstLine="0" w:firstLineChars="0"/>
        <w:jc w:val="center"/>
        <w:rPr>
          <w:rFonts w:ascii="仿宋" w:hAnsi="仿宋" w:eastAsia="仿宋"/>
          <w:b/>
          <w:bCs/>
          <w:sz w:val="21"/>
          <w:szCs w:val="21"/>
        </w:rPr>
      </w:pPr>
      <w:r>
        <w:rPr>
          <w:rFonts w:hint="eastAsia" w:ascii="仿宋" w:hAnsi="仿宋" w:eastAsia="仿宋"/>
          <w:b/>
          <w:bCs/>
          <w:sz w:val="21"/>
          <w:szCs w:val="21"/>
        </w:rPr>
        <w:t>表</w:t>
      </w:r>
      <w:r>
        <w:rPr>
          <w:rFonts w:hint="eastAsia" w:ascii="仿宋" w:hAnsi="仿宋" w:eastAsia="仿宋"/>
          <w:b/>
          <w:bCs/>
          <w:sz w:val="21"/>
          <w:szCs w:val="21"/>
          <w:lang w:val="en-US" w:eastAsia="zh-CN"/>
        </w:rPr>
        <w:t>16</w:t>
      </w:r>
      <w:r>
        <w:rPr>
          <w:rFonts w:hint="eastAsia" w:ascii="仿宋" w:hAnsi="仿宋" w:eastAsia="仿宋"/>
          <w:b/>
          <w:bCs/>
          <w:sz w:val="21"/>
          <w:szCs w:val="21"/>
        </w:rPr>
        <w:t xml:space="preserve"> 中山市可考虑采取的绿色建筑激励政策</w:t>
      </w:r>
    </w:p>
    <w:tbl>
      <w:tblPr>
        <w:tblStyle w:val="44"/>
        <w:tblW w:w="5000" w:type="pct"/>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669"/>
        <w:gridCol w:w="1291"/>
        <w:gridCol w:w="656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71"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序号</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政策类别</w:t>
            </w:r>
          </w:p>
        </w:tc>
        <w:tc>
          <w:tcPr>
            <w:tcW w:w="38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主要内容</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57" w:hRule="atLeast"/>
          <w:jc w:val="center"/>
        </w:trPr>
        <w:tc>
          <w:tcPr>
            <w:tcW w:w="392" w:type="pc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w:t>
            </w:r>
          </w:p>
        </w:tc>
        <w:tc>
          <w:tcPr>
            <w:tcW w:w="757" w:type="pc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容积率奖励</w:t>
            </w:r>
          </w:p>
        </w:tc>
        <w:tc>
          <w:tcPr>
            <w:tcW w:w="3850" w:type="pct"/>
            <w:tcBorders>
              <w:top w:val="single" w:color="auto" w:sz="4" w:space="0"/>
              <w:left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建议对因实施高星级绿色建筑相关技术而增加的建筑面积（不超过3%）予以不计容。</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57" w:hRule="atLeast"/>
          <w:jc w:val="center"/>
        </w:trPr>
        <w:tc>
          <w:tcPr>
            <w:tcW w:w="392" w:type="pct"/>
            <w:tcBorders>
              <w:left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w:t>
            </w:r>
          </w:p>
        </w:tc>
        <w:tc>
          <w:tcPr>
            <w:tcW w:w="757" w:type="pct"/>
            <w:tcBorders>
              <w:left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公积金贷款比例提升</w:t>
            </w:r>
          </w:p>
        </w:tc>
        <w:tc>
          <w:tcPr>
            <w:tcW w:w="3850" w:type="pct"/>
            <w:tcBorders>
              <w:left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建议使用住房公积金贷款购买星级绿色建筑自住房，贷款额度可以按照不超过百分之二十的比例上浮。</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57" w:hRule="atLeast"/>
          <w:jc w:val="center"/>
        </w:trPr>
        <w:tc>
          <w:tcPr>
            <w:tcW w:w="392" w:type="pct"/>
            <w:tcBorders>
              <w:left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3</w:t>
            </w:r>
          </w:p>
        </w:tc>
        <w:tc>
          <w:tcPr>
            <w:tcW w:w="757" w:type="pct"/>
            <w:tcBorders>
              <w:left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绿色金融激励</w:t>
            </w:r>
          </w:p>
        </w:tc>
        <w:tc>
          <w:tcPr>
            <w:tcW w:w="3850" w:type="pct"/>
            <w:tcBorders>
              <w:left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积极创造条件开展绿色金融试点，通过绿色信贷、绿色保险、绿色债券等多种方式为绿色建筑、既有建筑节能改造提供绿色金融服务。</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57" w:hRule="atLeast"/>
          <w:jc w:val="center"/>
        </w:trPr>
        <w:tc>
          <w:tcPr>
            <w:tcW w:w="392" w:type="pct"/>
            <w:tcBorders>
              <w:left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4</w:t>
            </w:r>
          </w:p>
        </w:tc>
        <w:tc>
          <w:tcPr>
            <w:tcW w:w="757" w:type="pct"/>
            <w:tcBorders>
              <w:left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评奖优先</w:t>
            </w:r>
          </w:p>
        </w:tc>
        <w:tc>
          <w:tcPr>
            <w:tcW w:w="3850" w:type="pct"/>
            <w:tcBorders>
              <w:left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建议将实施绿色建筑的项目在“华夏奖”“全国绿色建筑创新奖”等评优评奖活动具有优先推荐权；开展绿色建筑设计专项评奖，表彰优秀的绿色建筑设计作品和设计团队。</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57" w:hRule="atLeast"/>
          <w:jc w:val="center"/>
        </w:trPr>
        <w:tc>
          <w:tcPr>
            <w:tcW w:w="392" w:type="pct"/>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5</w:t>
            </w:r>
          </w:p>
        </w:tc>
        <w:tc>
          <w:tcPr>
            <w:tcW w:w="757" w:type="pct"/>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配套设施费用优惠</w:t>
            </w:r>
          </w:p>
        </w:tc>
        <w:tc>
          <w:tcPr>
            <w:tcW w:w="3850" w:type="pct"/>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建议对满足绿色建筑星级要求的住宅项目，减免建设单位应缴纳的城市基础设施配套费用。</w:t>
            </w:r>
          </w:p>
        </w:tc>
      </w:tr>
    </w:tbl>
    <w:p>
      <w:pPr>
        <w:pStyle w:val="6"/>
        <w:spacing w:before="93" w:after="93"/>
        <w:ind w:firstLine="480" w:firstLineChars="200"/>
        <w:rPr>
          <w:rFonts w:ascii="Times New Roman" w:hAnsi="Times New Roman" w:eastAsia="仿宋" w:cs="Times New Roman"/>
          <w:bCs w:val="0"/>
          <w:sz w:val="24"/>
          <w:szCs w:val="24"/>
        </w:rPr>
      </w:pPr>
      <w:r>
        <w:rPr>
          <w:rFonts w:hint="eastAsia" w:ascii="Times New Roman" w:hAnsi="Times New Roman" w:eastAsia="仿宋" w:cs="Times New Roman"/>
          <w:bCs w:val="0"/>
          <w:sz w:val="24"/>
          <w:szCs w:val="24"/>
        </w:rPr>
        <w:t>2</w:t>
      </w:r>
      <w:r>
        <w:rPr>
          <w:rFonts w:hint="eastAsia" w:ascii="Times New Roman" w:hAnsi="Times New Roman" w:eastAsia="仿宋" w:cs="Times New Roman"/>
          <w:bCs w:val="0"/>
          <w:sz w:val="24"/>
          <w:szCs w:val="24"/>
          <w:lang w:val="en-US" w:eastAsia="zh-CN"/>
        </w:rPr>
        <w:t>.</w:t>
      </w:r>
      <w:r>
        <w:rPr>
          <w:rFonts w:hint="eastAsia" w:ascii="Times New Roman" w:hAnsi="Times New Roman" w:eastAsia="仿宋" w:cs="Times New Roman"/>
          <w:bCs w:val="0"/>
          <w:sz w:val="24"/>
          <w:szCs w:val="24"/>
        </w:rPr>
        <w:t>强化宣传培训</w:t>
      </w:r>
    </w:p>
    <w:p>
      <w:pPr>
        <w:adjustRightInd w:val="0"/>
        <w:snapToGrid w:val="0"/>
        <w:spacing w:before="93" w:beforeLines="30" w:after="93" w:afterLines="30" w:line="360" w:lineRule="auto"/>
        <w:ind w:firstLine="480" w:firstLineChars="200"/>
        <w:jc w:val="left"/>
        <w:rPr>
          <w:rFonts w:ascii="Times New Roman" w:hAnsi="Times New Roman" w:eastAsia="仿宋" w:cs="Times New Roman"/>
          <w:sz w:val="24"/>
        </w:rPr>
      </w:pPr>
      <w:r>
        <w:rPr>
          <w:rFonts w:hint="eastAsia" w:ascii="Times New Roman" w:hAnsi="Times New Roman" w:eastAsia="仿宋" w:cs="Times New Roman"/>
          <w:sz w:val="24"/>
        </w:rPr>
        <w:t>结合“全国节能宣传周”“全民节能行动”“节能宣传月”“世界环境日”等活动，通过“线上+线下”“传媒+新媒”等多种方式构建立体化宣传体系，向企业和社会公众普及绿色建筑知识，广泛宣传建筑节能、绿色建筑等政策措施和技术标准，充分展示中山市绿色建筑建设成果，大力推广中山市示范性成功经验，对高星级绿色建筑开放参观试点，让居民感受绿色建筑技术的效果，身临其境地体会绿色建筑的魅力，引导社会公众绿色生产生活方式，助力拓展绿色建筑供需市场。积极探索绿色社区建设模式，充分发挥镇街、社区等基层组织作用，积极组织群众参与共谋共建共管共评共享，营造有利于绿色低碳发展的社会氛围。</w:t>
      </w:r>
    </w:p>
    <w:p>
      <w:pPr>
        <w:adjustRightInd w:val="0"/>
        <w:snapToGrid w:val="0"/>
        <w:spacing w:before="93" w:beforeLines="30" w:after="93" w:afterLines="30" w:line="360" w:lineRule="auto"/>
        <w:ind w:firstLine="480" w:firstLineChars="200"/>
        <w:jc w:val="left"/>
        <w:rPr>
          <w:rFonts w:ascii="Times New Roman" w:hAnsi="Times New Roman" w:eastAsia="仿宋" w:cs="Times New Roman"/>
          <w:sz w:val="24"/>
        </w:rPr>
      </w:pPr>
      <w:r>
        <w:rPr>
          <w:rFonts w:hint="eastAsia" w:ascii="Times New Roman" w:hAnsi="Times New Roman" w:eastAsia="仿宋" w:cs="Times New Roman"/>
          <w:sz w:val="24"/>
        </w:rPr>
        <w:t>施工单位应在施工现场公示建筑项目采取的主要绿色建筑技术、绿色建筑星级等信息；房地产开发企业销售商品房时，应当按照国家规定在商品房买卖合同和住宅质量保证书、住宅使用说明书中载明所销售房屋的能源消耗指标、节能措施、保温隔热工程保修期、节水措施等信息，并在销售现场显著位置予以公布，切实发挥好公众对推行绿色建筑的监督作用。</w:t>
      </w:r>
    </w:p>
    <w:p>
      <w:pPr>
        <w:adjustRightInd w:val="0"/>
        <w:snapToGrid w:val="0"/>
        <w:spacing w:before="93" w:beforeLines="30" w:after="93" w:afterLines="30" w:line="360" w:lineRule="auto"/>
        <w:ind w:firstLine="480" w:firstLineChars="200"/>
        <w:jc w:val="left"/>
      </w:pPr>
      <w:r>
        <w:rPr>
          <w:rFonts w:hint="eastAsia" w:ascii="Times New Roman" w:hAnsi="Times New Roman" w:eastAsia="仿宋" w:cs="Times New Roman"/>
          <w:sz w:val="24"/>
        </w:rPr>
        <w:t>大力推动绿色建筑技术与装配式、智能建造技术深度融合发展，积极推动中山市与国内外先进科研机构、高等院校、龙头企业及行业协会等交流合作，推进产学研联合模式与机制，建立重点领域技术创新联合体，开展关键技术、新型材料设备的科研攻关和研发。推进全方位、多层次、宽领域的国际合作，学习借鉴国际先进经验，建立适合本地的绿色建筑、装配式建筑和超低能耗建筑的技术发展模式。加强绿色建筑人才培养，创建绿色建筑全过程从业人员、管理人员专业培训基地，定期开展绿色建筑相关技术、技能的宣贯和培训，提高规划、设计、施工、管理、评价、运行等人员的技术水平，优化强化中山市绿色建筑发展人才队伍建设。</w:t>
      </w:r>
    </w:p>
    <w:bookmarkEnd w:id="104"/>
    <w:p>
      <w:pPr>
        <w:pStyle w:val="2"/>
        <w:spacing w:before="156" w:after="93"/>
        <w:ind w:firstLine="400"/>
        <w:sectPr>
          <w:pgSz w:w="11906" w:h="16838"/>
          <w:pgMar w:top="1440" w:right="1797" w:bottom="1440" w:left="1797" w:header="851" w:footer="992" w:gutter="0"/>
          <w:cols w:space="425" w:num="1"/>
          <w:docGrid w:type="linesAndChars" w:linePitch="312" w:charSpace="0"/>
        </w:sectPr>
      </w:pPr>
      <w:bookmarkStart w:id="106" w:name="_Toc500944314"/>
    </w:p>
    <w:bookmarkEnd w:id="106"/>
    <w:p>
      <w:pPr>
        <w:pStyle w:val="4"/>
        <w:jc w:val="center"/>
        <w:rPr>
          <w:rFonts w:ascii="Times New Roman" w:hAnsi="Times New Roman" w:eastAsia="黑体" w:cs="Times New Roman"/>
          <w:sz w:val="36"/>
          <w:szCs w:val="36"/>
        </w:rPr>
      </w:pPr>
      <w:bookmarkStart w:id="107" w:name="_Toc500944317"/>
      <w:bookmarkStart w:id="108" w:name="_Toc525718528"/>
      <w:bookmarkStart w:id="109" w:name="_Toc124321388"/>
      <w:r>
        <w:rPr>
          <w:rFonts w:hint="eastAsia" w:ascii="Times New Roman" w:hAnsi="Times New Roman" w:eastAsia="黑体" w:cs="Times New Roman"/>
          <w:sz w:val="36"/>
          <w:szCs w:val="36"/>
        </w:rPr>
        <w:t>第六章</w:t>
      </w:r>
      <w:r>
        <w:rPr>
          <w:rFonts w:ascii="Times New Roman" w:hAnsi="Times New Roman" w:eastAsia="黑体" w:cs="Times New Roman"/>
          <w:sz w:val="36"/>
          <w:szCs w:val="36"/>
        </w:rPr>
        <w:t xml:space="preserve"> </w:t>
      </w:r>
      <w:r>
        <w:rPr>
          <w:rFonts w:hint="eastAsia" w:ascii="Times New Roman" w:hAnsi="Times New Roman" w:eastAsia="黑体" w:cs="Times New Roman"/>
          <w:sz w:val="36"/>
          <w:szCs w:val="36"/>
        </w:rPr>
        <w:t>近期主要工作</w:t>
      </w:r>
      <w:bookmarkEnd w:id="107"/>
      <w:bookmarkEnd w:id="108"/>
      <w:bookmarkEnd w:id="109"/>
    </w:p>
    <w:p>
      <w:pPr>
        <w:pStyle w:val="5"/>
        <w:rPr>
          <w:rFonts w:ascii="Times New Roman" w:hAnsi="Times New Roman" w:eastAsia="仿宋" w:cs="Times New Roman"/>
          <w:sz w:val="30"/>
          <w:szCs w:val="30"/>
        </w:rPr>
      </w:pPr>
      <w:bookmarkStart w:id="110" w:name="_Toc124321389"/>
      <w:r>
        <w:rPr>
          <w:rFonts w:hint="eastAsia" w:ascii="Times New Roman" w:hAnsi="Times New Roman" w:eastAsia="仿宋" w:cs="Times New Roman"/>
          <w:sz w:val="30"/>
          <w:szCs w:val="30"/>
        </w:rPr>
        <w:t>第21条</w:t>
      </w:r>
      <w:r>
        <w:rPr>
          <w:rFonts w:ascii="Times New Roman" w:hAnsi="Times New Roman" w:eastAsia="仿宋" w:cs="Times New Roman"/>
          <w:sz w:val="30"/>
          <w:szCs w:val="30"/>
        </w:rPr>
        <w:t xml:space="preserve"> </w:t>
      </w:r>
      <w:bookmarkStart w:id="111" w:name="_Hlk103245235"/>
      <w:r>
        <w:rPr>
          <w:rFonts w:hint="eastAsia" w:ascii="Times New Roman" w:hAnsi="Times New Roman" w:eastAsia="仿宋" w:cs="Times New Roman"/>
          <w:sz w:val="30"/>
          <w:szCs w:val="30"/>
        </w:rPr>
        <w:t>近期重点工作</w:t>
      </w:r>
      <w:bookmarkEnd w:id="110"/>
      <w:bookmarkEnd w:id="111"/>
    </w:p>
    <w:p>
      <w:pPr>
        <w:adjustRightInd w:val="0"/>
        <w:snapToGrid w:val="0"/>
        <w:spacing w:before="93" w:beforeLines="30" w:after="93" w:afterLines="30" w:line="360" w:lineRule="auto"/>
        <w:ind w:firstLine="480" w:firstLineChars="200"/>
        <w:jc w:val="left"/>
        <w:rPr>
          <w:rFonts w:ascii="Times New Roman" w:hAnsi="Times New Roman" w:eastAsia="仿宋" w:cs="Times New Roman"/>
          <w:sz w:val="24"/>
        </w:rPr>
      </w:pPr>
      <w:r>
        <w:rPr>
          <w:rFonts w:hint="eastAsia" w:ascii="Times New Roman" w:hAnsi="Times New Roman" w:eastAsia="仿宋" w:cs="Times New Roman"/>
          <w:sz w:val="24"/>
        </w:rPr>
        <w:t>为更好的推动中山市绿色建筑健康发展，市住建局应协同各部门，在近期开展以下四个方面的重点工作。</w:t>
      </w:r>
    </w:p>
    <w:p>
      <w:pPr>
        <w:pStyle w:val="2"/>
        <w:spacing w:before="156" w:after="93"/>
        <w:ind w:firstLine="0" w:firstLineChars="0"/>
        <w:jc w:val="center"/>
        <w:rPr>
          <w:rFonts w:ascii="仿宋" w:hAnsi="仿宋" w:eastAsia="仿宋"/>
          <w:b/>
          <w:bCs/>
          <w:sz w:val="21"/>
          <w:szCs w:val="21"/>
        </w:rPr>
      </w:pPr>
      <w:r>
        <w:rPr>
          <w:rFonts w:hint="eastAsia" w:ascii="仿宋" w:hAnsi="仿宋" w:eastAsia="仿宋"/>
          <w:b/>
          <w:bCs/>
          <w:sz w:val="21"/>
          <w:szCs w:val="21"/>
        </w:rPr>
        <w:t>表</w:t>
      </w:r>
      <w:r>
        <w:rPr>
          <w:rFonts w:hint="eastAsia" w:ascii="仿宋" w:hAnsi="仿宋" w:eastAsia="仿宋"/>
          <w:b/>
          <w:bCs/>
          <w:sz w:val="21"/>
          <w:szCs w:val="21"/>
          <w:lang w:val="en-US" w:eastAsia="zh-CN"/>
        </w:rPr>
        <w:t>17</w:t>
      </w:r>
      <w:r>
        <w:rPr>
          <w:rFonts w:ascii="仿宋" w:hAnsi="仿宋" w:eastAsia="仿宋"/>
          <w:b/>
          <w:bCs/>
          <w:sz w:val="21"/>
          <w:szCs w:val="21"/>
        </w:rPr>
        <w:t xml:space="preserve"> </w:t>
      </w:r>
      <w:r>
        <w:rPr>
          <w:rFonts w:hint="eastAsia" w:ascii="仿宋" w:hAnsi="仿宋" w:eastAsia="仿宋"/>
          <w:b/>
          <w:bCs/>
          <w:sz w:val="21"/>
          <w:szCs w:val="21"/>
        </w:rPr>
        <w:t>近期重点工作列表</w:t>
      </w:r>
    </w:p>
    <w:tbl>
      <w:tblPr>
        <w:tblStyle w:val="287"/>
        <w:tblW w:w="5074" w:type="pct"/>
        <w:jc w:val="center"/>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Layout w:type="autofit"/>
        <w:tblCellMar>
          <w:top w:w="0" w:type="dxa"/>
          <w:left w:w="108" w:type="dxa"/>
          <w:bottom w:w="0" w:type="dxa"/>
          <w:right w:w="108" w:type="dxa"/>
        </w:tblCellMar>
      </w:tblPr>
      <w:tblGrid>
        <w:gridCol w:w="427"/>
        <w:gridCol w:w="1482"/>
        <w:gridCol w:w="935"/>
        <w:gridCol w:w="3298"/>
        <w:gridCol w:w="2512"/>
      </w:tblGrid>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jc w:val="center"/>
        </w:trPr>
        <w:tc>
          <w:tcPr>
            <w:tcW w:w="246" w:type="pct"/>
            <w:tcBorders>
              <w:top w:val="single" w:color="auto" w:sz="12" w:space="0"/>
              <w:bottom w:val="single" w:color="666666" w:sz="4" w:space="0"/>
            </w:tcBorders>
            <w:shd w:val="clear" w:color="auto" w:fill="auto"/>
            <w:vAlign w:val="center"/>
          </w:tcPr>
          <w:p>
            <w:pPr>
              <w:widowControl/>
              <w:jc w:val="center"/>
              <w:textAlignment w:val="center"/>
              <w:rPr>
                <w:rFonts w:hint="default" w:ascii="Times New Roman" w:hAnsi="Times New Roman" w:eastAsia="仿宋" w:cs="Times New Roman"/>
                <w:b w:val="0"/>
                <w:bCs w:val="0"/>
                <w:kern w:val="0"/>
                <w:sz w:val="21"/>
                <w:szCs w:val="21"/>
              </w:rPr>
            </w:pPr>
            <w:bookmarkStart w:id="112" w:name="_Hlk103243468"/>
          </w:p>
        </w:tc>
        <w:tc>
          <w:tcPr>
            <w:tcW w:w="855" w:type="pct"/>
            <w:tcBorders>
              <w:top w:val="single" w:color="auto" w:sz="12" w:space="0"/>
              <w:bottom w:val="single" w:color="666666" w:sz="4" w:space="0"/>
            </w:tcBorders>
            <w:shd w:val="clear" w:color="auto" w:fill="auto"/>
            <w:vAlign w:val="center"/>
          </w:tcPr>
          <w:p>
            <w:pPr>
              <w:widowControl/>
              <w:jc w:val="center"/>
              <w:textAlignment w:val="center"/>
              <w:rPr>
                <w:rFonts w:hint="default" w:ascii="Times New Roman" w:hAnsi="Times New Roman" w:eastAsia="仿宋" w:cs="Times New Roman"/>
                <w:b w:val="0"/>
                <w:bCs w:val="0"/>
                <w:kern w:val="0"/>
                <w:sz w:val="21"/>
                <w:szCs w:val="21"/>
              </w:rPr>
            </w:pPr>
          </w:p>
        </w:tc>
        <w:tc>
          <w:tcPr>
            <w:tcW w:w="540" w:type="pct"/>
            <w:tcBorders>
              <w:top w:val="single" w:color="auto" w:sz="12" w:space="0"/>
              <w:bottom w:val="single" w:color="666666" w:sz="4" w:space="0"/>
            </w:tcBorders>
            <w:shd w:val="clear" w:color="auto" w:fill="auto"/>
            <w:vAlign w:val="center"/>
          </w:tcPr>
          <w:p>
            <w:pPr>
              <w:widowControl/>
              <w:jc w:val="center"/>
              <w:textAlignment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完成时间</w:t>
            </w:r>
          </w:p>
        </w:tc>
        <w:tc>
          <w:tcPr>
            <w:tcW w:w="1905" w:type="pct"/>
            <w:tcBorders>
              <w:top w:val="single" w:color="auto" w:sz="12" w:space="0"/>
              <w:bottom w:val="single" w:color="666666" w:sz="4" w:space="0"/>
            </w:tcBorders>
            <w:shd w:val="clear" w:color="auto" w:fill="auto"/>
            <w:vAlign w:val="center"/>
          </w:tcPr>
          <w:p>
            <w:pPr>
              <w:widowControl/>
              <w:jc w:val="center"/>
              <w:textAlignment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工作内容</w:t>
            </w:r>
          </w:p>
        </w:tc>
        <w:tc>
          <w:tcPr>
            <w:tcW w:w="1451" w:type="pct"/>
            <w:tcBorders>
              <w:top w:val="single" w:color="auto" w:sz="12" w:space="0"/>
              <w:bottom w:val="single" w:color="666666" w:sz="4" w:space="0"/>
            </w:tcBorders>
            <w:shd w:val="clear" w:color="auto" w:fill="auto"/>
            <w:vAlign w:val="center"/>
          </w:tcPr>
          <w:p>
            <w:pPr>
              <w:widowControl/>
              <w:jc w:val="center"/>
              <w:textAlignment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实施部门</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jc w:val="center"/>
        </w:trPr>
        <w:tc>
          <w:tcPr>
            <w:tcW w:w="246" w:type="pct"/>
            <w:vMerge w:val="restart"/>
            <w:shd w:val="clear" w:color="auto" w:fill="auto"/>
            <w:vAlign w:val="center"/>
          </w:tcPr>
          <w:p>
            <w:pPr>
              <w:widowControl/>
              <w:jc w:val="center"/>
              <w:textAlignment w:val="center"/>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bCs/>
                <w:kern w:val="0"/>
                <w:sz w:val="21"/>
                <w:szCs w:val="21"/>
              </w:rPr>
              <w:t>绿色建筑高品质发展</w:t>
            </w:r>
          </w:p>
        </w:tc>
        <w:tc>
          <w:tcPr>
            <w:tcW w:w="855"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“一轴三核四平台”发展格局建立</w:t>
            </w:r>
          </w:p>
        </w:tc>
        <w:tc>
          <w:tcPr>
            <w:tcW w:w="540"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202</w:t>
            </w:r>
            <w:r>
              <w:rPr>
                <w:rFonts w:hint="default" w:ascii="Times New Roman" w:hAnsi="Times New Roman" w:eastAsia="仿宋" w:cs="Times New Roman"/>
                <w:kern w:val="0"/>
                <w:sz w:val="21"/>
                <w:szCs w:val="21"/>
                <w:lang w:val="en-US" w:eastAsia="zh-CN"/>
              </w:rPr>
              <w:t>3</w:t>
            </w:r>
          </w:p>
        </w:tc>
        <w:tc>
          <w:tcPr>
            <w:tcW w:w="1905" w:type="pct"/>
            <w:shd w:val="clear" w:color="auto" w:fill="auto"/>
            <w:vAlign w:val="center"/>
          </w:tcPr>
          <w:p>
            <w:pPr>
              <w:widowControl/>
              <w:jc w:val="center"/>
              <w:textAlignment w:val="center"/>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rPr>
              <w:t>发布本专项规划或相关实施意见</w:t>
            </w:r>
          </w:p>
        </w:tc>
        <w:tc>
          <w:tcPr>
            <w:tcW w:w="1451"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市人民政府办公室、市住房城乡建设局</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231" w:hRule="atLeast"/>
          <w:jc w:val="center"/>
        </w:trPr>
        <w:tc>
          <w:tcPr>
            <w:tcW w:w="246" w:type="pct"/>
            <w:vMerge w:val="continue"/>
            <w:shd w:val="clear" w:color="auto" w:fill="auto"/>
            <w:vAlign w:val="center"/>
          </w:tcPr>
          <w:p>
            <w:pPr>
              <w:widowControl/>
              <w:jc w:val="center"/>
              <w:textAlignment w:val="center"/>
              <w:rPr>
                <w:rFonts w:hint="default" w:ascii="Times New Roman" w:hAnsi="Times New Roman" w:eastAsia="仿宋" w:cs="Times New Roman"/>
                <w:b w:val="0"/>
                <w:bCs w:val="0"/>
                <w:kern w:val="0"/>
                <w:sz w:val="21"/>
                <w:szCs w:val="21"/>
              </w:rPr>
            </w:pPr>
          </w:p>
        </w:tc>
        <w:tc>
          <w:tcPr>
            <w:tcW w:w="855" w:type="pct"/>
            <w:vMerge w:val="restar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全流程管理</w:t>
            </w:r>
          </w:p>
        </w:tc>
        <w:tc>
          <w:tcPr>
            <w:tcW w:w="540" w:type="pct"/>
            <w:shd w:val="clear" w:color="auto" w:fill="auto"/>
            <w:vAlign w:val="center"/>
          </w:tcPr>
          <w:p>
            <w:pPr>
              <w:widowControl/>
              <w:jc w:val="center"/>
              <w:textAlignment w:val="center"/>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rPr>
              <w:t>202</w:t>
            </w:r>
            <w:r>
              <w:rPr>
                <w:rFonts w:hint="default" w:ascii="Times New Roman" w:hAnsi="Times New Roman" w:eastAsia="仿宋" w:cs="Times New Roman"/>
                <w:kern w:val="0"/>
                <w:sz w:val="21"/>
                <w:szCs w:val="21"/>
                <w:lang w:val="en-US" w:eastAsia="zh-CN"/>
              </w:rPr>
              <w:t>3</w:t>
            </w:r>
          </w:p>
        </w:tc>
        <w:tc>
          <w:tcPr>
            <w:tcW w:w="1905" w:type="pct"/>
            <w:shd w:val="clear" w:color="auto" w:fill="auto"/>
            <w:vAlign w:val="center"/>
          </w:tcPr>
          <w:p>
            <w:pPr>
              <w:widowControl/>
              <w:jc w:val="center"/>
              <w:textAlignment w:val="center"/>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rPr>
              <w:t>建立规划衔接机制，落实绿色建筑星级纳入规划用地条件</w:t>
            </w:r>
          </w:p>
        </w:tc>
        <w:tc>
          <w:tcPr>
            <w:tcW w:w="1451"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市自然资源局、市住房城乡建设局</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231" w:hRule="atLeast"/>
          <w:jc w:val="center"/>
        </w:trPr>
        <w:tc>
          <w:tcPr>
            <w:tcW w:w="246" w:type="pct"/>
            <w:vMerge w:val="continue"/>
            <w:shd w:val="clear" w:color="auto" w:fill="auto"/>
            <w:vAlign w:val="center"/>
          </w:tcPr>
          <w:p>
            <w:pPr>
              <w:widowControl/>
              <w:jc w:val="center"/>
              <w:textAlignment w:val="center"/>
              <w:rPr>
                <w:rFonts w:hint="default" w:ascii="Times New Roman" w:hAnsi="Times New Roman" w:eastAsia="仿宋" w:cs="Times New Roman"/>
                <w:b w:val="0"/>
                <w:bCs w:val="0"/>
                <w:kern w:val="0"/>
                <w:sz w:val="21"/>
                <w:szCs w:val="21"/>
              </w:rPr>
            </w:pPr>
          </w:p>
        </w:tc>
        <w:tc>
          <w:tcPr>
            <w:tcW w:w="855" w:type="pct"/>
            <w:vMerge w:val="continue"/>
            <w:shd w:val="clear" w:color="auto" w:fill="auto"/>
            <w:vAlign w:val="center"/>
          </w:tcPr>
          <w:p>
            <w:pPr>
              <w:widowControl/>
              <w:jc w:val="center"/>
              <w:textAlignment w:val="center"/>
              <w:rPr>
                <w:rFonts w:hint="default" w:ascii="Times New Roman" w:hAnsi="Times New Roman" w:eastAsia="仿宋" w:cs="Times New Roman"/>
                <w:kern w:val="0"/>
                <w:sz w:val="21"/>
                <w:szCs w:val="21"/>
              </w:rPr>
            </w:pPr>
          </w:p>
        </w:tc>
        <w:tc>
          <w:tcPr>
            <w:tcW w:w="540"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2023</w:t>
            </w:r>
          </w:p>
        </w:tc>
        <w:tc>
          <w:tcPr>
            <w:tcW w:w="1905"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在国有建设用地使用权出让合同或者国有土地划拨决定书，以及建设工程规划许可证中注明绿色建筑等级要求。</w:t>
            </w:r>
          </w:p>
        </w:tc>
        <w:tc>
          <w:tcPr>
            <w:tcW w:w="1451"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市自然资源局、市住房城乡建设局</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231" w:hRule="atLeast"/>
          <w:jc w:val="center"/>
        </w:trPr>
        <w:tc>
          <w:tcPr>
            <w:tcW w:w="246" w:type="pct"/>
            <w:vMerge w:val="continue"/>
            <w:shd w:val="clear" w:color="auto" w:fill="auto"/>
            <w:vAlign w:val="center"/>
          </w:tcPr>
          <w:p>
            <w:pPr>
              <w:widowControl/>
              <w:jc w:val="center"/>
              <w:textAlignment w:val="center"/>
              <w:rPr>
                <w:rFonts w:hint="default" w:ascii="Times New Roman" w:hAnsi="Times New Roman" w:eastAsia="仿宋" w:cs="Times New Roman"/>
                <w:b w:val="0"/>
                <w:bCs w:val="0"/>
                <w:kern w:val="0"/>
                <w:sz w:val="21"/>
                <w:szCs w:val="21"/>
              </w:rPr>
            </w:pPr>
          </w:p>
        </w:tc>
        <w:tc>
          <w:tcPr>
            <w:tcW w:w="855" w:type="pct"/>
            <w:vMerge w:val="continue"/>
            <w:shd w:val="clear" w:color="auto" w:fill="auto"/>
            <w:vAlign w:val="center"/>
          </w:tcPr>
          <w:p>
            <w:pPr>
              <w:widowControl/>
              <w:jc w:val="center"/>
              <w:textAlignment w:val="center"/>
              <w:rPr>
                <w:rFonts w:hint="default" w:ascii="Times New Roman" w:hAnsi="Times New Roman" w:eastAsia="仿宋" w:cs="Times New Roman"/>
                <w:kern w:val="0"/>
                <w:sz w:val="21"/>
                <w:szCs w:val="21"/>
              </w:rPr>
            </w:pPr>
          </w:p>
        </w:tc>
        <w:tc>
          <w:tcPr>
            <w:tcW w:w="540"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2023</w:t>
            </w:r>
          </w:p>
        </w:tc>
        <w:tc>
          <w:tcPr>
            <w:tcW w:w="1905" w:type="pct"/>
            <w:shd w:val="clear" w:color="auto" w:fill="auto"/>
            <w:vAlign w:val="center"/>
          </w:tcPr>
          <w:p>
            <w:pPr>
              <w:widowControl/>
              <w:jc w:val="center"/>
              <w:textAlignment w:val="center"/>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rPr>
              <w:t>维护中山市绿色建筑专家库，研究制定绿色建筑项目预评价工作指引，搭建有本地特色的绿色建筑预评价平台，开展绿色建筑预评价工作，并做好与省绿色建筑平台的对接</w:t>
            </w:r>
            <w:r>
              <w:rPr>
                <w:rFonts w:hint="default" w:ascii="Times New Roman" w:hAnsi="Times New Roman" w:eastAsia="仿宋" w:cs="Times New Roman"/>
                <w:kern w:val="0"/>
                <w:sz w:val="21"/>
                <w:szCs w:val="21"/>
                <w:lang w:eastAsia="zh-CN"/>
              </w:rPr>
              <w:t>。</w:t>
            </w:r>
          </w:p>
        </w:tc>
        <w:tc>
          <w:tcPr>
            <w:tcW w:w="1451"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市住房城乡建设局</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599" w:hRule="atLeast"/>
          <w:jc w:val="center"/>
        </w:trPr>
        <w:tc>
          <w:tcPr>
            <w:tcW w:w="246" w:type="pct"/>
            <w:vMerge w:val="continue"/>
            <w:shd w:val="clear" w:color="auto" w:fill="auto"/>
            <w:vAlign w:val="center"/>
          </w:tcPr>
          <w:p>
            <w:pPr>
              <w:widowControl/>
              <w:jc w:val="center"/>
              <w:textAlignment w:val="center"/>
              <w:rPr>
                <w:rFonts w:hint="default" w:ascii="Times New Roman" w:hAnsi="Times New Roman" w:eastAsia="仿宋" w:cs="Times New Roman"/>
                <w:b w:val="0"/>
                <w:bCs w:val="0"/>
                <w:kern w:val="0"/>
                <w:sz w:val="21"/>
                <w:szCs w:val="21"/>
              </w:rPr>
            </w:pPr>
          </w:p>
        </w:tc>
        <w:tc>
          <w:tcPr>
            <w:tcW w:w="855" w:type="pct"/>
            <w:vMerge w:val="continue"/>
            <w:shd w:val="clear" w:color="auto" w:fill="auto"/>
            <w:vAlign w:val="center"/>
          </w:tcPr>
          <w:p>
            <w:pPr>
              <w:widowControl/>
              <w:jc w:val="center"/>
              <w:textAlignment w:val="center"/>
              <w:rPr>
                <w:rFonts w:hint="default" w:ascii="Times New Roman" w:hAnsi="Times New Roman" w:eastAsia="仿宋" w:cs="Times New Roman"/>
                <w:kern w:val="0"/>
                <w:sz w:val="21"/>
                <w:szCs w:val="21"/>
              </w:rPr>
            </w:pPr>
          </w:p>
        </w:tc>
        <w:tc>
          <w:tcPr>
            <w:tcW w:w="540"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2023</w:t>
            </w:r>
          </w:p>
        </w:tc>
        <w:tc>
          <w:tcPr>
            <w:tcW w:w="1905"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组织编写绿色建筑验收技术文件，将绿色建筑验收相关内容列在竣工验收报告中。</w:t>
            </w:r>
          </w:p>
        </w:tc>
        <w:tc>
          <w:tcPr>
            <w:tcW w:w="1451"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市住房城乡建设局</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599" w:hRule="atLeast"/>
          <w:jc w:val="center"/>
        </w:trPr>
        <w:tc>
          <w:tcPr>
            <w:tcW w:w="246" w:type="pct"/>
            <w:vMerge w:val="continue"/>
            <w:shd w:val="clear" w:color="auto" w:fill="auto"/>
            <w:vAlign w:val="center"/>
          </w:tcPr>
          <w:p>
            <w:pPr>
              <w:widowControl/>
              <w:jc w:val="center"/>
              <w:textAlignment w:val="center"/>
              <w:rPr>
                <w:rFonts w:hint="default" w:ascii="Times New Roman" w:hAnsi="Times New Roman" w:eastAsia="仿宋" w:cs="Times New Roman"/>
                <w:b w:val="0"/>
                <w:bCs w:val="0"/>
                <w:kern w:val="0"/>
                <w:sz w:val="21"/>
                <w:szCs w:val="21"/>
              </w:rPr>
            </w:pPr>
          </w:p>
        </w:tc>
        <w:tc>
          <w:tcPr>
            <w:tcW w:w="855" w:type="pct"/>
            <w:vMerge w:val="continue"/>
            <w:shd w:val="clear" w:color="auto" w:fill="auto"/>
            <w:vAlign w:val="center"/>
          </w:tcPr>
          <w:p>
            <w:pPr>
              <w:widowControl/>
              <w:jc w:val="center"/>
              <w:textAlignment w:val="center"/>
              <w:rPr>
                <w:rFonts w:hint="default" w:ascii="Times New Roman" w:hAnsi="Times New Roman" w:eastAsia="仿宋" w:cs="Times New Roman"/>
                <w:kern w:val="0"/>
                <w:sz w:val="21"/>
                <w:szCs w:val="21"/>
              </w:rPr>
            </w:pPr>
          </w:p>
        </w:tc>
        <w:tc>
          <w:tcPr>
            <w:tcW w:w="540"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2023</w:t>
            </w:r>
          </w:p>
        </w:tc>
        <w:tc>
          <w:tcPr>
            <w:tcW w:w="1905"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在项目审批阶段做好对本规划指标的衔接与管控。</w:t>
            </w:r>
          </w:p>
        </w:tc>
        <w:tc>
          <w:tcPr>
            <w:tcW w:w="1451"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市发展和改革局、市自然资源局、市住房城乡建设局</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jc w:val="center"/>
        </w:trPr>
        <w:tc>
          <w:tcPr>
            <w:tcW w:w="246" w:type="pct"/>
            <w:vMerge w:val="continue"/>
            <w:shd w:val="clear" w:color="auto" w:fill="auto"/>
            <w:vAlign w:val="center"/>
          </w:tcPr>
          <w:p>
            <w:pPr>
              <w:widowControl/>
              <w:jc w:val="center"/>
              <w:textAlignment w:val="center"/>
              <w:rPr>
                <w:rFonts w:hint="default" w:ascii="Times New Roman" w:hAnsi="Times New Roman" w:eastAsia="仿宋" w:cs="Times New Roman"/>
                <w:b w:val="0"/>
                <w:bCs w:val="0"/>
                <w:kern w:val="0"/>
                <w:sz w:val="21"/>
                <w:szCs w:val="21"/>
              </w:rPr>
            </w:pPr>
          </w:p>
        </w:tc>
        <w:tc>
          <w:tcPr>
            <w:tcW w:w="855" w:type="pct"/>
            <w:vMerge w:val="restar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品质提升</w:t>
            </w:r>
          </w:p>
        </w:tc>
        <w:tc>
          <w:tcPr>
            <w:tcW w:w="540" w:type="pct"/>
            <w:shd w:val="clear" w:color="auto" w:fill="auto"/>
            <w:vAlign w:val="center"/>
          </w:tcPr>
          <w:p>
            <w:pPr>
              <w:widowControl/>
              <w:jc w:val="center"/>
              <w:textAlignment w:val="center"/>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rPr>
              <w:t>202</w:t>
            </w:r>
            <w:r>
              <w:rPr>
                <w:rFonts w:hint="default" w:ascii="Times New Roman" w:hAnsi="Times New Roman" w:eastAsia="仿宋" w:cs="Times New Roman"/>
                <w:kern w:val="0"/>
                <w:sz w:val="21"/>
                <w:szCs w:val="21"/>
                <w:lang w:val="en-US" w:eastAsia="zh-CN"/>
              </w:rPr>
              <w:t>4</w:t>
            </w:r>
          </w:p>
        </w:tc>
        <w:tc>
          <w:tcPr>
            <w:tcW w:w="1905" w:type="pct"/>
            <w:shd w:val="clear" w:color="auto" w:fill="auto"/>
            <w:vAlign w:val="center"/>
          </w:tcPr>
          <w:p>
            <w:pPr>
              <w:widowControl/>
              <w:jc w:val="center"/>
              <w:textAlignment w:val="center"/>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rPr>
              <w:t>绿色建筑后评估</w:t>
            </w:r>
          </w:p>
        </w:tc>
        <w:tc>
          <w:tcPr>
            <w:tcW w:w="1451"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市住房城乡建设局</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136" w:hRule="atLeast"/>
          <w:jc w:val="center"/>
        </w:trPr>
        <w:tc>
          <w:tcPr>
            <w:tcW w:w="246" w:type="pct"/>
            <w:vMerge w:val="continue"/>
            <w:shd w:val="clear" w:color="auto" w:fill="auto"/>
            <w:vAlign w:val="center"/>
          </w:tcPr>
          <w:p>
            <w:pPr>
              <w:widowControl/>
              <w:jc w:val="center"/>
              <w:textAlignment w:val="center"/>
              <w:rPr>
                <w:rFonts w:hint="default" w:ascii="Times New Roman" w:hAnsi="Times New Roman" w:eastAsia="仿宋" w:cs="Times New Roman"/>
                <w:b w:val="0"/>
                <w:bCs w:val="0"/>
                <w:kern w:val="0"/>
                <w:sz w:val="21"/>
                <w:szCs w:val="21"/>
              </w:rPr>
            </w:pPr>
          </w:p>
        </w:tc>
        <w:tc>
          <w:tcPr>
            <w:tcW w:w="855" w:type="pct"/>
            <w:vMerge w:val="continue"/>
            <w:shd w:val="clear" w:color="auto" w:fill="auto"/>
            <w:vAlign w:val="center"/>
          </w:tcPr>
          <w:p>
            <w:pPr>
              <w:widowControl/>
              <w:jc w:val="center"/>
              <w:textAlignment w:val="center"/>
              <w:rPr>
                <w:rFonts w:hint="default" w:ascii="Times New Roman" w:hAnsi="Times New Roman" w:eastAsia="仿宋" w:cs="Times New Roman"/>
                <w:kern w:val="0"/>
                <w:sz w:val="21"/>
                <w:szCs w:val="21"/>
              </w:rPr>
            </w:pPr>
          </w:p>
        </w:tc>
        <w:tc>
          <w:tcPr>
            <w:tcW w:w="540"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2024</w:t>
            </w:r>
          </w:p>
        </w:tc>
        <w:tc>
          <w:tcPr>
            <w:tcW w:w="1905" w:type="pct"/>
            <w:shd w:val="clear" w:color="auto" w:fill="auto"/>
            <w:vAlign w:val="center"/>
          </w:tcPr>
          <w:p>
            <w:pPr>
              <w:widowControl/>
              <w:jc w:val="center"/>
              <w:textAlignment w:val="center"/>
              <w:rPr>
                <w:rFonts w:hint="default" w:ascii="Times New Roman" w:hAnsi="Times New Roman" w:eastAsia="仿宋" w:cs="Times New Roman"/>
                <w:kern w:val="0"/>
                <w:sz w:val="21"/>
                <w:szCs w:val="21"/>
                <w:lang w:val="en-AU" w:eastAsia="zh-CN"/>
              </w:rPr>
            </w:pPr>
            <w:r>
              <w:rPr>
                <w:rFonts w:hint="default" w:ascii="Times New Roman" w:hAnsi="Times New Roman" w:eastAsia="仿宋" w:cs="Times New Roman"/>
                <w:kern w:val="0"/>
                <w:sz w:val="21"/>
                <w:szCs w:val="21"/>
              </w:rPr>
              <w:t>健康建筑示范</w:t>
            </w:r>
          </w:p>
        </w:tc>
        <w:tc>
          <w:tcPr>
            <w:tcW w:w="1451"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市住房城乡建设局、市发展和改革局</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jc w:val="center"/>
        </w:trPr>
        <w:tc>
          <w:tcPr>
            <w:tcW w:w="246" w:type="pct"/>
            <w:vMerge w:val="restart"/>
            <w:shd w:val="clear" w:color="auto" w:fill="auto"/>
            <w:vAlign w:val="center"/>
          </w:tcPr>
          <w:p>
            <w:pPr>
              <w:widowControl/>
              <w:jc w:val="center"/>
              <w:textAlignment w:val="center"/>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bCs/>
                <w:kern w:val="0"/>
                <w:sz w:val="21"/>
                <w:szCs w:val="21"/>
              </w:rPr>
              <w:t>既有建筑节能绿色化改造</w:t>
            </w:r>
          </w:p>
        </w:tc>
        <w:tc>
          <w:tcPr>
            <w:tcW w:w="855" w:type="pct"/>
            <w:vMerge w:val="restar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工作机制</w:t>
            </w:r>
          </w:p>
        </w:tc>
        <w:tc>
          <w:tcPr>
            <w:tcW w:w="540" w:type="pct"/>
            <w:shd w:val="clear" w:color="auto" w:fill="auto"/>
            <w:vAlign w:val="center"/>
          </w:tcPr>
          <w:p>
            <w:pPr>
              <w:widowControl/>
              <w:jc w:val="center"/>
              <w:textAlignment w:val="center"/>
              <w:rPr>
                <w:rFonts w:hint="default" w:ascii="Times New Roman" w:hAnsi="Times New Roman" w:eastAsia="仿宋" w:cs="Times New Roman"/>
                <w:kern w:val="0"/>
                <w:sz w:val="21"/>
                <w:szCs w:val="21"/>
                <w:lang w:val="en-US" w:eastAsia="zh-CN"/>
              </w:rPr>
            </w:pPr>
            <w:r>
              <w:rPr>
                <w:rFonts w:hint="default" w:ascii="Times New Roman" w:hAnsi="Times New Roman" w:eastAsia="仿宋" w:cs="Times New Roman"/>
                <w:kern w:val="0"/>
                <w:sz w:val="21"/>
                <w:szCs w:val="21"/>
              </w:rPr>
              <w:t>202</w:t>
            </w:r>
            <w:r>
              <w:rPr>
                <w:rFonts w:hint="default" w:ascii="Times New Roman" w:hAnsi="Times New Roman" w:eastAsia="仿宋" w:cs="Times New Roman"/>
                <w:kern w:val="0"/>
                <w:sz w:val="21"/>
                <w:szCs w:val="21"/>
                <w:lang w:val="en-US" w:eastAsia="zh-CN"/>
              </w:rPr>
              <w:t>3</w:t>
            </w:r>
          </w:p>
        </w:tc>
        <w:tc>
          <w:tcPr>
            <w:tcW w:w="1905" w:type="pct"/>
            <w:shd w:val="clear" w:color="auto" w:fill="auto"/>
            <w:vAlign w:val="center"/>
          </w:tcPr>
          <w:p>
            <w:pPr>
              <w:widowControl/>
              <w:jc w:val="center"/>
              <w:textAlignment w:val="center"/>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rPr>
              <w:t>既有建筑摸底调查</w:t>
            </w:r>
          </w:p>
        </w:tc>
        <w:tc>
          <w:tcPr>
            <w:tcW w:w="1451"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市住房城乡建设局</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245" w:hRule="atLeast"/>
          <w:jc w:val="center"/>
        </w:trPr>
        <w:tc>
          <w:tcPr>
            <w:tcW w:w="246" w:type="pct"/>
            <w:vMerge w:val="continue"/>
            <w:shd w:val="clear" w:color="auto" w:fill="auto"/>
            <w:vAlign w:val="center"/>
          </w:tcPr>
          <w:p>
            <w:pPr>
              <w:widowControl/>
              <w:jc w:val="center"/>
              <w:textAlignment w:val="center"/>
              <w:rPr>
                <w:rFonts w:hint="default" w:ascii="Times New Roman" w:hAnsi="Times New Roman" w:eastAsia="仿宋" w:cs="Times New Roman"/>
                <w:b w:val="0"/>
                <w:bCs w:val="0"/>
                <w:kern w:val="0"/>
                <w:sz w:val="21"/>
                <w:szCs w:val="21"/>
              </w:rPr>
            </w:pPr>
          </w:p>
        </w:tc>
        <w:tc>
          <w:tcPr>
            <w:tcW w:w="855" w:type="pct"/>
            <w:vMerge w:val="continue"/>
            <w:shd w:val="clear" w:color="auto" w:fill="auto"/>
            <w:vAlign w:val="center"/>
          </w:tcPr>
          <w:p>
            <w:pPr>
              <w:widowControl/>
              <w:jc w:val="center"/>
              <w:textAlignment w:val="center"/>
              <w:rPr>
                <w:rFonts w:hint="default" w:ascii="Times New Roman" w:hAnsi="Times New Roman" w:eastAsia="仿宋" w:cs="Times New Roman"/>
                <w:kern w:val="0"/>
                <w:sz w:val="21"/>
                <w:szCs w:val="21"/>
              </w:rPr>
            </w:pPr>
          </w:p>
        </w:tc>
        <w:tc>
          <w:tcPr>
            <w:tcW w:w="540" w:type="pct"/>
            <w:shd w:val="clear" w:color="auto" w:fill="auto"/>
            <w:vAlign w:val="center"/>
          </w:tcPr>
          <w:p>
            <w:pPr>
              <w:widowControl/>
              <w:jc w:val="center"/>
              <w:textAlignment w:val="center"/>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rPr>
              <w:t>202</w:t>
            </w:r>
            <w:r>
              <w:rPr>
                <w:rFonts w:hint="default" w:ascii="Times New Roman" w:hAnsi="Times New Roman" w:eastAsia="仿宋" w:cs="Times New Roman"/>
                <w:kern w:val="0"/>
                <w:sz w:val="21"/>
                <w:szCs w:val="21"/>
                <w:lang w:val="en-US" w:eastAsia="zh-CN"/>
              </w:rPr>
              <w:t>4</w:t>
            </w:r>
          </w:p>
        </w:tc>
        <w:tc>
          <w:tcPr>
            <w:tcW w:w="1905" w:type="pct"/>
            <w:shd w:val="clear" w:color="auto" w:fill="auto"/>
            <w:vAlign w:val="center"/>
          </w:tcPr>
          <w:p>
            <w:pPr>
              <w:widowControl/>
              <w:jc w:val="center"/>
              <w:textAlignment w:val="center"/>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sz w:val="21"/>
                <w:szCs w:val="21"/>
              </w:rPr>
              <w:t>结合</w:t>
            </w:r>
            <w:r>
              <w:rPr>
                <w:rFonts w:hint="eastAsia" w:ascii="Times New Roman" w:hAnsi="Times New Roman" w:eastAsia="仿宋" w:cs="Times New Roman"/>
                <w:sz w:val="21"/>
                <w:szCs w:val="21"/>
                <w:lang w:eastAsia="zh-CN"/>
              </w:rPr>
              <w:t>“三旧”改造</w:t>
            </w:r>
            <w:r>
              <w:rPr>
                <w:rFonts w:hint="default" w:ascii="Times New Roman" w:hAnsi="Times New Roman" w:eastAsia="仿宋" w:cs="Times New Roman"/>
                <w:sz w:val="21"/>
                <w:szCs w:val="21"/>
              </w:rPr>
              <w:t>项目、城市更新重点区域、老旧小区改造同步推进居住建筑的</w:t>
            </w:r>
            <w:r>
              <w:rPr>
                <w:rFonts w:hint="eastAsia" w:ascii="Times New Roman" w:hAnsi="Times New Roman" w:eastAsia="仿宋" w:cs="Times New Roman"/>
                <w:sz w:val="21"/>
                <w:szCs w:val="21"/>
                <w:lang w:eastAsia="zh-CN"/>
              </w:rPr>
              <w:t>节能绿色化改造</w:t>
            </w:r>
            <w:r>
              <w:rPr>
                <w:rFonts w:hint="default" w:ascii="Times New Roman" w:hAnsi="Times New Roman" w:eastAsia="仿宋" w:cs="Times New Roman"/>
                <w:sz w:val="21"/>
                <w:szCs w:val="21"/>
              </w:rPr>
              <w:t>。制定</w:t>
            </w:r>
            <w:r>
              <w:rPr>
                <w:rFonts w:hint="default" w:ascii="Times New Roman" w:hAnsi="Times New Roman" w:eastAsia="仿宋" w:cs="Times New Roman"/>
                <w:kern w:val="0"/>
                <w:sz w:val="21"/>
                <w:szCs w:val="21"/>
              </w:rPr>
              <w:t>改造方案与清单</w:t>
            </w:r>
            <w:r>
              <w:rPr>
                <w:rFonts w:hint="default" w:ascii="Times New Roman" w:hAnsi="Times New Roman" w:eastAsia="仿宋" w:cs="Times New Roman"/>
                <w:kern w:val="0"/>
                <w:sz w:val="21"/>
                <w:szCs w:val="21"/>
                <w:lang w:eastAsia="zh-CN"/>
              </w:rPr>
              <w:t>。</w:t>
            </w:r>
          </w:p>
        </w:tc>
        <w:tc>
          <w:tcPr>
            <w:tcW w:w="1451"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市自然资源局、市住房城乡建设局</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jc w:val="center"/>
        </w:trPr>
        <w:tc>
          <w:tcPr>
            <w:tcW w:w="246" w:type="pct"/>
            <w:vMerge w:val="continue"/>
            <w:shd w:val="clear" w:color="auto" w:fill="auto"/>
            <w:vAlign w:val="center"/>
          </w:tcPr>
          <w:p>
            <w:pPr>
              <w:widowControl/>
              <w:jc w:val="center"/>
              <w:textAlignment w:val="center"/>
              <w:rPr>
                <w:rFonts w:hint="default" w:ascii="Times New Roman" w:hAnsi="Times New Roman" w:eastAsia="仿宋" w:cs="Times New Roman"/>
                <w:b w:val="0"/>
                <w:bCs w:val="0"/>
                <w:kern w:val="0"/>
                <w:sz w:val="21"/>
                <w:szCs w:val="21"/>
              </w:rPr>
            </w:pPr>
          </w:p>
        </w:tc>
        <w:tc>
          <w:tcPr>
            <w:tcW w:w="855"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居住建筑</w:t>
            </w:r>
          </w:p>
        </w:tc>
        <w:tc>
          <w:tcPr>
            <w:tcW w:w="540"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2023</w:t>
            </w:r>
          </w:p>
        </w:tc>
        <w:tc>
          <w:tcPr>
            <w:tcW w:w="1905"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sz w:val="21"/>
                <w:szCs w:val="21"/>
              </w:rPr>
              <w:t>在老旧小区更新改造中，推动基础类、完善类的更新改造进行节能绿色化改造。</w:t>
            </w:r>
            <w:r>
              <w:rPr>
                <w:rFonts w:hint="default" w:ascii="Times New Roman" w:hAnsi="Times New Roman" w:eastAsia="仿宋" w:cs="Times New Roman"/>
                <w:kern w:val="0"/>
                <w:sz w:val="21"/>
                <w:szCs w:val="21"/>
              </w:rPr>
              <w:t>老旧小区绿色化改造示范项目建设。</w:t>
            </w:r>
          </w:p>
        </w:tc>
        <w:tc>
          <w:tcPr>
            <w:tcW w:w="1451"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市住房城乡建设局</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08" w:hRule="atLeast"/>
          <w:jc w:val="center"/>
        </w:trPr>
        <w:tc>
          <w:tcPr>
            <w:tcW w:w="246" w:type="pct"/>
            <w:vMerge w:val="continue"/>
            <w:shd w:val="clear" w:color="auto" w:fill="auto"/>
            <w:vAlign w:val="center"/>
          </w:tcPr>
          <w:p>
            <w:pPr>
              <w:widowControl/>
              <w:jc w:val="center"/>
              <w:textAlignment w:val="center"/>
              <w:rPr>
                <w:rFonts w:hint="default" w:ascii="Times New Roman" w:hAnsi="Times New Roman" w:eastAsia="仿宋" w:cs="Times New Roman"/>
                <w:b w:val="0"/>
                <w:bCs w:val="0"/>
                <w:kern w:val="0"/>
                <w:sz w:val="21"/>
                <w:szCs w:val="21"/>
              </w:rPr>
            </w:pPr>
          </w:p>
        </w:tc>
        <w:tc>
          <w:tcPr>
            <w:tcW w:w="855"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公共建筑</w:t>
            </w:r>
          </w:p>
        </w:tc>
        <w:tc>
          <w:tcPr>
            <w:tcW w:w="540"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2023</w:t>
            </w:r>
          </w:p>
        </w:tc>
        <w:tc>
          <w:tcPr>
            <w:tcW w:w="1905" w:type="pct"/>
            <w:shd w:val="clear" w:color="auto" w:fill="auto"/>
            <w:vAlign w:val="center"/>
          </w:tcPr>
          <w:p>
            <w:pPr>
              <w:widowControl/>
              <w:jc w:val="center"/>
              <w:textAlignment w:val="center"/>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rPr>
              <w:t>开展公共建筑节能</w:t>
            </w:r>
            <w:r>
              <w:rPr>
                <w:rFonts w:hint="eastAsia" w:ascii="Times New Roman" w:hAnsi="Times New Roman" w:eastAsia="仿宋" w:cs="Times New Roman"/>
                <w:kern w:val="0"/>
                <w:sz w:val="21"/>
                <w:szCs w:val="21"/>
                <w:lang w:val="en-US" w:eastAsia="zh-CN"/>
              </w:rPr>
              <w:t>绿色化</w:t>
            </w:r>
            <w:r>
              <w:rPr>
                <w:rFonts w:hint="default" w:ascii="Times New Roman" w:hAnsi="Times New Roman" w:eastAsia="仿宋" w:cs="Times New Roman"/>
                <w:kern w:val="0"/>
                <w:sz w:val="21"/>
                <w:szCs w:val="21"/>
              </w:rPr>
              <w:t>改造示范</w:t>
            </w:r>
          </w:p>
        </w:tc>
        <w:tc>
          <w:tcPr>
            <w:tcW w:w="1451"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市住房城乡建设局、市发展改革局</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jc w:val="center"/>
        </w:trPr>
        <w:tc>
          <w:tcPr>
            <w:tcW w:w="246" w:type="pct"/>
            <w:vMerge w:val="restart"/>
            <w:shd w:val="clear" w:color="auto" w:fill="auto"/>
            <w:vAlign w:val="center"/>
          </w:tcPr>
          <w:p>
            <w:pPr>
              <w:widowControl/>
              <w:jc w:val="center"/>
              <w:textAlignment w:val="center"/>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bCs/>
                <w:kern w:val="0"/>
                <w:sz w:val="21"/>
                <w:szCs w:val="21"/>
              </w:rPr>
              <w:t>绿色技术推广应用</w:t>
            </w:r>
          </w:p>
        </w:tc>
        <w:tc>
          <w:tcPr>
            <w:tcW w:w="855"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建筑节能</w:t>
            </w:r>
          </w:p>
        </w:tc>
        <w:tc>
          <w:tcPr>
            <w:tcW w:w="540" w:type="pct"/>
            <w:shd w:val="clear" w:color="auto" w:fill="auto"/>
            <w:vAlign w:val="center"/>
          </w:tcPr>
          <w:p>
            <w:pPr>
              <w:widowControl/>
              <w:jc w:val="center"/>
              <w:textAlignment w:val="center"/>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rPr>
              <w:t>202</w:t>
            </w:r>
            <w:r>
              <w:rPr>
                <w:rFonts w:hint="default" w:ascii="Times New Roman" w:hAnsi="Times New Roman" w:eastAsia="仿宋" w:cs="Times New Roman"/>
                <w:kern w:val="0"/>
                <w:sz w:val="21"/>
                <w:szCs w:val="21"/>
                <w:lang w:val="en-US" w:eastAsia="zh-CN"/>
              </w:rPr>
              <w:t>3</w:t>
            </w:r>
          </w:p>
        </w:tc>
        <w:tc>
          <w:tcPr>
            <w:tcW w:w="1905" w:type="pct"/>
            <w:shd w:val="clear" w:color="auto" w:fill="auto"/>
            <w:vAlign w:val="center"/>
          </w:tcPr>
          <w:p>
            <w:pPr>
              <w:widowControl/>
              <w:jc w:val="center"/>
              <w:textAlignment w:val="center"/>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rPr>
              <w:t>新建、扩建和改建建筑同步落实建筑节能建设，严格执行国家、省建筑节能强制性标准，项目可行性研究报告、建筑方案、初步设计文件应包含建筑能耗、可再生能源利用及建筑碳排放分析报告。施工图设计文件应明确建筑节能措施及可再生能源理由系统运营管理的技术要求</w:t>
            </w:r>
            <w:r>
              <w:rPr>
                <w:rFonts w:hint="default" w:ascii="Times New Roman" w:hAnsi="Times New Roman" w:eastAsia="仿宋" w:cs="Times New Roman"/>
                <w:kern w:val="0"/>
                <w:sz w:val="21"/>
                <w:szCs w:val="21"/>
                <w:lang w:eastAsia="zh-CN"/>
              </w:rPr>
              <w:t>。</w:t>
            </w:r>
          </w:p>
        </w:tc>
        <w:tc>
          <w:tcPr>
            <w:tcW w:w="1451"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市住房城乡建设局</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jc w:val="center"/>
        </w:trPr>
        <w:tc>
          <w:tcPr>
            <w:tcW w:w="246" w:type="pct"/>
            <w:vMerge w:val="continue"/>
            <w:shd w:val="clear" w:color="auto" w:fill="auto"/>
            <w:vAlign w:val="center"/>
          </w:tcPr>
          <w:p>
            <w:pPr>
              <w:widowControl/>
              <w:jc w:val="center"/>
              <w:textAlignment w:val="center"/>
              <w:rPr>
                <w:rFonts w:hint="default" w:ascii="Times New Roman" w:hAnsi="Times New Roman" w:eastAsia="仿宋" w:cs="Times New Roman"/>
                <w:b w:val="0"/>
                <w:bCs w:val="0"/>
                <w:kern w:val="0"/>
                <w:sz w:val="21"/>
                <w:szCs w:val="21"/>
              </w:rPr>
            </w:pPr>
          </w:p>
        </w:tc>
        <w:tc>
          <w:tcPr>
            <w:tcW w:w="855"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可再生能源</w:t>
            </w:r>
          </w:p>
        </w:tc>
        <w:tc>
          <w:tcPr>
            <w:tcW w:w="540"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2023</w:t>
            </w:r>
          </w:p>
        </w:tc>
        <w:tc>
          <w:tcPr>
            <w:tcW w:w="1905"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新建建筑应同步安装太阳能系统</w:t>
            </w:r>
          </w:p>
        </w:tc>
        <w:tc>
          <w:tcPr>
            <w:tcW w:w="1451"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市住房城乡建设局、市工业和信息化局、市发展改革局、市供电局</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291" w:hRule="atLeast"/>
          <w:jc w:val="center"/>
        </w:trPr>
        <w:tc>
          <w:tcPr>
            <w:tcW w:w="246" w:type="pct"/>
            <w:vMerge w:val="continue"/>
            <w:shd w:val="clear" w:color="auto" w:fill="auto"/>
            <w:vAlign w:val="center"/>
          </w:tcPr>
          <w:p>
            <w:pPr>
              <w:widowControl/>
              <w:jc w:val="center"/>
              <w:textAlignment w:val="center"/>
              <w:rPr>
                <w:rFonts w:hint="default" w:ascii="Times New Roman" w:hAnsi="Times New Roman" w:eastAsia="仿宋" w:cs="Times New Roman"/>
                <w:b w:val="0"/>
                <w:bCs w:val="0"/>
                <w:kern w:val="0"/>
                <w:sz w:val="21"/>
                <w:szCs w:val="21"/>
              </w:rPr>
            </w:pPr>
          </w:p>
        </w:tc>
        <w:tc>
          <w:tcPr>
            <w:tcW w:w="855"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绿色建材</w:t>
            </w:r>
          </w:p>
        </w:tc>
        <w:tc>
          <w:tcPr>
            <w:tcW w:w="540" w:type="pct"/>
            <w:shd w:val="clear" w:color="auto" w:fill="auto"/>
            <w:vAlign w:val="center"/>
          </w:tcPr>
          <w:p>
            <w:pPr>
              <w:widowControl/>
              <w:jc w:val="center"/>
              <w:textAlignment w:val="center"/>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rPr>
              <w:t>202</w:t>
            </w:r>
            <w:r>
              <w:rPr>
                <w:rFonts w:hint="default" w:ascii="Times New Roman" w:hAnsi="Times New Roman" w:eastAsia="仿宋" w:cs="Times New Roman"/>
                <w:kern w:val="0"/>
                <w:sz w:val="21"/>
                <w:szCs w:val="21"/>
                <w:lang w:val="en-US" w:eastAsia="zh-CN"/>
              </w:rPr>
              <w:t>3</w:t>
            </w:r>
          </w:p>
        </w:tc>
        <w:tc>
          <w:tcPr>
            <w:tcW w:w="1905"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1、优化完善绿色建材申报流程</w:t>
            </w:r>
          </w:p>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2、示范项目全过程监督</w:t>
            </w:r>
          </w:p>
        </w:tc>
        <w:tc>
          <w:tcPr>
            <w:tcW w:w="1451"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市住房城乡建设局</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291" w:hRule="atLeast"/>
          <w:jc w:val="center"/>
        </w:trPr>
        <w:tc>
          <w:tcPr>
            <w:tcW w:w="1102" w:type="pct"/>
            <w:gridSpan w:val="2"/>
            <w:vMerge w:val="restart"/>
            <w:shd w:val="clear" w:color="auto" w:fill="auto"/>
            <w:vAlign w:val="center"/>
          </w:tcPr>
          <w:p>
            <w:pPr>
              <w:widowControl/>
              <w:jc w:val="center"/>
              <w:textAlignment w:val="center"/>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bCs/>
                <w:kern w:val="0"/>
                <w:sz w:val="21"/>
                <w:szCs w:val="21"/>
              </w:rPr>
              <w:t>农村绿色建筑推广</w:t>
            </w:r>
          </w:p>
        </w:tc>
        <w:tc>
          <w:tcPr>
            <w:tcW w:w="540"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2023</w:t>
            </w:r>
          </w:p>
        </w:tc>
        <w:tc>
          <w:tcPr>
            <w:tcW w:w="1905"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推广普及《广东省农房建设绿色技术导则》应用</w:t>
            </w:r>
          </w:p>
        </w:tc>
        <w:tc>
          <w:tcPr>
            <w:tcW w:w="1451"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市住房城乡建设局</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291" w:hRule="atLeast"/>
          <w:jc w:val="center"/>
        </w:trPr>
        <w:tc>
          <w:tcPr>
            <w:tcW w:w="1102" w:type="pct"/>
            <w:gridSpan w:val="2"/>
            <w:vMerge w:val="continue"/>
            <w:shd w:val="clear" w:color="auto" w:fill="auto"/>
            <w:vAlign w:val="center"/>
          </w:tcPr>
          <w:p>
            <w:pPr>
              <w:widowControl/>
              <w:jc w:val="center"/>
              <w:textAlignment w:val="center"/>
              <w:rPr>
                <w:rFonts w:hint="default" w:ascii="Times New Roman" w:hAnsi="Times New Roman" w:eastAsia="仿宋" w:cs="Times New Roman"/>
                <w:b w:val="0"/>
                <w:bCs w:val="0"/>
                <w:kern w:val="0"/>
                <w:sz w:val="21"/>
                <w:szCs w:val="21"/>
              </w:rPr>
            </w:pPr>
          </w:p>
        </w:tc>
        <w:tc>
          <w:tcPr>
            <w:tcW w:w="540"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2024</w:t>
            </w:r>
          </w:p>
        </w:tc>
        <w:tc>
          <w:tcPr>
            <w:tcW w:w="1905"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sz w:val="21"/>
                <w:szCs w:val="21"/>
              </w:rPr>
              <w:t>鼓励建设星级绿色农房和零碳农房，</w:t>
            </w:r>
            <w:r>
              <w:rPr>
                <w:rFonts w:hint="default" w:ascii="Times New Roman" w:hAnsi="Times New Roman" w:eastAsia="仿宋" w:cs="Times New Roman"/>
                <w:kern w:val="0"/>
                <w:sz w:val="21"/>
                <w:szCs w:val="21"/>
              </w:rPr>
              <w:t>绿色建筑示范项目</w:t>
            </w:r>
          </w:p>
        </w:tc>
        <w:tc>
          <w:tcPr>
            <w:tcW w:w="1451" w:type="pct"/>
            <w:shd w:val="clear" w:color="auto" w:fill="auto"/>
            <w:vAlign w:val="center"/>
          </w:tcPr>
          <w:p>
            <w:pPr>
              <w:widowControl/>
              <w:jc w:val="center"/>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市住房城乡建设局、市农业农村局</w:t>
            </w:r>
          </w:p>
        </w:tc>
      </w:tr>
      <w:bookmarkEnd w:id="112"/>
    </w:tbl>
    <w:p/>
    <w:p>
      <w:pPr>
        <w:pStyle w:val="5"/>
        <w:rPr>
          <w:rFonts w:ascii="Times New Roman" w:hAnsi="Times New Roman" w:eastAsia="仿宋" w:cs="Times New Roman"/>
          <w:sz w:val="30"/>
          <w:szCs w:val="30"/>
        </w:rPr>
      </w:pPr>
      <w:bookmarkStart w:id="113" w:name="_Toc124321390"/>
      <w:r>
        <w:rPr>
          <w:rFonts w:hint="eastAsia" w:ascii="Times New Roman" w:hAnsi="Times New Roman" w:eastAsia="仿宋" w:cs="Times New Roman"/>
          <w:sz w:val="30"/>
          <w:szCs w:val="30"/>
        </w:rPr>
        <w:t>第22条 工业建筑绿色技术推荐示范项目列表</w:t>
      </w:r>
      <w:bookmarkEnd w:id="113"/>
    </w:p>
    <w:p>
      <w:pPr>
        <w:adjustRightInd w:val="0"/>
        <w:snapToGrid w:val="0"/>
        <w:spacing w:before="93" w:beforeLines="30" w:after="93" w:afterLines="30" w:line="360" w:lineRule="auto"/>
        <w:ind w:firstLine="480" w:firstLineChars="200"/>
        <w:jc w:val="left"/>
        <w:rPr>
          <w:rFonts w:ascii="Times New Roman" w:hAnsi="Times New Roman" w:eastAsia="仿宋" w:cs="Times New Roman"/>
          <w:sz w:val="24"/>
        </w:rPr>
      </w:pPr>
      <w:r>
        <w:rPr>
          <w:rFonts w:hint="eastAsia" w:ascii="Times New Roman" w:hAnsi="Times New Roman" w:eastAsia="仿宋" w:cs="Times New Roman"/>
          <w:sz w:val="24"/>
        </w:rPr>
        <w:t>积极探索中山市工业建筑绿色发展适宜技术，结合</w:t>
      </w:r>
      <w:r>
        <w:rPr>
          <w:rFonts w:hint="eastAsia" w:ascii="Times New Roman" w:hAnsi="Times New Roman" w:eastAsia="仿宋" w:cs="Times New Roman"/>
          <w:sz w:val="24"/>
          <w:lang w:eastAsia="zh-CN"/>
        </w:rPr>
        <w:t>中山市人民政府</w:t>
      </w:r>
      <w:r>
        <w:rPr>
          <w:rFonts w:hint="eastAsia" w:ascii="Times New Roman" w:hAnsi="Times New Roman" w:eastAsia="仿宋" w:cs="Times New Roman"/>
          <w:sz w:val="24"/>
        </w:rPr>
        <w:t>“工改”重点项目建设，鼓励在计划改造面积超过100亩的“工改”项目中，重点推广应用工业建筑屋顶分布式光伏、先进蓄冷技术和立体绿化等绿色技术示范。</w:t>
      </w:r>
    </w:p>
    <w:p>
      <w:pPr>
        <w:pStyle w:val="2"/>
        <w:spacing w:before="156" w:after="93"/>
        <w:ind w:firstLine="0" w:firstLineChars="0"/>
        <w:jc w:val="center"/>
        <w:rPr>
          <w:rFonts w:ascii="仿宋" w:hAnsi="仿宋" w:eastAsia="仿宋"/>
          <w:b/>
          <w:bCs/>
          <w:sz w:val="21"/>
          <w:szCs w:val="21"/>
        </w:rPr>
      </w:pPr>
      <w:r>
        <w:rPr>
          <w:rFonts w:hint="eastAsia" w:ascii="仿宋" w:hAnsi="仿宋" w:eastAsia="仿宋"/>
          <w:b/>
          <w:bCs/>
          <w:sz w:val="21"/>
          <w:szCs w:val="21"/>
        </w:rPr>
        <w:t>表</w:t>
      </w:r>
      <w:r>
        <w:rPr>
          <w:rFonts w:hint="eastAsia" w:ascii="仿宋" w:hAnsi="仿宋" w:eastAsia="仿宋"/>
          <w:b/>
          <w:bCs/>
          <w:sz w:val="21"/>
          <w:szCs w:val="21"/>
          <w:lang w:val="en-US" w:eastAsia="zh-CN"/>
        </w:rPr>
        <w:t>18</w:t>
      </w:r>
      <w:r>
        <w:rPr>
          <w:rFonts w:hint="eastAsia" w:ascii="仿宋" w:hAnsi="仿宋" w:eastAsia="仿宋"/>
          <w:b/>
          <w:bCs/>
          <w:sz w:val="21"/>
          <w:szCs w:val="21"/>
        </w:rPr>
        <w:t xml:space="preserve"> 中山市工业建筑绿色技术推荐示范项目列表</w:t>
      </w:r>
    </w:p>
    <w:tbl>
      <w:tblPr>
        <w:tblStyle w:val="287"/>
        <w:tblW w:w="4994" w:type="pct"/>
        <w:jc w:val="center"/>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Layout w:type="autofit"/>
        <w:tblCellMar>
          <w:top w:w="0" w:type="dxa"/>
          <w:left w:w="108" w:type="dxa"/>
          <w:bottom w:w="0" w:type="dxa"/>
          <w:right w:w="108" w:type="dxa"/>
        </w:tblCellMar>
      </w:tblPr>
      <w:tblGrid>
        <w:gridCol w:w="581"/>
        <w:gridCol w:w="1201"/>
        <w:gridCol w:w="6736"/>
      </w:tblGrid>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cantSplit/>
          <w:trHeight w:val="592" w:hRule="atLeast"/>
          <w:tblHeader/>
          <w:jc w:val="center"/>
        </w:trPr>
        <w:tc>
          <w:tcPr>
            <w:tcW w:w="341" w:type="pct"/>
            <w:tcBorders>
              <w:top w:val="single" w:color="auto" w:sz="12" w:space="0"/>
              <w:bottom w:val="single" w:color="666666" w:sz="4" w:space="0"/>
            </w:tcBorders>
            <w:shd w:val="clear" w:color="auto" w:fill="auto"/>
            <w:vAlign w:val="center"/>
          </w:tcPr>
          <w:p>
            <w:pPr>
              <w:widowControl/>
              <w:jc w:val="center"/>
              <w:textAlignment w:val="center"/>
              <w:rPr>
                <w:rFonts w:hint="default" w:ascii="Times New Roman" w:hAnsi="Times New Roman" w:eastAsia="仿宋" w:cs="Times New Roman"/>
                <w:b w:val="0"/>
                <w:bCs w:val="0"/>
                <w:kern w:val="0"/>
                <w:sz w:val="21"/>
                <w:szCs w:val="21"/>
              </w:rPr>
            </w:pPr>
            <w:bookmarkStart w:id="114" w:name="_Hlk103245305"/>
            <w:r>
              <w:rPr>
                <w:rFonts w:hint="default" w:ascii="Times New Roman" w:hAnsi="Times New Roman" w:eastAsia="仿宋" w:cs="Times New Roman"/>
                <w:b/>
                <w:bCs/>
                <w:kern w:val="0"/>
                <w:sz w:val="21"/>
                <w:szCs w:val="21"/>
              </w:rPr>
              <w:t>序号</w:t>
            </w:r>
          </w:p>
        </w:tc>
        <w:tc>
          <w:tcPr>
            <w:tcW w:w="705" w:type="pct"/>
            <w:tcBorders>
              <w:top w:val="single" w:color="auto" w:sz="12" w:space="0"/>
              <w:bottom w:val="single" w:color="666666" w:sz="4" w:space="0"/>
            </w:tcBorders>
            <w:shd w:val="clear" w:color="auto" w:fill="auto"/>
            <w:vAlign w:val="center"/>
          </w:tcPr>
          <w:p>
            <w:pPr>
              <w:widowControl/>
              <w:jc w:val="center"/>
              <w:textAlignment w:val="center"/>
              <w:rPr>
                <w:rFonts w:hint="default" w:ascii="Times New Roman" w:hAnsi="Times New Roman" w:eastAsia="仿宋" w:cs="Times New Roman"/>
                <w:b w:val="0"/>
                <w:bCs w:val="0"/>
                <w:kern w:val="0"/>
                <w:sz w:val="21"/>
                <w:szCs w:val="21"/>
                <w:lang w:val="en-US" w:eastAsia="zh-CN"/>
              </w:rPr>
            </w:pPr>
            <w:r>
              <w:rPr>
                <w:rFonts w:hint="eastAsia" w:ascii="Times New Roman" w:hAnsi="Times New Roman" w:eastAsia="仿宋" w:cs="Times New Roman"/>
                <w:b/>
                <w:bCs/>
                <w:kern w:val="0"/>
                <w:sz w:val="21"/>
                <w:szCs w:val="21"/>
                <w:lang w:val="en-US" w:eastAsia="zh-CN"/>
              </w:rPr>
              <w:t>目标单元</w:t>
            </w:r>
          </w:p>
        </w:tc>
        <w:tc>
          <w:tcPr>
            <w:tcW w:w="3953" w:type="pct"/>
            <w:tcBorders>
              <w:top w:val="single" w:color="auto" w:sz="12" w:space="0"/>
              <w:bottom w:val="single" w:color="666666" w:sz="4" w:space="0"/>
            </w:tcBorders>
            <w:shd w:val="clear" w:color="auto" w:fill="auto"/>
            <w:vAlign w:val="center"/>
          </w:tcPr>
          <w:p>
            <w:pPr>
              <w:widowControl/>
              <w:jc w:val="center"/>
              <w:textAlignment w:val="center"/>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bCs/>
                <w:kern w:val="0"/>
                <w:sz w:val="21"/>
                <w:szCs w:val="21"/>
              </w:rPr>
              <w:t>项目名称</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574" w:hRule="atLeast"/>
          <w:jc w:val="center"/>
        </w:trPr>
        <w:tc>
          <w:tcPr>
            <w:tcW w:w="341" w:type="pct"/>
            <w:shd w:val="clear" w:color="auto" w:fill="auto"/>
            <w:vAlign w:val="center"/>
          </w:tcPr>
          <w:p>
            <w:pPr>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火炬开发区</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窈窕村“工改工”土地征收项目</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翠亨新区</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南朗工业区1</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翠亨新区</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侨光自改项目</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翠亨新区</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翠亨村平顶地块项目</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翠亨新区</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大信食品厂</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东区街道</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九亩湾工业区项目</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西区街道</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金昌示范项目-金昌工业聚集区改造升级二期连片工改项目</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南区街道</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南区街道恒美园山仔白石环901项目一期</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574" w:hRule="atLeast"/>
          <w:jc w:val="center"/>
        </w:trPr>
        <w:tc>
          <w:tcPr>
            <w:tcW w:w="341" w:type="pct"/>
            <w:shd w:val="clear" w:color="auto" w:fill="auto"/>
            <w:vAlign w:val="center"/>
          </w:tcPr>
          <w:p>
            <w:pPr>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五桂山街道</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立达项目</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小榄镇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永宁工业大道工改项目</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小榄镇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联丰海威路工改项目</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小榄镇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永宁赤岗路工改项目</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小榄镇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联丰聚新片区项目</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小榄镇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中山市小榄镇九洲基经济联合社项目三</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小榄镇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中山市海通企业管理咨询服务有限公司项目</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古镇镇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曹一天宏光电产业园</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古镇镇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曹二智慧产业园</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古镇镇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曹三智兴产业园</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横栏镇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三沙一二队低效工业园改造项目</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横栏镇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裕祥工业园低效工业园改造项目</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港口镇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中山市创意智慧科技园</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沙溪镇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联合鸿兴造纸厂改造项目</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沙溪镇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厚山布碎市场改造项目</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大涌镇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创源工业园改造项目</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大涌镇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月地工业园改造项目</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大涌镇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矮山西侧改造单元</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大涌镇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矮山东侧改造单元</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大涌镇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华泰路东侧改造单元</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大涌镇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南文马坑片区旧厂房改造项目</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大涌镇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大涌社区科创产业园改造项目</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大涌镇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华星工业园改造项目</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大涌镇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侨发工业园改造项目</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大涌镇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大涌新围片区改造项目</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黄圃镇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中山智能家电产业园（大岑片区）连片改造第一阶段一期项目</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黄圃镇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中山智能家电产业园（大岑片区）连片改造第一阶段二期项目</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黄圃镇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中山智能家电产业园（大岑片区）连片改造第二阶段</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黄圃镇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中山智能家电产业园（大岑片区）连片改造第三阶段</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黄圃镇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正飞科技创新创业园项目</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阜沙镇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智能装备制造基地（浮虚山东片区）</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阜沙镇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大湾区智能家居产业园改造项目</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三角镇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蟠龙村级工业园改造项目</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三角镇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中山市达进电子有限公司改造项目一期</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三乡镇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南部新城城市更新（“三旧”改造）古鹤-新圩片区项目</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三乡镇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白石“大坑塘”工业提升改造项目</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三乡镇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白石“麻子”改造项目</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坦洲镇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坦南智造创意园</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坦洲镇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万宝龙门</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坦洲镇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中山圣马丁电子元件有限公司“工改工”宗地项目</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坦洲镇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庆琏金属制品二厂</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坦洲镇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新前进村现代生态农业产业园</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坦洲镇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群联村文创智造城</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坦洲镇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永二村精密智能制造产业园</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坦洲镇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精工制造工业园</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板芙镇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金钟219地块（备选）</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板芙镇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嘉冠改造项目</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神湾镇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外沙科创园首期启动区</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神湾镇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神溪工业区首期启动区</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25" w:hRule="atLeast"/>
          <w:jc w:val="center"/>
        </w:trPr>
        <w:tc>
          <w:tcPr>
            <w:tcW w:w="341" w:type="pct"/>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神湾镇</w:t>
            </w:r>
          </w:p>
        </w:tc>
        <w:tc>
          <w:tcPr>
            <w:tcW w:w="3953" w:type="pct"/>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外沙经济联合社工业集聚区</w:t>
            </w:r>
          </w:p>
        </w:tc>
      </w:tr>
      <w:tr>
        <w:tblPrEx>
          <w:tblBorders>
            <w:top w:val="single" w:color="666666" w:sz="4" w:space="0"/>
            <w:left w:val="none" w:color="auto" w:sz="0" w:space="0"/>
            <w:bottom w:val="single" w:color="666666" w:sz="4" w:space="0"/>
            <w:right w:val="none" w:color="auto" w:sz="0" w:space="0"/>
            <w:insideH w:val="single" w:color="666666" w:sz="4" w:space="0"/>
            <w:insideV w:val="none" w:color="auto" w:sz="0" w:space="0"/>
          </w:tblBorders>
          <w:tblCellMar>
            <w:top w:w="0" w:type="dxa"/>
            <w:left w:w="108" w:type="dxa"/>
            <w:bottom w:w="0" w:type="dxa"/>
            <w:right w:w="108" w:type="dxa"/>
          </w:tblCellMar>
        </w:tblPrEx>
        <w:trPr>
          <w:trHeight w:val="466" w:hRule="atLeast"/>
          <w:jc w:val="center"/>
        </w:trPr>
        <w:tc>
          <w:tcPr>
            <w:tcW w:w="341" w:type="pct"/>
            <w:tcBorders>
              <w:bottom w:val="single" w:color="auto" w:sz="18" w:space="0"/>
            </w:tcBorders>
            <w:shd w:val="clear" w:color="auto" w:fill="auto"/>
            <w:vAlign w:val="center"/>
          </w:tcPr>
          <w:p>
            <w:pPr>
              <w:pStyle w:val="64"/>
              <w:numPr>
                <w:ilvl w:val="0"/>
                <w:numId w:val="2"/>
              </w:numPr>
              <w:tabs>
                <w:tab w:val="clear" w:pos="0"/>
              </w:tabs>
              <w:adjustRightInd w:val="0"/>
              <w:snapToGrid w:val="0"/>
              <w:spacing w:before="93" w:beforeLines="30" w:after="93" w:afterLines="30"/>
              <w:ind w:left="0" w:leftChars="0" w:firstLine="170" w:firstLineChars="0"/>
              <w:jc w:val="both"/>
              <w:rPr>
                <w:rFonts w:hint="default" w:ascii="Times New Roman" w:hAnsi="Times New Roman" w:eastAsia="仿宋" w:cs="Times New Roman"/>
                <w:b/>
                <w:bCs/>
                <w:sz w:val="21"/>
                <w:szCs w:val="21"/>
              </w:rPr>
            </w:pPr>
          </w:p>
        </w:tc>
        <w:tc>
          <w:tcPr>
            <w:tcW w:w="705" w:type="pct"/>
            <w:tcBorders>
              <w:bottom w:val="single" w:color="auto" w:sz="18" w:space="0"/>
            </w:tcBorders>
            <w:shd w:val="clear" w:color="auto" w:fill="auto"/>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神湾镇</w:t>
            </w:r>
          </w:p>
        </w:tc>
        <w:tc>
          <w:tcPr>
            <w:tcW w:w="3953" w:type="pct"/>
            <w:tcBorders>
              <w:bottom w:val="single" w:color="auto" w:sz="18" w:space="0"/>
            </w:tcBorders>
            <w:shd w:val="clear" w:color="auto" w:fill="auto"/>
            <w:vAlign w:val="center"/>
          </w:tcPr>
          <w:p>
            <w:pPr>
              <w:widowControl/>
              <w:jc w:val="center"/>
              <w:textAlignment w:val="center"/>
              <w:rPr>
                <w:rFonts w:hint="default"/>
              </w:rPr>
            </w:pPr>
            <w:r>
              <w:rPr>
                <w:rFonts w:hint="default" w:ascii="Times New Roman" w:hAnsi="Times New Roman" w:eastAsia="仿宋" w:cs="Times New Roman"/>
                <w:kern w:val="0"/>
                <w:sz w:val="21"/>
                <w:szCs w:val="21"/>
              </w:rPr>
              <w:t>福懋兴业</w:t>
            </w:r>
          </w:p>
        </w:tc>
      </w:tr>
      <w:bookmarkEnd w:id="114"/>
    </w:tbl>
    <w:p/>
    <w:sectPr>
      <w:headerReference r:id="rId8" w:type="default"/>
      <w:footerReference r:id="rId9"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Gulim">
    <w:panose1 w:val="020B0600000101010101"/>
    <w:charset w:val="81"/>
    <w:family w:val="swiss"/>
    <w:pitch w:val="default"/>
    <w:sig w:usb0="B00002AF" w:usb1="69D77CFB" w:usb2="00000030" w:usb3="00000000" w:csb0="4008009F" w:csb1="DFD7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72" w:after="7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7</w:t>
    </w:r>
    <w:r>
      <w:rPr>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0"/>
      </w:pBdr>
      <w:ind w:firstLine="0" w:firstLine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 xml:space="preserve">中山市绿色建筑发展专项规划（2022-2035）                                     文本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spacing w:before="72" w:after="7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0"/>
      </w:pBdr>
      <w:ind w:firstLine="0" w:firstLine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 xml:space="preserve">中山市绿色建筑发展专项规划（2022-2035）                                    文本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pPr>
        <w:tabs>
          <w:tab w:val="left" w:pos="0"/>
        </w:tabs>
        <w:ind w:left="0" w:firstLine="170"/>
      </w:pPr>
      <w:rPr>
        <w:rFonts w:hint="default" w:ascii="宋体" w:hAnsi="宋体" w:eastAsia="宋体" w:cs="宋体"/>
      </w:rPr>
    </w:lvl>
  </w:abstractNum>
  <w:abstractNum w:abstractNumId="1">
    <w:nsid w:val="00000001"/>
    <w:multiLevelType w:val="multilevel"/>
    <w:tmpl w:val="00000001"/>
    <w:lvl w:ilvl="0" w:tentative="0">
      <w:start w:val="1"/>
      <w:numFmt w:val="decimal"/>
      <w:pStyle w:val="283"/>
      <w:lvlText w:val="%1"/>
      <w:lvlJc w:val="left"/>
      <w:pPr>
        <w:tabs>
          <w:tab w:val="left" w:pos="432"/>
        </w:tabs>
        <w:ind w:left="432" w:hanging="432"/>
      </w:pPr>
      <w:rPr>
        <w:rFonts w:hint="eastAsia"/>
      </w:rPr>
    </w:lvl>
    <w:lvl w:ilvl="1" w:tentative="0">
      <w:start w:val="1"/>
      <w:numFmt w:val="decimal"/>
      <w:suff w:val="space"/>
      <w:lvlText w:val="%1.%2"/>
      <w:lvlJc w:val="left"/>
      <w:pPr>
        <w:ind w:left="4122" w:hanging="576"/>
      </w:pPr>
      <w:rPr>
        <w:rFonts w:hint="eastAsia"/>
      </w:rPr>
    </w:lvl>
    <w:lvl w:ilvl="2" w:tentative="0">
      <w:start w:val="1"/>
      <w:numFmt w:val="decimal"/>
      <w:suff w:val="space"/>
      <w:lvlText w:val="%1.%2.%3"/>
      <w:lvlJc w:val="left"/>
      <w:pPr>
        <w:ind w:left="720" w:hanging="720"/>
      </w:pPr>
      <w:rPr>
        <w:rFonts w:hint="eastAsia"/>
      </w:rPr>
    </w:lvl>
    <w:lvl w:ilvl="3" w:tentative="0">
      <w:start w:val="1"/>
      <w:numFmt w:val="decimal"/>
      <w:suff w:val="space"/>
      <w:lvlText w:val="%1.%2.%3.%4"/>
      <w:lvlJc w:val="left"/>
      <w:pPr>
        <w:ind w:left="864" w:hanging="864"/>
      </w:pPr>
      <w:rPr>
        <w:rFonts w:hint="eastAsia"/>
      </w:rPr>
    </w:lvl>
    <w:lvl w:ilvl="4" w:tentative="0">
      <w:start w:val="1"/>
      <w:numFmt w:val="decimal"/>
      <w:lvlText w:val="%1.%2.%3.%4.%5"/>
      <w:lvlJc w:val="left"/>
      <w:pPr>
        <w:tabs>
          <w:tab w:val="left" w:pos="1080"/>
        </w:tabs>
        <w:ind w:left="1008" w:hanging="1008"/>
      </w:pPr>
      <w:rPr>
        <w:rFonts w:hint="eastAsia"/>
      </w:rPr>
    </w:lvl>
    <w:lvl w:ilvl="5" w:tentative="0">
      <w:start w:val="1"/>
      <w:numFmt w:val="decimal"/>
      <w:lvlText w:val="%1.%2.%3.%4.%5.%6"/>
      <w:lvlJc w:val="left"/>
      <w:pPr>
        <w:tabs>
          <w:tab w:val="left" w:pos="1800"/>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pStyle w:val="281"/>
      <w:suff w:val="space"/>
      <w:lvlText w:val="表%1.%9"/>
      <w:lvlJc w:val="left"/>
      <w:pPr>
        <w:ind w:left="6903"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trackRevisions w:val="1"/>
  <w:documentProtection w:enforcement="0"/>
  <w:defaultTabStop w:val="420"/>
  <w:drawingGridHorizontalSpacing w:val="107"/>
  <w:drawingGridVerticalSpacing w:val="156"/>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1NTU5Nzk5ZmYzMDhiNWJmODE4ZGY2NDM0NjdlZjQifQ=="/>
  </w:docVars>
  <w:rsids>
    <w:rsidRoot w:val="00000000"/>
    <w:rsid w:val="1FDFB5B0"/>
    <w:rsid w:val="2FB3082A"/>
    <w:rsid w:val="38264E59"/>
    <w:rsid w:val="4BF3409D"/>
    <w:rsid w:val="4E147215"/>
    <w:rsid w:val="52A53668"/>
    <w:rsid w:val="72E37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4">
    <w:name w:val="heading 1"/>
    <w:basedOn w:val="1"/>
    <w:next w:val="1"/>
    <w:link w:val="55"/>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56"/>
    <w:qFormat/>
    <w:uiPriority w:val="9"/>
    <w:pPr>
      <w:keepNext/>
      <w:keepLines/>
      <w:spacing w:before="260" w:after="260" w:line="416" w:lineRule="auto"/>
      <w:outlineLvl w:val="1"/>
    </w:pPr>
    <w:rPr>
      <w:rFonts w:ascii="Cambria" w:hAnsi="Cambria" w:eastAsia="宋体" w:cs="宋体"/>
      <w:b/>
      <w:bCs/>
      <w:sz w:val="32"/>
      <w:szCs w:val="32"/>
    </w:rPr>
  </w:style>
  <w:style w:type="paragraph" w:styleId="6">
    <w:name w:val="heading 3"/>
    <w:basedOn w:val="1"/>
    <w:next w:val="1"/>
    <w:link w:val="57"/>
    <w:qFormat/>
    <w:uiPriority w:val="9"/>
    <w:pPr>
      <w:keepNext/>
      <w:keepLines/>
      <w:spacing w:before="260" w:after="260" w:line="416" w:lineRule="auto"/>
      <w:outlineLvl w:val="2"/>
    </w:pPr>
    <w:rPr>
      <w:b/>
      <w:bCs/>
      <w:sz w:val="32"/>
      <w:szCs w:val="32"/>
    </w:rPr>
  </w:style>
  <w:style w:type="paragraph" w:styleId="7">
    <w:name w:val="heading 4"/>
    <w:basedOn w:val="1"/>
    <w:next w:val="1"/>
    <w:link w:val="58"/>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8">
    <w:name w:val="heading 5"/>
    <w:basedOn w:val="1"/>
    <w:next w:val="1"/>
    <w:link w:val="59"/>
    <w:qFormat/>
    <w:uiPriority w:val="9"/>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60"/>
    <w:qFormat/>
    <w:uiPriority w:val="9"/>
    <w:pPr>
      <w:keepNext/>
      <w:keepLines/>
      <w:spacing w:before="240" w:after="64" w:line="320" w:lineRule="auto"/>
      <w:outlineLvl w:val="5"/>
    </w:pPr>
    <w:rPr>
      <w:rFonts w:ascii="Cambria" w:hAnsi="Cambria" w:eastAsia="宋体" w:cs="Times New Roman"/>
      <w:b/>
      <w:bCs/>
      <w:sz w:val="24"/>
      <w:szCs w:val="24"/>
    </w:rPr>
  </w:style>
  <w:style w:type="paragraph" w:styleId="10">
    <w:name w:val="heading 7"/>
    <w:basedOn w:val="1"/>
    <w:next w:val="1"/>
    <w:link w:val="61"/>
    <w:qFormat/>
    <w:uiPriority w:val="0"/>
    <w:pPr>
      <w:keepNext/>
      <w:keepLines/>
      <w:widowControl/>
      <w:adjustRightInd w:val="0"/>
      <w:snapToGrid w:val="0"/>
      <w:spacing w:beforeLines="50" w:afterLines="30" w:line="320" w:lineRule="auto"/>
      <w:ind w:firstLine="200" w:firstLineChars="200"/>
      <w:outlineLvl w:val="6"/>
    </w:pPr>
    <w:rPr>
      <w:rFonts w:ascii="Times New Roman" w:hAnsi="Times New Roman" w:eastAsia="宋体" w:cs="Times New Roman"/>
      <w:b/>
      <w:bCs/>
      <w:kern w:val="0"/>
      <w:sz w:val="24"/>
      <w:szCs w:val="24"/>
    </w:rPr>
  </w:style>
  <w:style w:type="paragraph" w:styleId="11">
    <w:name w:val="heading 8"/>
    <w:basedOn w:val="1"/>
    <w:next w:val="1"/>
    <w:link w:val="62"/>
    <w:qFormat/>
    <w:uiPriority w:val="0"/>
    <w:pPr>
      <w:keepNext/>
      <w:keepLines/>
      <w:widowControl/>
      <w:adjustRightInd w:val="0"/>
      <w:snapToGrid w:val="0"/>
      <w:spacing w:beforeLines="50" w:afterLines="30" w:line="320" w:lineRule="auto"/>
      <w:ind w:firstLine="200" w:firstLineChars="200"/>
      <w:outlineLvl w:val="7"/>
    </w:pPr>
    <w:rPr>
      <w:rFonts w:ascii="Arial" w:hAnsi="Arial" w:eastAsia="黑体" w:cs="Times New Roman"/>
      <w:kern w:val="0"/>
      <w:sz w:val="24"/>
      <w:szCs w:val="24"/>
    </w:rPr>
  </w:style>
  <w:style w:type="paragraph" w:styleId="12">
    <w:name w:val="heading 9"/>
    <w:basedOn w:val="1"/>
    <w:next w:val="1"/>
    <w:link w:val="63"/>
    <w:qFormat/>
    <w:uiPriority w:val="0"/>
    <w:pPr>
      <w:keepNext/>
      <w:keepLines/>
      <w:widowControl/>
      <w:adjustRightInd w:val="0"/>
      <w:snapToGrid w:val="0"/>
      <w:spacing w:beforeLines="50" w:afterLines="30" w:line="320" w:lineRule="auto"/>
      <w:ind w:firstLine="200" w:firstLineChars="200"/>
      <w:outlineLvl w:val="8"/>
    </w:pPr>
    <w:rPr>
      <w:rFonts w:ascii="Arial" w:hAnsi="Arial" w:eastAsia="黑体" w:cs="Times New Roman"/>
      <w:kern w:val="0"/>
      <w:sz w:val="20"/>
      <w:szCs w:val="21"/>
    </w:rPr>
  </w:style>
  <w:style w:type="character" w:default="1" w:styleId="45">
    <w:name w:val="Default Paragraph Font"/>
    <w:qFormat/>
    <w:uiPriority w:val="1"/>
  </w:style>
  <w:style w:type="table" w:default="1" w:styleId="43">
    <w:name w:val="Normal Table"/>
    <w:qFormat/>
    <w:uiPriority w:val="99"/>
    <w:tblPr>
      <w:tblCellMar>
        <w:top w:w="0" w:type="dxa"/>
        <w:left w:w="108" w:type="dxa"/>
        <w:bottom w:w="0" w:type="dxa"/>
        <w:right w:w="108" w:type="dxa"/>
      </w:tblCellMar>
    </w:tblPr>
  </w:style>
  <w:style w:type="paragraph" w:styleId="2">
    <w:name w:val="Body Text"/>
    <w:basedOn w:val="1"/>
    <w:next w:val="3"/>
    <w:link w:val="150"/>
    <w:qFormat/>
    <w:uiPriority w:val="0"/>
    <w:pPr>
      <w:widowControl/>
      <w:adjustRightInd w:val="0"/>
      <w:snapToGrid w:val="0"/>
      <w:spacing w:beforeLines="50" w:afterLines="30" w:line="312" w:lineRule="auto"/>
      <w:ind w:firstLine="200" w:firstLineChars="200"/>
    </w:pPr>
    <w:rPr>
      <w:rFonts w:ascii="Calibri" w:hAnsi="Calibri" w:eastAsia="宋体" w:cs="Times New Roman"/>
      <w:kern w:val="0"/>
      <w:sz w:val="20"/>
      <w:szCs w:val="21"/>
    </w:rPr>
  </w:style>
  <w:style w:type="paragraph" w:styleId="3">
    <w:name w:val="toc 5"/>
    <w:basedOn w:val="1"/>
    <w:next w:val="1"/>
    <w:qFormat/>
    <w:uiPriority w:val="39"/>
    <w:pPr>
      <w:jc w:val="left"/>
    </w:pPr>
    <w:rPr>
      <w:rFonts w:cs="Calibri"/>
      <w:sz w:val="22"/>
    </w:rPr>
  </w:style>
  <w:style w:type="paragraph" w:styleId="13">
    <w:name w:val="toc 7"/>
    <w:basedOn w:val="1"/>
    <w:next w:val="1"/>
    <w:qFormat/>
    <w:uiPriority w:val="39"/>
    <w:pPr>
      <w:jc w:val="left"/>
    </w:pPr>
    <w:rPr>
      <w:rFonts w:cs="Calibri"/>
      <w:sz w:val="22"/>
    </w:rPr>
  </w:style>
  <w:style w:type="paragraph" w:styleId="14">
    <w:name w:val="Note Heading"/>
    <w:basedOn w:val="1"/>
    <w:next w:val="1"/>
    <w:link w:val="146"/>
    <w:qFormat/>
    <w:uiPriority w:val="0"/>
    <w:pPr>
      <w:widowControl/>
      <w:adjustRightInd w:val="0"/>
      <w:snapToGrid w:val="0"/>
      <w:spacing w:beforeLines="50" w:afterLines="30" w:line="312" w:lineRule="auto"/>
      <w:ind w:firstLine="200" w:firstLineChars="200"/>
      <w:jc w:val="center"/>
    </w:pPr>
    <w:rPr>
      <w:rFonts w:ascii="Times New Roman" w:hAnsi="Times New Roman"/>
      <w:sz w:val="24"/>
      <w:szCs w:val="24"/>
    </w:rPr>
  </w:style>
  <w:style w:type="paragraph" w:styleId="15">
    <w:name w:val="Normal Indent"/>
    <w:basedOn w:val="1"/>
    <w:next w:val="1"/>
    <w:qFormat/>
    <w:uiPriority w:val="0"/>
    <w:pPr>
      <w:widowControl/>
      <w:adjustRightInd w:val="0"/>
      <w:snapToGrid w:val="0"/>
      <w:spacing w:beforeLines="50" w:afterLines="30" w:line="300" w:lineRule="auto"/>
      <w:ind w:firstLine="454" w:firstLineChars="200"/>
    </w:pPr>
    <w:rPr>
      <w:rFonts w:ascii="Times New Roman" w:hAnsi="Times New Roman" w:eastAsia="宋体" w:cs="Times New Roman"/>
      <w:sz w:val="24"/>
      <w:szCs w:val="20"/>
    </w:rPr>
  </w:style>
  <w:style w:type="paragraph" w:styleId="16">
    <w:name w:val="caption"/>
    <w:basedOn w:val="1"/>
    <w:next w:val="1"/>
    <w:link w:val="123"/>
    <w:qFormat/>
    <w:uiPriority w:val="35"/>
    <w:pPr>
      <w:keepNext/>
      <w:widowControl/>
      <w:adjustRightInd w:val="0"/>
      <w:snapToGrid w:val="0"/>
      <w:spacing w:beforeLines="50" w:afterLines="30" w:line="312" w:lineRule="auto"/>
      <w:ind w:firstLine="200" w:firstLineChars="200"/>
      <w:jc w:val="center"/>
    </w:pPr>
    <w:rPr>
      <w:rFonts w:ascii="Times New Roman" w:hAnsi="Times New Roman" w:eastAsia="宋体" w:cs="Times New Roman"/>
      <w:b/>
      <w:kern w:val="0"/>
      <w:sz w:val="20"/>
      <w:szCs w:val="20"/>
    </w:rPr>
  </w:style>
  <w:style w:type="paragraph" w:styleId="17">
    <w:name w:val="Document Map"/>
    <w:basedOn w:val="1"/>
    <w:link w:val="65"/>
    <w:qFormat/>
    <w:uiPriority w:val="99"/>
    <w:rPr>
      <w:rFonts w:ascii="宋体" w:eastAsia="宋体"/>
      <w:sz w:val="18"/>
      <w:szCs w:val="18"/>
    </w:rPr>
  </w:style>
  <w:style w:type="paragraph" w:styleId="18">
    <w:name w:val="annotation text"/>
    <w:basedOn w:val="1"/>
    <w:link w:val="70"/>
    <w:qFormat/>
    <w:uiPriority w:val="99"/>
    <w:pPr>
      <w:snapToGrid w:val="0"/>
      <w:spacing w:line="312" w:lineRule="auto"/>
      <w:jc w:val="center"/>
    </w:pPr>
    <w:rPr>
      <w:rFonts w:ascii="Times New Roman" w:hAnsi="Times New Roman"/>
      <w:szCs w:val="21"/>
    </w:rPr>
  </w:style>
  <w:style w:type="paragraph" w:styleId="19">
    <w:name w:val="Body Text Indent"/>
    <w:basedOn w:val="1"/>
    <w:link w:val="115"/>
    <w:qFormat/>
    <w:uiPriority w:val="0"/>
    <w:pPr>
      <w:widowControl/>
      <w:adjustRightInd w:val="0"/>
      <w:snapToGrid w:val="0"/>
      <w:spacing w:beforeLines="50" w:afterLines="30" w:line="312" w:lineRule="auto"/>
      <w:ind w:left="420" w:leftChars="200" w:firstLine="200" w:firstLineChars="200"/>
    </w:pPr>
    <w:rPr>
      <w:rFonts w:ascii="Times New Roman" w:hAnsi="Times New Roman"/>
      <w:szCs w:val="24"/>
    </w:rPr>
  </w:style>
  <w:style w:type="paragraph" w:styleId="20">
    <w:name w:val="toc 3"/>
    <w:basedOn w:val="1"/>
    <w:next w:val="1"/>
    <w:qFormat/>
    <w:uiPriority w:val="39"/>
    <w:pPr>
      <w:jc w:val="left"/>
    </w:pPr>
    <w:rPr>
      <w:rFonts w:cs="Calibri"/>
      <w:smallCaps/>
      <w:sz w:val="22"/>
    </w:rPr>
  </w:style>
  <w:style w:type="paragraph" w:styleId="21">
    <w:name w:val="Plain Text"/>
    <w:basedOn w:val="1"/>
    <w:link w:val="99"/>
    <w:qFormat/>
    <w:uiPriority w:val="0"/>
    <w:pPr>
      <w:widowControl/>
      <w:adjustRightInd w:val="0"/>
      <w:snapToGrid w:val="0"/>
      <w:spacing w:beforeLines="50" w:afterLines="30" w:line="312" w:lineRule="auto"/>
      <w:ind w:firstLine="200" w:firstLineChars="200"/>
    </w:pPr>
    <w:rPr>
      <w:rFonts w:ascii="宋体" w:hAnsi="Courier New" w:cs="Courier New"/>
      <w:szCs w:val="21"/>
    </w:rPr>
  </w:style>
  <w:style w:type="paragraph" w:styleId="22">
    <w:name w:val="toc 8"/>
    <w:basedOn w:val="1"/>
    <w:next w:val="1"/>
    <w:qFormat/>
    <w:uiPriority w:val="39"/>
    <w:pPr>
      <w:jc w:val="left"/>
    </w:pPr>
    <w:rPr>
      <w:rFonts w:cs="Calibri"/>
      <w:sz w:val="22"/>
    </w:rPr>
  </w:style>
  <w:style w:type="paragraph" w:styleId="23">
    <w:name w:val="Date"/>
    <w:basedOn w:val="1"/>
    <w:next w:val="1"/>
    <w:link w:val="69"/>
    <w:qFormat/>
    <w:uiPriority w:val="0"/>
    <w:pPr>
      <w:ind w:left="100" w:leftChars="2500"/>
    </w:pPr>
  </w:style>
  <w:style w:type="paragraph" w:styleId="24">
    <w:name w:val="endnote text"/>
    <w:basedOn w:val="1"/>
    <w:link w:val="183"/>
    <w:qFormat/>
    <w:uiPriority w:val="99"/>
    <w:pPr>
      <w:widowControl/>
      <w:adjustRightInd w:val="0"/>
      <w:snapToGrid w:val="0"/>
      <w:spacing w:beforeLines="50" w:afterLines="30" w:line="312" w:lineRule="auto"/>
      <w:ind w:firstLine="200" w:firstLineChars="200"/>
      <w:jc w:val="left"/>
    </w:pPr>
    <w:rPr>
      <w:rFonts w:ascii="Times New Roman" w:hAnsi="Times New Roman"/>
      <w:sz w:val="24"/>
      <w:szCs w:val="24"/>
    </w:rPr>
  </w:style>
  <w:style w:type="paragraph" w:styleId="25">
    <w:name w:val="Balloon Text"/>
    <w:basedOn w:val="1"/>
    <w:link w:val="68"/>
    <w:qFormat/>
    <w:uiPriority w:val="99"/>
    <w:rPr>
      <w:sz w:val="18"/>
      <w:szCs w:val="18"/>
    </w:rPr>
  </w:style>
  <w:style w:type="paragraph" w:styleId="26">
    <w:name w:val="footer"/>
    <w:basedOn w:val="1"/>
    <w:link w:val="67"/>
    <w:qFormat/>
    <w:uiPriority w:val="99"/>
    <w:pPr>
      <w:tabs>
        <w:tab w:val="center" w:pos="4153"/>
        <w:tab w:val="right" w:pos="8306"/>
      </w:tabs>
      <w:snapToGrid w:val="0"/>
      <w:jc w:val="left"/>
    </w:pPr>
    <w:rPr>
      <w:sz w:val="18"/>
      <w:szCs w:val="18"/>
    </w:rPr>
  </w:style>
  <w:style w:type="paragraph" w:styleId="27">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pos="10244"/>
      </w:tabs>
      <w:jc w:val="left"/>
    </w:pPr>
    <w:rPr>
      <w:rFonts w:eastAsia="黑体" w:cs="Calibri"/>
      <w:b/>
      <w:bCs/>
      <w:caps/>
      <w:sz w:val="36"/>
      <w:u w:val="single"/>
    </w:rPr>
  </w:style>
  <w:style w:type="paragraph" w:styleId="29">
    <w:name w:val="toc 4"/>
    <w:basedOn w:val="1"/>
    <w:next w:val="1"/>
    <w:qFormat/>
    <w:uiPriority w:val="39"/>
    <w:pPr>
      <w:jc w:val="left"/>
    </w:pPr>
    <w:rPr>
      <w:rFonts w:cs="Calibri"/>
      <w:sz w:val="22"/>
    </w:rPr>
  </w:style>
  <w:style w:type="paragraph" w:styleId="30">
    <w:name w:val="Subtitle"/>
    <w:basedOn w:val="1"/>
    <w:link w:val="125"/>
    <w:qFormat/>
    <w:uiPriority w:val="0"/>
    <w:pPr>
      <w:widowControl/>
      <w:adjustRightInd w:val="0"/>
      <w:snapToGrid w:val="0"/>
      <w:spacing w:beforeLines="50" w:afterLines="30" w:line="312" w:lineRule="auto"/>
      <w:ind w:firstLine="200" w:firstLineChars="200"/>
      <w:jc w:val="center"/>
      <w:outlineLvl w:val="1"/>
    </w:pPr>
    <w:rPr>
      <w:rFonts w:ascii="Arial" w:hAnsi="Arial"/>
      <w:b/>
      <w:bCs/>
      <w:kern w:val="28"/>
      <w:sz w:val="32"/>
      <w:szCs w:val="32"/>
    </w:rPr>
  </w:style>
  <w:style w:type="paragraph" w:styleId="31">
    <w:name w:val="List"/>
    <w:basedOn w:val="1"/>
    <w:link w:val="144"/>
    <w:qFormat/>
    <w:uiPriority w:val="99"/>
    <w:pPr>
      <w:widowControl/>
      <w:adjustRightInd w:val="0"/>
      <w:snapToGrid w:val="0"/>
      <w:spacing w:beforeLines="50" w:afterLines="30" w:line="360" w:lineRule="auto"/>
      <w:ind w:firstLine="200" w:firstLineChars="200"/>
      <w:jc w:val="center"/>
    </w:pPr>
    <w:rPr>
      <w:rFonts w:ascii="Times New Roman" w:hAnsi="Times New Roman"/>
      <w:b/>
      <w:szCs w:val="24"/>
    </w:rPr>
  </w:style>
  <w:style w:type="paragraph" w:styleId="32">
    <w:name w:val="footnote text"/>
    <w:basedOn w:val="1"/>
    <w:link w:val="164"/>
    <w:qFormat/>
    <w:uiPriority w:val="0"/>
    <w:pPr>
      <w:widowControl/>
      <w:adjustRightInd w:val="0"/>
      <w:snapToGrid w:val="0"/>
      <w:spacing w:beforeLines="50" w:afterLines="30" w:line="360" w:lineRule="auto"/>
      <w:ind w:firstLine="640" w:firstLineChars="200"/>
      <w:jc w:val="left"/>
    </w:pPr>
    <w:rPr>
      <w:rFonts w:ascii="Times New Roman" w:hAnsi="Times New Roman"/>
      <w:sz w:val="18"/>
      <w:szCs w:val="24"/>
    </w:rPr>
  </w:style>
  <w:style w:type="paragraph" w:styleId="33">
    <w:name w:val="toc 6"/>
    <w:basedOn w:val="1"/>
    <w:next w:val="1"/>
    <w:qFormat/>
    <w:uiPriority w:val="39"/>
    <w:pPr>
      <w:jc w:val="left"/>
    </w:pPr>
    <w:rPr>
      <w:rFonts w:cs="Calibri"/>
      <w:sz w:val="22"/>
    </w:rPr>
  </w:style>
  <w:style w:type="paragraph" w:styleId="34">
    <w:name w:val="Body Text Indent 3"/>
    <w:basedOn w:val="1"/>
    <w:link w:val="158"/>
    <w:qFormat/>
    <w:uiPriority w:val="0"/>
    <w:pPr>
      <w:widowControl/>
      <w:adjustRightInd w:val="0"/>
      <w:snapToGrid w:val="0"/>
      <w:spacing w:beforeLines="50" w:afterLines="30" w:line="312" w:lineRule="auto"/>
      <w:ind w:left="420" w:leftChars="200" w:firstLine="200" w:firstLineChars="200"/>
    </w:pPr>
    <w:rPr>
      <w:sz w:val="16"/>
      <w:szCs w:val="16"/>
    </w:rPr>
  </w:style>
  <w:style w:type="paragraph" w:styleId="35">
    <w:name w:val="table of figures"/>
    <w:basedOn w:val="1"/>
    <w:next w:val="1"/>
    <w:qFormat/>
    <w:uiPriority w:val="99"/>
    <w:pPr>
      <w:widowControl/>
      <w:adjustRightInd w:val="0"/>
      <w:snapToGrid w:val="0"/>
      <w:spacing w:beforeLines="50" w:afterLines="30" w:line="300" w:lineRule="auto"/>
      <w:ind w:left="200" w:leftChars="200" w:hanging="200" w:hangingChars="200"/>
    </w:pPr>
    <w:rPr>
      <w:rFonts w:ascii="Calibri" w:hAnsi="Calibri" w:eastAsia="宋体" w:cs="黑体"/>
      <w:sz w:val="24"/>
      <w:szCs w:val="21"/>
    </w:rPr>
  </w:style>
  <w:style w:type="paragraph" w:styleId="36">
    <w:name w:val="toc 2"/>
    <w:basedOn w:val="1"/>
    <w:next w:val="1"/>
    <w:qFormat/>
    <w:uiPriority w:val="39"/>
    <w:pPr>
      <w:jc w:val="left"/>
    </w:pPr>
    <w:rPr>
      <w:rFonts w:eastAsia="仿宋" w:cs="Calibri"/>
      <w:b/>
      <w:bCs/>
      <w:smallCaps/>
      <w:sz w:val="30"/>
    </w:rPr>
  </w:style>
  <w:style w:type="paragraph" w:styleId="37">
    <w:name w:val="toc 9"/>
    <w:basedOn w:val="1"/>
    <w:next w:val="1"/>
    <w:qFormat/>
    <w:uiPriority w:val="39"/>
    <w:pPr>
      <w:jc w:val="left"/>
    </w:pPr>
    <w:rPr>
      <w:rFonts w:cs="Calibri"/>
      <w:sz w:val="22"/>
    </w:rPr>
  </w:style>
  <w:style w:type="paragraph" w:styleId="38">
    <w:name w:val="HTML Preformatted"/>
    <w:basedOn w:val="1"/>
    <w:link w:val="14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afterLines="30" w:line="312" w:lineRule="auto"/>
      <w:ind w:firstLine="200" w:firstLineChars="200"/>
      <w:jc w:val="left"/>
    </w:pPr>
    <w:rPr>
      <w:rFonts w:ascii="宋体" w:hAnsi="宋体"/>
      <w:sz w:val="24"/>
      <w:szCs w:val="24"/>
    </w:rPr>
  </w:style>
  <w:style w:type="paragraph" w:styleId="3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40">
    <w:name w:val="Title"/>
    <w:basedOn w:val="1"/>
    <w:next w:val="1"/>
    <w:link w:val="91"/>
    <w:qFormat/>
    <w:uiPriority w:val="0"/>
    <w:pPr>
      <w:widowControl/>
      <w:adjustRightInd w:val="0"/>
      <w:snapToGrid w:val="0"/>
      <w:spacing w:beforeLines="50" w:afterLines="30" w:line="312" w:lineRule="auto"/>
      <w:ind w:firstLine="200" w:firstLineChars="200"/>
      <w:jc w:val="center"/>
      <w:outlineLvl w:val="0"/>
    </w:pPr>
    <w:rPr>
      <w:rFonts w:ascii="Cambria" w:hAnsi="Cambria" w:cs="Times New Roman"/>
      <w:b/>
      <w:bCs/>
      <w:sz w:val="32"/>
      <w:szCs w:val="32"/>
    </w:rPr>
  </w:style>
  <w:style w:type="paragraph" w:styleId="41">
    <w:name w:val="annotation subject"/>
    <w:basedOn w:val="18"/>
    <w:next w:val="18"/>
    <w:link w:val="94"/>
    <w:qFormat/>
    <w:uiPriority w:val="0"/>
    <w:pPr>
      <w:widowControl/>
      <w:adjustRightInd w:val="0"/>
      <w:spacing w:beforeLines="50" w:afterLines="30"/>
      <w:ind w:firstLine="200" w:firstLineChars="200"/>
      <w:jc w:val="left"/>
    </w:pPr>
    <w:rPr>
      <w:rFonts w:ascii="Calibri" w:hAnsi="Calibri" w:eastAsia="宋体" w:cs="Times New Roman"/>
      <w:b/>
      <w:bCs/>
      <w:szCs w:val="22"/>
    </w:rPr>
  </w:style>
  <w:style w:type="paragraph" w:styleId="42">
    <w:name w:val="Body Text First Indent"/>
    <w:basedOn w:val="1"/>
    <w:link w:val="148"/>
    <w:qFormat/>
    <w:uiPriority w:val="0"/>
    <w:pPr>
      <w:widowControl/>
      <w:adjustRightInd w:val="0"/>
      <w:snapToGrid w:val="0"/>
      <w:spacing w:beforeLines="50" w:afterLines="30" w:line="312" w:lineRule="auto"/>
      <w:ind w:firstLine="480" w:firstLineChars="200"/>
    </w:pPr>
    <w:rPr>
      <w:rFonts w:ascii="Times New Roman" w:hAnsi="Times New Roman" w:eastAsia="宋体" w:cs="Times New Roman"/>
      <w:sz w:val="24"/>
      <w:szCs w:val="24"/>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22"/>
    <w:rPr>
      <w:b/>
      <w:bCs/>
    </w:rPr>
  </w:style>
  <w:style w:type="character" w:styleId="47">
    <w:name w:val="endnote reference"/>
    <w:qFormat/>
    <w:uiPriority w:val="0"/>
    <w:rPr>
      <w:vertAlign w:val="superscript"/>
    </w:rPr>
  </w:style>
  <w:style w:type="character" w:styleId="48">
    <w:name w:val="page number"/>
    <w:basedOn w:val="45"/>
    <w:qFormat/>
    <w:uiPriority w:val="0"/>
  </w:style>
  <w:style w:type="character" w:styleId="49">
    <w:name w:val="FollowedHyperlink"/>
    <w:qFormat/>
    <w:uiPriority w:val="99"/>
    <w:rPr>
      <w:color w:val="800080"/>
      <w:u w:val="single"/>
    </w:rPr>
  </w:style>
  <w:style w:type="character" w:styleId="50">
    <w:name w:val="Emphasis"/>
    <w:qFormat/>
    <w:uiPriority w:val="20"/>
    <w:rPr>
      <w:color w:val="CC0000"/>
    </w:rPr>
  </w:style>
  <w:style w:type="character" w:styleId="51">
    <w:name w:val="Hyperlink"/>
    <w:basedOn w:val="45"/>
    <w:qFormat/>
    <w:uiPriority w:val="99"/>
    <w:rPr>
      <w:color w:val="0000FF"/>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paragraph" w:customStyle="1" w:styleId="54">
    <w:name w:val="表格文字"/>
    <w:basedOn w:val="1"/>
    <w:next w:val="1"/>
    <w:qFormat/>
    <w:uiPriority w:val="0"/>
    <w:pPr>
      <w:widowControl/>
      <w:adjustRightInd w:val="0"/>
      <w:snapToGrid w:val="0"/>
      <w:spacing w:beforeLines="50" w:afterLines="30" w:line="312" w:lineRule="auto"/>
      <w:ind w:firstLine="200" w:firstLineChars="200"/>
      <w:jc w:val="center"/>
    </w:pPr>
    <w:rPr>
      <w:rFonts w:ascii="Times New Roman" w:hAnsi="Times New Roman" w:eastAsia="宋体" w:cs="Times New Roman"/>
      <w:sz w:val="24"/>
      <w:szCs w:val="21"/>
    </w:rPr>
  </w:style>
  <w:style w:type="character" w:customStyle="1" w:styleId="55">
    <w:name w:val="标题 1 字符"/>
    <w:basedOn w:val="45"/>
    <w:link w:val="4"/>
    <w:qFormat/>
    <w:uiPriority w:val="9"/>
    <w:rPr>
      <w:b/>
      <w:bCs/>
      <w:kern w:val="44"/>
      <w:sz w:val="44"/>
      <w:szCs w:val="44"/>
    </w:rPr>
  </w:style>
  <w:style w:type="character" w:customStyle="1" w:styleId="56">
    <w:name w:val="标题 2 字符"/>
    <w:basedOn w:val="45"/>
    <w:link w:val="5"/>
    <w:qFormat/>
    <w:uiPriority w:val="9"/>
    <w:rPr>
      <w:rFonts w:ascii="Cambria" w:hAnsi="Cambria" w:eastAsia="宋体" w:cs="宋体"/>
      <w:b/>
      <w:bCs/>
      <w:sz w:val="32"/>
      <w:szCs w:val="32"/>
    </w:rPr>
  </w:style>
  <w:style w:type="character" w:customStyle="1" w:styleId="57">
    <w:name w:val="标题 3 字符"/>
    <w:basedOn w:val="45"/>
    <w:link w:val="6"/>
    <w:qFormat/>
    <w:uiPriority w:val="9"/>
    <w:rPr>
      <w:b/>
      <w:bCs/>
      <w:sz w:val="32"/>
      <w:szCs w:val="32"/>
    </w:rPr>
  </w:style>
  <w:style w:type="character" w:customStyle="1" w:styleId="58">
    <w:name w:val="标题 4 字符1"/>
    <w:basedOn w:val="45"/>
    <w:link w:val="7"/>
    <w:qFormat/>
    <w:uiPriority w:val="0"/>
    <w:rPr>
      <w:rFonts w:ascii="Cambria" w:hAnsi="Cambria" w:eastAsia="宋体" w:cs="Times New Roman"/>
      <w:b/>
      <w:bCs/>
      <w:sz w:val="28"/>
      <w:szCs w:val="28"/>
    </w:rPr>
  </w:style>
  <w:style w:type="character" w:customStyle="1" w:styleId="59">
    <w:name w:val="标题 5 字符1"/>
    <w:basedOn w:val="45"/>
    <w:link w:val="8"/>
    <w:qFormat/>
    <w:uiPriority w:val="9"/>
    <w:rPr>
      <w:rFonts w:ascii="Times New Roman" w:hAnsi="Times New Roman" w:eastAsia="宋体" w:cs="Times New Roman"/>
      <w:b/>
      <w:bCs/>
      <w:sz w:val="28"/>
      <w:szCs w:val="28"/>
    </w:rPr>
  </w:style>
  <w:style w:type="character" w:customStyle="1" w:styleId="60">
    <w:name w:val="标题 6 字符1"/>
    <w:basedOn w:val="45"/>
    <w:link w:val="9"/>
    <w:qFormat/>
    <w:uiPriority w:val="9"/>
    <w:rPr>
      <w:rFonts w:ascii="Cambria" w:hAnsi="Cambria" w:eastAsia="宋体" w:cs="Times New Roman"/>
      <w:b/>
      <w:bCs/>
      <w:sz w:val="24"/>
      <w:szCs w:val="24"/>
    </w:rPr>
  </w:style>
  <w:style w:type="character" w:customStyle="1" w:styleId="61">
    <w:name w:val="标题 7 字符"/>
    <w:basedOn w:val="45"/>
    <w:link w:val="10"/>
    <w:qFormat/>
    <w:uiPriority w:val="0"/>
    <w:rPr>
      <w:rFonts w:ascii="Times New Roman" w:hAnsi="Times New Roman" w:eastAsia="宋体" w:cs="Times New Roman"/>
      <w:b/>
      <w:bCs/>
      <w:kern w:val="0"/>
      <w:sz w:val="24"/>
      <w:szCs w:val="24"/>
    </w:rPr>
  </w:style>
  <w:style w:type="character" w:customStyle="1" w:styleId="62">
    <w:name w:val="标题 8 字符"/>
    <w:basedOn w:val="45"/>
    <w:link w:val="11"/>
    <w:qFormat/>
    <w:uiPriority w:val="0"/>
    <w:rPr>
      <w:rFonts w:ascii="Arial" w:hAnsi="Arial" w:eastAsia="黑体" w:cs="Times New Roman"/>
      <w:kern w:val="0"/>
      <w:sz w:val="24"/>
      <w:szCs w:val="24"/>
    </w:rPr>
  </w:style>
  <w:style w:type="character" w:customStyle="1" w:styleId="63">
    <w:name w:val="标题 9 字符"/>
    <w:basedOn w:val="45"/>
    <w:link w:val="12"/>
    <w:qFormat/>
    <w:uiPriority w:val="0"/>
    <w:rPr>
      <w:rFonts w:ascii="Arial" w:hAnsi="Arial" w:eastAsia="黑体" w:cs="Times New Roman"/>
      <w:kern w:val="0"/>
      <w:sz w:val="20"/>
      <w:szCs w:val="21"/>
    </w:rPr>
  </w:style>
  <w:style w:type="paragraph" w:styleId="64">
    <w:name w:val="List Paragraph"/>
    <w:basedOn w:val="1"/>
    <w:qFormat/>
    <w:uiPriority w:val="34"/>
    <w:pPr>
      <w:ind w:firstLine="420" w:firstLineChars="200"/>
    </w:pPr>
  </w:style>
  <w:style w:type="character" w:customStyle="1" w:styleId="65">
    <w:name w:val="文档结构图 字符"/>
    <w:basedOn w:val="45"/>
    <w:link w:val="17"/>
    <w:qFormat/>
    <w:uiPriority w:val="99"/>
    <w:rPr>
      <w:rFonts w:ascii="宋体" w:eastAsia="宋体"/>
      <w:sz w:val="18"/>
      <w:szCs w:val="18"/>
    </w:rPr>
  </w:style>
  <w:style w:type="character" w:customStyle="1" w:styleId="66">
    <w:name w:val="页眉 字符"/>
    <w:basedOn w:val="45"/>
    <w:link w:val="27"/>
    <w:qFormat/>
    <w:uiPriority w:val="99"/>
    <w:rPr>
      <w:sz w:val="18"/>
      <w:szCs w:val="18"/>
    </w:rPr>
  </w:style>
  <w:style w:type="character" w:customStyle="1" w:styleId="67">
    <w:name w:val="页脚 字符"/>
    <w:basedOn w:val="45"/>
    <w:link w:val="26"/>
    <w:qFormat/>
    <w:uiPriority w:val="99"/>
    <w:rPr>
      <w:sz w:val="18"/>
      <w:szCs w:val="18"/>
    </w:rPr>
  </w:style>
  <w:style w:type="character" w:customStyle="1" w:styleId="68">
    <w:name w:val="批注框文本 字符"/>
    <w:basedOn w:val="45"/>
    <w:link w:val="25"/>
    <w:qFormat/>
    <w:uiPriority w:val="99"/>
    <w:rPr>
      <w:sz w:val="18"/>
      <w:szCs w:val="18"/>
    </w:rPr>
  </w:style>
  <w:style w:type="character" w:customStyle="1" w:styleId="69">
    <w:name w:val="日期 字符"/>
    <w:basedOn w:val="45"/>
    <w:link w:val="23"/>
    <w:qFormat/>
    <w:uiPriority w:val="0"/>
  </w:style>
  <w:style w:type="character" w:customStyle="1" w:styleId="70">
    <w:name w:val="批注文字 字符"/>
    <w:basedOn w:val="45"/>
    <w:link w:val="18"/>
    <w:qFormat/>
    <w:uiPriority w:val="99"/>
    <w:rPr>
      <w:rFonts w:ascii="Times New Roman" w:hAnsi="Times New Roman"/>
      <w:szCs w:val="21"/>
    </w:rPr>
  </w:style>
  <w:style w:type="table" w:customStyle="1" w:styleId="71">
    <w:name w:val="样式1"/>
    <w:basedOn w:val="43"/>
    <w:qFormat/>
    <w:uiPriority w:val="99"/>
  </w:style>
  <w:style w:type="table" w:customStyle="1" w:styleId="72">
    <w:name w:val="样式2"/>
    <w:basedOn w:val="43"/>
    <w:qFormat/>
    <w:uiPriority w:val="99"/>
  </w:style>
  <w:style w:type="table" w:customStyle="1" w:styleId="73">
    <w:name w:val="样式3"/>
    <w:basedOn w:val="43"/>
    <w:qFormat/>
    <w:uiPriority w:val="99"/>
  </w:style>
  <w:style w:type="character" w:customStyle="1" w:styleId="74">
    <w:name w:val="标题 4 字符"/>
    <w:basedOn w:val="45"/>
    <w:qFormat/>
    <w:uiPriority w:val="0"/>
    <w:rPr>
      <w:rFonts w:ascii="Cambria" w:hAnsi="Cambria" w:eastAsia="宋体" w:cs="宋体"/>
      <w:b/>
      <w:bCs/>
      <w:sz w:val="28"/>
      <w:szCs w:val="28"/>
    </w:rPr>
  </w:style>
  <w:style w:type="character" w:customStyle="1" w:styleId="75">
    <w:name w:val="标题 5 字符"/>
    <w:basedOn w:val="45"/>
    <w:qFormat/>
    <w:uiPriority w:val="9"/>
    <w:rPr>
      <w:b/>
      <w:bCs/>
      <w:sz w:val="28"/>
      <w:szCs w:val="28"/>
    </w:rPr>
  </w:style>
  <w:style w:type="character" w:customStyle="1" w:styleId="76">
    <w:name w:val="标题 6 字符"/>
    <w:basedOn w:val="45"/>
    <w:qFormat/>
    <w:uiPriority w:val="9"/>
    <w:rPr>
      <w:rFonts w:ascii="Cambria" w:hAnsi="Cambria" w:eastAsia="宋体" w:cs="宋体"/>
      <w:b/>
      <w:bCs/>
      <w:sz w:val="24"/>
      <w:szCs w:val="24"/>
    </w:rPr>
  </w:style>
  <w:style w:type="character" w:customStyle="1" w:styleId="77">
    <w:name w:val="font21"/>
    <w:basedOn w:val="45"/>
    <w:qFormat/>
    <w:uiPriority w:val="0"/>
    <w:rPr>
      <w:rFonts w:hint="eastAsia" w:ascii="宋体" w:hAnsi="宋体" w:eastAsia="宋体" w:cs="宋体"/>
      <w:b/>
      <w:color w:val="000000"/>
      <w:sz w:val="21"/>
      <w:szCs w:val="21"/>
      <w:u w:val="none"/>
    </w:rPr>
  </w:style>
  <w:style w:type="character" w:customStyle="1" w:styleId="78">
    <w:name w:val="页眉 Char"/>
    <w:basedOn w:val="45"/>
    <w:qFormat/>
    <w:uiPriority w:val="99"/>
    <w:rPr>
      <w:kern w:val="2"/>
      <w:sz w:val="18"/>
      <w:szCs w:val="18"/>
    </w:rPr>
  </w:style>
  <w:style w:type="character" w:customStyle="1" w:styleId="79">
    <w:name w:val="font51"/>
    <w:basedOn w:val="45"/>
    <w:qFormat/>
    <w:uiPriority w:val="0"/>
    <w:rPr>
      <w:rFonts w:hint="default" w:ascii="Times New Roman" w:hAnsi="Times New Roman" w:cs="Times New Roman"/>
      <w:b/>
      <w:color w:val="000000"/>
      <w:sz w:val="21"/>
      <w:szCs w:val="21"/>
      <w:u w:val="none"/>
    </w:rPr>
  </w:style>
  <w:style w:type="character" w:customStyle="1" w:styleId="80">
    <w:name w:val="标题 3 Char"/>
    <w:basedOn w:val="45"/>
    <w:qFormat/>
    <w:uiPriority w:val="0"/>
    <w:rPr>
      <w:rFonts w:ascii="Calibri" w:hAnsi="Calibri" w:cs="Times New Roman"/>
      <w:b/>
      <w:bCs/>
      <w:kern w:val="2"/>
      <w:sz w:val="32"/>
      <w:szCs w:val="32"/>
    </w:rPr>
  </w:style>
  <w:style w:type="character" w:customStyle="1" w:styleId="81">
    <w:name w:val="文档结构图 Char"/>
    <w:basedOn w:val="45"/>
    <w:qFormat/>
    <w:uiPriority w:val="99"/>
    <w:rPr>
      <w:rFonts w:ascii="宋体"/>
      <w:kern w:val="2"/>
      <w:sz w:val="18"/>
      <w:szCs w:val="18"/>
    </w:rPr>
  </w:style>
  <w:style w:type="character" w:customStyle="1" w:styleId="82">
    <w:name w:val="标题 2 Char"/>
    <w:basedOn w:val="45"/>
    <w:qFormat/>
    <w:uiPriority w:val="9"/>
    <w:rPr>
      <w:rFonts w:ascii="Cambria" w:hAnsi="Cambria" w:eastAsia="宋体" w:cs="Times New Roman"/>
      <w:b/>
      <w:bCs/>
      <w:kern w:val="2"/>
      <w:sz w:val="32"/>
      <w:szCs w:val="32"/>
    </w:rPr>
  </w:style>
  <w:style w:type="character" w:customStyle="1" w:styleId="83">
    <w:name w:val="页脚 Char"/>
    <w:basedOn w:val="45"/>
    <w:qFormat/>
    <w:uiPriority w:val="99"/>
    <w:rPr>
      <w:kern w:val="2"/>
      <w:sz w:val="18"/>
      <w:szCs w:val="18"/>
    </w:rPr>
  </w:style>
  <w:style w:type="paragraph" w:customStyle="1" w:styleId="84">
    <w:name w:val="_Style 1"/>
    <w:basedOn w:val="1"/>
    <w:qFormat/>
    <w:uiPriority w:val="34"/>
    <w:pPr>
      <w:ind w:firstLine="420" w:firstLineChars="200"/>
    </w:pPr>
    <w:rPr>
      <w:rFonts w:ascii="Times New Roman" w:hAnsi="Times New Roman" w:eastAsia="宋体" w:cs="Times New Roman"/>
    </w:rPr>
  </w:style>
  <w:style w:type="paragraph" w:customStyle="1" w:styleId="85">
    <w:name w:val="Default"/>
    <w:link w:val="86"/>
    <w:qFormat/>
    <w:uiPriority w:val="0"/>
    <w:pPr>
      <w:widowControl w:val="0"/>
      <w:autoSpaceDE w:val="0"/>
      <w:autoSpaceDN w:val="0"/>
      <w:adjustRightInd w:val="0"/>
      <w:spacing w:beforeLines="50"/>
      <w:ind w:firstLine="200" w:firstLineChars="200"/>
      <w:jc w:val="both"/>
    </w:pPr>
    <w:rPr>
      <w:rFonts w:ascii="宋体" w:hAnsi="宋体" w:eastAsia="宋体" w:cs="Times New Roman"/>
      <w:color w:val="000000"/>
      <w:sz w:val="24"/>
      <w:szCs w:val="24"/>
      <w:lang w:val="en-US" w:eastAsia="zh-CN" w:bidi="ar-SA"/>
    </w:rPr>
  </w:style>
  <w:style w:type="character" w:customStyle="1" w:styleId="86">
    <w:name w:val="Default Char"/>
    <w:link w:val="85"/>
    <w:qFormat/>
    <w:uiPriority w:val="0"/>
    <w:rPr>
      <w:rFonts w:ascii="宋体" w:hAnsi="宋体" w:eastAsia="宋体" w:cs="Times New Roman"/>
      <w:color w:val="000000"/>
      <w:kern w:val="0"/>
      <w:sz w:val="24"/>
      <w:szCs w:val="24"/>
    </w:rPr>
  </w:style>
  <w:style w:type="paragraph" w:customStyle="1" w:styleId="87">
    <w:name w:val="正文5"/>
    <w:basedOn w:val="1"/>
    <w:link w:val="88"/>
    <w:qFormat/>
    <w:uiPriority w:val="0"/>
    <w:pPr>
      <w:widowControl/>
      <w:adjustRightInd w:val="0"/>
      <w:snapToGrid w:val="0"/>
      <w:spacing w:beforeLines="50" w:afterLines="50" w:line="390" w:lineRule="exact"/>
      <w:ind w:firstLine="540" w:firstLineChars="225"/>
    </w:pPr>
    <w:rPr>
      <w:rFonts w:ascii="Times New Roman" w:hAnsi="Times New Roman" w:eastAsia="宋体" w:cs="Times New Roman"/>
      <w:kern w:val="0"/>
      <w:sz w:val="24"/>
      <w:szCs w:val="24"/>
    </w:rPr>
  </w:style>
  <w:style w:type="character" w:customStyle="1" w:styleId="88">
    <w:name w:val="正文5 Char"/>
    <w:link w:val="87"/>
    <w:qFormat/>
    <w:uiPriority w:val="0"/>
    <w:rPr>
      <w:rFonts w:ascii="Times New Roman" w:hAnsi="Times New Roman" w:eastAsia="宋体" w:cs="Times New Roman"/>
      <w:kern w:val="0"/>
      <w:sz w:val="24"/>
      <w:szCs w:val="24"/>
    </w:rPr>
  </w:style>
  <w:style w:type="paragraph" w:styleId="89">
    <w:name w:val="No Spacing"/>
    <w:qFormat/>
    <w:uiPriority w:val="1"/>
    <w:pPr>
      <w:widowControl w:val="0"/>
      <w:spacing w:beforeLines="50"/>
      <w:ind w:firstLine="200" w:firstLineChars="200"/>
      <w:jc w:val="both"/>
    </w:pPr>
    <w:rPr>
      <w:rFonts w:ascii="Calibri" w:hAnsi="Calibri" w:eastAsia="宋体" w:cs="Times New Roman"/>
      <w:kern w:val="2"/>
      <w:sz w:val="21"/>
      <w:szCs w:val="22"/>
      <w:lang w:val="en-US" w:eastAsia="zh-CN" w:bidi="ar-SA"/>
    </w:rPr>
  </w:style>
  <w:style w:type="character" w:customStyle="1" w:styleId="90">
    <w:name w:val="不明显强调1"/>
    <w:qFormat/>
    <w:uiPriority w:val="19"/>
    <w:rPr>
      <w:i/>
      <w:iCs/>
      <w:color w:val="808080"/>
    </w:rPr>
  </w:style>
  <w:style w:type="character" w:customStyle="1" w:styleId="91">
    <w:name w:val="标题 字符"/>
    <w:link w:val="40"/>
    <w:qFormat/>
    <w:uiPriority w:val="0"/>
    <w:rPr>
      <w:rFonts w:ascii="Cambria" w:hAnsi="Cambria" w:cs="Times New Roman"/>
      <w:b/>
      <w:bCs/>
      <w:sz w:val="32"/>
      <w:szCs w:val="32"/>
    </w:rPr>
  </w:style>
  <w:style w:type="character" w:customStyle="1" w:styleId="92">
    <w:name w:val="标题 字符1"/>
    <w:basedOn w:val="45"/>
    <w:qFormat/>
    <w:uiPriority w:val="10"/>
    <w:rPr>
      <w:rFonts w:ascii="Cambria" w:hAnsi="Cambria" w:eastAsia="宋体" w:cs="宋体"/>
      <w:b/>
      <w:bCs/>
      <w:sz w:val="32"/>
      <w:szCs w:val="32"/>
    </w:rPr>
  </w:style>
  <w:style w:type="character" w:customStyle="1" w:styleId="93">
    <w:name w:val="标题 Char1"/>
    <w:basedOn w:val="45"/>
    <w:qFormat/>
    <w:uiPriority w:val="10"/>
    <w:rPr>
      <w:rFonts w:ascii="Cambria" w:hAnsi="Cambria" w:eastAsia="宋体" w:cs="宋体"/>
      <w:b/>
      <w:bCs/>
      <w:sz w:val="32"/>
      <w:szCs w:val="32"/>
    </w:rPr>
  </w:style>
  <w:style w:type="character" w:customStyle="1" w:styleId="94">
    <w:name w:val="批注主题 字符"/>
    <w:link w:val="41"/>
    <w:qFormat/>
    <w:uiPriority w:val="0"/>
    <w:rPr>
      <w:rFonts w:ascii="Calibri" w:hAnsi="Calibri" w:eastAsia="宋体" w:cs="Times New Roman"/>
      <w:b/>
      <w:bCs/>
    </w:rPr>
  </w:style>
  <w:style w:type="character" w:customStyle="1" w:styleId="95">
    <w:name w:val="批注主题 字符1"/>
    <w:basedOn w:val="70"/>
    <w:qFormat/>
    <w:uiPriority w:val="99"/>
    <w:rPr>
      <w:rFonts w:ascii="Times New Roman" w:hAnsi="Times New Roman"/>
      <w:b/>
      <w:bCs/>
      <w:szCs w:val="21"/>
    </w:rPr>
  </w:style>
  <w:style w:type="character" w:customStyle="1" w:styleId="96">
    <w:name w:val="批注主题 Char1"/>
    <w:basedOn w:val="70"/>
    <w:qFormat/>
    <w:uiPriority w:val="99"/>
    <w:rPr>
      <w:rFonts w:ascii="Calibri" w:hAnsi="Calibri" w:eastAsia="宋体" w:cs="Times New Roman"/>
      <w:b/>
      <w:bCs/>
      <w:kern w:val="0"/>
      <w:sz w:val="20"/>
      <w:szCs w:val="20"/>
    </w:rPr>
  </w:style>
  <w:style w:type="paragraph" w:customStyle="1" w:styleId="97">
    <w:name w:val="正文1"/>
    <w:next w:val="1"/>
    <w:link w:val="98"/>
    <w:qFormat/>
    <w:uiPriority w:val="0"/>
    <w:pPr>
      <w:snapToGrid w:val="0"/>
      <w:spacing w:beforeLines="50" w:line="360" w:lineRule="auto"/>
      <w:ind w:firstLine="592" w:firstLineChars="200"/>
      <w:jc w:val="both"/>
    </w:pPr>
    <w:rPr>
      <w:rFonts w:ascii="仿宋_GB2312" w:hAnsi="Calibri" w:eastAsia="仿宋_GB2312" w:cs="Times New Roman"/>
      <w:spacing w:val="-2"/>
      <w:sz w:val="30"/>
      <w:szCs w:val="30"/>
      <w:lang w:val="en-US" w:eastAsia="zh-CN" w:bidi="ar-SA"/>
    </w:rPr>
  </w:style>
  <w:style w:type="character" w:customStyle="1" w:styleId="98">
    <w:name w:val="正文 Char"/>
    <w:link w:val="97"/>
    <w:qFormat/>
    <w:uiPriority w:val="0"/>
    <w:rPr>
      <w:rFonts w:ascii="仿宋_GB2312" w:hAnsi="Calibri" w:eastAsia="仿宋_GB2312" w:cs="Times New Roman"/>
      <w:spacing w:val="-2"/>
      <w:kern w:val="0"/>
      <w:sz w:val="30"/>
      <w:szCs w:val="30"/>
    </w:rPr>
  </w:style>
  <w:style w:type="character" w:customStyle="1" w:styleId="99">
    <w:name w:val="纯文本 字符"/>
    <w:link w:val="21"/>
    <w:qFormat/>
    <w:uiPriority w:val="0"/>
    <w:rPr>
      <w:rFonts w:ascii="宋体" w:hAnsi="Courier New" w:cs="Courier New"/>
      <w:szCs w:val="21"/>
    </w:rPr>
  </w:style>
  <w:style w:type="character" w:customStyle="1" w:styleId="100">
    <w:name w:val="纯文本 字符1"/>
    <w:basedOn w:val="45"/>
    <w:qFormat/>
    <w:uiPriority w:val="99"/>
    <w:rPr>
      <w:rFonts w:ascii="宋体" w:hAnsi="Courier New" w:cs="Courier New"/>
    </w:rPr>
  </w:style>
  <w:style w:type="character" w:customStyle="1" w:styleId="101">
    <w:name w:val="纯文本 Char1"/>
    <w:basedOn w:val="45"/>
    <w:qFormat/>
    <w:uiPriority w:val="99"/>
    <w:rPr>
      <w:rFonts w:ascii="宋体" w:hAnsi="Courier New" w:eastAsia="宋体" w:cs="Courier New"/>
      <w:szCs w:val="21"/>
    </w:rPr>
  </w:style>
  <w:style w:type="character" w:customStyle="1" w:styleId="102">
    <w:name w:val="标题 6(正文部分) Char"/>
    <w:link w:val="103"/>
    <w:qFormat/>
    <w:uiPriority w:val="0"/>
    <w:rPr>
      <w:rFonts w:ascii="Times New Roman" w:hAnsi="Times New Roman"/>
      <w:b/>
      <w:sz w:val="24"/>
      <w:szCs w:val="24"/>
    </w:rPr>
  </w:style>
  <w:style w:type="paragraph" w:customStyle="1" w:styleId="103">
    <w:name w:val="标题 6(正文部分)"/>
    <w:basedOn w:val="104"/>
    <w:link w:val="102"/>
    <w:qFormat/>
    <w:uiPriority w:val="0"/>
    <w:pPr>
      <w:ind w:left="902" w:firstLine="0" w:firstLineChars="0"/>
    </w:pPr>
    <w:rPr>
      <w:rFonts w:eastAsia="宋体" w:cs="宋体"/>
      <w:b/>
      <w:kern w:val="2"/>
    </w:rPr>
  </w:style>
  <w:style w:type="paragraph" w:customStyle="1" w:styleId="104">
    <w:name w:val="正文首行缩进2字符"/>
    <w:basedOn w:val="1"/>
    <w:link w:val="105"/>
    <w:qFormat/>
    <w:uiPriority w:val="0"/>
    <w:pPr>
      <w:widowControl/>
      <w:adjustRightInd w:val="0"/>
      <w:snapToGrid w:val="0"/>
      <w:spacing w:beforeLines="50" w:afterLines="30" w:line="360" w:lineRule="auto"/>
      <w:ind w:firstLine="480" w:firstLineChars="200"/>
    </w:pPr>
    <w:rPr>
      <w:rFonts w:ascii="Times New Roman" w:hAnsi="Times New Roman" w:eastAsia="宋体" w:cs="Times New Roman"/>
      <w:kern w:val="0"/>
      <w:sz w:val="24"/>
      <w:szCs w:val="24"/>
    </w:rPr>
  </w:style>
  <w:style w:type="character" w:customStyle="1" w:styleId="105">
    <w:name w:val="正文首行缩进2字符 Char"/>
    <w:link w:val="104"/>
    <w:qFormat/>
    <w:uiPriority w:val="0"/>
    <w:rPr>
      <w:rFonts w:ascii="Times New Roman" w:hAnsi="Times New Roman" w:eastAsia="宋体" w:cs="Times New Roman"/>
      <w:kern w:val="0"/>
      <w:sz w:val="24"/>
      <w:szCs w:val="24"/>
    </w:rPr>
  </w:style>
  <w:style w:type="character" w:customStyle="1" w:styleId="106">
    <w:name w:val="Heading 2 Char_5494ca24-8617-46c4-91b5-fa144514e925"/>
    <w:qFormat/>
    <w:uiPriority w:val="0"/>
    <w:rPr>
      <w:rFonts w:ascii="Arial" w:hAnsi="Arial" w:eastAsia="黑体"/>
      <w:b/>
      <w:bCs/>
      <w:kern w:val="2"/>
      <w:sz w:val="32"/>
      <w:szCs w:val="32"/>
      <w:lang w:val="en-US" w:eastAsia="zh-CN" w:bidi="ar-SA"/>
    </w:rPr>
  </w:style>
  <w:style w:type="character" w:customStyle="1" w:styleId="107">
    <w:name w:val="l131"/>
    <w:qFormat/>
    <w:uiPriority w:val="0"/>
    <w:rPr>
      <w:sz w:val="18"/>
      <w:szCs w:val="18"/>
    </w:rPr>
  </w:style>
  <w:style w:type="character" w:customStyle="1" w:styleId="108">
    <w:name w:val="正文文本 + 间距 1 pt"/>
    <w:qFormat/>
    <w:uiPriority w:val="0"/>
    <w:rPr>
      <w:rFonts w:ascii="Arial Unicode MS" w:hAnsi="Arial Unicode MS" w:eastAsia="Arial Unicode MS" w:cs="Arial Unicode MS"/>
      <w:color w:val="000000"/>
      <w:spacing w:val="30"/>
      <w:w w:val="100"/>
      <w:position w:val="0"/>
      <w:sz w:val="20"/>
      <w:szCs w:val="20"/>
      <w:u w:val="none"/>
      <w:lang w:val="zh-CN"/>
    </w:rPr>
  </w:style>
  <w:style w:type="character" w:customStyle="1" w:styleId="109">
    <w:name w:val="正文文本 + SimSun"/>
    <w:qFormat/>
    <w:uiPriority w:val="0"/>
    <w:rPr>
      <w:rFonts w:ascii="宋体" w:hAnsi="宋体" w:eastAsia="宋体" w:cs="宋体"/>
      <w:color w:val="000000"/>
      <w:spacing w:val="0"/>
      <w:w w:val="100"/>
      <w:position w:val="0"/>
      <w:sz w:val="20"/>
      <w:szCs w:val="20"/>
      <w:u w:val="none"/>
      <w:lang w:val="zh-CN"/>
    </w:rPr>
  </w:style>
  <w:style w:type="character" w:customStyle="1" w:styleId="110">
    <w:name w:val="标题 #3 (5)_"/>
    <w:link w:val="111"/>
    <w:qFormat/>
    <w:uiPriority w:val="0"/>
    <w:rPr>
      <w:rFonts w:ascii="宋体" w:hAnsi="宋体"/>
      <w:sz w:val="28"/>
      <w:szCs w:val="28"/>
      <w:shd w:val="clear" w:color="auto" w:fill="FFFFFF"/>
    </w:rPr>
  </w:style>
  <w:style w:type="paragraph" w:customStyle="1" w:styleId="111">
    <w:name w:val="标题 #3 (5)"/>
    <w:basedOn w:val="1"/>
    <w:link w:val="110"/>
    <w:qFormat/>
    <w:uiPriority w:val="0"/>
    <w:pPr>
      <w:widowControl/>
      <w:shd w:val="clear" w:color="auto" w:fill="FFFFFF"/>
      <w:adjustRightInd w:val="0"/>
      <w:snapToGrid w:val="0"/>
      <w:spacing w:beforeLines="50" w:afterLines="30" w:line="0" w:lineRule="atLeast"/>
      <w:ind w:firstLine="200" w:firstLineChars="200"/>
      <w:outlineLvl w:val="2"/>
    </w:pPr>
    <w:rPr>
      <w:rFonts w:ascii="宋体" w:hAnsi="宋体"/>
      <w:sz w:val="28"/>
      <w:szCs w:val="28"/>
      <w:shd w:val="clear" w:color="auto" w:fill="FFFFFF"/>
    </w:rPr>
  </w:style>
  <w:style w:type="character" w:customStyle="1" w:styleId="112">
    <w:name w:val="标题11"/>
    <w:qFormat/>
    <w:uiPriority w:val="0"/>
  </w:style>
  <w:style w:type="character" w:customStyle="1" w:styleId="113">
    <w:name w:val="h31"/>
    <w:qFormat/>
    <w:uiPriority w:val="0"/>
    <w:rPr>
      <w:sz w:val="21"/>
      <w:szCs w:val="21"/>
    </w:rPr>
  </w:style>
  <w:style w:type="character" w:customStyle="1" w:styleId="114">
    <w:name w:val="正文文本 (29) + 间距 1 pt"/>
    <w:qFormat/>
    <w:uiPriority w:val="0"/>
    <w:rPr>
      <w:rFonts w:ascii="宋体" w:hAnsi="宋体" w:eastAsia="宋体" w:cs="宋体"/>
      <w:color w:val="000000"/>
      <w:spacing w:val="30"/>
      <w:w w:val="100"/>
      <w:position w:val="0"/>
      <w:sz w:val="20"/>
      <w:szCs w:val="20"/>
      <w:u w:val="none"/>
      <w:lang w:val="zh-CN"/>
    </w:rPr>
  </w:style>
  <w:style w:type="character" w:customStyle="1" w:styleId="115">
    <w:name w:val="正文文本缩进 字符"/>
    <w:link w:val="19"/>
    <w:qFormat/>
    <w:uiPriority w:val="0"/>
    <w:rPr>
      <w:rFonts w:ascii="Times New Roman" w:hAnsi="Times New Roman"/>
      <w:szCs w:val="24"/>
    </w:rPr>
  </w:style>
  <w:style w:type="character" w:customStyle="1" w:styleId="116">
    <w:name w:val="正文文本缩进 字符1"/>
    <w:basedOn w:val="45"/>
    <w:qFormat/>
    <w:uiPriority w:val="99"/>
  </w:style>
  <w:style w:type="character" w:customStyle="1" w:styleId="117">
    <w:name w:val="图表标题1 Char"/>
    <w:link w:val="118"/>
    <w:qFormat/>
    <w:uiPriority w:val="0"/>
    <w:rPr>
      <w:sz w:val="18"/>
      <w:szCs w:val="18"/>
    </w:rPr>
  </w:style>
  <w:style w:type="paragraph" w:customStyle="1" w:styleId="118">
    <w:name w:val="图表标题1"/>
    <w:basedOn w:val="1"/>
    <w:link w:val="117"/>
    <w:qFormat/>
    <w:uiPriority w:val="0"/>
    <w:pPr>
      <w:widowControl/>
      <w:adjustRightInd w:val="0"/>
      <w:snapToGrid w:val="0"/>
      <w:spacing w:beforeLines="50" w:afterLines="30" w:line="312" w:lineRule="auto"/>
      <w:ind w:firstLine="556" w:firstLineChars="200"/>
      <w:jc w:val="center"/>
    </w:pPr>
    <w:rPr>
      <w:sz w:val="18"/>
      <w:szCs w:val="18"/>
    </w:rPr>
  </w:style>
  <w:style w:type="character" w:customStyle="1" w:styleId="119">
    <w:name w:val="正文样式 Char"/>
    <w:link w:val="120"/>
    <w:qFormat/>
    <w:uiPriority w:val="0"/>
    <w:rPr>
      <w:sz w:val="24"/>
      <w:szCs w:val="24"/>
      <w:lang w:eastAsia="en-US" w:bidi="en-US"/>
    </w:rPr>
  </w:style>
  <w:style w:type="paragraph" w:customStyle="1" w:styleId="120">
    <w:name w:val="正文样式"/>
    <w:basedOn w:val="1"/>
    <w:link w:val="119"/>
    <w:qFormat/>
    <w:uiPriority w:val="0"/>
    <w:pPr>
      <w:widowControl/>
      <w:adjustRightInd w:val="0"/>
      <w:snapToGrid w:val="0"/>
      <w:spacing w:beforeLines="20" w:afterLines="20" w:line="300" w:lineRule="auto"/>
      <w:ind w:firstLine="480" w:firstLineChars="200"/>
      <w:jc w:val="left"/>
    </w:pPr>
    <w:rPr>
      <w:sz w:val="24"/>
      <w:szCs w:val="24"/>
      <w:lang w:eastAsia="en-US" w:bidi="en-US"/>
    </w:rPr>
  </w:style>
  <w:style w:type="character" w:customStyle="1" w:styleId="121">
    <w:name w:val="表题注 Char"/>
    <w:link w:val="122"/>
    <w:qFormat/>
    <w:uiPriority w:val="0"/>
    <w:rPr>
      <w:rFonts w:ascii="宋体" w:hAnsi="宋体" w:eastAsia="黑体"/>
      <w:b/>
      <w:szCs w:val="21"/>
    </w:rPr>
  </w:style>
  <w:style w:type="paragraph" w:customStyle="1" w:styleId="122">
    <w:name w:val="表题注"/>
    <w:basedOn w:val="16"/>
    <w:link w:val="121"/>
    <w:qFormat/>
    <w:uiPriority w:val="0"/>
    <w:rPr>
      <w:rFonts w:ascii="宋体" w:hAnsi="宋体" w:eastAsia="黑体" w:cs="宋体"/>
      <w:kern w:val="2"/>
      <w:sz w:val="21"/>
      <w:szCs w:val="21"/>
    </w:rPr>
  </w:style>
  <w:style w:type="character" w:customStyle="1" w:styleId="123">
    <w:name w:val="题注 字符"/>
    <w:link w:val="16"/>
    <w:qFormat/>
    <w:uiPriority w:val="0"/>
    <w:rPr>
      <w:rFonts w:ascii="Times New Roman" w:hAnsi="Times New Roman" w:eastAsia="宋体" w:cs="Times New Roman"/>
      <w:b/>
      <w:kern w:val="0"/>
      <w:sz w:val="20"/>
      <w:szCs w:val="20"/>
    </w:rPr>
  </w:style>
  <w:style w:type="character" w:customStyle="1" w:styleId="124">
    <w:name w:val="正文文本缩进 2 字符1"/>
    <w:basedOn w:val="45"/>
    <w:qFormat/>
    <w:uiPriority w:val="99"/>
  </w:style>
  <w:style w:type="character" w:customStyle="1" w:styleId="125">
    <w:name w:val="副标题 字符2"/>
    <w:link w:val="30"/>
    <w:qFormat/>
    <w:uiPriority w:val="0"/>
    <w:rPr>
      <w:rFonts w:ascii="Arial" w:hAnsi="Arial"/>
      <w:b/>
      <w:bCs/>
      <w:kern w:val="28"/>
      <w:sz w:val="32"/>
      <w:szCs w:val="32"/>
    </w:rPr>
  </w:style>
  <w:style w:type="character" w:customStyle="1" w:styleId="126">
    <w:name w:val="副标题 字符1"/>
    <w:basedOn w:val="45"/>
    <w:qFormat/>
    <w:uiPriority w:val="11"/>
    <w:rPr>
      <w:b/>
      <w:bCs/>
      <w:kern w:val="28"/>
      <w:sz w:val="32"/>
      <w:szCs w:val="32"/>
    </w:rPr>
  </w:style>
  <w:style w:type="character" w:customStyle="1" w:styleId="127">
    <w:name w:val="副标题 Char1"/>
    <w:basedOn w:val="45"/>
    <w:qFormat/>
    <w:uiPriority w:val="11"/>
    <w:rPr>
      <w:rFonts w:ascii="Cambria" w:hAnsi="Cambria" w:eastAsia="宋体" w:cs="宋体"/>
      <w:b/>
      <w:bCs/>
      <w:kern w:val="28"/>
      <w:sz w:val="32"/>
      <w:szCs w:val="32"/>
    </w:rPr>
  </w:style>
  <w:style w:type="character" w:customStyle="1" w:styleId="128">
    <w:name w:val="zw1"/>
    <w:qFormat/>
    <w:uiPriority w:val="0"/>
  </w:style>
  <w:style w:type="character" w:customStyle="1" w:styleId="129">
    <w:name w:val="表格题目 Char"/>
    <w:link w:val="130"/>
    <w:qFormat/>
    <w:uiPriority w:val="0"/>
    <w:rPr>
      <w:rFonts w:ascii="Times New Roman" w:hAnsi="Times New Roman" w:eastAsia="黑体"/>
      <w:bCs/>
      <w:kern w:val="44"/>
      <w:szCs w:val="32"/>
    </w:rPr>
  </w:style>
  <w:style w:type="paragraph" w:customStyle="1" w:styleId="130">
    <w:name w:val="表格题目"/>
    <w:basedOn w:val="1"/>
    <w:link w:val="129"/>
    <w:qFormat/>
    <w:uiPriority w:val="0"/>
    <w:pPr>
      <w:keepNext/>
      <w:widowControl/>
      <w:adjustRightInd w:val="0"/>
      <w:snapToGrid w:val="0"/>
      <w:spacing w:beforeLines="20" w:afterLines="20" w:line="300" w:lineRule="auto"/>
      <w:ind w:firstLine="200" w:firstLineChars="200"/>
      <w:jc w:val="center"/>
    </w:pPr>
    <w:rPr>
      <w:rFonts w:ascii="Times New Roman" w:hAnsi="Times New Roman" w:eastAsia="黑体"/>
      <w:bCs/>
      <w:kern w:val="44"/>
      <w:szCs w:val="32"/>
    </w:rPr>
  </w:style>
  <w:style w:type="character" w:customStyle="1" w:styleId="131">
    <w:name w:val="正文文本 (29) + Arial Unicode MS"/>
    <w:qFormat/>
    <w:uiPriority w:val="0"/>
    <w:rPr>
      <w:rFonts w:ascii="Arial Unicode MS" w:hAnsi="Arial Unicode MS" w:eastAsia="Arial Unicode MS" w:cs="Arial Unicode MS"/>
      <w:color w:val="000000"/>
      <w:spacing w:val="10"/>
      <w:w w:val="100"/>
      <w:position w:val="0"/>
      <w:sz w:val="17"/>
      <w:szCs w:val="17"/>
      <w:u w:val="none"/>
      <w:lang w:val="en-US"/>
    </w:rPr>
  </w:style>
  <w:style w:type="character" w:customStyle="1" w:styleId="132">
    <w:name w:val="标题 #4 (4)_"/>
    <w:link w:val="133"/>
    <w:qFormat/>
    <w:uiPriority w:val="0"/>
    <w:rPr>
      <w:rFonts w:ascii="宋体" w:hAnsi="宋体" w:cs="宋体"/>
      <w:b/>
      <w:bCs/>
      <w:sz w:val="22"/>
      <w:shd w:val="clear" w:color="auto" w:fill="FFFFFF"/>
    </w:rPr>
  </w:style>
  <w:style w:type="paragraph" w:customStyle="1" w:styleId="133">
    <w:name w:val="标题 #4 (4)"/>
    <w:basedOn w:val="1"/>
    <w:link w:val="132"/>
    <w:qFormat/>
    <w:uiPriority w:val="0"/>
    <w:pPr>
      <w:widowControl/>
      <w:shd w:val="clear" w:color="auto" w:fill="FFFFFF"/>
      <w:adjustRightInd w:val="0"/>
      <w:snapToGrid w:val="0"/>
      <w:spacing w:beforeLines="50" w:afterLines="30" w:line="331" w:lineRule="exact"/>
      <w:ind w:firstLine="200" w:firstLineChars="200"/>
      <w:jc w:val="distribute"/>
      <w:outlineLvl w:val="3"/>
    </w:pPr>
    <w:rPr>
      <w:rFonts w:ascii="宋体" w:hAnsi="宋体" w:cs="宋体"/>
      <w:b/>
      <w:bCs/>
      <w:sz w:val="22"/>
    </w:rPr>
  </w:style>
  <w:style w:type="character" w:customStyle="1" w:styleId="134">
    <w:name w:val="图表内容 Char Char"/>
    <w:link w:val="135"/>
    <w:qFormat/>
    <w:uiPriority w:val="0"/>
    <w:rPr>
      <w:rFonts w:ascii="宋体" w:hAnsi="宋体"/>
      <w:bCs/>
      <w:color w:val="000000"/>
      <w:szCs w:val="21"/>
    </w:rPr>
  </w:style>
  <w:style w:type="paragraph" w:customStyle="1" w:styleId="135">
    <w:name w:val="图表内容"/>
    <w:link w:val="134"/>
    <w:qFormat/>
    <w:uiPriority w:val="0"/>
    <w:pPr>
      <w:tabs>
        <w:tab w:val="left" w:pos="1696"/>
      </w:tabs>
      <w:adjustRightInd w:val="0"/>
      <w:snapToGrid w:val="0"/>
      <w:spacing w:beforeLines="50"/>
      <w:ind w:firstLine="200" w:firstLineChars="200"/>
      <w:jc w:val="center"/>
      <w:textAlignment w:val="baseline"/>
    </w:pPr>
    <w:rPr>
      <w:rFonts w:ascii="宋体" w:hAnsi="宋体" w:eastAsia="宋体" w:cs="宋体"/>
      <w:bCs/>
      <w:color w:val="000000"/>
      <w:kern w:val="2"/>
      <w:sz w:val="21"/>
      <w:szCs w:val="21"/>
      <w:lang w:val="en-US" w:eastAsia="zh-CN" w:bidi="ar-SA"/>
    </w:rPr>
  </w:style>
  <w:style w:type="character" w:customStyle="1" w:styleId="136">
    <w:name w:val="正文文本 (28) + Gulim"/>
    <w:qFormat/>
    <w:uiPriority w:val="0"/>
    <w:rPr>
      <w:rFonts w:ascii="Gulim" w:hAnsi="Gulim" w:eastAsia="Gulim" w:cs="Gulim"/>
      <w:b/>
      <w:bCs/>
      <w:color w:val="000000"/>
      <w:spacing w:val="0"/>
      <w:w w:val="100"/>
      <w:position w:val="0"/>
      <w:sz w:val="18"/>
      <w:szCs w:val="18"/>
      <w:u w:val="none"/>
    </w:rPr>
  </w:style>
  <w:style w:type="character" w:customStyle="1" w:styleId="137">
    <w:name w:val="标题1"/>
    <w:qFormat/>
    <w:uiPriority w:val="0"/>
  </w:style>
  <w:style w:type="character" w:customStyle="1" w:styleId="138">
    <w:name w:val="标题 3 Char1"/>
    <w:qFormat/>
    <w:uiPriority w:val="9"/>
    <w:rPr>
      <w:rFonts w:ascii="仿宋" w:hAnsi="仿宋" w:eastAsia="仿宋"/>
      <w:bCs/>
      <w:sz w:val="21"/>
      <w:szCs w:val="21"/>
      <w:lang w:val="zh-CN" w:eastAsia="zh-CN" w:bidi="en-US"/>
    </w:rPr>
  </w:style>
  <w:style w:type="character" w:customStyle="1" w:styleId="139">
    <w:name w:val="正文文本 (29)_"/>
    <w:link w:val="140"/>
    <w:qFormat/>
    <w:uiPriority w:val="0"/>
    <w:rPr>
      <w:rFonts w:ascii="宋体" w:hAnsi="宋体"/>
      <w:shd w:val="clear" w:color="auto" w:fill="FFFFFF"/>
    </w:rPr>
  </w:style>
  <w:style w:type="paragraph" w:customStyle="1" w:styleId="140">
    <w:name w:val="正文文本 (29)"/>
    <w:basedOn w:val="1"/>
    <w:link w:val="139"/>
    <w:qFormat/>
    <w:uiPriority w:val="0"/>
    <w:pPr>
      <w:widowControl/>
      <w:shd w:val="clear" w:color="auto" w:fill="FFFFFF"/>
      <w:adjustRightInd w:val="0"/>
      <w:snapToGrid w:val="0"/>
      <w:spacing w:beforeLines="50" w:afterLines="30" w:line="0" w:lineRule="atLeast"/>
      <w:ind w:firstLine="200" w:firstLineChars="200"/>
      <w:jc w:val="distribute"/>
    </w:pPr>
    <w:rPr>
      <w:rFonts w:ascii="宋体" w:hAnsi="宋体"/>
      <w:shd w:val="clear" w:color="auto" w:fill="FFFFFF"/>
    </w:rPr>
  </w:style>
  <w:style w:type="character" w:customStyle="1" w:styleId="141">
    <w:name w:val="HTML 预设格式 字符"/>
    <w:link w:val="38"/>
    <w:qFormat/>
    <w:uiPriority w:val="99"/>
    <w:rPr>
      <w:rFonts w:ascii="宋体" w:hAnsi="宋体"/>
      <w:sz w:val="24"/>
      <w:szCs w:val="24"/>
    </w:rPr>
  </w:style>
  <w:style w:type="character" w:customStyle="1" w:styleId="142">
    <w:name w:val="HTML 预设格式 字符1"/>
    <w:basedOn w:val="45"/>
    <w:qFormat/>
    <w:uiPriority w:val="99"/>
    <w:rPr>
      <w:rFonts w:ascii="Courier New" w:hAnsi="Courier New" w:cs="Courier New"/>
      <w:sz w:val="20"/>
      <w:szCs w:val="20"/>
    </w:rPr>
  </w:style>
  <w:style w:type="character" w:customStyle="1" w:styleId="143">
    <w:name w:val="HTML 预设格式 Char1"/>
    <w:basedOn w:val="45"/>
    <w:qFormat/>
    <w:uiPriority w:val="99"/>
    <w:rPr>
      <w:rFonts w:ascii="Courier New" w:hAnsi="Courier New" w:cs="Courier New"/>
      <w:sz w:val="20"/>
      <w:szCs w:val="20"/>
    </w:rPr>
  </w:style>
  <w:style w:type="character" w:customStyle="1" w:styleId="144">
    <w:name w:val="列表 字符"/>
    <w:link w:val="31"/>
    <w:qFormat/>
    <w:uiPriority w:val="99"/>
    <w:rPr>
      <w:rFonts w:ascii="Times New Roman" w:hAnsi="Times New Roman"/>
      <w:b/>
      <w:szCs w:val="24"/>
    </w:rPr>
  </w:style>
  <w:style w:type="character" w:customStyle="1" w:styleId="145">
    <w:name w:val="标题 5 Char1"/>
    <w:qFormat/>
    <w:uiPriority w:val="0"/>
    <w:rPr>
      <w:rFonts w:ascii="Times New Roman" w:hAnsi="Times New Roman"/>
      <w:b/>
      <w:bCs/>
      <w:kern w:val="2"/>
      <w:sz w:val="28"/>
      <w:szCs w:val="28"/>
    </w:rPr>
  </w:style>
  <w:style w:type="character" w:customStyle="1" w:styleId="146">
    <w:name w:val="注释标题 字符"/>
    <w:link w:val="14"/>
    <w:qFormat/>
    <w:uiPriority w:val="0"/>
    <w:rPr>
      <w:rFonts w:ascii="Times New Roman" w:hAnsi="Times New Roman"/>
      <w:sz w:val="24"/>
      <w:szCs w:val="24"/>
    </w:rPr>
  </w:style>
  <w:style w:type="character" w:customStyle="1" w:styleId="147">
    <w:name w:val="注释标题 字符1"/>
    <w:basedOn w:val="45"/>
    <w:qFormat/>
    <w:uiPriority w:val="99"/>
  </w:style>
  <w:style w:type="character" w:customStyle="1" w:styleId="148">
    <w:name w:val="正文文本首行缩进 字符"/>
    <w:link w:val="42"/>
    <w:qFormat/>
    <w:uiPriority w:val="0"/>
    <w:rPr>
      <w:rFonts w:ascii="Times New Roman" w:hAnsi="Times New Roman" w:eastAsia="宋体" w:cs="Times New Roman"/>
      <w:sz w:val="24"/>
      <w:szCs w:val="24"/>
    </w:rPr>
  </w:style>
  <w:style w:type="character" w:customStyle="1" w:styleId="149">
    <w:name w:val="正文文本 Char"/>
    <w:qFormat/>
    <w:uiPriority w:val="0"/>
    <w:rPr>
      <w:rFonts w:ascii="Times New Roman" w:hAnsi="Times New Roman" w:eastAsia="宋体" w:cs="Times New Roman"/>
      <w:szCs w:val="24"/>
    </w:rPr>
  </w:style>
  <w:style w:type="character" w:customStyle="1" w:styleId="150">
    <w:name w:val="正文文本 字符"/>
    <w:basedOn w:val="45"/>
    <w:link w:val="2"/>
    <w:qFormat/>
    <w:uiPriority w:val="0"/>
    <w:rPr>
      <w:rFonts w:ascii="Calibri" w:hAnsi="Calibri" w:eastAsia="宋体" w:cs="Times New Roman"/>
      <w:kern w:val="0"/>
      <w:sz w:val="20"/>
      <w:szCs w:val="21"/>
    </w:rPr>
  </w:style>
  <w:style w:type="character" w:customStyle="1" w:styleId="151">
    <w:name w:val="正文首行缩进 字符1"/>
    <w:basedOn w:val="150"/>
    <w:qFormat/>
    <w:uiPriority w:val="99"/>
    <w:rPr>
      <w:rFonts w:ascii="Calibri" w:hAnsi="Calibri" w:eastAsia="宋体" w:cs="Times New Roman"/>
      <w:kern w:val="0"/>
      <w:sz w:val="20"/>
      <w:szCs w:val="21"/>
    </w:rPr>
  </w:style>
  <w:style w:type="character" w:customStyle="1" w:styleId="152">
    <w:name w:val="正文首行缩进 Char1"/>
    <w:basedOn w:val="150"/>
    <w:qFormat/>
    <w:uiPriority w:val="99"/>
    <w:rPr>
      <w:rFonts w:ascii="Calibri" w:hAnsi="Calibri" w:eastAsia="宋体" w:cs="Times New Roman"/>
      <w:kern w:val="0"/>
      <w:sz w:val="20"/>
      <w:szCs w:val="21"/>
    </w:rPr>
  </w:style>
  <w:style w:type="character" w:customStyle="1" w:styleId="153">
    <w:name w:val="圆点段 Char Char Char"/>
    <w:link w:val="154"/>
    <w:qFormat/>
    <w:uiPriority w:val="0"/>
    <w:rPr>
      <w:rFonts w:ascii="宋体" w:hAnsi="Times New Roman"/>
      <w:sz w:val="24"/>
      <w:szCs w:val="24"/>
    </w:rPr>
  </w:style>
  <w:style w:type="paragraph" w:customStyle="1" w:styleId="154">
    <w:name w:val="圆点段 Char Char"/>
    <w:basedOn w:val="1"/>
    <w:link w:val="153"/>
    <w:qFormat/>
    <w:uiPriority w:val="0"/>
    <w:pPr>
      <w:widowControl/>
      <w:tabs>
        <w:tab w:val="left" w:pos="1273"/>
      </w:tabs>
      <w:adjustRightInd w:val="0"/>
      <w:snapToGrid w:val="0"/>
      <w:spacing w:beforeLines="50" w:afterLines="30" w:line="500" w:lineRule="exact"/>
      <w:ind w:left="1273" w:firstLine="200" w:firstLineChars="200"/>
    </w:pPr>
    <w:rPr>
      <w:rFonts w:ascii="宋体" w:hAnsi="Times New Roman"/>
      <w:sz w:val="24"/>
      <w:szCs w:val="24"/>
    </w:rPr>
  </w:style>
  <w:style w:type="character" w:customStyle="1" w:styleId="155">
    <w:name w:val="样式1 Char"/>
    <w:qFormat/>
    <w:uiPriority w:val="0"/>
    <w:rPr>
      <w:rFonts w:ascii="Times New Roman" w:hAnsi="Times New Roman"/>
      <w:color w:val="000000"/>
      <w:sz w:val="24"/>
      <w:szCs w:val="24"/>
    </w:rPr>
  </w:style>
  <w:style w:type="character" w:customStyle="1" w:styleId="156">
    <w:name w:val="文本 Char"/>
    <w:link w:val="157"/>
    <w:qFormat/>
    <w:uiPriority w:val="0"/>
    <w:rPr>
      <w:rFonts w:ascii="宋体" w:hAnsi="宋体" w:cs="Calibri"/>
      <w:sz w:val="24"/>
      <w:szCs w:val="24"/>
    </w:rPr>
  </w:style>
  <w:style w:type="paragraph" w:customStyle="1" w:styleId="157">
    <w:name w:val="文本"/>
    <w:basedOn w:val="1"/>
    <w:link w:val="156"/>
    <w:qFormat/>
    <w:uiPriority w:val="0"/>
    <w:pPr>
      <w:widowControl/>
      <w:adjustRightInd w:val="0"/>
      <w:snapToGrid w:val="0"/>
      <w:spacing w:beforeLines="50" w:afterLines="30" w:line="360" w:lineRule="exact"/>
      <w:ind w:firstLine="480" w:firstLineChars="200"/>
    </w:pPr>
    <w:rPr>
      <w:rFonts w:ascii="宋体" w:hAnsi="宋体" w:cs="Calibri"/>
      <w:sz w:val="24"/>
      <w:szCs w:val="24"/>
    </w:rPr>
  </w:style>
  <w:style w:type="character" w:customStyle="1" w:styleId="158">
    <w:name w:val="正文文本缩进 3 字符"/>
    <w:link w:val="34"/>
    <w:qFormat/>
    <w:uiPriority w:val="0"/>
    <w:rPr>
      <w:sz w:val="16"/>
      <w:szCs w:val="16"/>
    </w:rPr>
  </w:style>
  <w:style w:type="character" w:customStyle="1" w:styleId="159">
    <w:name w:val="正文文本缩进 3 字符1"/>
    <w:basedOn w:val="45"/>
    <w:qFormat/>
    <w:uiPriority w:val="99"/>
    <w:rPr>
      <w:sz w:val="16"/>
      <w:szCs w:val="16"/>
    </w:rPr>
  </w:style>
  <w:style w:type="character" w:customStyle="1" w:styleId="160">
    <w:name w:val="正文文本缩进 3 Char1"/>
    <w:basedOn w:val="45"/>
    <w:qFormat/>
    <w:uiPriority w:val="99"/>
    <w:rPr>
      <w:sz w:val="16"/>
      <w:szCs w:val="16"/>
    </w:rPr>
  </w:style>
  <w:style w:type="character" w:customStyle="1" w:styleId="161">
    <w:name w:val="GN表格 Char"/>
    <w:link w:val="162"/>
    <w:qFormat/>
    <w:uiPriority w:val="0"/>
    <w:rPr>
      <w:rFonts w:ascii="宋体" w:hAnsi="宋体"/>
      <w:bCs/>
      <w:szCs w:val="21"/>
    </w:rPr>
  </w:style>
  <w:style w:type="paragraph" w:customStyle="1" w:styleId="162">
    <w:name w:val="GN表格"/>
    <w:basedOn w:val="1"/>
    <w:link w:val="161"/>
    <w:qFormat/>
    <w:uiPriority w:val="0"/>
    <w:pPr>
      <w:widowControl/>
      <w:adjustRightInd w:val="0"/>
      <w:snapToGrid w:val="0"/>
      <w:spacing w:beforeLines="50" w:afterLines="30" w:line="312" w:lineRule="auto"/>
      <w:ind w:firstLine="200" w:firstLineChars="200"/>
      <w:jc w:val="center"/>
    </w:pPr>
    <w:rPr>
      <w:rFonts w:ascii="宋体" w:hAnsi="宋体"/>
      <w:bCs/>
      <w:szCs w:val="21"/>
    </w:rPr>
  </w:style>
  <w:style w:type="character" w:customStyle="1" w:styleId="163">
    <w:name w:val="不明显参考1"/>
    <w:qFormat/>
    <w:uiPriority w:val="31"/>
    <w:rPr>
      <w:smallCaps/>
      <w:color w:val="595959"/>
    </w:rPr>
  </w:style>
  <w:style w:type="character" w:customStyle="1" w:styleId="164">
    <w:name w:val="脚注文本 字符"/>
    <w:link w:val="32"/>
    <w:qFormat/>
    <w:uiPriority w:val="0"/>
    <w:rPr>
      <w:rFonts w:ascii="Times New Roman" w:hAnsi="Times New Roman"/>
      <w:sz w:val="18"/>
      <w:szCs w:val="24"/>
    </w:rPr>
  </w:style>
  <w:style w:type="character" w:customStyle="1" w:styleId="165">
    <w:name w:val="脚注文本 字符1"/>
    <w:basedOn w:val="45"/>
    <w:qFormat/>
    <w:uiPriority w:val="99"/>
    <w:rPr>
      <w:sz w:val="18"/>
      <w:szCs w:val="18"/>
    </w:rPr>
  </w:style>
  <w:style w:type="character" w:customStyle="1" w:styleId="166">
    <w:name w:val="脚注文本 Char1"/>
    <w:basedOn w:val="45"/>
    <w:qFormat/>
    <w:uiPriority w:val="99"/>
    <w:rPr>
      <w:sz w:val="18"/>
      <w:szCs w:val="18"/>
    </w:rPr>
  </w:style>
  <w:style w:type="character" w:customStyle="1" w:styleId="167">
    <w:name w:val="正文文本 (28)_"/>
    <w:link w:val="168"/>
    <w:qFormat/>
    <w:uiPriority w:val="0"/>
    <w:rPr>
      <w:rFonts w:ascii="宋体" w:hAnsi="宋体" w:cs="宋体"/>
      <w:b/>
      <w:bCs/>
      <w:sz w:val="22"/>
      <w:shd w:val="clear" w:color="auto" w:fill="FFFFFF"/>
    </w:rPr>
  </w:style>
  <w:style w:type="paragraph" w:customStyle="1" w:styleId="168">
    <w:name w:val="正文文本 (28)"/>
    <w:basedOn w:val="1"/>
    <w:link w:val="167"/>
    <w:qFormat/>
    <w:uiPriority w:val="0"/>
    <w:pPr>
      <w:widowControl/>
      <w:shd w:val="clear" w:color="auto" w:fill="FFFFFF"/>
      <w:adjustRightInd w:val="0"/>
      <w:snapToGrid w:val="0"/>
      <w:spacing w:beforeLines="50" w:afterLines="30" w:line="0" w:lineRule="atLeast"/>
      <w:ind w:firstLine="200" w:firstLineChars="200"/>
      <w:jc w:val="left"/>
    </w:pPr>
    <w:rPr>
      <w:rFonts w:ascii="宋体" w:hAnsi="宋体" w:cs="宋体"/>
      <w:b/>
      <w:bCs/>
      <w:sz w:val="22"/>
    </w:rPr>
  </w:style>
  <w:style w:type="character" w:customStyle="1" w:styleId="169">
    <w:name w:val="表格 Char Char"/>
    <w:qFormat/>
    <w:uiPriority w:val="0"/>
    <w:rPr>
      <w:rFonts w:ascii="Times New Roman" w:hAnsi="Times New Roman"/>
      <w:sz w:val="21"/>
      <w:lang w:bidi="ar-SA"/>
    </w:rPr>
  </w:style>
  <w:style w:type="character" w:customStyle="1" w:styleId="170">
    <w:name w:val="正文文本 + 6 pt"/>
    <w:qFormat/>
    <w:uiPriority w:val="0"/>
    <w:rPr>
      <w:rFonts w:ascii="Arial Unicode MS" w:hAnsi="Arial Unicode MS" w:eastAsia="Arial Unicode MS" w:cs="Arial Unicode MS"/>
      <w:color w:val="000000"/>
      <w:spacing w:val="20"/>
      <w:w w:val="100"/>
      <w:position w:val="0"/>
      <w:sz w:val="12"/>
      <w:szCs w:val="12"/>
      <w:u w:val="none"/>
      <w:lang w:val="en-US"/>
    </w:rPr>
  </w:style>
  <w:style w:type="character" w:customStyle="1" w:styleId="171">
    <w:name w:val="正文文本1"/>
    <w:qFormat/>
    <w:uiPriority w:val="0"/>
    <w:rPr>
      <w:rFonts w:ascii="Arial Unicode MS" w:hAnsi="Arial Unicode MS" w:eastAsia="Arial Unicode MS" w:cs="Arial Unicode MS"/>
      <w:color w:val="000000"/>
      <w:spacing w:val="0"/>
      <w:w w:val="100"/>
      <w:position w:val="0"/>
      <w:sz w:val="20"/>
      <w:szCs w:val="20"/>
      <w:u w:val="none"/>
      <w:lang w:val="zh-CN"/>
    </w:rPr>
  </w:style>
  <w:style w:type="character" w:customStyle="1" w:styleId="172">
    <w:name w:val="四级标题 Char"/>
    <w:link w:val="173"/>
    <w:qFormat/>
    <w:uiPriority w:val="0"/>
    <w:rPr>
      <w:rFonts w:ascii="黑体" w:hAnsi="Arial Unicode MS" w:eastAsia="黑体"/>
      <w:sz w:val="24"/>
      <w:szCs w:val="24"/>
    </w:rPr>
  </w:style>
  <w:style w:type="paragraph" w:customStyle="1" w:styleId="173">
    <w:name w:val="四级标题"/>
    <w:basedOn w:val="1"/>
    <w:link w:val="172"/>
    <w:qFormat/>
    <w:uiPriority w:val="0"/>
    <w:pPr>
      <w:widowControl/>
      <w:adjustRightInd w:val="0"/>
      <w:snapToGrid w:val="0"/>
      <w:spacing w:beforeLines="50" w:afterLines="30" w:line="400" w:lineRule="exact"/>
      <w:ind w:firstLine="480" w:firstLineChars="200"/>
    </w:pPr>
    <w:rPr>
      <w:rFonts w:ascii="黑体" w:hAnsi="Arial Unicode MS" w:eastAsia="黑体"/>
      <w:sz w:val="24"/>
      <w:szCs w:val="24"/>
    </w:rPr>
  </w:style>
  <w:style w:type="character" w:customStyle="1" w:styleId="174">
    <w:name w:val="正文文本_"/>
    <w:link w:val="175"/>
    <w:qFormat/>
    <w:uiPriority w:val="0"/>
    <w:rPr>
      <w:rFonts w:ascii="Arial Unicode MS" w:hAnsi="Arial Unicode MS" w:eastAsia="Arial Unicode MS"/>
      <w:shd w:val="clear" w:color="auto" w:fill="FFFFFF"/>
    </w:rPr>
  </w:style>
  <w:style w:type="paragraph" w:customStyle="1" w:styleId="175">
    <w:name w:val="正文文本3"/>
    <w:basedOn w:val="1"/>
    <w:link w:val="174"/>
    <w:qFormat/>
    <w:uiPriority w:val="0"/>
    <w:pPr>
      <w:widowControl/>
      <w:shd w:val="clear" w:color="auto" w:fill="FFFFFF"/>
      <w:adjustRightInd w:val="0"/>
      <w:snapToGrid w:val="0"/>
      <w:spacing w:beforeLines="50" w:afterLines="30" w:line="0" w:lineRule="atLeast"/>
      <w:ind w:hanging="1460" w:firstLineChars="200"/>
      <w:jc w:val="left"/>
    </w:pPr>
    <w:rPr>
      <w:rFonts w:ascii="Arial Unicode MS" w:hAnsi="Arial Unicode MS" w:eastAsia="Arial Unicode MS"/>
    </w:rPr>
  </w:style>
  <w:style w:type="character" w:customStyle="1" w:styleId="176">
    <w:name w:val="样式 标题 3h3H3sect1.2.3标题 3 Char Charsect1.2.31sect1.2.32sec... Char"/>
    <w:link w:val="177"/>
    <w:qFormat/>
    <w:uiPriority w:val="0"/>
    <w:rPr>
      <w:rFonts w:ascii="Times New Roman" w:hAnsi="Times New Roman"/>
      <w:b/>
      <w:bCs/>
      <w:sz w:val="24"/>
      <w:szCs w:val="26"/>
      <w:lang w:eastAsia="en-US" w:bidi="en-US"/>
    </w:rPr>
  </w:style>
  <w:style w:type="paragraph" w:customStyle="1" w:styleId="177">
    <w:name w:val="样式 标题 3h3H3sect1.2.3标题 3 Char Charsect1.2.31sect1.2.32sec..."/>
    <w:basedOn w:val="6"/>
    <w:link w:val="176"/>
    <w:qFormat/>
    <w:uiPriority w:val="0"/>
    <w:pPr>
      <w:keepLines w:val="0"/>
      <w:widowControl/>
      <w:adjustRightInd w:val="0"/>
      <w:snapToGrid w:val="0"/>
      <w:spacing w:beforeLines="50" w:afterLines="30" w:line="240" w:lineRule="auto"/>
      <w:ind w:firstLine="200" w:firstLineChars="200"/>
      <w:jc w:val="left"/>
    </w:pPr>
    <w:rPr>
      <w:rFonts w:ascii="Times New Roman" w:hAnsi="Times New Roman"/>
      <w:sz w:val="24"/>
      <w:szCs w:val="26"/>
      <w:lang w:eastAsia="en-US" w:bidi="en-US"/>
    </w:rPr>
  </w:style>
  <w:style w:type="character" w:customStyle="1" w:styleId="178">
    <w:name w:val="标题 3 Char Char Char1"/>
    <w:qFormat/>
    <w:uiPriority w:val="9"/>
    <w:rPr>
      <w:rFonts w:ascii="仿宋" w:hAnsi="仿宋" w:eastAsia="仿宋"/>
      <w:bCs/>
      <w:sz w:val="21"/>
      <w:szCs w:val="21"/>
      <w:lang w:val="zh-CN" w:bidi="en-US"/>
    </w:rPr>
  </w:style>
  <w:style w:type="character" w:customStyle="1" w:styleId="179">
    <w:name w:val="标题 5 Char Char Char1"/>
    <w:qFormat/>
    <w:uiPriority w:val="0"/>
    <w:rPr>
      <w:rFonts w:ascii="Times New Roman" w:hAnsi="Times New Roman"/>
      <w:b/>
      <w:bCs/>
      <w:kern w:val="2"/>
      <w:sz w:val="28"/>
      <w:szCs w:val="28"/>
    </w:rPr>
  </w:style>
  <w:style w:type="character" w:customStyle="1" w:styleId="180">
    <w:name w:val="日期 Char1"/>
    <w:qFormat/>
    <w:uiPriority w:val="99"/>
    <w:rPr>
      <w:rFonts w:ascii="Calibri" w:hAnsi="Calibri" w:eastAsia="宋体" w:cs="Calibri"/>
      <w:szCs w:val="21"/>
    </w:rPr>
  </w:style>
  <w:style w:type="character" w:customStyle="1" w:styleId="181">
    <w:name w:val="表格标注 Char1"/>
    <w:link w:val="182"/>
    <w:qFormat/>
    <w:uiPriority w:val="0"/>
    <w:rPr>
      <w:rFonts w:ascii="宋体" w:hAnsi="宋体"/>
      <w:b/>
      <w:i/>
      <w:color w:val="000000"/>
    </w:rPr>
  </w:style>
  <w:style w:type="paragraph" w:customStyle="1" w:styleId="182">
    <w:name w:val="表格标注"/>
    <w:basedOn w:val="1"/>
    <w:next w:val="15"/>
    <w:link w:val="181"/>
    <w:qFormat/>
    <w:uiPriority w:val="0"/>
    <w:pPr>
      <w:widowControl/>
      <w:adjustRightInd w:val="0"/>
      <w:snapToGrid w:val="0"/>
      <w:spacing w:beforeLines="50" w:afterLines="30" w:line="360" w:lineRule="auto"/>
      <w:ind w:firstLine="200" w:firstLineChars="200"/>
      <w:jc w:val="center"/>
    </w:pPr>
    <w:rPr>
      <w:rFonts w:ascii="宋体" w:hAnsi="宋体"/>
      <w:b/>
      <w:i/>
      <w:color w:val="000000"/>
    </w:rPr>
  </w:style>
  <w:style w:type="character" w:customStyle="1" w:styleId="183">
    <w:name w:val="尾注文本 字符"/>
    <w:link w:val="24"/>
    <w:qFormat/>
    <w:uiPriority w:val="99"/>
    <w:rPr>
      <w:rFonts w:ascii="Times New Roman" w:hAnsi="Times New Roman"/>
      <w:sz w:val="24"/>
      <w:szCs w:val="24"/>
    </w:rPr>
  </w:style>
  <w:style w:type="character" w:customStyle="1" w:styleId="184">
    <w:name w:val="尾注文本 字符1"/>
    <w:basedOn w:val="45"/>
    <w:qFormat/>
    <w:uiPriority w:val="99"/>
  </w:style>
  <w:style w:type="character" w:customStyle="1" w:styleId="185">
    <w:name w:val="表格 Char"/>
    <w:link w:val="186"/>
    <w:qFormat/>
    <w:uiPriority w:val="0"/>
    <w:rPr>
      <w:rFonts w:ascii="宋体" w:hAnsi="宋体"/>
      <w:szCs w:val="21"/>
    </w:rPr>
  </w:style>
  <w:style w:type="paragraph" w:customStyle="1" w:styleId="186">
    <w:name w:val="表格"/>
    <w:basedOn w:val="1"/>
    <w:link w:val="185"/>
    <w:qFormat/>
    <w:uiPriority w:val="0"/>
    <w:pPr>
      <w:widowControl/>
      <w:adjustRightInd w:val="0"/>
      <w:snapToGrid w:val="0"/>
      <w:spacing w:beforeLines="50" w:afterLines="30" w:line="312" w:lineRule="auto"/>
      <w:ind w:firstLine="200" w:firstLineChars="200"/>
      <w:jc w:val="center"/>
    </w:pPr>
    <w:rPr>
      <w:rFonts w:ascii="宋体" w:hAnsi="宋体"/>
      <w:szCs w:val="21"/>
    </w:rPr>
  </w:style>
  <w:style w:type="character" w:customStyle="1" w:styleId="187">
    <w:name w:val="可研正文 Char"/>
    <w:link w:val="188"/>
    <w:qFormat/>
    <w:uiPriority w:val="0"/>
    <w:rPr>
      <w:sz w:val="28"/>
    </w:rPr>
  </w:style>
  <w:style w:type="paragraph" w:customStyle="1" w:styleId="188">
    <w:name w:val="可研正文"/>
    <w:basedOn w:val="1"/>
    <w:link w:val="187"/>
    <w:qFormat/>
    <w:uiPriority w:val="0"/>
    <w:pPr>
      <w:widowControl/>
      <w:adjustRightInd w:val="0"/>
      <w:snapToGrid w:val="0"/>
      <w:spacing w:beforeLines="50" w:afterLines="30" w:line="360" w:lineRule="auto"/>
      <w:ind w:firstLine="560" w:firstLineChars="200"/>
    </w:pPr>
    <w:rPr>
      <w:sz w:val="28"/>
    </w:rPr>
  </w:style>
  <w:style w:type="character" w:customStyle="1" w:styleId="189">
    <w:name w:val="正文文本缩进 3 Char2"/>
    <w:qFormat/>
    <w:uiPriority w:val="99"/>
    <w:rPr>
      <w:rFonts w:cs="Calibri"/>
      <w:kern w:val="2"/>
      <w:sz w:val="16"/>
      <w:szCs w:val="16"/>
    </w:rPr>
  </w:style>
  <w:style w:type="paragraph" w:customStyle="1" w:styleId="190">
    <w:name w:val="标题4"/>
    <w:basedOn w:val="7"/>
    <w:qFormat/>
    <w:uiPriority w:val="0"/>
    <w:pPr>
      <w:widowControl/>
      <w:adjustRightInd w:val="0"/>
      <w:snapToGrid w:val="0"/>
      <w:spacing w:beforeLines="50" w:afterLines="30" w:line="360" w:lineRule="auto"/>
      <w:ind w:firstLine="640" w:firstLineChars="200"/>
    </w:pPr>
    <w:rPr>
      <w:rFonts w:ascii="Arial" w:hAnsi="Arial"/>
      <w:b w:val="0"/>
      <w:bCs w:val="0"/>
      <w:kern w:val="0"/>
      <w:sz w:val="24"/>
      <w:szCs w:val="24"/>
    </w:rPr>
  </w:style>
  <w:style w:type="paragraph" w:customStyle="1" w:styleId="191">
    <w:name w:val="样式 居中"/>
    <w:basedOn w:val="1"/>
    <w:qFormat/>
    <w:uiPriority w:val="0"/>
    <w:pPr>
      <w:widowControl/>
      <w:adjustRightInd w:val="0"/>
      <w:snapToGrid w:val="0"/>
      <w:spacing w:beforeLines="50" w:afterLines="30" w:line="288" w:lineRule="auto"/>
      <w:ind w:firstLine="200" w:firstLineChars="200"/>
      <w:jc w:val="center"/>
    </w:pPr>
    <w:rPr>
      <w:rFonts w:ascii="Times New Roman" w:hAnsi="Times New Roman" w:eastAsia="宋体" w:cs="宋体"/>
      <w:b/>
      <w:sz w:val="24"/>
      <w:szCs w:val="20"/>
    </w:rPr>
  </w:style>
  <w:style w:type="paragraph" w:customStyle="1" w:styleId="192">
    <w:name w:val="xl89"/>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50" w:beforeAutospacing="1" w:afterLines="30" w:afterAutospacing="1" w:line="312" w:lineRule="auto"/>
      <w:ind w:firstLine="200" w:firstLineChars="200"/>
      <w:jc w:val="center"/>
    </w:pPr>
    <w:rPr>
      <w:rFonts w:ascii="楷体_GB2312" w:hAnsi="宋体" w:eastAsia="楷体_GB2312" w:cs="宋体"/>
      <w:kern w:val="0"/>
      <w:sz w:val="18"/>
      <w:szCs w:val="18"/>
    </w:rPr>
  </w:style>
  <w:style w:type="paragraph" w:customStyle="1" w:styleId="193">
    <w:name w:val="默认段落字体 Para Char"/>
    <w:basedOn w:val="1"/>
    <w:qFormat/>
    <w:uiPriority w:val="0"/>
    <w:pPr>
      <w:widowControl/>
      <w:adjustRightInd w:val="0"/>
      <w:snapToGrid w:val="0"/>
      <w:spacing w:beforeLines="50" w:afterLines="30" w:line="312" w:lineRule="auto"/>
      <w:ind w:firstLine="200" w:firstLineChars="200"/>
    </w:pPr>
    <w:rPr>
      <w:rFonts w:ascii="Times New Roman" w:hAnsi="Times New Roman" w:eastAsia="宋体" w:cs="Times New Roman"/>
      <w:sz w:val="24"/>
      <w:szCs w:val="24"/>
    </w:rPr>
  </w:style>
  <w:style w:type="paragraph" w:customStyle="1" w:styleId="194">
    <w:name w:val="列出段落1"/>
    <w:basedOn w:val="1"/>
    <w:qFormat/>
    <w:uiPriority w:val="0"/>
    <w:pPr>
      <w:widowControl/>
      <w:adjustRightInd w:val="0"/>
      <w:snapToGrid w:val="0"/>
      <w:spacing w:beforeLines="50" w:afterLines="30" w:line="300" w:lineRule="auto"/>
      <w:ind w:firstLine="420" w:firstLineChars="200"/>
    </w:pPr>
    <w:rPr>
      <w:rFonts w:ascii="Calibri" w:hAnsi="Calibri" w:eastAsia="宋体" w:cs="黑体"/>
      <w:sz w:val="24"/>
      <w:szCs w:val="21"/>
    </w:rPr>
  </w:style>
  <w:style w:type="paragraph" w:customStyle="1" w:styleId="195">
    <w:name w:val="样式9"/>
    <w:basedOn w:val="4"/>
    <w:qFormat/>
    <w:uiPriority w:val="0"/>
    <w:pPr>
      <w:widowControl/>
      <w:adjustRightInd w:val="0"/>
      <w:snapToGrid w:val="0"/>
      <w:spacing w:beforeLines="50" w:afterLines="30"/>
      <w:ind w:firstLine="200" w:firstLineChars="200"/>
    </w:pPr>
    <w:rPr>
      <w:rFonts w:ascii="Times New Roman" w:hAnsi="Times New Roman" w:eastAsia="黑体" w:cs="Times New Roman"/>
      <w:b w:val="0"/>
      <w:sz w:val="30"/>
      <w:szCs w:val="32"/>
    </w:rPr>
  </w:style>
  <w:style w:type="paragraph" w:customStyle="1" w:styleId="196">
    <w:name w:val="TOC 标题1"/>
    <w:basedOn w:val="4"/>
    <w:next w:val="1"/>
    <w:qFormat/>
    <w:uiPriority w:val="39"/>
    <w:pPr>
      <w:widowControl/>
      <w:adjustRightInd w:val="0"/>
      <w:snapToGrid w:val="0"/>
      <w:spacing w:beforeLines="50" w:afterLines="30" w:line="276" w:lineRule="auto"/>
      <w:ind w:firstLine="200" w:firstLineChars="200"/>
      <w:jc w:val="left"/>
      <w:outlineLvl w:val="9"/>
    </w:pPr>
    <w:rPr>
      <w:rFonts w:ascii="Cambria" w:hAnsi="Cambria" w:eastAsia="宋体" w:cs="黑体"/>
      <w:b w:val="0"/>
      <w:color w:val="365F90"/>
      <w:kern w:val="0"/>
      <w:sz w:val="28"/>
      <w:szCs w:val="28"/>
    </w:rPr>
  </w:style>
  <w:style w:type="paragraph" w:customStyle="1" w:styleId="197">
    <w:name w:val="表头和图尾"/>
    <w:basedOn w:val="1"/>
    <w:next w:val="1"/>
    <w:qFormat/>
    <w:uiPriority w:val="0"/>
    <w:pPr>
      <w:widowControl/>
      <w:adjustRightInd w:val="0"/>
      <w:snapToGrid w:val="0"/>
      <w:spacing w:beforeLines="50" w:afterLines="50" w:line="312" w:lineRule="auto"/>
      <w:ind w:firstLine="200" w:firstLineChars="200"/>
      <w:jc w:val="center"/>
    </w:pPr>
    <w:rPr>
      <w:rFonts w:ascii="Times New Roman" w:hAnsi="Times New Roman" w:eastAsia="宋体" w:cs="Times New Roman"/>
      <w:sz w:val="24"/>
      <w:szCs w:val="24"/>
    </w:rPr>
  </w:style>
  <w:style w:type="paragraph" w:customStyle="1" w:styleId="198">
    <w:name w:val="表头图尾"/>
    <w:basedOn w:val="1"/>
    <w:qFormat/>
    <w:uiPriority w:val="0"/>
    <w:pPr>
      <w:widowControl/>
      <w:adjustRightInd w:val="0"/>
      <w:snapToGrid w:val="0"/>
      <w:spacing w:beforeLines="50" w:afterLines="30" w:line="288" w:lineRule="auto"/>
      <w:ind w:firstLine="200" w:firstLineChars="200"/>
      <w:jc w:val="center"/>
    </w:pPr>
    <w:rPr>
      <w:rFonts w:ascii="宋体" w:hAnsi="宋体" w:eastAsia="宋体" w:cs="Times New Roman"/>
      <w:b/>
      <w:sz w:val="24"/>
      <w:szCs w:val="21"/>
    </w:rPr>
  </w:style>
  <w:style w:type="paragraph" w:customStyle="1" w:styleId="199">
    <w:name w:val="资料来源"/>
    <w:basedOn w:val="1"/>
    <w:next w:val="1"/>
    <w:qFormat/>
    <w:uiPriority w:val="0"/>
    <w:pPr>
      <w:widowControl/>
      <w:adjustRightInd w:val="0"/>
      <w:snapToGrid w:val="0"/>
      <w:spacing w:beforeLines="50" w:afterLines="30" w:line="312" w:lineRule="auto"/>
      <w:ind w:firstLine="200" w:firstLineChars="200"/>
      <w:jc w:val="left"/>
    </w:pPr>
    <w:rPr>
      <w:rFonts w:ascii="Times New Roman" w:hAnsi="Times New Roman" w:eastAsia="宋体" w:cs="Times New Roman"/>
      <w:kern w:val="0"/>
      <w:sz w:val="24"/>
      <w:szCs w:val="24"/>
    </w:rPr>
  </w:style>
  <w:style w:type="paragraph" w:customStyle="1" w:styleId="200">
    <w:name w:val="CM60"/>
    <w:basedOn w:val="85"/>
    <w:next w:val="85"/>
    <w:qFormat/>
    <w:uiPriority w:val="0"/>
    <w:pPr>
      <w:spacing w:after="58"/>
    </w:pPr>
    <w:rPr>
      <w:rFonts w:ascii="华文中宋" w:hAnsi="Calibri" w:eastAsia="华文中宋" w:cs="华文中宋"/>
      <w:color w:val="auto"/>
      <w:kern w:val="2"/>
    </w:rPr>
  </w:style>
  <w:style w:type="paragraph" w:customStyle="1" w:styleId="201">
    <w:name w:val="正文缩进正"/>
    <w:basedOn w:val="1"/>
    <w:qFormat/>
    <w:uiPriority w:val="0"/>
    <w:pPr>
      <w:widowControl/>
      <w:adjustRightInd w:val="0"/>
      <w:snapToGrid w:val="0"/>
      <w:spacing w:beforeLines="50" w:afterLines="30" w:line="312" w:lineRule="auto"/>
      <w:ind w:firstLine="480" w:firstLineChars="200"/>
    </w:pPr>
    <w:rPr>
      <w:rFonts w:ascii="Times New Roman" w:hAnsi="Times New Roman" w:eastAsia="宋体" w:cs="Times New Roman"/>
      <w:sz w:val="28"/>
      <w:szCs w:val="24"/>
    </w:rPr>
  </w:style>
  <w:style w:type="paragraph" w:customStyle="1" w:styleId="202">
    <w:name w:val="样式 宋体 小四 行距: 多倍行距 1.3 字行"/>
    <w:basedOn w:val="1"/>
    <w:qFormat/>
    <w:uiPriority w:val="0"/>
    <w:pPr>
      <w:widowControl/>
      <w:adjustRightInd w:val="0"/>
      <w:snapToGrid w:val="0"/>
      <w:spacing w:beforeLines="50" w:afterLines="30" w:line="312" w:lineRule="auto"/>
      <w:ind w:firstLine="480" w:firstLineChars="200"/>
    </w:pPr>
    <w:rPr>
      <w:rFonts w:ascii="宋体" w:hAnsi="宋体" w:eastAsia="宋体" w:cs="Times New Roman"/>
      <w:sz w:val="24"/>
      <w:szCs w:val="24"/>
    </w:rPr>
  </w:style>
  <w:style w:type="paragraph" w:customStyle="1" w:styleId="203">
    <w:name w:val="样式 样式 样式 标题 2 + 华文细黑 + 段前: 2 行 段后: 2 行 + 段前: 1.5 行 段后: 1.5 行"/>
    <w:basedOn w:val="1"/>
    <w:qFormat/>
    <w:uiPriority w:val="0"/>
    <w:pPr>
      <w:keepNext/>
      <w:keepLines/>
      <w:widowControl/>
      <w:adjustRightInd w:val="0"/>
      <w:snapToGrid w:val="0"/>
      <w:spacing w:beforeLines="70" w:afterLines="70" w:line="360" w:lineRule="auto"/>
      <w:ind w:firstLine="200" w:firstLineChars="200"/>
      <w:outlineLvl w:val="1"/>
    </w:pPr>
    <w:rPr>
      <w:rFonts w:ascii="华文细黑" w:hAnsi="华文细黑" w:eastAsia="华文细黑" w:cs="宋体"/>
      <w:b/>
      <w:bCs/>
      <w:sz w:val="28"/>
      <w:szCs w:val="20"/>
    </w:rPr>
  </w:style>
  <w:style w:type="paragraph" w:customStyle="1" w:styleId="204">
    <w:name w:val="样式 标题 2 + 华文细黑"/>
    <w:basedOn w:val="5"/>
    <w:qFormat/>
    <w:uiPriority w:val="0"/>
    <w:pPr>
      <w:widowControl/>
      <w:adjustRightInd w:val="0"/>
      <w:snapToGrid w:val="0"/>
      <w:spacing w:beforeLines="200" w:afterLines="200" w:line="360" w:lineRule="auto"/>
      <w:ind w:left="539" w:hanging="539" w:firstLineChars="200"/>
    </w:pPr>
    <w:rPr>
      <w:rFonts w:ascii="华文细黑" w:hAnsi="华文细黑" w:eastAsia="华文细黑" w:cs="Times New Roman"/>
      <w:b w:val="0"/>
      <w:kern w:val="0"/>
      <w:sz w:val="28"/>
    </w:rPr>
  </w:style>
  <w:style w:type="paragraph" w:customStyle="1" w:styleId="205">
    <w:name w:val="正文文本格式"/>
    <w:basedOn w:val="1"/>
    <w:qFormat/>
    <w:uiPriority w:val="0"/>
    <w:pPr>
      <w:widowControl/>
      <w:adjustRightInd w:val="0"/>
      <w:snapToGrid w:val="0"/>
      <w:spacing w:beforeLines="50" w:afterLines="30" w:line="360" w:lineRule="auto"/>
      <w:ind w:firstLine="425" w:firstLineChars="177"/>
      <w:jc w:val="left"/>
    </w:pPr>
    <w:rPr>
      <w:rFonts w:ascii="Times New Roman" w:hAnsi="Times New Roman" w:eastAsia="宋体" w:cs="Times New Roman"/>
      <w:sz w:val="24"/>
      <w:szCs w:val="24"/>
    </w:rPr>
  </w:style>
  <w:style w:type="paragraph" w:customStyle="1" w:styleId="206">
    <w:name w:val="首行缩进2字符"/>
    <w:basedOn w:val="1"/>
    <w:qFormat/>
    <w:uiPriority w:val="99"/>
    <w:pPr>
      <w:widowControl/>
      <w:adjustRightInd w:val="0"/>
      <w:snapToGrid w:val="0"/>
      <w:spacing w:beforeLines="50" w:afterLines="30" w:line="360" w:lineRule="auto"/>
      <w:ind w:firstLine="420" w:firstLineChars="200"/>
    </w:pPr>
    <w:rPr>
      <w:rFonts w:ascii="Calibri" w:hAnsi="Calibri" w:eastAsia="宋体" w:cs="Times New Roman"/>
      <w:sz w:val="24"/>
      <w:szCs w:val="21"/>
    </w:rPr>
  </w:style>
  <w:style w:type="paragraph" w:customStyle="1" w:styleId="207">
    <w:name w:val="无间隔1"/>
    <w:next w:val="1"/>
    <w:qFormat/>
    <w:uiPriority w:val="1"/>
    <w:pPr>
      <w:widowControl w:val="0"/>
      <w:spacing w:beforeLines="50"/>
      <w:ind w:firstLine="200" w:firstLineChars="200"/>
      <w:jc w:val="both"/>
    </w:pPr>
    <w:rPr>
      <w:rFonts w:ascii="Calibri" w:hAnsi="Calibri" w:eastAsia="宋体" w:cs="Times New Roman"/>
      <w:b/>
      <w:kern w:val="2"/>
      <w:sz w:val="24"/>
      <w:szCs w:val="22"/>
      <w:lang w:val="en-US" w:eastAsia="zh-CN" w:bidi="ar-SA"/>
    </w:rPr>
  </w:style>
  <w:style w:type="paragraph" w:customStyle="1" w:styleId="208">
    <w:name w:val="标题C3"/>
    <w:next w:val="1"/>
    <w:qFormat/>
    <w:uiPriority w:val="0"/>
    <w:pPr>
      <w:spacing w:beforeLines="50" w:after="50"/>
      <w:ind w:firstLine="284" w:firstLineChars="101"/>
      <w:jc w:val="both"/>
      <w:outlineLvl w:val="2"/>
    </w:pPr>
    <w:rPr>
      <w:rFonts w:ascii="宋体" w:hAnsi="宋体" w:eastAsia="宋体" w:cs="Times New Roman"/>
      <w:b/>
      <w:color w:val="000000"/>
      <w:kern w:val="2"/>
      <w:sz w:val="28"/>
      <w:szCs w:val="28"/>
      <w:lang w:val="en-US" w:eastAsia="zh-CN" w:bidi="ar-SA"/>
    </w:rPr>
  </w:style>
  <w:style w:type="paragraph" w:customStyle="1" w:styleId="209">
    <w:name w:val="表文字"/>
    <w:basedOn w:val="1"/>
    <w:qFormat/>
    <w:uiPriority w:val="0"/>
    <w:pPr>
      <w:widowControl/>
      <w:adjustRightInd w:val="0"/>
      <w:snapToGrid w:val="0"/>
      <w:spacing w:beforeLines="50" w:afterLines="30" w:line="312" w:lineRule="auto"/>
      <w:ind w:firstLine="200" w:firstLineChars="200"/>
      <w:jc w:val="center"/>
    </w:pPr>
    <w:rPr>
      <w:rFonts w:ascii="Times New Roman" w:hAnsi="Times New Roman" w:eastAsia="宋体" w:cs="Times New Roman"/>
      <w:sz w:val="24"/>
      <w:szCs w:val="28"/>
    </w:rPr>
  </w:style>
  <w:style w:type="paragraph" w:customStyle="1" w:styleId="210">
    <w:name w:val="标题C2"/>
    <w:qFormat/>
    <w:uiPriority w:val="0"/>
    <w:pPr>
      <w:spacing w:beforeLines="50" w:afterLines="100"/>
      <w:ind w:firstLine="200" w:firstLineChars="200"/>
      <w:jc w:val="both"/>
      <w:outlineLvl w:val="1"/>
    </w:pPr>
    <w:rPr>
      <w:rFonts w:ascii="Times New Roman" w:hAnsi="Times New Roman" w:eastAsia="黑体" w:cs="Times New Roman"/>
      <w:kern w:val="2"/>
      <w:sz w:val="30"/>
      <w:szCs w:val="30"/>
      <w:lang w:val="en-US" w:eastAsia="zh-CN" w:bidi="ar-SA"/>
    </w:rPr>
  </w:style>
  <w:style w:type="paragraph" w:customStyle="1" w:styleId="211">
    <w:name w:val="样式 样式 小标题7 + Arial 段前: 0.2 行 + 段前: 0.2 行"/>
    <w:basedOn w:val="1"/>
    <w:qFormat/>
    <w:uiPriority w:val="0"/>
    <w:pPr>
      <w:widowControl/>
      <w:tabs>
        <w:tab w:val="left" w:pos="454"/>
      </w:tabs>
      <w:adjustRightInd w:val="0"/>
      <w:snapToGrid w:val="0"/>
      <w:spacing w:beforeLines="20" w:afterLines="30" w:line="360" w:lineRule="auto"/>
      <w:ind w:left="454" w:firstLine="200" w:firstLineChars="200"/>
    </w:pPr>
    <w:rPr>
      <w:rFonts w:ascii="Arial" w:hAnsi="Arial" w:eastAsia="宋体" w:cs="宋体"/>
      <w:sz w:val="24"/>
      <w:szCs w:val="20"/>
    </w:rPr>
  </w:style>
  <w:style w:type="paragraph" w:customStyle="1" w:styleId="212">
    <w:name w:val="标题4-wcg"/>
    <w:basedOn w:val="1"/>
    <w:next w:val="1"/>
    <w:qFormat/>
    <w:uiPriority w:val="0"/>
    <w:pPr>
      <w:widowControl/>
      <w:adjustRightInd w:val="0"/>
      <w:snapToGrid w:val="0"/>
      <w:spacing w:beforeLines="50" w:afterLines="30" w:line="312" w:lineRule="auto"/>
      <w:ind w:firstLine="200" w:firstLineChars="200"/>
      <w:outlineLvl w:val="3"/>
    </w:pPr>
    <w:rPr>
      <w:rFonts w:ascii="Times New Roman" w:hAnsi="Times New Roman" w:eastAsia="黑体" w:cs="Times New Roman"/>
      <w:color w:val="000000"/>
      <w:sz w:val="24"/>
      <w:szCs w:val="24"/>
    </w:rPr>
  </w:style>
  <w:style w:type="paragraph" w:customStyle="1" w:styleId="213">
    <w:name w:val="表-文字"/>
    <w:basedOn w:val="1"/>
    <w:qFormat/>
    <w:uiPriority w:val="0"/>
    <w:pPr>
      <w:widowControl/>
      <w:adjustRightInd w:val="0"/>
      <w:snapToGrid w:val="0"/>
      <w:spacing w:beforeLines="50" w:afterLines="30" w:line="312" w:lineRule="auto"/>
      <w:ind w:firstLine="200" w:firstLineChars="200"/>
      <w:jc w:val="center"/>
    </w:pPr>
    <w:rPr>
      <w:rFonts w:hint="eastAsia" w:ascii="宋体" w:hAnsi="宋体" w:eastAsia="宋体" w:cs="Times New Roman"/>
      <w:kern w:val="0"/>
      <w:sz w:val="24"/>
      <w:szCs w:val="25"/>
    </w:rPr>
  </w:style>
  <w:style w:type="paragraph" w:customStyle="1" w:styleId="214">
    <w:name w:val="CM8"/>
    <w:basedOn w:val="85"/>
    <w:next w:val="85"/>
    <w:qFormat/>
    <w:uiPriority w:val="0"/>
    <w:pPr>
      <w:spacing w:line="471" w:lineRule="atLeast"/>
    </w:pPr>
    <w:rPr>
      <w:rFonts w:hAnsi="Calibri"/>
      <w:color w:val="auto"/>
      <w:kern w:val="2"/>
    </w:rPr>
  </w:style>
  <w:style w:type="paragraph" w:customStyle="1" w:styleId="215">
    <w:name w:val="标题C1"/>
    <w:qFormat/>
    <w:uiPriority w:val="0"/>
    <w:pPr>
      <w:pageBreakBefore/>
      <w:spacing w:beforeLines="50" w:afterLines="100"/>
      <w:ind w:firstLine="200" w:firstLineChars="200"/>
      <w:jc w:val="center"/>
      <w:outlineLvl w:val="0"/>
    </w:pPr>
    <w:rPr>
      <w:rFonts w:ascii="黑体" w:hAnsi="黑体" w:eastAsia="黑体" w:cs="Times New Roman"/>
      <w:color w:val="000000"/>
      <w:kern w:val="2"/>
      <w:sz w:val="32"/>
      <w:szCs w:val="28"/>
      <w:lang w:val="en-US" w:eastAsia="zh-CN" w:bidi="ar-SA"/>
    </w:rPr>
  </w:style>
  <w:style w:type="paragraph" w:customStyle="1" w:styleId="216">
    <w:name w:val="样式 样式2 + 首行缩进:  2 字符"/>
    <w:basedOn w:val="1"/>
    <w:qFormat/>
    <w:uiPriority w:val="0"/>
    <w:pPr>
      <w:widowControl/>
      <w:adjustRightInd w:val="0"/>
      <w:snapToGrid w:val="0"/>
      <w:spacing w:beforeLines="50" w:afterLines="30" w:line="360" w:lineRule="auto"/>
      <w:ind w:firstLine="200" w:firstLineChars="200"/>
      <w:jc w:val="center"/>
      <w:textAlignment w:val="baseline"/>
    </w:pPr>
    <w:rPr>
      <w:rFonts w:ascii="Times New Roman" w:hAnsi="Times New Roman" w:eastAsia="宋体" w:cs="宋体"/>
      <w:color w:val="000000"/>
      <w:kern w:val="0"/>
      <w:sz w:val="24"/>
      <w:szCs w:val="20"/>
    </w:rPr>
  </w:style>
  <w:style w:type="paragraph" w:customStyle="1" w:styleId="217">
    <w:name w:val="表格标题"/>
    <w:basedOn w:val="1"/>
    <w:qFormat/>
    <w:uiPriority w:val="0"/>
    <w:pPr>
      <w:widowControl/>
      <w:adjustRightInd w:val="0"/>
      <w:snapToGrid w:val="0"/>
      <w:spacing w:beforeLines="100" w:afterLines="20" w:line="312" w:lineRule="auto"/>
      <w:ind w:firstLine="200" w:firstLineChars="200"/>
      <w:jc w:val="center"/>
    </w:pPr>
    <w:rPr>
      <w:rFonts w:ascii="黑体" w:hAnsi="Times New Roman" w:eastAsia="黑体" w:cs="Times New Roman"/>
      <w:snapToGrid w:val="0"/>
      <w:color w:val="000000"/>
      <w:kern w:val="0"/>
      <w:sz w:val="24"/>
      <w:szCs w:val="21"/>
    </w:rPr>
  </w:style>
  <w:style w:type="paragraph" w:customStyle="1" w:styleId="218">
    <w:name w:val="样式4"/>
    <w:basedOn w:val="5"/>
    <w:qFormat/>
    <w:uiPriority w:val="0"/>
    <w:pPr>
      <w:widowControl/>
      <w:adjustRightInd w:val="0"/>
      <w:snapToGrid w:val="0"/>
      <w:spacing w:beforeLines="50" w:afterLines="30"/>
      <w:ind w:firstLine="200" w:firstLineChars="200"/>
    </w:pPr>
    <w:rPr>
      <w:rFonts w:ascii="Arial" w:hAnsi="Arial" w:eastAsia="黑体" w:cs="Times New Roman"/>
      <w:kern w:val="0"/>
      <w:sz w:val="24"/>
    </w:rPr>
  </w:style>
  <w:style w:type="paragraph" w:customStyle="1" w:styleId="219">
    <w:name w:val="表文"/>
    <w:basedOn w:val="1"/>
    <w:qFormat/>
    <w:uiPriority w:val="0"/>
    <w:pPr>
      <w:framePr w:hSpace="180" w:wrap="notBeside" w:vAnchor="text" w:hAnchor="margin" w:y="314"/>
      <w:widowControl/>
      <w:adjustRightInd w:val="0"/>
      <w:snapToGrid w:val="0"/>
      <w:spacing w:beforeLines="50" w:afterLines="30" w:line="320" w:lineRule="exact"/>
      <w:ind w:firstLine="200" w:firstLineChars="200"/>
    </w:pPr>
    <w:rPr>
      <w:rFonts w:ascii="宋体" w:hAnsi="宋体" w:eastAsia="宋体" w:cs="Times New Roman"/>
      <w:sz w:val="24"/>
      <w:szCs w:val="24"/>
    </w:rPr>
  </w:style>
  <w:style w:type="paragraph" w:customStyle="1" w:styleId="220">
    <w:name w:val="表头"/>
    <w:basedOn w:val="1"/>
    <w:qFormat/>
    <w:uiPriority w:val="0"/>
    <w:pPr>
      <w:widowControl/>
      <w:autoSpaceDE w:val="0"/>
      <w:autoSpaceDN w:val="0"/>
      <w:adjustRightInd w:val="0"/>
      <w:snapToGrid w:val="0"/>
      <w:spacing w:beforeLines="50" w:afterLines="30" w:line="318" w:lineRule="atLeast"/>
      <w:ind w:firstLine="200" w:firstLineChars="200"/>
      <w:jc w:val="center"/>
      <w:textAlignment w:val="baseline"/>
    </w:pPr>
    <w:rPr>
      <w:rFonts w:ascii="宋体" w:hAnsi="Times New Roman" w:eastAsia="宋体" w:cs="Times New Roman"/>
      <w:kern w:val="0"/>
      <w:sz w:val="24"/>
      <w:szCs w:val="20"/>
    </w:rPr>
  </w:style>
  <w:style w:type="paragraph" w:customStyle="1" w:styleId="221">
    <w:name w:val="CM53"/>
    <w:basedOn w:val="85"/>
    <w:next w:val="85"/>
    <w:qFormat/>
    <w:uiPriority w:val="0"/>
    <w:pPr>
      <w:spacing w:after="320"/>
    </w:pPr>
    <w:rPr>
      <w:rFonts w:ascii="华文中宋" w:hAnsi="Calibri" w:eastAsia="华文中宋"/>
      <w:color w:val="auto"/>
      <w:kern w:val="2"/>
    </w:rPr>
  </w:style>
  <w:style w:type="paragraph" w:customStyle="1" w:styleId="222">
    <w:name w:val="图题"/>
    <w:basedOn w:val="1"/>
    <w:qFormat/>
    <w:uiPriority w:val="0"/>
    <w:pPr>
      <w:widowControl/>
      <w:adjustRightInd w:val="0"/>
      <w:snapToGrid w:val="0"/>
      <w:spacing w:beforeLines="50" w:afterLines="30" w:line="312" w:lineRule="auto"/>
      <w:ind w:firstLine="200" w:firstLineChars="200"/>
      <w:jc w:val="center"/>
    </w:pPr>
    <w:rPr>
      <w:rFonts w:ascii="宋体" w:hAnsi="宋体" w:eastAsia="宋体" w:cs="Times New Roman"/>
      <w:color w:val="000000"/>
      <w:sz w:val="24"/>
      <w:szCs w:val="21"/>
    </w:rPr>
  </w:style>
  <w:style w:type="paragraph" w:customStyle="1" w:styleId="223">
    <w:name w:val="图"/>
    <w:basedOn w:val="1"/>
    <w:next w:val="1"/>
    <w:qFormat/>
    <w:uiPriority w:val="0"/>
    <w:pPr>
      <w:widowControl/>
      <w:adjustRightInd w:val="0"/>
      <w:snapToGrid w:val="0"/>
      <w:spacing w:beforeLines="50" w:afterLines="30" w:line="312" w:lineRule="auto"/>
      <w:ind w:firstLine="200" w:firstLineChars="200"/>
      <w:jc w:val="center"/>
    </w:pPr>
    <w:rPr>
      <w:rFonts w:ascii="Times New Roman" w:hAnsi="Times New Roman" w:eastAsia="宋体" w:cs="Times New Roman"/>
      <w:sz w:val="24"/>
      <w:szCs w:val="24"/>
    </w:rPr>
  </w:style>
  <w:style w:type="paragraph" w:customStyle="1" w:styleId="224">
    <w:name w:val="CM51"/>
    <w:basedOn w:val="85"/>
    <w:next w:val="85"/>
    <w:qFormat/>
    <w:uiPriority w:val="0"/>
    <w:pPr>
      <w:spacing w:after="478"/>
    </w:pPr>
    <w:rPr>
      <w:rFonts w:ascii="华文中宋" w:hAnsi="Calibri" w:eastAsia="华文中宋"/>
      <w:color w:val="auto"/>
      <w:kern w:val="2"/>
    </w:rPr>
  </w:style>
  <w:style w:type="paragraph" w:customStyle="1" w:styleId="225">
    <w:name w:val="样式 样式 样式 小标题7 + Arial 段前: 0.2 行 + 段前: 0.2 行 + 段前: 0.2 行"/>
    <w:basedOn w:val="211"/>
    <w:qFormat/>
    <w:uiPriority w:val="0"/>
    <w:pPr>
      <w:ind w:hanging="454"/>
    </w:pPr>
  </w:style>
  <w:style w:type="paragraph" w:customStyle="1" w:styleId="226">
    <w:name w:val="font5"/>
    <w:basedOn w:val="1"/>
    <w:qFormat/>
    <w:uiPriority w:val="0"/>
    <w:pPr>
      <w:widowControl/>
      <w:adjustRightInd w:val="0"/>
      <w:snapToGrid w:val="0"/>
      <w:spacing w:beforeLines="50" w:beforeAutospacing="1" w:afterLines="30" w:afterAutospacing="1" w:line="312" w:lineRule="auto"/>
      <w:ind w:firstLine="200" w:firstLineChars="200"/>
      <w:jc w:val="left"/>
    </w:pPr>
    <w:rPr>
      <w:rFonts w:ascii="宋体" w:hAnsi="宋体" w:eastAsia="宋体" w:cs="宋体"/>
      <w:kern w:val="0"/>
      <w:sz w:val="18"/>
      <w:szCs w:val="18"/>
    </w:rPr>
  </w:style>
  <w:style w:type="paragraph" w:customStyle="1" w:styleId="227">
    <w:name w:val="样式 行距: 1.5 倍行距"/>
    <w:basedOn w:val="1"/>
    <w:qFormat/>
    <w:uiPriority w:val="0"/>
    <w:pPr>
      <w:widowControl/>
      <w:adjustRightInd w:val="0"/>
      <w:snapToGrid w:val="0"/>
      <w:spacing w:beforeLines="50" w:afterLines="30" w:line="360" w:lineRule="auto"/>
      <w:ind w:firstLine="420" w:firstLineChars="200"/>
    </w:pPr>
    <w:rPr>
      <w:rFonts w:ascii="Times New Roman" w:hAnsi="Times New Roman" w:eastAsia="宋体" w:cs="宋体"/>
      <w:sz w:val="24"/>
      <w:szCs w:val="20"/>
    </w:rPr>
  </w:style>
  <w:style w:type="paragraph" w:customStyle="1" w:styleId="228">
    <w:name w:val="ref_图"/>
    <w:next w:val="1"/>
    <w:qFormat/>
    <w:uiPriority w:val="0"/>
    <w:pPr>
      <w:spacing w:beforeLines="50"/>
      <w:ind w:firstLine="200" w:firstLineChars="200"/>
      <w:jc w:val="center"/>
    </w:pPr>
    <w:rPr>
      <w:rFonts w:ascii="Times New Roman" w:hAnsi="Times New Roman" w:eastAsia="宋体" w:cs="Times New Roman"/>
      <w:kern w:val="2"/>
      <w:lang w:val="en-US" w:eastAsia="zh-CN" w:bidi="ar-SA"/>
    </w:rPr>
  </w:style>
  <w:style w:type="paragraph" w:customStyle="1" w:styleId="229">
    <w:name w:val="ref_正文"/>
    <w:basedOn w:val="1"/>
    <w:qFormat/>
    <w:uiPriority w:val="0"/>
    <w:pPr>
      <w:widowControl/>
      <w:adjustRightInd w:val="0"/>
      <w:snapToGrid w:val="0"/>
      <w:spacing w:beforeLines="50" w:afterLines="30" w:line="400" w:lineRule="exact"/>
      <w:ind w:firstLine="480" w:firstLineChars="200"/>
    </w:pPr>
    <w:rPr>
      <w:rFonts w:ascii="Calibri" w:hAnsi="Calibri" w:eastAsia="宋体" w:cs="宋体"/>
      <w:sz w:val="24"/>
      <w:szCs w:val="20"/>
    </w:rPr>
  </w:style>
  <w:style w:type="paragraph" w:customStyle="1" w:styleId="230">
    <w:name w:val="CM55"/>
    <w:basedOn w:val="85"/>
    <w:next w:val="85"/>
    <w:qFormat/>
    <w:uiPriority w:val="0"/>
    <w:pPr>
      <w:spacing w:after="238"/>
    </w:pPr>
    <w:rPr>
      <w:rFonts w:ascii="华文中宋" w:hAnsi="Calibri" w:eastAsia="华文中宋"/>
      <w:color w:val="auto"/>
      <w:kern w:val="2"/>
    </w:rPr>
  </w:style>
  <w:style w:type="paragraph" w:customStyle="1" w:styleId="231">
    <w:name w:val="xl7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50" w:beforeAutospacing="1" w:afterLines="30" w:afterAutospacing="1" w:line="312" w:lineRule="auto"/>
      <w:ind w:firstLine="200" w:firstLineChars="200"/>
      <w:jc w:val="center"/>
      <w:textAlignment w:val="center"/>
    </w:pPr>
    <w:rPr>
      <w:rFonts w:ascii="宋体" w:hAnsi="宋体" w:eastAsia="宋体" w:cs="宋体"/>
      <w:kern w:val="0"/>
      <w:sz w:val="20"/>
      <w:szCs w:val="20"/>
    </w:rPr>
  </w:style>
  <w:style w:type="paragraph" w:customStyle="1" w:styleId="232">
    <w:name w:val="CM6"/>
    <w:basedOn w:val="85"/>
    <w:next w:val="85"/>
    <w:qFormat/>
    <w:uiPriority w:val="0"/>
    <w:pPr>
      <w:spacing w:line="468" w:lineRule="atLeast"/>
    </w:pPr>
    <w:rPr>
      <w:rFonts w:ascii="华文中宋" w:hAnsi="Calibri" w:eastAsia="华文中宋" w:cs="华文中宋"/>
      <w:color w:val="auto"/>
      <w:kern w:val="2"/>
    </w:rPr>
  </w:style>
  <w:style w:type="paragraph" w:customStyle="1" w:styleId="233">
    <w:name w:val="CM7"/>
    <w:basedOn w:val="85"/>
    <w:next w:val="85"/>
    <w:qFormat/>
    <w:uiPriority w:val="0"/>
    <w:rPr>
      <w:rFonts w:ascii="华文中宋" w:hAnsi="Calibri" w:eastAsia="华文中宋" w:cs="华文中宋"/>
      <w:color w:val="auto"/>
      <w:kern w:val="2"/>
    </w:rPr>
  </w:style>
  <w:style w:type="paragraph" w:customStyle="1" w:styleId="234">
    <w:name w:val="CM9"/>
    <w:basedOn w:val="85"/>
    <w:next w:val="85"/>
    <w:qFormat/>
    <w:uiPriority w:val="0"/>
    <w:pPr>
      <w:spacing w:line="468" w:lineRule="atLeast"/>
    </w:pPr>
    <w:rPr>
      <w:rFonts w:ascii="华文中宋" w:hAnsi="Calibri" w:eastAsia="华文中宋" w:cs="华文中宋"/>
      <w:color w:val="auto"/>
      <w:kern w:val="2"/>
    </w:rPr>
  </w:style>
  <w:style w:type="paragraph" w:customStyle="1" w:styleId="235">
    <w:name w:val="xl78"/>
    <w:basedOn w:val="1"/>
    <w:qFormat/>
    <w:uiPriority w:val="0"/>
    <w:pPr>
      <w:widowControl/>
      <w:pBdr>
        <w:top w:val="single" w:color="auto" w:sz="4" w:space="0"/>
        <w:left w:val="single" w:color="auto" w:sz="4" w:space="0"/>
        <w:bottom w:val="single" w:color="auto" w:sz="4" w:space="0"/>
      </w:pBdr>
      <w:adjustRightInd w:val="0"/>
      <w:snapToGrid w:val="0"/>
      <w:spacing w:beforeLines="50" w:beforeAutospacing="1" w:afterLines="30" w:afterAutospacing="1" w:line="312" w:lineRule="auto"/>
      <w:ind w:firstLine="200" w:firstLineChars="200"/>
      <w:jc w:val="left"/>
    </w:pPr>
    <w:rPr>
      <w:rFonts w:ascii="宋体" w:hAnsi="宋体" w:eastAsia="宋体" w:cs="宋体"/>
      <w:kern w:val="0"/>
      <w:sz w:val="24"/>
      <w:szCs w:val="24"/>
    </w:rPr>
  </w:style>
  <w:style w:type="paragraph" w:customStyle="1" w:styleId="236">
    <w:name w:val="表格文字左对齐"/>
    <w:basedOn w:val="1"/>
    <w:qFormat/>
    <w:uiPriority w:val="0"/>
    <w:pPr>
      <w:widowControl/>
      <w:tabs>
        <w:tab w:val="left" w:pos="-108"/>
      </w:tabs>
      <w:adjustRightInd w:val="0"/>
      <w:snapToGrid w:val="0"/>
      <w:spacing w:beforeLines="50" w:afterLines="30" w:line="260" w:lineRule="exact"/>
      <w:ind w:firstLine="200" w:firstLineChars="200"/>
    </w:pPr>
    <w:rPr>
      <w:rFonts w:ascii="Times New Roman" w:hAnsi="Times New Roman" w:eastAsia="宋体" w:cs="Times New Roman"/>
      <w:snapToGrid w:val="0"/>
      <w:spacing w:val="-6"/>
      <w:kern w:val="0"/>
      <w:sz w:val="18"/>
      <w:szCs w:val="18"/>
    </w:rPr>
  </w:style>
  <w:style w:type="paragraph" w:customStyle="1" w:styleId="237">
    <w:name w:val="CM57"/>
    <w:basedOn w:val="85"/>
    <w:next w:val="85"/>
    <w:qFormat/>
    <w:uiPriority w:val="0"/>
    <w:pPr>
      <w:spacing w:after="425"/>
    </w:pPr>
    <w:rPr>
      <w:rFonts w:ascii="华文中宋" w:hAnsi="Calibri" w:eastAsia="华文中宋" w:cs="华文中宋"/>
      <w:color w:val="auto"/>
      <w:kern w:val="2"/>
    </w:rPr>
  </w:style>
  <w:style w:type="paragraph" w:customStyle="1" w:styleId="238">
    <w:name w:val="CM63"/>
    <w:basedOn w:val="85"/>
    <w:next w:val="85"/>
    <w:qFormat/>
    <w:uiPriority w:val="0"/>
    <w:pPr>
      <w:spacing w:after="968"/>
    </w:pPr>
    <w:rPr>
      <w:rFonts w:ascii="华文中宋" w:hAnsi="Calibri" w:eastAsia="华文中宋" w:cs="华文中宋"/>
      <w:color w:val="auto"/>
      <w:kern w:val="2"/>
    </w:rPr>
  </w:style>
  <w:style w:type="paragraph" w:customStyle="1" w:styleId="239">
    <w:name w:val="reader-word-layer"/>
    <w:basedOn w:val="1"/>
    <w:qFormat/>
    <w:uiPriority w:val="0"/>
    <w:pPr>
      <w:widowControl/>
      <w:adjustRightInd w:val="0"/>
      <w:snapToGrid w:val="0"/>
      <w:spacing w:beforeLines="50" w:beforeAutospacing="1" w:afterLines="30" w:afterAutospacing="1" w:line="312" w:lineRule="auto"/>
      <w:ind w:firstLine="200" w:firstLineChars="200"/>
      <w:jc w:val="left"/>
    </w:pPr>
    <w:rPr>
      <w:rFonts w:ascii="宋体" w:hAnsi="宋体" w:eastAsia="宋体" w:cs="宋体"/>
      <w:kern w:val="0"/>
      <w:sz w:val="24"/>
      <w:szCs w:val="24"/>
    </w:rPr>
  </w:style>
  <w:style w:type="paragraph" w:customStyle="1" w:styleId="240">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8DB4E3"/>
      <w:adjustRightInd w:val="0"/>
      <w:snapToGrid w:val="0"/>
      <w:spacing w:beforeLines="50" w:beforeAutospacing="1" w:afterLines="30" w:afterAutospacing="1" w:line="312" w:lineRule="auto"/>
      <w:ind w:firstLine="200" w:firstLineChars="200"/>
      <w:jc w:val="center"/>
      <w:textAlignment w:val="center"/>
    </w:pPr>
    <w:rPr>
      <w:rFonts w:ascii="宋体" w:hAnsi="宋体" w:eastAsia="宋体" w:cs="宋体"/>
      <w:b/>
      <w:bCs/>
      <w:color w:val="000000"/>
      <w:kern w:val="0"/>
      <w:sz w:val="24"/>
      <w:szCs w:val="21"/>
    </w:rPr>
  </w:style>
  <w:style w:type="paragraph" w:customStyle="1" w:styleId="241">
    <w:name w:val="样式 首行缩进:  2 字符"/>
    <w:basedOn w:val="1"/>
    <w:qFormat/>
    <w:uiPriority w:val="0"/>
    <w:pPr>
      <w:widowControl/>
      <w:adjustRightInd w:val="0"/>
      <w:snapToGrid w:val="0"/>
      <w:spacing w:beforeLines="50" w:afterLines="30" w:line="400" w:lineRule="exact"/>
      <w:ind w:firstLine="420" w:firstLineChars="200"/>
    </w:pPr>
    <w:rPr>
      <w:rFonts w:ascii="宋体" w:hAnsi="Times New Roman" w:eastAsia="宋体" w:cs="Times New Roman"/>
      <w:sz w:val="24"/>
      <w:szCs w:val="20"/>
    </w:rPr>
  </w:style>
  <w:style w:type="paragraph" w:customStyle="1" w:styleId="242">
    <w:name w:val="xl8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50" w:beforeAutospacing="1" w:afterLines="30" w:afterAutospacing="1" w:line="312" w:lineRule="auto"/>
      <w:ind w:firstLine="200" w:firstLineChars="200"/>
      <w:jc w:val="center"/>
    </w:pPr>
    <w:rPr>
      <w:rFonts w:ascii="楷体_GB2312" w:hAnsi="宋体" w:eastAsia="楷体_GB2312" w:cs="宋体"/>
      <w:color w:val="000000"/>
      <w:kern w:val="0"/>
      <w:sz w:val="18"/>
      <w:szCs w:val="18"/>
    </w:rPr>
  </w:style>
  <w:style w:type="paragraph" w:customStyle="1" w:styleId="243">
    <w:name w:val="表标题"/>
    <w:basedOn w:val="1"/>
    <w:next w:val="1"/>
    <w:qFormat/>
    <w:uiPriority w:val="0"/>
    <w:pPr>
      <w:widowControl/>
      <w:adjustRightInd w:val="0"/>
      <w:snapToGrid w:val="0"/>
      <w:spacing w:beforeLines="50" w:afterLines="30" w:line="312" w:lineRule="auto"/>
      <w:ind w:firstLine="420" w:firstLineChars="200"/>
      <w:jc w:val="center"/>
      <w:textAlignment w:val="baseline"/>
    </w:pPr>
    <w:rPr>
      <w:rFonts w:ascii="Arial" w:hAnsi="Arial" w:eastAsia="楷体_GB2312" w:cs="Arial"/>
      <w:kern w:val="0"/>
      <w:sz w:val="24"/>
      <w:szCs w:val="21"/>
    </w:rPr>
  </w:style>
  <w:style w:type="paragraph" w:customStyle="1" w:styleId="244">
    <w:name w:val="font14"/>
    <w:basedOn w:val="1"/>
    <w:qFormat/>
    <w:uiPriority w:val="0"/>
    <w:pPr>
      <w:widowControl/>
      <w:adjustRightInd w:val="0"/>
      <w:snapToGrid w:val="0"/>
      <w:spacing w:beforeLines="50" w:beforeAutospacing="1" w:afterLines="30" w:afterAutospacing="1" w:line="312" w:lineRule="auto"/>
      <w:ind w:firstLine="200" w:firstLineChars="200"/>
      <w:jc w:val="left"/>
    </w:pPr>
    <w:rPr>
      <w:rFonts w:ascii="宋体" w:hAnsi="宋体" w:eastAsia="宋体" w:cs="宋体"/>
      <w:b/>
      <w:bCs/>
      <w:color w:val="000000"/>
      <w:kern w:val="0"/>
      <w:sz w:val="20"/>
      <w:szCs w:val="20"/>
    </w:rPr>
  </w:style>
  <w:style w:type="paragraph" w:customStyle="1" w:styleId="245">
    <w:name w:val="样式 宋体 首行缩进:  2 字符 行距: 固定值 24 磅"/>
    <w:basedOn w:val="1"/>
    <w:qFormat/>
    <w:uiPriority w:val="0"/>
    <w:pPr>
      <w:widowControl/>
      <w:adjustRightInd w:val="0"/>
      <w:snapToGrid w:val="0"/>
      <w:spacing w:beforeLines="50" w:afterLines="30" w:line="360" w:lineRule="exact"/>
      <w:ind w:firstLine="420" w:firstLineChars="200"/>
    </w:pPr>
    <w:rPr>
      <w:rFonts w:ascii="宋体" w:hAnsi="宋体" w:eastAsia="宋体" w:cs="宋体"/>
      <w:sz w:val="24"/>
      <w:szCs w:val="20"/>
    </w:rPr>
  </w:style>
  <w:style w:type="paragraph" w:customStyle="1" w:styleId="246">
    <w:name w:val="样式 标题 2 + Times New Roman 三号 两端对齐 段前: 13 磅 段后: 0.5 行 行距: 1...."/>
    <w:basedOn w:val="5"/>
    <w:qFormat/>
    <w:uiPriority w:val="0"/>
    <w:pPr>
      <w:widowControl/>
      <w:adjustRightInd w:val="0"/>
      <w:snapToGrid w:val="0"/>
      <w:spacing w:beforeLines="50" w:afterLines="30" w:line="360" w:lineRule="auto"/>
      <w:ind w:left="2340" w:firstLine="200" w:firstLineChars="200"/>
      <w:jc w:val="center"/>
    </w:pPr>
    <w:rPr>
      <w:rFonts w:ascii="Times New Roman" w:hAnsi="Times New Roman" w:eastAsia="华文中宋" w:cs="宋体"/>
      <w:kern w:val="0"/>
      <w:sz w:val="44"/>
      <w:szCs w:val="20"/>
    </w:rPr>
  </w:style>
  <w:style w:type="paragraph" w:customStyle="1" w:styleId="247">
    <w:name w:val="font10"/>
    <w:basedOn w:val="1"/>
    <w:qFormat/>
    <w:uiPriority w:val="0"/>
    <w:pPr>
      <w:widowControl/>
      <w:adjustRightInd w:val="0"/>
      <w:snapToGrid w:val="0"/>
      <w:spacing w:beforeLines="50" w:beforeAutospacing="1" w:afterLines="30" w:afterAutospacing="1" w:line="312" w:lineRule="auto"/>
      <w:ind w:firstLine="200" w:firstLineChars="200"/>
      <w:jc w:val="left"/>
    </w:pPr>
    <w:rPr>
      <w:rFonts w:ascii="宋体" w:hAnsi="宋体" w:eastAsia="宋体" w:cs="宋体"/>
      <w:b/>
      <w:bCs/>
      <w:color w:val="000000"/>
      <w:kern w:val="0"/>
      <w:sz w:val="20"/>
      <w:szCs w:val="20"/>
    </w:rPr>
  </w:style>
  <w:style w:type="paragraph" w:customStyle="1" w:styleId="248">
    <w:name w:val="xl8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50" w:beforeAutospacing="1" w:afterLines="30" w:afterAutospacing="1" w:line="312" w:lineRule="auto"/>
      <w:ind w:firstLine="200" w:firstLineChars="200"/>
      <w:jc w:val="left"/>
    </w:pPr>
    <w:rPr>
      <w:rFonts w:ascii="Calibri" w:hAnsi="Calibri" w:eastAsia="宋体" w:cs="Calibri"/>
      <w:kern w:val="0"/>
      <w:sz w:val="20"/>
      <w:szCs w:val="20"/>
    </w:rPr>
  </w:style>
  <w:style w:type="paragraph" w:customStyle="1" w:styleId="249">
    <w:name w:val="样式 样式 (中文) 仿宋_GB2312 小四 行距: 固定值 20 磅 + 首行缩进:  2 字符"/>
    <w:basedOn w:val="1"/>
    <w:qFormat/>
    <w:uiPriority w:val="0"/>
    <w:pPr>
      <w:widowControl/>
      <w:adjustRightInd w:val="0"/>
      <w:snapToGrid w:val="0"/>
      <w:spacing w:beforeLines="50" w:afterLines="30" w:line="360" w:lineRule="auto"/>
      <w:ind w:firstLine="200" w:firstLineChars="200"/>
    </w:pPr>
    <w:rPr>
      <w:rFonts w:ascii="Times New Roman" w:hAnsi="Times New Roman" w:eastAsia="仿宋_GB2312" w:cs="宋体"/>
      <w:sz w:val="32"/>
      <w:szCs w:val="20"/>
    </w:rPr>
  </w:style>
  <w:style w:type="paragraph" w:customStyle="1" w:styleId="250">
    <w:name w:val="font13"/>
    <w:basedOn w:val="1"/>
    <w:qFormat/>
    <w:uiPriority w:val="0"/>
    <w:pPr>
      <w:widowControl/>
      <w:adjustRightInd w:val="0"/>
      <w:snapToGrid w:val="0"/>
      <w:spacing w:beforeLines="50" w:beforeAutospacing="1" w:afterLines="30" w:afterAutospacing="1" w:line="312" w:lineRule="auto"/>
      <w:ind w:firstLine="200" w:firstLineChars="200"/>
      <w:jc w:val="left"/>
    </w:pPr>
    <w:rPr>
      <w:rFonts w:ascii="宋体" w:hAnsi="宋体" w:eastAsia="宋体" w:cs="宋体"/>
      <w:b/>
      <w:bCs/>
      <w:color w:val="000000"/>
      <w:kern w:val="0"/>
      <w:sz w:val="20"/>
      <w:szCs w:val="20"/>
    </w:rPr>
  </w:style>
  <w:style w:type="paragraph" w:customStyle="1" w:styleId="251">
    <w:name w:val="p0"/>
    <w:basedOn w:val="1"/>
    <w:qFormat/>
    <w:uiPriority w:val="0"/>
    <w:pPr>
      <w:widowControl/>
      <w:adjustRightInd w:val="0"/>
      <w:snapToGrid w:val="0"/>
      <w:spacing w:beforeLines="50" w:beforeAutospacing="1" w:afterLines="30" w:afterAutospacing="1" w:line="312" w:lineRule="auto"/>
      <w:ind w:firstLine="200" w:firstLineChars="200"/>
      <w:jc w:val="left"/>
    </w:pPr>
    <w:rPr>
      <w:rFonts w:ascii="宋体" w:hAnsi="宋体" w:eastAsia="宋体" w:cs="宋体"/>
      <w:kern w:val="0"/>
      <w:sz w:val="24"/>
      <w:szCs w:val="24"/>
    </w:rPr>
  </w:style>
  <w:style w:type="paragraph" w:customStyle="1" w:styleId="252">
    <w:name w:val="font15"/>
    <w:basedOn w:val="1"/>
    <w:qFormat/>
    <w:uiPriority w:val="0"/>
    <w:pPr>
      <w:widowControl/>
      <w:adjustRightInd w:val="0"/>
      <w:snapToGrid w:val="0"/>
      <w:spacing w:beforeLines="50" w:beforeAutospacing="1" w:afterLines="30" w:afterAutospacing="1" w:line="312" w:lineRule="auto"/>
      <w:ind w:firstLine="200" w:firstLineChars="200"/>
      <w:jc w:val="left"/>
    </w:pPr>
    <w:rPr>
      <w:rFonts w:ascii="宋体" w:hAnsi="宋体" w:eastAsia="宋体" w:cs="宋体"/>
      <w:b/>
      <w:bCs/>
      <w:color w:val="000000"/>
      <w:kern w:val="0"/>
      <w:sz w:val="20"/>
      <w:szCs w:val="20"/>
    </w:rPr>
  </w:style>
  <w:style w:type="paragraph" w:customStyle="1" w:styleId="253">
    <w:name w:val="xl70"/>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50" w:beforeAutospacing="1" w:afterLines="30" w:afterAutospacing="1" w:line="312" w:lineRule="auto"/>
      <w:ind w:firstLine="200" w:firstLineChars="200"/>
      <w:jc w:val="center"/>
      <w:textAlignment w:val="center"/>
    </w:pPr>
    <w:rPr>
      <w:rFonts w:ascii="宋体" w:hAnsi="宋体" w:eastAsia="宋体" w:cs="宋体"/>
      <w:b/>
      <w:bCs/>
      <w:color w:val="000000"/>
      <w:kern w:val="0"/>
      <w:sz w:val="20"/>
      <w:szCs w:val="20"/>
    </w:rPr>
  </w:style>
  <w:style w:type="paragraph" w:customStyle="1" w:styleId="254">
    <w:name w:val="标题C4"/>
    <w:basedOn w:val="1"/>
    <w:next w:val="1"/>
    <w:qFormat/>
    <w:uiPriority w:val="0"/>
    <w:pPr>
      <w:widowControl/>
      <w:adjustRightInd w:val="0"/>
      <w:snapToGrid w:val="0"/>
      <w:spacing w:beforeLines="50" w:afterLines="50" w:line="360" w:lineRule="auto"/>
      <w:ind w:firstLine="200" w:firstLineChars="200"/>
      <w:outlineLvl w:val="3"/>
    </w:pPr>
    <w:rPr>
      <w:rFonts w:ascii="宋体" w:hAnsi="宋体" w:eastAsia="宋体" w:cs="Times New Roman"/>
      <w:b/>
      <w:color w:val="000000"/>
      <w:sz w:val="24"/>
      <w:szCs w:val="24"/>
    </w:rPr>
  </w:style>
  <w:style w:type="paragraph" w:customStyle="1" w:styleId="255">
    <w:name w:val="xl7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50" w:beforeAutospacing="1" w:afterLines="30" w:afterAutospacing="1" w:line="312" w:lineRule="auto"/>
      <w:ind w:firstLine="200" w:firstLineChars="200"/>
      <w:jc w:val="center"/>
      <w:textAlignment w:val="center"/>
    </w:pPr>
    <w:rPr>
      <w:rFonts w:ascii="宋体" w:hAnsi="宋体" w:eastAsia="宋体" w:cs="宋体"/>
      <w:color w:val="000000"/>
      <w:kern w:val="0"/>
      <w:sz w:val="20"/>
      <w:szCs w:val="20"/>
    </w:rPr>
  </w:style>
  <w:style w:type="paragraph" w:customStyle="1" w:styleId="256">
    <w:name w:val="xl74"/>
    <w:basedOn w:val="1"/>
    <w:qFormat/>
    <w:uiPriority w:val="0"/>
    <w:pPr>
      <w:widowControl/>
      <w:pBdr>
        <w:top w:val="single" w:color="auto" w:sz="4" w:space="0"/>
        <w:left w:val="single" w:color="auto" w:sz="4" w:space="0"/>
        <w:right w:val="single" w:color="auto" w:sz="4" w:space="0"/>
      </w:pBdr>
      <w:adjustRightInd w:val="0"/>
      <w:snapToGrid w:val="0"/>
      <w:spacing w:beforeLines="50" w:beforeAutospacing="1" w:afterLines="30" w:afterAutospacing="1" w:line="312" w:lineRule="auto"/>
      <w:ind w:firstLine="200" w:firstLineChars="200"/>
      <w:jc w:val="center"/>
      <w:textAlignment w:val="center"/>
    </w:pPr>
    <w:rPr>
      <w:rFonts w:ascii="宋体" w:hAnsi="宋体" w:eastAsia="宋体" w:cs="宋体"/>
      <w:kern w:val="0"/>
      <w:sz w:val="20"/>
      <w:szCs w:val="20"/>
    </w:rPr>
  </w:style>
  <w:style w:type="paragraph" w:customStyle="1" w:styleId="257">
    <w:name w:val="xl75"/>
    <w:basedOn w:val="1"/>
    <w:qFormat/>
    <w:uiPriority w:val="0"/>
    <w:pPr>
      <w:widowControl/>
      <w:pBdr>
        <w:left w:val="single" w:color="auto" w:sz="4" w:space="0"/>
        <w:bottom w:val="single" w:color="auto" w:sz="4" w:space="0"/>
        <w:right w:val="single" w:color="auto" w:sz="4" w:space="0"/>
      </w:pBdr>
      <w:adjustRightInd w:val="0"/>
      <w:snapToGrid w:val="0"/>
      <w:spacing w:beforeLines="50" w:beforeAutospacing="1" w:afterLines="30" w:afterAutospacing="1" w:line="312" w:lineRule="auto"/>
      <w:ind w:firstLine="200" w:firstLineChars="200"/>
      <w:jc w:val="center"/>
      <w:textAlignment w:val="center"/>
    </w:pPr>
    <w:rPr>
      <w:rFonts w:ascii="宋体" w:hAnsi="宋体" w:eastAsia="宋体" w:cs="宋体"/>
      <w:kern w:val="0"/>
      <w:sz w:val="20"/>
      <w:szCs w:val="20"/>
    </w:rPr>
  </w:style>
  <w:style w:type="paragraph" w:customStyle="1" w:styleId="258">
    <w:name w:val="xl76"/>
    <w:basedOn w:val="1"/>
    <w:qFormat/>
    <w:uiPriority w:val="0"/>
    <w:pPr>
      <w:widowControl/>
      <w:pBdr>
        <w:top w:val="single" w:color="auto" w:sz="4" w:space="0"/>
        <w:left w:val="single" w:color="auto" w:sz="4" w:space="0"/>
        <w:right w:val="single" w:color="auto" w:sz="4" w:space="0"/>
      </w:pBdr>
      <w:adjustRightInd w:val="0"/>
      <w:snapToGrid w:val="0"/>
      <w:spacing w:beforeLines="50" w:beforeAutospacing="1" w:afterLines="30" w:afterAutospacing="1" w:line="312" w:lineRule="auto"/>
      <w:ind w:firstLine="200" w:firstLineChars="200"/>
      <w:jc w:val="center"/>
      <w:textAlignment w:val="center"/>
    </w:pPr>
    <w:rPr>
      <w:rFonts w:ascii="宋体" w:hAnsi="宋体" w:eastAsia="宋体" w:cs="宋体"/>
      <w:color w:val="000000"/>
      <w:kern w:val="0"/>
      <w:sz w:val="20"/>
      <w:szCs w:val="20"/>
    </w:rPr>
  </w:style>
  <w:style w:type="paragraph" w:customStyle="1" w:styleId="259">
    <w:name w:val="xl77"/>
    <w:basedOn w:val="1"/>
    <w:qFormat/>
    <w:uiPriority w:val="0"/>
    <w:pPr>
      <w:widowControl/>
      <w:pBdr>
        <w:left w:val="single" w:color="auto" w:sz="4" w:space="0"/>
        <w:bottom w:val="single" w:color="auto" w:sz="4" w:space="0"/>
        <w:right w:val="single" w:color="auto" w:sz="4" w:space="0"/>
      </w:pBdr>
      <w:adjustRightInd w:val="0"/>
      <w:snapToGrid w:val="0"/>
      <w:spacing w:beforeLines="50" w:beforeAutospacing="1" w:afterLines="30" w:afterAutospacing="1" w:line="312" w:lineRule="auto"/>
      <w:ind w:firstLine="200" w:firstLineChars="200"/>
      <w:jc w:val="center"/>
      <w:textAlignment w:val="center"/>
    </w:pPr>
    <w:rPr>
      <w:rFonts w:ascii="宋体" w:hAnsi="宋体" w:eastAsia="宋体" w:cs="宋体"/>
      <w:color w:val="000000"/>
      <w:kern w:val="0"/>
      <w:sz w:val="20"/>
      <w:szCs w:val="20"/>
    </w:rPr>
  </w:style>
  <w:style w:type="paragraph" w:customStyle="1" w:styleId="260">
    <w:name w:val="xl79"/>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50" w:beforeAutospacing="1" w:afterLines="30" w:afterAutospacing="1" w:line="312" w:lineRule="auto"/>
      <w:ind w:firstLine="200" w:firstLineChars="200"/>
      <w:jc w:val="center"/>
    </w:pPr>
    <w:rPr>
      <w:rFonts w:ascii="楷体_GB2312" w:hAnsi="宋体" w:eastAsia="楷体_GB2312" w:cs="宋体"/>
      <w:b/>
      <w:bCs/>
      <w:color w:val="000000"/>
      <w:kern w:val="0"/>
      <w:sz w:val="18"/>
      <w:szCs w:val="18"/>
    </w:rPr>
  </w:style>
  <w:style w:type="paragraph" w:customStyle="1" w:styleId="261">
    <w:name w:val="xl80"/>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50" w:beforeAutospacing="1" w:afterLines="30" w:afterAutospacing="1" w:line="312" w:lineRule="auto"/>
      <w:ind w:firstLine="200" w:firstLineChars="200"/>
      <w:jc w:val="center"/>
    </w:pPr>
    <w:rPr>
      <w:rFonts w:ascii="楷体_GB2312" w:hAnsi="宋体" w:eastAsia="楷体_GB2312" w:cs="宋体"/>
      <w:color w:val="000000"/>
      <w:kern w:val="0"/>
      <w:sz w:val="18"/>
      <w:szCs w:val="18"/>
    </w:rPr>
  </w:style>
  <w:style w:type="paragraph" w:customStyle="1" w:styleId="262">
    <w:name w:val="xl8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50" w:beforeAutospacing="1" w:afterLines="30" w:afterAutospacing="1" w:line="312" w:lineRule="auto"/>
      <w:ind w:firstLine="200" w:firstLineChars="200"/>
      <w:jc w:val="left"/>
    </w:pPr>
    <w:rPr>
      <w:rFonts w:ascii="Calibri" w:hAnsi="Calibri" w:eastAsia="宋体" w:cs="Calibri"/>
      <w:kern w:val="0"/>
      <w:sz w:val="20"/>
      <w:szCs w:val="20"/>
    </w:rPr>
  </w:style>
  <w:style w:type="paragraph" w:customStyle="1" w:styleId="263">
    <w:name w:val="xl8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50" w:beforeAutospacing="1" w:afterLines="30" w:afterAutospacing="1" w:line="312" w:lineRule="auto"/>
      <w:ind w:firstLine="200" w:firstLineChars="200"/>
      <w:jc w:val="center"/>
    </w:pPr>
    <w:rPr>
      <w:rFonts w:ascii="楷体_GB2312" w:hAnsi="宋体" w:eastAsia="楷体_GB2312" w:cs="宋体"/>
      <w:kern w:val="0"/>
      <w:sz w:val="18"/>
      <w:szCs w:val="18"/>
    </w:rPr>
  </w:style>
  <w:style w:type="paragraph" w:customStyle="1" w:styleId="264">
    <w:name w:val="xl83"/>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50" w:beforeAutospacing="1" w:afterLines="30" w:afterAutospacing="1" w:line="312" w:lineRule="auto"/>
      <w:ind w:firstLine="200" w:firstLineChars="200"/>
      <w:jc w:val="center"/>
    </w:pPr>
    <w:rPr>
      <w:rFonts w:ascii="楷体_GB2312" w:hAnsi="宋体" w:eastAsia="楷体_GB2312" w:cs="宋体"/>
      <w:color w:val="C00000"/>
      <w:kern w:val="0"/>
      <w:sz w:val="18"/>
      <w:szCs w:val="18"/>
    </w:rPr>
  </w:style>
  <w:style w:type="paragraph" w:customStyle="1" w:styleId="265">
    <w:name w:val="xl84"/>
    <w:basedOn w:val="1"/>
    <w:qFormat/>
    <w:uiPriority w:val="0"/>
    <w:pPr>
      <w:widowControl/>
      <w:pBdr>
        <w:left w:val="single" w:color="auto" w:sz="4" w:space="0"/>
        <w:right w:val="single" w:color="auto" w:sz="4" w:space="0"/>
      </w:pBdr>
      <w:shd w:val="clear" w:color="000000" w:fill="8DB4E3"/>
      <w:adjustRightInd w:val="0"/>
      <w:snapToGrid w:val="0"/>
      <w:spacing w:beforeLines="50" w:beforeAutospacing="1" w:afterLines="30" w:afterAutospacing="1" w:line="312" w:lineRule="auto"/>
      <w:ind w:firstLine="200" w:firstLineChars="200"/>
      <w:jc w:val="center"/>
      <w:textAlignment w:val="center"/>
    </w:pPr>
    <w:rPr>
      <w:rFonts w:ascii="楷体_GB2312" w:hAnsi="宋体" w:eastAsia="楷体_GB2312" w:cs="宋体"/>
      <w:b/>
      <w:bCs/>
      <w:color w:val="000000"/>
      <w:kern w:val="0"/>
      <w:sz w:val="24"/>
      <w:szCs w:val="21"/>
    </w:rPr>
  </w:style>
  <w:style w:type="paragraph" w:customStyle="1" w:styleId="266">
    <w:name w:val="xl85"/>
    <w:basedOn w:val="1"/>
    <w:qFormat/>
    <w:uiPriority w:val="0"/>
    <w:pPr>
      <w:widowControl/>
      <w:pBdr>
        <w:top w:val="single" w:color="auto" w:sz="4" w:space="0"/>
        <w:left w:val="single" w:color="auto" w:sz="4" w:space="0"/>
      </w:pBdr>
      <w:shd w:val="clear" w:color="000000" w:fill="8DB4E3"/>
      <w:adjustRightInd w:val="0"/>
      <w:snapToGrid w:val="0"/>
      <w:spacing w:beforeLines="50" w:beforeAutospacing="1" w:afterLines="30" w:afterAutospacing="1" w:line="312" w:lineRule="auto"/>
      <w:ind w:firstLine="200" w:firstLineChars="200"/>
      <w:jc w:val="center"/>
      <w:textAlignment w:val="center"/>
    </w:pPr>
    <w:rPr>
      <w:rFonts w:ascii="楷体_GB2312" w:hAnsi="宋体" w:eastAsia="楷体_GB2312" w:cs="宋体"/>
      <w:b/>
      <w:bCs/>
      <w:color w:val="000000"/>
      <w:kern w:val="0"/>
      <w:sz w:val="24"/>
      <w:szCs w:val="21"/>
    </w:rPr>
  </w:style>
  <w:style w:type="paragraph" w:customStyle="1" w:styleId="267">
    <w:name w:val="xl8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50" w:beforeAutospacing="1" w:afterLines="30" w:afterAutospacing="1" w:line="312" w:lineRule="auto"/>
      <w:ind w:firstLine="200" w:firstLineChars="200"/>
      <w:jc w:val="center"/>
    </w:pPr>
    <w:rPr>
      <w:rFonts w:ascii="楷体_GB2312" w:hAnsi="宋体" w:eastAsia="楷体_GB2312" w:cs="宋体"/>
      <w:b/>
      <w:bCs/>
      <w:color w:val="000000"/>
      <w:kern w:val="0"/>
      <w:sz w:val="18"/>
      <w:szCs w:val="18"/>
    </w:rPr>
  </w:style>
  <w:style w:type="paragraph" w:customStyle="1" w:styleId="268">
    <w:name w:val="xl90"/>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50" w:beforeAutospacing="1" w:afterLines="30" w:afterAutospacing="1" w:line="312" w:lineRule="auto"/>
      <w:ind w:firstLine="200" w:firstLineChars="200"/>
      <w:jc w:val="center"/>
    </w:pPr>
    <w:rPr>
      <w:rFonts w:ascii="楷体_GB2312" w:hAnsi="宋体" w:eastAsia="楷体_GB2312" w:cs="宋体"/>
      <w:color w:val="C00000"/>
      <w:kern w:val="0"/>
      <w:sz w:val="18"/>
      <w:szCs w:val="18"/>
    </w:rPr>
  </w:style>
  <w:style w:type="paragraph" w:customStyle="1" w:styleId="269">
    <w:name w:val="font6"/>
    <w:basedOn w:val="1"/>
    <w:qFormat/>
    <w:uiPriority w:val="0"/>
    <w:pPr>
      <w:widowControl/>
      <w:adjustRightInd w:val="0"/>
      <w:snapToGrid w:val="0"/>
      <w:spacing w:beforeLines="50" w:beforeAutospacing="1" w:afterLines="30" w:afterAutospacing="1" w:line="312" w:lineRule="auto"/>
      <w:ind w:firstLine="200" w:firstLineChars="200"/>
      <w:jc w:val="left"/>
    </w:pPr>
    <w:rPr>
      <w:rFonts w:ascii="宋体" w:hAnsi="宋体" w:eastAsia="宋体" w:cs="宋体"/>
      <w:kern w:val="0"/>
      <w:sz w:val="20"/>
      <w:szCs w:val="20"/>
    </w:rPr>
  </w:style>
  <w:style w:type="paragraph" w:customStyle="1" w:styleId="270">
    <w:name w:val="font7"/>
    <w:basedOn w:val="1"/>
    <w:qFormat/>
    <w:uiPriority w:val="0"/>
    <w:pPr>
      <w:widowControl/>
      <w:adjustRightInd w:val="0"/>
      <w:snapToGrid w:val="0"/>
      <w:spacing w:beforeLines="50" w:beforeAutospacing="1" w:afterLines="30" w:afterAutospacing="1" w:line="312" w:lineRule="auto"/>
      <w:ind w:firstLine="200" w:firstLineChars="200"/>
      <w:jc w:val="left"/>
    </w:pPr>
    <w:rPr>
      <w:rFonts w:ascii="宋体" w:hAnsi="宋体" w:eastAsia="宋体" w:cs="宋体"/>
      <w:b/>
      <w:bCs/>
      <w:color w:val="000000"/>
      <w:kern w:val="0"/>
      <w:sz w:val="20"/>
      <w:szCs w:val="20"/>
    </w:rPr>
  </w:style>
  <w:style w:type="paragraph" w:customStyle="1" w:styleId="271">
    <w:name w:val="font8"/>
    <w:basedOn w:val="1"/>
    <w:qFormat/>
    <w:uiPriority w:val="0"/>
    <w:pPr>
      <w:widowControl/>
      <w:adjustRightInd w:val="0"/>
      <w:snapToGrid w:val="0"/>
      <w:spacing w:beforeLines="50" w:beforeAutospacing="1" w:afterLines="30" w:afterAutospacing="1" w:line="312" w:lineRule="auto"/>
      <w:ind w:firstLine="200" w:firstLineChars="200"/>
      <w:jc w:val="left"/>
    </w:pPr>
    <w:rPr>
      <w:rFonts w:ascii="宋体" w:hAnsi="宋体" w:eastAsia="宋体" w:cs="宋体"/>
      <w:b/>
      <w:bCs/>
      <w:color w:val="000000"/>
      <w:kern w:val="0"/>
      <w:sz w:val="22"/>
    </w:rPr>
  </w:style>
  <w:style w:type="paragraph" w:customStyle="1" w:styleId="272">
    <w:name w:val="font9"/>
    <w:basedOn w:val="1"/>
    <w:qFormat/>
    <w:uiPriority w:val="0"/>
    <w:pPr>
      <w:widowControl/>
      <w:adjustRightInd w:val="0"/>
      <w:snapToGrid w:val="0"/>
      <w:spacing w:beforeLines="50" w:beforeAutospacing="1" w:afterLines="30" w:afterAutospacing="1" w:line="312" w:lineRule="auto"/>
      <w:ind w:firstLine="200" w:firstLineChars="200"/>
      <w:jc w:val="left"/>
    </w:pPr>
    <w:rPr>
      <w:rFonts w:ascii="宋体" w:hAnsi="宋体" w:eastAsia="宋体" w:cs="宋体"/>
      <w:kern w:val="0"/>
      <w:sz w:val="18"/>
      <w:szCs w:val="18"/>
    </w:rPr>
  </w:style>
  <w:style w:type="paragraph" w:customStyle="1" w:styleId="273">
    <w:name w:val="font11"/>
    <w:basedOn w:val="1"/>
    <w:qFormat/>
    <w:uiPriority w:val="0"/>
    <w:pPr>
      <w:widowControl/>
      <w:adjustRightInd w:val="0"/>
      <w:snapToGrid w:val="0"/>
      <w:spacing w:beforeLines="50" w:beforeAutospacing="1" w:afterLines="30" w:afterAutospacing="1" w:line="312" w:lineRule="auto"/>
      <w:ind w:firstLine="200" w:firstLineChars="200"/>
      <w:jc w:val="left"/>
    </w:pPr>
    <w:rPr>
      <w:rFonts w:ascii="宋体" w:hAnsi="宋体" w:eastAsia="宋体" w:cs="宋体"/>
      <w:color w:val="000000"/>
      <w:kern w:val="0"/>
      <w:sz w:val="20"/>
      <w:szCs w:val="20"/>
    </w:rPr>
  </w:style>
  <w:style w:type="paragraph" w:customStyle="1" w:styleId="274">
    <w:name w:val="font12"/>
    <w:basedOn w:val="1"/>
    <w:qFormat/>
    <w:uiPriority w:val="0"/>
    <w:pPr>
      <w:widowControl/>
      <w:adjustRightInd w:val="0"/>
      <w:snapToGrid w:val="0"/>
      <w:spacing w:beforeLines="50" w:beforeAutospacing="1" w:afterLines="30" w:afterAutospacing="1" w:line="312" w:lineRule="auto"/>
      <w:ind w:firstLine="200" w:firstLineChars="200"/>
      <w:jc w:val="left"/>
    </w:pPr>
    <w:rPr>
      <w:rFonts w:ascii="宋体" w:hAnsi="宋体" w:eastAsia="宋体" w:cs="宋体"/>
      <w:color w:val="000000"/>
      <w:kern w:val="0"/>
      <w:sz w:val="22"/>
    </w:rPr>
  </w:style>
  <w:style w:type="character" w:customStyle="1" w:styleId="275">
    <w:name w:val="批注文字 Char1"/>
    <w:basedOn w:val="45"/>
    <w:qFormat/>
    <w:uiPriority w:val="99"/>
  </w:style>
  <w:style w:type="table" w:customStyle="1" w:styleId="276">
    <w:name w:val="网格型1"/>
    <w:basedOn w:val="4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z表格文字"/>
    <w:basedOn w:val="278"/>
    <w:link w:val="280"/>
    <w:qFormat/>
    <w:uiPriority w:val="0"/>
    <w:pPr>
      <w:snapToGrid w:val="0"/>
      <w:spacing w:line="240" w:lineRule="auto"/>
      <w:ind w:firstLine="0" w:firstLineChars="0"/>
    </w:pPr>
    <w:rPr>
      <w:rFonts w:ascii="楷体_GB2312" w:hAnsi="华文中宋"/>
      <w:snapToGrid w:val="0"/>
      <w:sz w:val="24"/>
    </w:rPr>
  </w:style>
  <w:style w:type="paragraph" w:customStyle="1" w:styleId="278">
    <w:name w:val="Z正文"/>
    <w:basedOn w:val="2"/>
    <w:link w:val="279"/>
    <w:qFormat/>
    <w:uiPriority w:val="0"/>
    <w:pPr>
      <w:widowControl w:val="0"/>
      <w:adjustRightInd/>
      <w:snapToGrid/>
      <w:spacing w:line="500" w:lineRule="exact"/>
    </w:pPr>
    <w:rPr>
      <w:rFonts w:ascii="Times New Roman" w:hAnsi="Times New Roman"/>
      <w:sz w:val="28"/>
      <w:szCs w:val="20"/>
    </w:rPr>
  </w:style>
  <w:style w:type="character" w:customStyle="1" w:styleId="279">
    <w:name w:val="Z正文 Char"/>
    <w:basedOn w:val="150"/>
    <w:link w:val="278"/>
    <w:qFormat/>
    <w:uiPriority w:val="0"/>
    <w:rPr>
      <w:rFonts w:ascii="Times New Roman" w:hAnsi="Times New Roman" w:eastAsia="宋体" w:cs="Times New Roman"/>
      <w:kern w:val="0"/>
      <w:sz w:val="28"/>
      <w:szCs w:val="20"/>
    </w:rPr>
  </w:style>
  <w:style w:type="character" w:customStyle="1" w:styleId="280">
    <w:name w:val="z表格文字 Char"/>
    <w:basedOn w:val="279"/>
    <w:link w:val="277"/>
    <w:qFormat/>
    <w:uiPriority w:val="0"/>
    <w:rPr>
      <w:rFonts w:ascii="楷体_GB2312" w:hAnsi="华文中宋" w:eastAsia="宋体" w:cs="Times New Roman"/>
      <w:snapToGrid w:val="0"/>
      <w:kern w:val="0"/>
      <w:sz w:val="24"/>
      <w:szCs w:val="20"/>
    </w:rPr>
  </w:style>
  <w:style w:type="paragraph" w:customStyle="1" w:styleId="281">
    <w:name w:val="Z表格标题"/>
    <w:basedOn w:val="1"/>
    <w:qFormat/>
    <w:uiPriority w:val="0"/>
    <w:pPr>
      <w:numPr>
        <w:ilvl w:val="8"/>
        <w:numId w:val="1"/>
      </w:numPr>
      <w:tabs>
        <w:tab w:val="left" w:pos="180"/>
      </w:tabs>
      <w:adjustRightInd w:val="0"/>
      <w:snapToGrid w:val="0"/>
      <w:spacing w:before="240" w:after="120"/>
      <w:ind w:left="7020" w:hanging="7704"/>
      <w:jc w:val="center"/>
      <w:outlineLvl w:val="8"/>
    </w:pPr>
    <w:rPr>
      <w:rFonts w:ascii="黑体" w:hAnsi="Times New Roman" w:eastAsia="黑体" w:cs="Times New Roman"/>
      <w:sz w:val="24"/>
      <w:szCs w:val="20"/>
    </w:rPr>
  </w:style>
  <w:style w:type="character" w:customStyle="1" w:styleId="282">
    <w:name w:val="Z表格标题 Char"/>
    <w:basedOn w:val="45"/>
    <w:qFormat/>
    <w:uiPriority w:val="0"/>
    <w:rPr>
      <w:rFonts w:ascii="黑体" w:eastAsia="黑体"/>
      <w:kern w:val="2"/>
      <w:sz w:val="24"/>
      <w:lang w:val="en-US" w:eastAsia="zh-CN" w:bidi="ar-SA"/>
    </w:rPr>
  </w:style>
  <w:style w:type="paragraph" w:customStyle="1" w:styleId="283">
    <w:name w:val="Z章标题"/>
    <w:basedOn w:val="4"/>
    <w:next w:val="4"/>
    <w:qFormat/>
    <w:uiPriority w:val="0"/>
    <w:pPr>
      <w:numPr>
        <w:ilvl w:val="0"/>
        <w:numId w:val="1"/>
      </w:numPr>
      <w:spacing w:line="360" w:lineRule="auto"/>
      <w:jc w:val="center"/>
    </w:pPr>
    <w:rPr>
      <w:rFonts w:ascii="Times New Roman" w:hAnsi="Times New Roman" w:eastAsia="仿宋_GB2312" w:cs="Times New Roman"/>
      <w:sz w:val="36"/>
    </w:rPr>
  </w:style>
  <w:style w:type="paragraph" w:customStyle="1" w:styleId="284">
    <w:name w:val="Z节标题"/>
    <w:basedOn w:val="283"/>
    <w:qFormat/>
    <w:uiPriority w:val="0"/>
    <w:pPr>
      <w:numPr>
        <w:ilvl w:val="1"/>
        <w:numId w:val="0"/>
      </w:numPr>
      <w:spacing w:before="300" w:after="100" w:afterAutospacing="1" w:line="240" w:lineRule="auto"/>
      <w:ind w:left="578" w:hanging="578"/>
      <w:jc w:val="left"/>
      <w:outlineLvl w:val="1"/>
    </w:pPr>
    <w:rPr>
      <w:rFonts w:eastAsia="黑体"/>
      <w:b w:val="0"/>
      <w:sz w:val="32"/>
    </w:rPr>
  </w:style>
  <w:style w:type="paragraph" w:customStyle="1" w:styleId="285">
    <w:name w:val="Z小节标题"/>
    <w:basedOn w:val="284"/>
    <w:next w:val="1"/>
    <w:qFormat/>
    <w:uiPriority w:val="0"/>
    <w:pPr>
      <w:numPr>
        <w:ilvl w:val="2"/>
        <w:numId w:val="0"/>
      </w:numPr>
      <w:spacing w:before="240"/>
      <w:outlineLvl w:val="2"/>
    </w:pPr>
    <w:rPr>
      <w:sz w:val="28"/>
      <w:szCs w:val="28"/>
    </w:rPr>
  </w:style>
  <w:style w:type="paragraph" w:customStyle="1" w:styleId="286">
    <w:name w:val="Z小小节标题"/>
    <w:basedOn w:val="285"/>
    <w:qFormat/>
    <w:uiPriority w:val="0"/>
    <w:pPr>
      <w:numPr>
        <w:ilvl w:val="3"/>
        <w:numId w:val="0"/>
      </w:numPr>
      <w:spacing w:before="200"/>
      <w:outlineLvl w:val="3"/>
    </w:pPr>
    <w:rPr>
      <w:rFonts w:eastAsia="宋体"/>
      <w:b/>
    </w:rPr>
  </w:style>
  <w:style w:type="table" w:customStyle="1" w:styleId="287">
    <w:name w:val="清单表 21"/>
    <w:basedOn w:val="43"/>
    <w:qFormat/>
    <w:uiPriority w:val="47"/>
    <w:tblPr>
      <w:tblBorders>
        <w:top w:val="single" w:color="666666" w:sz="4" w:space="0"/>
        <w:bottom w:val="single" w:color="666666" w:sz="4" w:space="0"/>
        <w:insideH w:val="single" w:color="666666"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288">
    <w:name w:val="无格式表格 21"/>
    <w:basedOn w:val="43"/>
    <w:qFormat/>
    <w:uiPriority w:val="42"/>
    <w:tblPr>
      <w:tblBorders>
        <w:top w:val="single" w:color="7E7E7E" w:sz="4" w:space="0"/>
        <w:bottom w:val="single" w:color="7E7E7E" w:sz="4" w:space="0"/>
      </w:tblBorders>
    </w:tblPr>
    <w:tblStylePr w:type="firstRow">
      <w:rPr>
        <w:b/>
        <w:bCs/>
      </w:rPr>
      <w:tcPr>
        <w:tcBorders>
          <w:bottom w:val="single" w:color="7E7E7E" w:sz="4" w:space="0"/>
        </w:tcBorders>
      </w:tcPr>
    </w:tblStylePr>
    <w:tblStylePr w:type="lastRow">
      <w:rPr>
        <w:b/>
        <w:bCs/>
      </w:rPr>
      <w:tcPr>
        <w:tcBorders>
          <w:top w:val="single" w:color="7E7E7E" w:sz="4" w:space="0"/>
        </w:tcBorders>
      </w:tcPr>
    </w:tblStylePr>
    <w:tblStylePr w:type="firstCol">
      <w:rPr>
        <w:b/>
        <w:bCs/>
      </w:rPr>
    </w:tblStylePr>
    <w:tblStylePr w:type="lastCol">
      <w:rPr>
        <w:b/>
        <w:bCs/>
      </w:rPr>
    </w:tblStylePr>
    <w:tblStylePr w:type="band1Vert">
      <w:tcPr>
        <w:tcBorders>
          <w:left w:val="single" w:color="7E7E7E" w:sz="4" w:space="0"/>
          <w:right w:val="single" w:color="7E7E7E" w:sz="4" w:space="0"/>
        </w:tcBorders>
      </w:tcPr>
    </w:tblStylePr>
    <w:tblStylePr w:type="band2Vert">
      <w:tcPr>
        <w:tcBorders>
          <w:left w:val="single" w:color="7E7E7E" w:sz="4" w:space="0"/>
          <w:right w:val="single" w:color="7E7E7E" w:sz="4" w:space="0"/>
        </w:tcBorders>
      </w:tcPr>
    </w:tblStylePr>
    <w:tblStylePr w:type="band1Horz">
      <w:tcPr>
        <w:tcBorders>
          <w:top w:val="single" w:color="7E7E7E" w:sz="4" w:space="0"/>
          <w:bottom w:val="single" w:color="7E7E7E" w:sz="4" w:space="0"/>
        </w:tcBorders>
      </w:tcPr>
    </w:tblStylePr>
  </w:style>
  <w:style w:type="paragraph" w:customStyle="1" w:styleId="289">
    <w:name w:val="修订1"/>
    <w:qFormat/>
    <w:uiPriority w:val="99"/>
    <w:rPr>
      <w:rFonts w:ascii="Calibri" w:hAnsi="Calibri" w:eastAsia="宋体" w:cs="宋体"/>
      <w:kern w:val="2"/>
      <w:sz w:val="21"/>
      <w:szCs w:val="22"/>
      <w:lang w:val="en-US" w:eastAsia="zh-CN" w:bidi="ar-SA"/>
    </w:rPr>
  </w:style>
  <w:style w:type="character" w:customStyle="1" w:styleId="290">
    <w:name w:val="副标题 字符"/>
    <w:basedOn w:val="45"/>
    <w:qFormat/>
    <w:uiPriority w:val="0"/>
    <w:rPr>
      <w:b/>
      <w:bCs/>
      <w:kern w:val="28"/>
      <w:sz w:val="32"/>
      <w:szCs w:val="32"/>
    </w:rPr>
  </w:style>
  <w:style w:type="paragraph" w:customStyle="1" w:styleId="29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292">
    <w:name w:val="无格式表格 22"/>
    <w:basedOn w:val="43"/>
    <w:qFormat/>
    <w:uiPriority w:val="42"/>
    <w:rPr>
      <w:rFonts w:eastAsia="Times New Roman"/>
    </w:rPr>
    <w:tblPr>
      <w:tblBorders>
        <w:top w:val="single" w:color="7E7E7E" w:sz="4" w:space="0"/>
        <w:bottom w:val="single" w:color="7E7E7E" w:sz="4" w:space="0"/>
      </w:tblBorders>
    </w:tblPr>
    <w:tblStylePr w:type="firstRow">
      <w:rPr>
        <w:b/>
        <w:bCs/>
      </w:rPr>
      <w:tcPr>
        <w:tcBorders>
          <w:bottom w:val="single" w:color="7E7E7E" w:sz="4" w:space="0"/>
        </w:tcBorders>
      </w:tcPr>
    </w:tblStylePr>
    <w:tblStylePr w:type="lastRow">
      <w:rPr>
        <w:b/>
        <w:bCs/>
      </w:rPr>
      <w:tcPr>
        <w:tcBorders>
          <w:top w:val="single" w:color="7E7E7E" w:sz="4" w:space="0"/>
        </w:tcBorders>
      </w:tcPr>
    </w:tblStylePr>
    <w:tblStylePr w:type="firstCol">
      <w:rPr>
        <w:b/>
        <w:bCs/>
      </w:rPr>
    </w:tblStylePr>
    <w:tblStylePr w:type="lastCol">
      <w:rPr>
        <w:b/>
        <w:bCs/>
      </w:rPr>
    </w:tblStylePr>
    <w:tblStylePr w:type="band1Vert">
      <w:tcPr>
        <w:tcBorders>
          <w:left w:val="single" w:color="7E7E7E" w:sz="4" w:space="0"/>
          <w:right w:val="single" w:color="7E7E7E" w:sz="4" w:space="0"/>
        </w:tcBorders>
      </w:tcPr>
    </w:tblStylePr>
    <w:tblStylePr w:type="band2Vert">
      <w:tcPr>
        <w:tcBorders>
          <w:left w:val="single" w:color="7E7E7E" w:sz="4" w:space="0"/>
          <w:right w:val="single" w:color="7E7E7E" w:sz="4" w:space="0"/>
        </w:tcBorders>
      </w:tcPr>
    </w:tblStylePr>
    <w:tblStylePr w:type="band1Horz">
      <w:tcPr>
        <w:tcBorders>
          <w:top w:val="single" w:color="7E7E7E" w:sz="4" w:space="0"/>
          <w:bottom w:val="single" w:color="7E7E7E" w:sz="4" w:space="0"/>
        </w:tcBorders>
      </w:tcPr>
    </w:tblStylePr>
  </w:style>
  <w:style w:type="table" w:customStyle="1" w:styleId="293">
    <w:name w:val="清单表 22"/>
    <w:basedOn w:val="43"/>
    <w:qFormat/>
    <w:uiPriority w:val="47"/>
    <w:rPr>
      <w:rFonts w:eastAsia="Times New Roman"/>
    </w:rPr>
    <w:tblPr>
      <w:tblBorders>
        <w:top w:val="single" w:color="666666" w:sz="4" w:space="0"/>
        <w:bottom w:val="single" w:color="666666" w:sz="4" w:space="0"/>
        <w:insideH w:val="single" w:color="666666"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character" w:customStyle="1" w:styleId="294">
    <w:name w:val="未处理的提及1"/>
    <w:basedOn w:val="45"/>
    <w:qFormat/>
    <w:uiPriority w:val="99"/>
    <w:rPr>
      <w:color w:val="808080"/>
      <w:shd w:val="clear" w:color="auto" w:fill="E6E6E6"/>
    </w:rPr>
  </w:style>
  <w:style w:type="character" w:customStyle="1" w:styleId="295">
    <w:name w:val="f"/>
    <w:basedOn w:val="45"/>
    <w:qFormat/>
    <w:uiPriority w:val="0"/>
  </w:style>
  <w:style w:type="table" w:customStyle="1" w:styleId="296">
    <w:name w:val="三线表"/>
    <w:basedOn w:val="43"/>
    <w:qFormat/>
    <w:uiPriority w:val="42"/>
    <w:tblPr>
      <w:tblBorders>
        <w:top w:val="single" w:color="000000" w:sz="4" w:space="0"/>
        <w:bottom w:val="single" w:color="000000" w:sz="4" w:space="0"/>
        <w:insideH w:val="single" w:color="000000" w:sz="4" w:space="0"/>
      </w:tblBorders>
    </w:tblPr>
    <w:tblStylePr w:type="firstRow">
      <w:rPr>
        <w:b/>
        <w:bCs/>
      </w:rPr>
      <w:tcPr>
        <w:tcBorders>
          <w:bottom w:val="single" w:color="7E7E7E" w:sz="4" w:space="0"/>
        </w:tcBorders>
      </w:tcPr>
    </w:tblStylePr>
    <w:tblStylePr w:type="lastRow">
      <w:rPr>
        <w:b/>
        <w:bCs/>
      </w:rPr>
      <w:tcPr>
        <w:tcBorders>
          <w:top w:val="single" w:color="7E7E7E" w:sz="4" w:space="0"/>
        </w:tcBorders>
      </w:tcPr>
    </w:tblStylePr>
    <w:tblStylePr w:type="firstCol">
      <w:rPr>
        <w:b/>
        <w:bCs/>
      </w:rPr>
    </w:tblStylePr>
    <w:tblStylePr w:type="lastCol">
      <w:rPr>
        <w:b/>
        <w:bCs/>
      </w:rPr>
    </w:tblStylePr>
    <w:tblStylePr w:type="band1Vert">
      <w:tcPr>
        <w:tcBorders>
          <w:left w:val="single" w:color="7E7E7E" w:sz="4" w:space="0"/>
          <w:right w:val="single" w:color="7E7E7E" w:sz="4" w:space="0"/>
        </w:tcBorders>
      </w:tcPr>
    </w:tblStylePr>
    <w:tblStylePr w:type="band2Vert">
      <w:tcPr>
        <w:tcBorders>
          <w:left w:val="single" w:color="7E7E7E" w:sz="4" w:space="0"/>
          <w:right w:val="single" w:color="7E7E7E" w:sz="4" w:space="0"/>
        </w:tcBorders>
      </w:tcPr>
    </w:tblStylePr>
    <w:tblStylePr w:type="band1Horz">
      <w:tcPr>
        <w:tcBorders>
          <w:top w:val="single" w:color="7E7E7E" w:sz="4" w:space="0"/>
          <w:bottom w:val="single" w:color="7E7E7E" w:sz="4" w:space="0"/>
        </w:tcBorders>
      </w:tcPr>
    </w:tblStylePr>
  </w:style>
  <w:style w:type="table" w:customStyle="1" w:styleId="297">
    <w:name w:val="无格式表格 23"/>
    <w:basedOn w:val="43"/>
    <w:qFormat/>
    <w:uiPriority w:val="42"/>
    <w:rPr>
      <w:rFonts w:eastAsia="Times New Roman"/>
    </w:rPr>
    <w:tblPr>
      <w:tblBorders>
        <w:top w:val="single" w:color="7E7E7E" w:sz="4" w:space="0"/>
        <w:bottom w:val="single" w:color="7E7E7E" w:sz="4" w:space="0"/>
      </w:tblBorders>
    </w:tblPr>
    <w:tblStylePr w:type="firstRow">
      <w:rPr>
        <w:b/>
        <w:bCs/>
      </w:rPr>
      <w:tcPr>
        <w:tcBorders>
          <w:bottom w:val="single" w:color="7E7E7E" w:sz="4" w:space="0"/>
        </w:tcBorders>
      </w:tcPr>
    </w:tblStylePr>
    <w:tblStylePr w:type="lastRow">
      <w:rPr>
        <w:b/>
        <w:bCs/>
      </w:rPr>
      <w:tcPr>
        <w:tcBorders>
          <w:top w:val="single" w:color="7E7E7E" w:sz="4" w:space="0"/>
        </w:tcBorders>
      </w:tcPr>
    </w:tblStylePr>
    <w:tblStylePr w:type="firstCol">
      <w:rPr>
        <w:b/>
        <w:bCs/>
      </w:rPr>
    </w:tblStylePr>
    <w:tblStylePr w:type="lastCol">
      <w:rPr>
        <w:b/>
        <w:bCs/>
      </w:rPr>
    </w:tblStylePr>
    <w:tblStylePr w:type="band1Vert">
      <w:tcPr>
        <w:tcBorders>
          <w:left w:val="single" w:color="7E7E7E" w:sz="4" w:space="0"/>
          <w:right w:val="single" w:color="7E7E7E" w:sz="4" w:space="0"/>
        </w:tcBorders>
      </w:tcPr>
    </w:tblStylePr>
    <w:tblStylePr w:type="band2Vert">
      <w:tcPr>
        <w:tcBorders>
          <w:left w:val="single" w:color="7E7E7E" w:sz="4" w:space="0"/>
          <w:right w:val="single" w:color="7E7E7E" w:sz="4" w:space="0"/>
        </w:tcBorders>
      </w:tcPr>
    </w:tblStylePr>
    <w:tblStylePr w:type="band1Horz">
      <w:tcPr>
        <w:tcBorders>
          <w:top w:val="single" w:color="7E7E7E" w:sz="4" w:space="0"/>
          <w:bottom w:val="single" w:color="7E7E7E" w:sz="4" w:space="0"/>
        </w:tcBorders>
      </w:tcPr>
    </w:tblStylePr>
  </w:style>
  <w:style w:type="table" w:customStyle="1" w:styleId="298">
    <w:name w:val="清单表 23"/>
    <w:basedOn w:val="43"/>
    <w:qFormat/>
    <w:uiPriority w:val="47"/>
    <w:rPr>
      <w:rFonts w:eastAsia="Times New Roman"/>
    </w:rPr>
    <w:tblPr>
      <w:tblBorders>
        <w:top w:val="single" w:color="666666" w:sz="4" w:space="0"/>
        <w:bottom w:val="single" w:color="666666" w:sz="4" w:space="0"/>
        <w:insideH w:val="single" w:color="666666"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299">
    <w:name w:val="网格型浅色1"/>
    <w:basedOn w:val="43"/>
    <w:qFormat/>
    <w:uiPriority w:val="40"/>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style>
  <w:style w:type="table" w:customStyle="1" w:styleId="300">
    <w:name w:val="样式5"/>
    <w:basedOn w:val="296"/>
    <w:qFormat/>
    <w:uiPriority w:val="99"/>
    <w:tblStylePr w:type="firstRow">
      <w:rPr>
        <w:b/>
        <w:bCs/>
      </w:rPr>
      <w:tcPr>
        <w:tcBorders>
          <w:bottom w:val="single" w:color="7E7E7E" w:sz="4" w:space="0"/>
        </w:tcBorders>
      </w:tcPr>
    </w:tblStylePr>
    <w:tblStylePr w:type="lastRow">
      <w:rPr>
        <w:b/>
        <w:bCs/>
      </w:rPr>
      <w:tcPr>
        <w:tcBorders>
          <w:top w:val="single" w:color="7E7E7E" w:sz="4" w:space="0"/>
        </w:tcBorders>
      </w:tcPr>
    </w:tblStylePr>
    <w:tblStylePr w:type="firstCol">
      <w:rPr>
        <w:b/>
        <w:bCs/>
      </w:rPr>
    </w:tblStylePr>
    <w:tblStylePr w:type="lastCol">
      <w:rPr>
        <w:b/>
        <w:bCs/>
      </w:rPr>
    </w:tblStylePr>
    <w:tblStylePr w:type="band1Vert">
      <w:tcPr>
        <w:tcBorders>
          <w:left w:val="single" w:color="7E7E7E" w:sz="4" w:space="0"/>
          <w:right w:val="single" w:color="7E7E7E" w:sz="4" w:space="0"/>
        </w:tcBorders>
      </w:tcPr>
    </w:tblStylePr>
    <w:tblStylePr w:type="band2Vert">
      <w:tcPr>
        <w:tcBorders>
          <w:left w:val="single" w:color="7E7E7E" w:sz="4" w:space="0"/>
          <w:right w:val="single" w:color="7E7E7E" w:sz="4" w:space="0"/>
        </w:tcBorders>
      </w:tcPr>
    </w:tblStylePr>
    <w:tblStylePr w:type="band1Horz">
      <w:tcPr>
        <w:tcBorders>
          <w:top w:val="single" w:color="7E7E7E" w:sz="4" w:space="0"/>
          <w:bottom w:val="single" w:color="7E7E7E" w:sz="4" w:space="0"/>
        </w:tcBorders>
      </w:tcPr>
    </w:tblStylePr>
  </w:style>
  <w:style w:type="paragraph" w:customStyle="1" w:styleId="301">
    <w:name w:val="TOC 标题2"/>
    <w:basedOn w:val="4"/>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paragraph" w:customStyle="1" w:styleId="302">
    <w:name w:val="BodyTextIndent2"/>
    <w:basedOn w:val="1"/>
    <w:qFormat/>
    <w:uiPriority w:val="0"/>
    <w:pPr>
      <w:spacing w:after="120" w:line="480" w:lineRule="auto"/>
      <w:ind w:left="420" w:leftChars="200"/>
      <w:textAlignment w:val="baseline"/>
    </w:pPr>
    <w:rPr>
      <w:rFonts w:ascii="Times New Roman" w:hAnsi="Times New Roman"/>
    </w:rPr>
  </w:style>
  <w:style w:type="paragraph" w:customStyle="1" w:styleId="303">
    <w:name w:val="图表"/>
    <w:basedOn w:val="1"/>
    <w:link w:val="304"/>
    <w:qFormat/>
    <w:uiPriority w:val="0"/>
    <w:pPr>
      <w:jc w:val="center"/>
    </w:pPr>
    <w:rPr>
      <w:rFonts w:ascii="宋体" w:hAnsi="宋体" w:eastAsia="宋体"/>
      <w:b/>
      <w:sz w:val="24"/>
    </w:rPr>
  </w:style>
  <w:style w:type="character" w:customStyle="1" w:styleId="304">
    <w:name w:val="图表 字符"/>
    <w:basedOn w:val="45"/>
    <w:link w:val="303"/>
    <w:qFormat/>
    <w:uiPriority w:val="0"/>
    <w:rPr>
      <w:rFonts w:ascii="宋体" w:hAnsi="宋体" w:eastAsia="宋体"/>
      <w:b/>
      <w:kern w:val="2"/>
      <w:sz w:val="24"/>
      <w:szCs w:val="22"/>
    </w:rPr>
  </w:style>
  <w:style w:type="table" w:customStyle="1" w:styleId="305">
    <w:name w:val="网格型2"/>
    <w:basedOn w:val="43"/>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
    <w:name w:val="网格型3"/>
    <w:basedOn w:val="43"/>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7">
    <w:name w:val="修订2"/>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GDJKY</Company>
  <Pages>1</Pages>
  <Words>22715</Words>
  <Characters>23660</Characters>
  <Paragraphs>1505</Paragraphs>
  <TotalTime>8</TotalTime>
  <ScaleCrop>false</ScaleCrop>
  <LinksUpToDate>false</LinksUpToDate>
  <CharactersWithSpaces>23968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2023-03-03T15:20:00Z</dcterms:created>
  <dc:creator>admin</dc:creator>
  <cp:lastModifiedBy>超</cp:lastModifiedBy>
  <cp:lastPrinted>2023-04-19T09:51:00Z</cp:lastPrinted>
  <dcterms:modified xsi:type="dcterms:W3CDTF">2024-10-12T03:29:18Z</dcterms:modified>
  <dc:title>中山市绿色建筑发展专项规划（2022-2035）</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32DA2BB24D7E41419C3C74FD68B0F8DF</vt:lpwstr>
  </property>
</Properties>
</file>