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E58E">
      <w:pPr>
        <w:widowControl/>
        <w:spacing w:beforeLines="0" w:afterLines="0" w:line="540" w:lineRule="exact"/>
        <w:jc w:val="left"/>
        <w:rPr>
          <w:rFonts w:hint="eastAsia" w:ascii="黑体" w:hAnsi="宋体" w:eastAsia="黑体"/>
          <w:kern w:val="0"/>
          <w:sz w:val="32"/>
          <w:lang w:eastAsia="zh"/>
          <w:woUserID w:val="1"/>
        </w:rPr>
      </w:pPr>
      <w:r>
        <w:rPr>
          <w:rFonts w:hint="eastAsia" w:ascii="黑体" w:hAnsi="宋体" w:eastAsia="黑体"/>
          <w:kern w:val="0"/>
          <w:sz w:val="32"/>
        </w:rPr>
        <w:t>附件</w:t>
      </w:r>
      <w:r>
        <w:rPr>
          <w:rFonts w:hint="eastAsia" w:ascii="黑体" w:hAnsi="宋体" w:eastAsia="黑体"/>
          <w:kern w:val="0"/>
          <w:sz w:val="32"/>
          <w:lang w:eastAsia="zh"/>
          <w:woUserID w:val="1"/>
        </w:rPr>
        <w:t>2</w:t>
      </w:r>
    </w:p>
    <w:p w14:paraId="7FC4628F">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14:paraId="2FB9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2F68414">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01C428F">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p>
        </w:tc>
      </w:tr>
      <w:tr w14:paraId="5665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14:paraId="595E31B0">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14:paraId="679B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04DD0F4">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E251127">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14:paraId="0056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A8531DE">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5D0127F">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14:paraId="73BF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7847621">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68B53EB">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14:paraId="0DAD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11AA66C">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269AAFC">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14:paraId="2536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4ADC1FA">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72BD49F">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14:paraId="2537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891E926">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0930659">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14:paraId="19F2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13BD347">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6CA1E2C">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14:paraId="4C1E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D59D51B">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7359A9E">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14:paraId="7859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5E44891">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F9A3BCF">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14:paraId="7826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69CCE3C">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2146D33">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14:paraId="3F8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7E271DC">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1AE7943">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14:paraId="73E7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A85FD29">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3794836A">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14:paraId="1F3C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68C995">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708B880">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3456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06363B7">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A0B7BBD">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7AFD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CEBAD86">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9A3EB74">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7467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E1D097B">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14:paraId="0CD6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FC2DEAE">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32"/>
                <w:szCs w:val="32"/>
              </w:rPr>
              <w:t>设计</w:t>
            </w:r>
          </w:p>
        </w:tc>
      </w:tr>
      <w:tr w14:paraId="0809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77DE897">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4195555">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14:paraId="7EC6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91DD7F">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14:paraId="50523A32">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C38188D">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14:paraId="61B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5EE2392">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A26ED6B">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2FCF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FD16245">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85354D0">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47AA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040AFF4">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9642052">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3B61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EB739C">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3D4CF69">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14:paraId="6B92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C131B3D">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7052864">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14:paraId="7C21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461EB70">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C02D534">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14:paraId="0CFC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A314C24">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E584952">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14:paraId="6724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113DA40">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1C371C15">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2C939001">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14:paraId="321B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4404D39">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37DEC159">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5E88F4C6">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14:paraId="05AC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BD5EF0B">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9E6996B">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78AB70E4">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14:paraId="51DB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5CF94E3">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8A998EF">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5F69BF7E">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14:paraId="5811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192B583">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37D8234D">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6F3715D">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14:paraId="49B1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7CC0973">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12D51758">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034E7349">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14:paraId="4CF0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6366B49">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80FFA75">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DDC9451">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w:t>
            </w:r>
            <w:r>
              <w:rPr>
                <w:rFonts w:hint="eastAsia" w:ascii="仿宋_GB2312" w:hAnsi="仿宋_GB2312"/>
                <w:color w:val="auto"/>
                <w:sz w:val="21"/>
                <w:lang w:val="en-US" w:eastAsia="zh-CN"/>
              </w:rPr>
              <w:t>布局</w:t>
            </w:r>
            <w:bookmarkStart w:id="0" w:name="_GoBack"/>
            <w:bookmarkEnd w:id="0"/>
            <w:r>
              <w:rPr>
                <w:rFonts w:hint="eastAsia" w:ascii="仿宋_GB2312" w:hAnsi="仿宋_GB2312"/>
                <w:color w:val="auto"/>
                <w:sz w:val="21"/>
              </w:rPr>
              <w:t>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14:paraId="32A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FDE7427">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0905069F">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28774B88">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人防地下室的位置、规模、战时及平时的用途是否符合城市的人防工程规划及地面建筑规划；人防地下室的防护等级是否符合规定；平面布置、结构选型、通风、给水排水和供电照明等是否满足战备需求。</w:t>
            </w:r>
          </w:p>
        </w:tc>
      </w:tr>
      <w:tr w14:paraId="6417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8D45696">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1EC33DCF">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4F315484">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14:paraId="7DD2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743064D">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14:paraId="7BDC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8A897AF">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14:paraId="7C42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6D86329">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14:paraId="08D9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951420A">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14:paraId="2E6C280F"/>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3D13D1-A3DA-49F4-9CFC-B062B9B25F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B69847B-7D04-4AAE-9ABF-91B2716445BD}"/>
  </w:font>
  <w:font w:name="仿宋_GB2312">
    <w:panose1 w:val="02010609030101010101"/>
    <w:charset w:val="86"/>
    <w:family w:val="modern"/>
    <w:pitch w:val="default"/>
    <w:sig w:usb0="00000001" w:usb1="080E0000" w:usb2="00000000" w:usb3="00000000" w:csb0="00040000" w:csb1="00000000"/>
    <w:embedRegular r:id="rId3" w:fontKey="{94196855-E140-4D07-B5A4-CDA99E0ECBD6}"/>
  </w:font>
  <w:font w:name="方正小标宋简体">
    <w:panose1 w:val="02000000000000000000"/>
    <w:charset w:val="86"/>
    <w:family w:val="auto"/>
    <w:pitch w:val="default"/>
    <w:sig w:usb0="00000001" w:usb1="080E0000" w:usb2="00000000" w:usb3="00000000" w:csb0="00040000" w:csb1="00000000"/>
    <w:embedRegular r:id="rId4" w:fontKey="{EDAD3578-38A8-41DD-9ACB-F84B6E133A39}"/>
  </w:font>
  <w:font w:name="楷体_GB2312">
    <w:panose1 w:val="02010609030101010101"/>
    <w:charset w:val="86"/>
    <w:family w:val="modern"/>
    <w:pitch w:val="default"/>
    <w:sig w:usb0="00000001" w:usb1="080E0000" w:usb2="00000000" w:usb3="00000000" w:csb0="00040000" w:csb1="00000000"/>
    <w:embedRegular r:id="rId5" w:fontKey="{AA33017E-CD1F-4649-88FA-BBD2B48B904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CE11BEF"/>
    <w:rsid w:val="1F223AF6"/>
    <w:rsid w:val="3EFE8A26"/>
    <w:rsid w:val="44055497"/>
    <w:rsid w:val="62111058"/>
    <w:rsid w:val="660D7B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中山市住房和城乡建设局</Company>
  <Pages>3</Pages>
  <Words>2587</Words>
  <Characters>2588</Characters>
  <Lines>0</Lines>
  <Paragraphs>0</Paragraphs>
  <TotalTime>7</TotalTime>
  <ScaleCrop>false</ScaleCrop>
  <LinksUpToDate>false</LinksUpToDate>
  <CharactersWithSpaces>2589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2021-03-26T09:44:00Z</dcterms:created>
  <dc:creator>胡柏延</dc:creator>
  <cp:lastModifiedBy>付翊苗</cp:lastModifiedBy>
  <dcterms:modified xsi:type="dcterms:W3CDTF">2025-08-14T03:37:45Z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85A15BB5EE7CD725D4067F68BD3AFC1E_43</vt:lpwstr>
  </property>
  <property fmtid="{D5CDD505-2E9C-101B-9397-08002B2CF9AE}" pid="4" name="KSOTemplateDocerSaveRecord">
    <vt:lpwstr>eyJoZGlkIjoiMmI1NGRjNjk4OWE0ODFlMjUxNmQwNTgxMDQ0ZTU5ZmUiLCJ1c2VySWQiOiIxNjY4NTY0MTc0In0=</vt:lpwstr>
  </property>
</Properties>
</file>