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1E2D28">
      <w:pPr>
        <w:keepNext w:val="0"/>
        <w:keepLines w:val="0"/>
        <w:widowControl w:val="0"/>
        <w:numPr>
          <w:ilvl w:val="0"/>
          <w:numId w:val="0"/>
        </w:numPr>
        <w:suppressLineNumbers w:val="0"/>
        <w:spacing w:before="0" w:beforeAutospacing="0" w:after="0" w:afterAutospacing="0" w:line="360" w:lineRule="auto"/>
        <w:ind w:right="0" w:rightChars="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2025年港澳市场全民营销活动实施细则</w:t>
      </w:r>
    </w:p>
    <w:p w14:paraId="1B7BB28B">
      <w:pPr>
        <w:keepNext w:val="0"/>
        <w:keepLines w:val="0"/>
        <w:widowControl w:val="0"/>
        <w:numPr>
          <w:ilvl w:val="0"/>
          <w:numId w:val="0"/>
        </w:numPr>
        <w:suppressLineNumbers w:val="0"/>
        <w:spacing w:before="0" w:beforeAutospacing="0" w:after="0" w:afterAutospacing="0" w:line="360" w:lineRule="auto"/>
        <w:ind w:left="0" w:leftChars="0" w:right="0" w:rightChars="0" w:firstLine="0" w:firstLineChars="0"/>
        <w:jc w:val="both"/>
        <w:rPr>
          <w:rFonts w:hint="default" w:ascii="仿宋_GB2312" w:hAnsi="仿宋_GB2312" w:eastAsia="仿宋_GB2312" w:cs="仿宋_GB2312"/>
          <w:color w:val="auto"/>
          <w:sz w:val="32"/>
          <w:szCs w:val="32"/>
          <w:highlight w:val="none"/>
          <w:u w:val="none"/>
          <w:lang w:val="en" w:eastAsia="zh-CN"/>
        </w:rPr>
      </w:pPr>
    </w:p>
    <w:p w14:paraId="4B2EA692">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u w:val="none"/>
          <w:lang w:val="en-US" w:eastAsia="zh-CN"/>
        </w:rPr>
        <w:t>为进一步加大购房支持力度，降低购房成本，满足多样化的住房需求，结合我市实际，特制定《2025年港澳市场全民营销活动实施细则》。</w:t>
      </w:r>
    </w:p>
    <w:p w14:paraId="50BF1CD4">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一、奖励对象和标准</w:t>
      </w:r>
    </w:p>
    <w:p w14:paraId="692F0C69">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2025年9月17日至2026</w:t>
      </w:r>
      <w:r>
        <w:rPr>
          <w:rFonts w:hint="eastAsia" w:ascii="仿宋_GB2312" w:hAnsi="仿宋_GB2312" w:eastAsia="仿宋_GB2312" w:cs="仿宋_GB2312"/>
          <w:color w:val="auto"/>
          <w:sz w:val="32"/>
          <w:szCs w:val="32"/>
          <w:highlight w:val="none"/>
          <w:u w:val="none"/>
          <w:lang w:val="en-US" w:eastAsia="zh-CN"/>
        </w:rPr>
        <w:t>年</w:t>
      </w:r>
      <w:r>
        <w:rPr>
          <w:rFonts w:hint="default" w:ascii="仿宋_GB2312" w:hAnsi="仿宋_GB2312" w:eastAsia="仿宋_GB2312" w:cs="仿宋_GB2312"/>
          <w:color w:val="auto"/>
          <w:sz w:val="32"/>
          <w:szCs w:val="32"/>
          <w:highlight w:val="none"/>
          <w:u w:val="none"/>
          <w:lang w:val="en-US" w:eastAsia="zh-CN"/>
        </w:rPr>
        <w:t>3月31日24</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00，凡成功推荐港澳居民在我市范围内购买新建商品房（限住宅、公寓、商业办公）的推荐人，市住房城乡建设局按购房发票票面金额1%（税前）给予现金奖励，房地产开发企业按购房发票票面金额原则上不低于2%（税前）给予现金奖励（奖励细则由房地产开发企业制定并实施）。</w:t>
      </w:r>
    </w:p>
    <w:p w14:paraId="07B3F171">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黑体" w:hAnsi="黑体" w:eastAsia="黑体" w:cs="黑体"/>
          <w:color w:val="auto"/>
          <w:sz w:val="32"/>
          <w:szCs w:val="32"/>
          <w:highlight w:val="none"/>
          <w:u w:val="none"/>
          <w:lang w:val="en" w:eastAsia="zh-CN"/>
        </w:rPr>
      </w:pPr>
      <w:r>
        <w:rPr>
          <w:rFonts w:hint="eastAsia" w:ascii="黑体" w:hAnsi="黑体" w:eastAsia="黑体" w:cs="黑体"/>
          <w:color w:val="auto"/>
          <w:sz w:val="32"/>
          <w:szCs w:val="32"/>
          <w:highlight w:val="none"/>
          <w:u w:val="none"/>
          <w:lang w:val="en-US" w:eastAsia="zh-CN"/>
        </w:rPr>
        <w:t>二、现金奖励申请时间</w:t>
      </w:r>
    </w:p>
    <w:p w14:paraId="56F2BB1C">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 w:eastAsia="zh-CN"/>
        </w:rPr>
        <w:t>2025年9月17日至2026年10月31日。</w:t>
      </w:r>
    </w:p>
    <w:p w14:paraId="7781F1BE">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黑体" w:hAnsi="黑体" w:eastAsia="黑体" w:cs="黑体"/>
          <w:color w:val="auto"/>
          <w:sz w:val="32"/>
          <w:szCs w:val="32"/>
          <w:highlight w:val="none"/>
          <w:u w:val="none"/>
          <w:lang w:val="en" w:eastAsia="zh-CN"/>
        </w:rPr>
      </w:pPr>
      <w:r>
        <w:rPr>
          <w:rFonts w:hint="default" w:ascii="黑体" w:hAnsi="黑体" w:eastAsia="黑体" w:cs="黑体"/>
          <w:color w:val="auto"/>
          <w:sz w:val="32"/>
          <w:szCs w:val="32"/>
          <w:highlight w:val="none"/>
          <w:u w:val="none"/>
          <w:lang w:val="en-US" w:eastAsia="zh-CN"/>
        </w:rPr>
        <w:t>三、认定标准</w:t>
      </w:r>
    </w:p>
    <w:p w14:paraId="363E0FA5">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1.购房人自2025年9月17日起至2026年3月31日24</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00期间通过转账方式（以银行流水为准）首次缴交与购房相关款项（定金、首付款），2026年4月30日前完成所购房屋合同网签备案，购买的新建商品房须于2026年9月30日前缴纳契税，推荐人方可申领现金奖励。</w:t>
      </w:r>
    </w:p>
    <w:p w14:paraId="0D5493C3">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 w:eastAsia="zh-CN"/>
        </w:rPr>
        <w:t>2.购房人须为持有香港居民身份证或澳门居民身份证（永久性居民身份证或非永久性居民身份证）的合法居民。</w:t>
      </w:r>
    </w:p>
    <w:p w14:paraId="1F4F8A72">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 w:eastAsia="zh-CN"/>
        </w:rPr>
        <w:t>3.推荐人须为年满18岁的完全民事行为能力人，购房人的配偶、所购房地产项目的销售人员、房地产中介从业人员、机关事业单位在编在职工作人员及雇员不纳入本次活动奖励范围。</w:t>
      </w:r>
    </w:p>
    <w:p w14:paraId="70D51E76">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yellow"/>
          <w:lang w:val="en-US" w:eastAsia="zh-CN"/>
        </w:rPr>
        <w:drawing>
          <wp:anchor distT="0" distB="0" distL="114300" distR="114300" simplePos="0" relativeHeight="251659264" behindDoc="0" locked="0" layoutInCell="1" allowOverlap="1">
            <wp:simplePos x="0" y="0"/>
            <wp:positionH relativeFrom="column">
              <wp:posOffset>1743075</wp:posOffset>
            </wp:positionH>
            <wp:positionV relativeFrom="paragraph">
              <wp:posOffset>2990215</wp:posOffset>
            </wp:positionV>
            <wp:extent cx="2176145" cy="3311525"/>
            <wp:effectExtent l="0" t="0" r="14605" b="3175"/>
            <wp:wrapTopAndBottom/>
            <wp:docPr id="1" name="图片 1" descr="微信图片_2025091518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915183934"/>
                    <pic:cNvPicPr>
                      <a:picLocks noChangeAspect="1"/>
                    </pic:cNvPicPr>
                  </pic:nvPicPr>
                  <pic:blipFill>
                    <a:blip r:embed="rId4"/>
                    <a:stretch>
                      <a:fillRect/>
                    </a:stretch>
                  </pic:blipFill>
                  <pic:spPr>
                    <a:xfrm>
                      <a:off x="0" y="0"/>
                      <a:ext cx="2176145" cy="3311525"/>
                    </a:xfrm>
                    <a:prstGeom prst="rect">
                      <a:avLst/>
                    </a:prstGeom>
                    <a:noFill/>
                    <a:ln>
                      <a:noFill/>
                    </a:ln>
                  </pic:spPr>
                </pic:pic>
              </a:graphicData>
            </a:graphic>
          </wp:anchor>
        </w:drawing>
      </w:r>
      <w:r>
        <w:rPr>
          <w:rFonts w:hint="default" w:ascii="仿宋_GB2312" w:hAnsi="仿宋_GB2312" w:eastAsia="仿宋_GB2312" w:cs="仿宋_GB2312"/>
          <w:color w:val="auto"/>
          <w:sz w:val="32"/>
          <w:szCs w:val="32"/>
          <w:highlight w:val="none"/>
          <w:u w:val="none"/>
          <w:lang w:val="en-US" w:eastAsia="zh-CN"/>
        </w:rPr>
        <w:t>4.推荐人须在购房人到访售楼部前向房地产开发企业做好推荐登记，并在购房人到访售楼部时，与房地产开发企业签订推荐关系报备书（详见附件1），房地产开发企业须在当天向市住房城乡建设局提交其推荐关系报备书，报备后不得变更（“宜居中山”小程序上线前使用微信群进行报备。“宜居中山”小程序上线后至2026年3月31日使用“宜居中山”小程序进行报备，不再接受微信群报备。两种方式效力相同）。</w:t>
      </w:r>
    </w:p>
    <w:p w14:paraId="402653AC">
      <w:pPr>
        <w:pStyle w:val="2"/>
        <w:jc w:val="center"/>
        <w:rPr>
          <w:rFonts w:hint="default"/>
          <w:lang w:val="en" w:eastAsia="zh-CN"/>
        </w:rPr>
      </w:pPr>
      <w:r>
        <w:rPr>
          <w:rFonts w:hint="eastAsia" w:ascii="仿宋_GB2312" w:hAnsi="仿宋_GB2312" w:eastAsia="仿宋_GB2312" w:cs="仿宋_GB2312"/>
          <w:color w:val="auto"/>
          <w:sz w:val="32"/>
          <w:szCs w:val="32"/>
          <w:lang w:val="en" w:eastAsia="zh-CN"/>
        </w:rPr>
        <w:drawing>
          <wp:inline distT="0" distB="0" distL="114300" distR="114300">
            <wp:extent cx="2186305" cy="2186305"/>
            <wp:effectExtent l="0" t="0" r="4445" b="4445"/>
            <wp:docPr id="2" name="图片 1" descr="微信图片_20250917093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50917093239"/>
                    <pic:cNvPicPr>
                      <a:picLocks noChangeAspect="1"/>
                    </pic:cNvPicPr>
                  </pic:nvPicPr>
                  <pic:blipFill>
                    <a:blip r:embed="rId5"/>
                    <a:stretch>
                      <a:fillRect/>
                    </a:stretch>
                  </pic:blipFill>
                  <pic:spPr>
                    <a:xfrm>
                      <a:off x="0" y="0"/>
                      <a:ext cx="2186305" cy="2186305"/>
                    </a:xfrm>
                    <a:prstGeom prst="rect">
                      <a:avLst/>
                    </a:prstGeom>
                    <a:noFill/>
                    <a:ln>
                      <a:noFill/>
                    </a:ln>
                  </pic:spPr>
                </pic:pic>
              </a:graphicData>
            </a:graphic>
          </wp:inline>
        </w:drawing>
      </w:r>
    </w:p>
    <w:p w14:paraId="460D81DC">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5.推荐人向市住房城乡建设局申请现金奖励时，应提交购房推荐关系确认书（详见附件2，推荐人、购房人和房地产开发企业三方签字盖章确认）。</w:t>
      </w:r>
    </w:p>
    <w:p w14:paraId="6CA4BC0D">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黑体" w:hAnsi="黑体" w:eastAsia="黑体" w:cs="黑体"/>
          <w:color w:val="auto"/>
          <w:sz w:val="32"/>
          <w:szCs w:val="32"/>
          <w:highlight w:val="none"/>
          <w:u w:val="none"/>
          <w:lang w:val="en-US" w:eastAsia="zh-CN"/>
        </w:rPr>
        <w:t>四、现金奖励申请材料</w:t>
      </w:r>
    </w:p>
    <w:p w14:paraId="586E152E">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1.《中山市商品房买卖合同》复印件；</w:t>
      </w:r>
    </w:p>
    <w:p w14:paraId="01A0A294">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2.购房人身份证明复印件；</w:t>
      </w:r>
    </w:p>
    <w:p w14:paraId="42B10A44">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3.推荐人身份证明复印件；收款银行卡复印件及开户行信息（详见附件3，推荐人银行账号需是中国工商银行、中国农业银行、中国银行、中国建设银行、交通银行以及广发银行的一类账户）；</w:t>
      </w:r>
    </w:p>
    <w:p w14:paraId="35BB8836">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4.推荐关系报备书原件；</w:t>
      </w:r>
    </w:p>
    <w:p w14:paraId="55532EC5">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5.购房推荐关系确认书原件；</w:t>
      </w:r>
    </w:p>
    <w:p w14:paraId="5A1DCBF6">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6.银行流水复印件，银行流水收款方需显示开发企业全称（按照商品房买卖合同约定，一次性付款和分期付款的购房人需提供相对应的银行流水；按揭付款的购房人需提供首期款银行流水；公积金支取作为首付款的购房人需提供公积金个人明细账单及银行电子回单）；</w:t>
      </w:r>
    </w:p>
    <w:p w14:paraId="7B297360">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7.缴纳契税发票复印件；</w:t>
      </w:r>
    </w:p>
    <w:p w14:paraId="5A8EB967">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8.企业收取房款的收据复印件（收据需盖企业公章或财务章）；</w:t>
      </w:r>
    </w:p>
    <w:p w14:paraId="200886A7">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9.购房发票复印件；</w:t>
      </w:r>
    </w:p>
    <w:p w14:paraId="5512DE24">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10.其他资料。</w:t>
      </w:r>
    </w:p>
    <w:p w14:paraId="672CBD67">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以上材料均须推荐人签名按指印，并确认“与原件相符”。推荐人须在2026年10月31日（含当天）前提交材料，逾期不予受理。</w:t>
      </w:r>
    </w:p>
    <w:p w14:paraId="6525E6C3">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黑体" w:hAnsi="黑体" w:eastAsia="黑体" w:cs="黑体"/>
          <w:color w:val="auto"/>
          <w:sz w:val="32"/>
          <w:szCs w:val="32"/>
          <w:highlight w:val="none"/>
          <w:u w:val="none"/>
          <w:lang w:val="en" w:eastAsia="zh-CN"/>
        </w:rPr>
      </w:pPr>
      <w:r>
        <w:rPr>
          <w:rFonts w:hint="default" w:ascii="黑体" w:hAnsi="黑体" w:eastAsia="黑体" w:cs="黑体"/>
          <w:color w:val="auto"/>
          <w:sz w:val="32"/>
          <w:szCs w:val="32"/>
          <w:highlight w:val="none"/>
          <w:u w:val="none"/>
          <w:lang w:val="en-US" w:eastAsia="zh-CN"/>
        </w:rPr>
        <w:t>五、现金奖励申请和发放方式</w:t>
      </w:r>
    </w:p>
    <w:p w14:paraId="3F348E07">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 w:eastAsia="zh-CN"/>
        </w:rPr>
        <w:t>购房人在办理网签备案及缴纳契税后，由推荐人自行准备申请材料在有效申请时间内前往中山市房地产交易管理事务中心（地址：中山市石岐街道民族东路1号）窗口提交申请（不可代</w:t>
      </w:r>
      <w:r>
        <w:rPr>
          <w:rFonts w:hint="eastAsia" w:ascii="仿宋_GB2312" w:hAnsi="仿宋_GB2312" w:eastAsia="仿宋_GB2312" w:cs="仿宋_GB2312"/>
          <w:color w:val="auto"/>
          <w:sz w:val="32"/>
          <w:szCs w:val="32"/>
          <w:highlight w:val="none"/>
          <w:u w:val="none"/>
          <w:lang w:val="en" w:eastAsia="zh-CN"/>
        </w:rPr>
        <w:t>办</w:t>
      </w:r>
      <w:r>
        <w:rPr>
          <w:rFonts w:hint="default" w:ascii="仿宋_GB2312" w:hAnsi="仿宋_GB2312" w:eastAsia="仿宋_GB2312" w:cs="仿宋_GB2312"/>
          <w:color w:val="auto"/>
          <w:sz w:val="32"/>
          <w:szCs w:val="32"/>
          <w:highlight w:val="none"/>
          <w:u w:val="none"/>
          <w:lang w:val="en" w:eastAsia="zh-CN"/>
        </w:rPr>
        <w:t>），审核通过后将在市住房城乡建设局政务网公示拟发放名单，名单公示期满结束对符合要求的推荐人进行奖金发放。</w:t>
      </w:r>
    </w:p>
    <w:p w14:paraId="5B30FB1B">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黑体" w:hAnsi="黑体" w:eastAsia="黑体" w:cs="黑体"/>
          <w:color w:val="auto"/>
          <w:sz w:val="32"/>
          <w:szCs w:val="32"/>
          <w:highlight w:val="none"/>
          <w:u w:val="none"/>
          <w:lang w:val="en" w:eastAsia="zh-CN"/>
        </w:rPr>
      </w:pPr>
      <w:r>
        <w:rPr>
          <w:rFonts w:hint="default" w:ascii="黑体" w:hAnsi="黑体" w:eastAsia="黑体" w:cs="黑体"/>
          <w:color w:val="auto"/>
          <w:sz w:val="32"/>
          <w:szCs w:val="32"/>
          <w:highlight w:val="none"/>
          <w:u w:val="none"/>
          <w:lang w:val="en-US" w:eastAsia="zh-CN"/>
        </w:rPr>
        <w:t>六、其他注意事项</w:t>
      </w:r>
    </w:p>
    <w:p w14:paraId="6E271BED">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1.同一商品房推荐人为多人的，现金奖励仅限1人领取；同一推荐人不限制推荐商品房套数。</w:t>
      </w:r>
    </w:p>
    <w:p w14:paraId="35BB60C6">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2.父母、夫妻、子女可代付购买新建商品房的购房款，其他人员不能代付新建商品房的购房款。</w:t>
      </w:r>
    </w:p>
    <w:p w14:paraId="0DAEC23A">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3.在政策实施前购房人已办理网签备案，政策出台后同一购房人（含家庭成员，包括夫妻、18岁以下子女）就同一商品房办理注销并重新网签，推荐人不可申领现金奖励。</w:t>
      </w:r>
    </w:p>
    <w:p w14:paraId="49E406C3">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4.推荐人申请现金奖励后，如购房人在2028年3月31日（含当天）前注销备案的，应在注销合同备案前将已发放的现金奖励退回至市住房城乡建设局提供的指定账户。</w:t>
      </w:r>
    </w:p>
    <w:p w14:paraId="499D65D6">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5.推荐人必须严格按照活动要求申请现金奖励，因申请材料不齐全、不准确或逾期申请等因素致使不予受理的，相关损失由推荐人自行承担。</w:t>
      </w:r>
    </w:p>
    <w:p w14:paraId="6EF3A7C1">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6.推荐人、房地产开发企业应当如实提交有关资料，并对其提供的资料真实性负责。通过伪造、变造等欺诈手段骗取、套取奖励金以及存在其他违法情形的，一经发现，不予受理，情节严重的移交公安机关处理，已发放现金奖励的，追缴其现金奖励。</w:t>
      </w:r>
    </w:p>
    <w:p w14:paraId="105B5268">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 w:eastAsia="zh-CN"/>
        </w:rPr>
      </w:pPr>
      <w:r>
        <w:rPr>
          <w:rFonts w:hint="default" w:ascii="仿宋_GB2312" w:hAnsi="仿宋_GB2312" w:eastAsia="仿宋_GB2312" w:cs="仿宋_GB2312"/>
          <w:color w:val="auto"/>
          <w:sz w:val="32"/>
          <w:szCs w:val="32"/>
          <w:highlight w:val="none"/>
          <w:u w:val="none"/>
          <w:lang w:val="en-US" w:eastAsia="zh-CN"/>
        </w:rPr>
        <w:t>7.推荐人所获得的市住房城乡建设局发放的现金奖励须缴纳的税费，按有关规定扣缴。</w:t>
      </w:r>
    </w:p>
    <w:p w14:paraId="433EEEAD">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8.本次活动解释权归中山市住房</w:t>
      </w:r>
      <w:r>
        <w:rPr>
          <w:rFonts w:hint="eastAsia" w:ascii="仿宋_GB2312" w:hAnsi="仿宋_GB2312" w:eastAsia="仿宋_GB2312" w:cs="仿宋_GB2312"/>
          <w:color w:val="auto"/>
          <w:sz w:val="32"/>
          <w:szCs w:val="32"/>
          <w:highlight w:val="none"/>
          <w:u w:val="none"/>
          <w:lang w:val="en-US" w:eastAsia="zh-CN"/>
        </w:rPr>
        <w:t>和</w:t>
      </w:r>
      <w:r>
        <w:rPr>
          <w:rFonts w:hint="default" w:ascii="仿宋_GB2312" w:hAnsi="仿宋_GB2312" w:eastAsia="仿宋_GB2312" w:cs="仿宋_GB2312"/>
          <w:color w:val="auto"/>
          <w:sz w:val="32"/>
          <w:szCs w:val="32"/>
          <w:highlight w:val="none"/>
          <w:u w:val="none"/>
          <w:lang w:val="en-US" w:eastAsia="zh-CN"/>
        </w:rPr>
        <w:t>城乡建设局所有。</w:t>
      </w:r>
    </w:p>
    <w:p w14:paraId="1D37F2D8">
      <w:pPr>
        <w:pStyle w:val="2"/>
        <w:rPr>
          <w:rFonts w:hint="default" w:ascii="仿宋_GB2312" w:hAnsi="仿宋_GB2312" w:eastAsia="仿宋_GB2312" w:cs="仿宋_GB2312"/>
          <w:color w:val="auto"/>
          <w:sz w:val="32"/>
          <w:szCs w:val="32"/>
          <w:highlight w:val="none"/>
          <w:u w:val="none"/>
          <w:lang w:val="en-US" w:eastAsia="zh-CN"/>
        </w:rPr>
      </w:pPr>
    </w:p>
    <w:p w14:paraId="1D352057">
      <w:pPr>
        <w:keepNext w:val="0"/>
        <w:keepLines w:val="0"/>
        <w:widowControl w:val="0"/>
        <w:numPr>
          <w:ilvl w:val="0"/>
          <w:numId w:val="0"/>
        </w:numPr>
        <w:suppressLineNumbers w:val="0"/>
        <w:spacing w:before="0" w:beforeAutospacing="0" w:after="0" w:afterAutospacing="0" w:line="360" w:lineRule="auto"/>
        <w:ind w:right="0" w:rightChars="0" w:firstLine="640" w:firstLineChars="200"/>
        <w:jc w:val="both"/>
        <w:rPr>
          <w:rFonts w:hint="eastAsia" w:ascii="仿宋_GB2312" w:hAnsi="仿宋_GB2312" w:eastAsia="仿宋_GB2312" w:cs="仿宋_GB2312"/>
          <w:color w:val="auto"/>
          <w:sz w:val="32"/>
          <w:szCs w:val="32"/>
          <w:highlight w:val="none"/>
          <w:u w:val="none"/>
          <w:lang w:val="en-US" w:eastAsia="zh"/>
        </w:rPr>
      </w:pPr>
      <w:r>
        <w:rPr>
          <w:rFonts w:hint="eastAsia" w:ascii="仿宋_GB2312" w:hAnsi="仿宋_GB2312" w:eastAsia="仿宋_GB2312" w:cs="仿宋_GB2312"/>
          <w:color w:val="auto"/>
          <w:sz w:val="32"/>
          <w:szCs w:val="32"/>
          <w:highlight w:val="none"/>
          <w:u w:val="none"/>
          <w:lang w:val="en-US" w:eastAsia="zh"/>
        </w:rPr>
        <w:t>附件：1.推荐关系报备书</w:t>
      </w:r>
    </w:p>
    <w:p w14:paraId="7150C3BF">
      <w:pPr>
        <w:keepNext w:val="0"/>
        <w:keepLines w:val="0"/>
        <w:widowControl w:val="0"/>
        <w:numPr>
          <w:ilvl w:val="0"/>
          <w:numId w:val="0"/>
        </w:numPr>
        <w:suppressLineNumbers w:val="0"/>
        <w:spacing w:before="0" w:beforeAutospacing="0" w:after="0" w:afterAutospacing="0" w:line="360" w:lineRule="auto"/>
        <w:ind w:right="0" w:rightChars="0" w:firstLine="1600" w:firstLineChars="500"/>
        <w:jc w:val="both"/>
        <w:rPr>
          <w:rFonts w:hint="eastAsia" w:ascii="仿宋_GB2312" w:hAnsi="仿宋_GB2312" w:eastAsia="仿宋_GB2312" w:cs="仿宋_GB2312"/>
          <w:color w:val="auto"/>
          <w:sz w:val="32"/>
          <w:szCs w:val="32"/>
          <w:highlight w:val="none"/>
          <w:u w:val="none"/>
          <w:lang w:val="en-US" w:eastAsia="zh"/>
        </w:rPr>
      </w:pPr>
      <w:r>
        <w:rPr>
          <w:rFonts w:hint="eastAsia" w:ascii="仿宋_GB2312" w:hAnsi="仿宋_GB2312" w:eastAsia="仿宋_GB2312" w:cs="仿宋_GB2312"/>
          <w:color w:val="auto"/>
          <w:sz w:val="32"/>
          <w:szCs w:val="32"/>
          <w:highlight w:val="none"/>
          <w:u w:val="none"/>
          <w:lang w:val="en-US" w:eastAsia="zh"/>
          <w:woUserID w:val="1"/>
        </w:rPr>
        <w:t>2.</w:t>
      </w:r>
      <w:r>
        <w:rPr>
          <w:rFonts w:hint="eastAsia" w:ascii="仿宋_GB2312" w:hAnsi="仿宋_GB2312" w:eastAsia="仿宋_GB2312" w:cs="仿宋_GB2312"/>
          <w:color w:val="auto"/>
          <w:sz w:val="32"/>
          <w:szCs w:val="32"/>
          <w:highlight w:val="none"/>
          <w:u w:val="none"/>
          <w:lang w:val="en-US" w:eastAsia="zh"/>
        </w:rPr>
        <w:t>购房推荐关系确认书</w:t>
      </w:r>
    </w:p>
    <w:p w14:paraId="4A13674F">
      <w:pPr>
        <w:keepNext w:val="0"/>
        <w:keepLines w:val="0"/>
        <w:widowControl w:val="0"/>
        <w:numPr>
          <w:ilvl w:val="0"/>
          <w:numId w:val="0"/>
        </w:numPr>
        <w:suppressLineNumbers w:val="0"/>
        <w:spacing w:before="0" w:beforeAutospacing="0" w:after="0" w:afterAutospacing="0" w:line="360" w:lineRule="auto"/>
        <w:ind w:right="0" w:rightChars="0" w:firstLine="1600" w:firstLineChars="500"/>
        <w:jc w:val="both"/>
        <w:rPr>
          <w:rFonts w:hint="eastAsia" w:ascii="仿宋_GB2312" w:hAnsi="仿宋_GB2312" w:eastAsia="仿宋_GB2312" w:cs="仿宋_GB2312"/>
          <w:color w:val="auto"/>
          <w:sz w:val="32"/>
          <w:szCs w:val="32"/>
          <w:highlight w:val="none"/>
          <w:u w:val="none"/>
          <w:lang w:val="en-US" w:eastAsia="zh"/>
        </w:rPr>
      </w:pPr>
      <w:r>
        <w:rPr>
          <w:rFonts w:hint="eastAsia" w:ascii="仿宋_GB2312" w:hAnsi="仿宋_GB2312" w:eastAsia="仿宋_GB2312" w:cs="仿宋_GB2312"/>
          <w:color w:val="auto"/>
          <w:sz w:val="32"/>
          <w:szCs w:val="32"/>
          <w:highlight w:val="none"/>
          <w:u w:val="none"/>
          <w:lang w:val="en-US" w:eastAsia="zh"/>
          <w:woUserID w:val="1"/>
        </w:rPr>
        <w:t>3.</w:t>
      </w:r>
      <w:r>
        <w:rPr>
          <w:rFonts w:hint="eastAsia" w:ascii="仿宋_GB2312" w:hAnsi="仿宋_GB2312" w:eastAsia="仿宋_GB2312" w:cs="仿宋_GB2312"/>
          <w:color w:val="auto"/>
          <w:sz w:val="32"/>
          <w:szCs w:val="32"/>
          <w:highlight w:val="none"/>
          <w:u w:val="none"/>
          <w:lang w:val="en-US" w:eastAsia="zh"/>
        </w:rPr>
        <w:t>推荐人开户行信息</w:t>
      </w:r>
    </w:p>
    <w:p w14:paraId="328493F5">
      <w:pPr>
        <w:rPr>
          <w:rFonts w:hint="eastAsia"/>
          <w:lang w:eastAsia="zh-CN"/>
        </w:rPr>
      </w:pPr>
    </w:p>
    <w:p w14:paraId="5AD44E9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sz w:val="28"/>
          <w:szCs w:val="28"/>
          <w:lang w:eastAsia="zh-CN"/>
        </w:rPr>
      </w:pPr>
    </w:p>
    <w:p w14:paraId="4D478DEE">
      <w:pPr>
        <w:pStyle w:val="2"/>
        <w:rPr>
          <w:rFonts w:hint="eastAsia" w:ascii="方正黑体_GBK" w:hAnsi="方正黑体_GBK" w:eastAsia="方正黑体_GBK" w:cs="方正黑体_GBK"/>
          <w:sz w:val="28"/>
          <w:szCs w:val="28"/>
          <w:lang w:eastAsia="zh-CN"/>
        </w:rPr>
      </w:pPr>
    </w:p>
    <w:p w14:paraId="29156C98">
      <w:pPr>
        <w:rPr>
          <w:rFonts w:hint="eastAsia" w:ascii="方正黑体_GBK" w:hAnsi="方正黑体_GBK" w:eastAsia="方正黑体_GBK" w:cs="方正黑体_GBK"/>
          <w:sz w:val="28"/>
          <w:szCs w:val="28"/>
          <w:lang w:eastAsia="zh-CN"/>
        </w:rPr>
      </w:pPr>
    </w:p>
    <w:p w14:paraId="5E7FD8B4">
      <w:pPr>
        <w:pStyle w:val="2"/>
        <w:rPr>
          <w:rFonts w:hint="eastAsia" w:ascii="方正黑体_GBK" w:hAnsi="方正黑体_GBK" w:eastAsia="方正黑体_GBK" w:cs="方正黑体_GBK"/>
          <w:sz w:val="28"/>
          <w:szCs w:val="28"/>
          <w:lang w:eastAsia="zh-CN"/>
        </w:rPr>
      </w:pPr>
    </w:p>
    <w:p w14:paraId="3E739272">
      <w:pPr>
        <w:rPr>
          <w:rFonts w:hint="eastAsia" w:ascii="方正黑体_GBK" w:hAnsi="方正黑体_GBK" w:eastAsia="方正黑体_GBK" w:cs="方正黑体_GBK"/>
          <w:sz w:val="28"/>
          <w:szCs w:val="28"/>
          <w:lang w:eastAsia="zh-CN"/>
        </w:rPr>
      </w:pPr>
    </w:p>
    <w:p w14:paraId="59B346BE">
      <w:pPr>
        <w:pStyle w:val="2"/>
        <w:rPr>
          <w:rFonts w:hint="eastAsia" w:ascii="方正黑体_GBK" w:hAnsi="方正黑体_GBK" w:eastAsia="方正黑体_GBK" w:cs="方正黑体_GBK"/>
          <w:sz w:val="28"/>
          <w:szCs w:val="28"/>
          <w:lang w:eastAsia="zh-CN"/>
        </w:rPr>
      </w:pPr>
    </w:p>
    <w:p w14:paraId="49A5F9B4">
      <w:pPr>
        <w:rPr>
          <w:rFonts w:hint="eastAsia" w:ascii="方正黑体_GBK" w:hAnsi="方正黑体_GBK" w:eastAsia="方正黑体_GBK" w:cs="方正黑体_GBK"/>
          <w:sz w:val="28"/>
          <w:szCs w:val="28"/>
          <w:lang w:eastAsia="zh-CN"/>
        </w:rPr>
      </w:pPr>
    </w:p>
    <w:p w14:paraId="6B8DD007">
      <w:pPr>
        <w:pStyle w:val="2"/>
        <w:rPr>
          <w:rFonts w:hint="eastAsia" w:ascii="方正黑体_GBK" w:hAnsi="方正黑体_GBK" w:eastAsia="方正黑体_GBK" w:cs="方正黑体_GBK"/>
          <w:sz w:val="28"/>
          <w:szCs w:val="28"/>
          <w:lang w:eastAsia="zh-CN"/>
        </w:rPr>
      </w:pPr>
    </w:p>
    <w:p w14:paraId="1A374BAA">
      <w:pPr>
        <w:rPr>
          <w:rFonts w:hint="eastAsia" w:ascii="方正黑体_GBK" w:hAnsi="方正黑体_GBK" w:eastAsia="方正黑体_GBK" w:cs="方正黑体_GBK"/>
          <w:sz w:val="28"/>
          <w:szCs w:val="28"/>
          <w:lang w:eastAsia="zh-CN"/>
        </w:rPr>
      </w:pPr>
    </w:p>
    <w:p w14:paraId="36B992A8">
      <w:pPr>
        <w:pStyle w:val="2"/>
        <w:rPr>
          <w:rFonts w:hint="eastAsia" w:ascii="方正黑体_GBK" w:hAnsi="方正黑体_GBK" w:eastAsia="方正黑体_GBK" w:cs="方正黑体_GBK"/>
          <w:sz w:val="28"/>
          <w:szCs w:val="28"/>
          <w:lang w:eastAsia="zh-CN"/>
        </w:rPr>
      </w:pPr>
    </w:p>
    <w:p w14:paraId="45CEDBE1">
      <w:pPr>
        <w:rPr>
          <w:rFonts w:hint="eastAsia" w:ascii="方正黑体_GBK" w:hAnsi="方正黑体_GBK" w:eastAsia="方正黑体_GBK" w:cs="方正黑体_GBK"/>
          <w:sz w:val="28"/>
          <w:szCs w:val="28"/>
          <w:lang w:eastAsia="zh-CN"/>
        </w:rPr>
      </w:pPr>
    </w:p>
    <w:p w14:paraId="1FB19C10">
      <w:pPr>
        <w:pStyle w:val="2"/>
        <w:rPr>
          <w:rFonts w:hint="eastAsia" w:ascii="方正黑体_GBK" w:hAnsi="方正黑体_GBK" w:eastAsia="方正黑体_GBK" w:cs="方正黑体_GBK"/>
          <w:sz w:val="28"/>
          <w:szCs w:val="28"/>
          <w:lang w:eastAsia="zh-CN"/>
        </w:rPr>
      </w:pPr>
    </w:p>
    <w:p w14:paraId="3FA721AB">
      <w:pPr>
        <w:rPr>
          <w:rFonts w:hint="eastAsia" w:ascii="方正黑体_GBK" w:hAnsi="方正黑体_GBK" w:eastAsia="方正黑体_GBK" w:cs="方正黑体_GBK"/>
          <w:sz w:val="28"/>
          <w:szCs w:val="28"/>
          <w:lang w:eastAsia="zh-CN"/>
        </w:rPr>
      </w:pPr>
    </w:p>
    <w:p w14:paraId="2D311561">
      <w:pPr>
        <w:pStyle w:val="2"/>
        <w:rPr>
          <w:rFonts w:hint="eastAsia" w:ascii="方正黑体_GBK" w:hAnsi="方正黑体_GBK" w:eastAsia="方正黑体_GBK" w:cs="方正黑体_GBK"/>
          <w:sz w:val="28"/>
          <w:szCs w:val="28"/>
          <w:lang w:eastAsia="zh-CN"/>
        </w:rPr>
      </w:pPr>
    </w:p>
    <w:p w14:paraId="5E68F658">
      <w:pPr>
        <w:rPr>
          <w:rFonts w:hint="eastAsia" w:ascii="方正黑体_GBK" w:hAnsi="方正黑体_GBK" w:eastAsia="方正黑体_GBK" w:cs="方正黑体_GBK"/>
          <w:sz w:val="28"/>
          <w:szCs w:val="28"/>
          <w:lang w:eastAsia="zh-CN"/>
        </w:rPr>
      </w:pPr>
    </w:p>
    <w:p w14:paraId="1B0C924D">
      <w:pPr>
        <w:rPr>
          <w:rFonts w:hint="eastAsia"/>
          <w:lang w:eastAsia="zh-CN"/>
        </w:rPr>
      </w:pPr>
    </w:p>
    <w:p w14:paraId="1A478D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sz w:val="28"/>
          <w:szCs w:val="28"/>
          <w:lang w:eastAsia="zh-CN"/>
        </w:rPr>
      </w:pPr>
    </w:p>
    <w:p w14:paraId="4D3D28A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附件</w:t>
      </w:r>
      <w:r>
        <w:rPr>
          <w:rFonts w:hint="eastAsia" w:ascii="方正黑体_GBK" w:hAnsi="方正黑体_GBK" w:eastAsia="方正黑体_GBK" w:cs="方正黑体_GBK"/>
          <w:sz w:val="28"/>
          <w:szCs w:val="28"/>
          <w:lang w:val="en-US" w:eastAsia="zh-CN"/>
        </w:rPr>
        <w:t>1</w:t>
      </w:r>
    </w:p>
    <w:p w14:paraId="1ED89D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小标宋_GBK" w:hAnsi="方正小标宋_GBK" w:eastAsia="方正小标宋_GBK" w:cs="方正小标宋_GBK"/>
          <w:sz w:val="44"/>
          <w:szCs w:val="44"/>
          <w:lang w:eastAsia="zh-CN"/>
        </w:rPr>
        <w:t>推荐关系报备书</w:t>
      </w:r>
    </w:p>
    <w:p w14:paraId="2C1ABD8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32"/>
          <w:szCs w:val="32"/>
          <w:lang w:val="en-US" w:eastAsia="zh-CN"/>
        </w:rPr>
      </w:pPr>
    </w:p>
    <w:p w14:paraId="744AE53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房地产开发企业名称：</w:t>
      </w:r>
      <w:r>
        <w:rPr>
          <w:rFonts w:hint="eastAsia" w:ascii="仿宋_GB2312" w:hAnsi="仿宋_GB2312" w:eastAsia="仿宋_GB2312" w:cs="仿宋_GB2312"/>
          <w:color w:val="auto"/>
          <w:sz w:val="32"/>
          <w:szCs w:val="32"/>
          <w:u w:val="single"/>
          <w:lang w:val="en-US" w:eastAsia="zh-CN"/>
        </w:rPr>
        <w:t xml:space="preserve">                                     </w:t>
      </w:r>
    </w:p>
    <w:p w14:paraId="321B595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pacing w:val="0"/>
          <w:sz w:val="32"/>
          <w:szCs w:val="32"/>
          <w:lang w:val="en-US" w:eastAsia="zh-CN"/>
        </w:rPr>
        <w:t>项目名称：</w:t>
      </w:r>
      <w:r>
        <w:rPr>
          <w:rFonts w:hint="eastAsia" w:ascii="仿宋_GB2312" w:hAnsi="仿宋_GB2312" w:eastAsia="仿宋_GB2312" w:cs="仿宋_GB2312"/>
          <w:color w:val="auto"/>
          <w:sz w:val="32"/>
          <w:szCs w:val="32"/>
          <w:u w:val="single"/>
          <w:lang w:val="en-US" w:eastAsia="zh-CN"/>
        </w:rPr>
        <w:t xml:space="preserve">                                               </w:t>
      </w:r>
    </w:p>
    <w:p w14:paraId="77533FB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p>
    <w:p w14:paraId="41CC8EF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一、推荐人</w:t>
      </w:r>
    </w:p>
    <w:p w14:paraId="451BA4D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p>
    <w:p w14:paraId="37C7FCB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身份证号：</w:t>
      </w:r>
      <w:r>
        <w:rPr>
          <w:rFonts w:hint="eastAsia" w:ascii="仿宋_GB2312" w:hAnsi="仿宋_GB2312" w:eastAsia="仿宋_GB2312" w:cs="仿宋_GB2312"/>
          <w:color w:val="auto"/>
          <w:sz w:val="32"/>
          <w:szCs w:val="32"/>
          <w:u w:val="single"/>
          <w:lang w:val="en-US" w:eastAsia="zh-CN"/>
        </w:rPr>
        <w:t xml:space="preserve">                                               </w:t>
      </w:r>
    </w:p>
    <w:p w14:paraId="0F96E77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二、被推荐人</w:t>
      </w:r>
    </w:p>
    <w:p w14:paraId="1F3347D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p>
    <w:p w14:paraId="49F60D7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身份证号：</w:t>
      </w:r>
      <w:r>
        <w:rPr>
          <w:rFonts w:hint="eastAsia" w:ascii="仿宋_GB2312" w:hAnsi="仿宋_GB2312" w:eastAsia="仿宋_GB2312" w:cs="仿宋_GB2312"/>
          <w:color w:val="auto"/>
          <w:sz w:val="32"/>
          <w:szCs w:val="32"/>
          <w:u w:val="single"/>
          <w:lang w:val="en-US" w:eastAsia="zh-CN"/>
        </w:rPr>
        <w:t xml:space="preserve">                                               </w:t>
      </w:r>
    </w:p>
    <w:p w14:paraId="20DAA22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到访时间：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w:t>
      </w:r>
    </w:p>
    <w:p w14:paraId="1177BCB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三、报备说明</w:t>
      </w:r>
    </w:p>
    <w:p w14:paraId="00C06AF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sz w:val="32"/>
          <w:szCs w:val="32"/>
          <w:lang w:val="en-US" w:eastAsia="zh-CN"/>
        </w:rPr>
        <w:t>本报备书所填写的推荐人、被推荐人信息需真实、准确。如因推荐人填写信息错误、虚假申报等原因导致推荐无效，</w:t>
      </w:r>
      <w:r>
        <w:rPr>
          <w:rFonts w:hint="eastAsia" w:ascii="仿宋_GB2312" w:hAnsi="仿宋_GB2312" w:eastAsia="仿宋_GB2312" w:cs="仿宋_GB2312"/>
          <w:color w:val="auto"/>
          <w:kern w:val="2"/>
          <w:sz w:val="32"/>
          <w:szCs w:val="32"/>
          <w:highlight w:val="none"/>
          <w:u w:val="none"/>
          <w:lang w:val="en-US" w:eastAsia="zh-CN" w:bidi="ar-SA"/>
        </w:rPr>
        <w:t>相关损失由推荐人自行承担</w:t>
      </w:r>
      <w:r>
        <w:rPr>
          <w:rFonts w:hint="eastAsia" w:ascii="仿宋_GB2312" w:hAnsi="仿宋_GB2312" w:eastAsia="仿宋_GB2312" w:cs="仿宋_GB2312"/>
          <w:color w:val="auto"/>
          <w:spacing w:val="0"/>
          <w:sz w:val="32"/>
          <w:szCs w:val="32"/>
          <w:lang w:val="en-US" w:eastAsia="zh-CN"/>
        </w:rPr>
        <w:t>。</w:t>
      </w:r>
    </w:p>
    <w:p w14:paraId="4A4DA6A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20"/>
          <w:sz w:val="32"/>
          <w:szCs w:val="32"/>
          <w:lang w:val="en-US" w:eastAsia="zh-CN"/>
        </w:rPr>
      </w:pPr>
    </w:p>
    <w:p w14:paraId="63E8EF5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20"/>
          <w:sz w:val="32"/>
          <w:szCs w:val="32"/>
          <w:lang w:val="en-US" w:eastAsia="zh-CN"/>
        </w:rPr>
      </w:pPr>
    </w:p>
    <w:p w14:paraId="0593062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20"/>
          <w:sz w:val="32"/>
          <w:szCs w:val="32"/>
          <w:lang w:val="en-US" w:eastAsia="zh-CN"/>
        </w:rPr>
      </w:pPr>
    </w:p>
    <w:p w14:paraId="2E15F7CB">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pacing w:val="-20"/>
          <w:sz w:val="32"/>
          <w:szCs w:val="32"/>
          <w:lang w:val="en-US" w:eastAsia="zh-CN"/>
        </w:rPr>
        <w:t xml:space="preserve">推荐人确认（签字按手印）：          被推荐人确认（签字按手印）：              </w:t>
      </w:r>
      <w:r>
        <w:rPr>
          <w:rFonts w:hint="eastAsia" w:ascii="仿宋_GB2312" w:hAnsi="仿宋_GB2312" w:eastAsia="仿宋_GB2312" w:cs="仿宋_GB2312"/>
          <w:color w:val="auto"/>
          <w:sz w:val="32"/>
          <w:szCs w:val="32"/>
          <w:u w:val="none"/>
          <w:lang w:val="en-US" w:eastAsia="zh-CN"/>
        </w:rPr>
        <w:t xml:space="preserve"> </w:t>
      </w:r>
    </w:p>
    <w:p w14:paraId="26DBDFF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default" w:ascii="仿宋_GB2312" w:hAnsi="仿宋_GB2312" w:eastAsia="仿宋_GB2312" w:cs="仿宋_GB2312"/>
          <w:color w:val="auto"/>
          <w:sz w:val="32"/>
          <w:szCs w:val="32"/>
          <w:u w:val="none"/>
          <w:lang w:val="en-US" w:eastAsia="zh-CN"/>
        </w:rPr>
      </w:pPr>
    </w:p>
    <w:p w14:paraId="1C01D676">
      <w:pPr>
        <w:keepNext w:val="0"/>
        <w:keepLines w:val="0"/>
        <w:pageBreakBefore w:val="0"/>
        <w:widowControl w:val="0"/>
        <w:kinsoku/>
        <w:wordWrap/>
        <w:overflowPunct/>
        <w:topLinePunct w:val="0"/>
        <w:autoSpaceDE/>
        <w:autoSpaceDN/>
        <w:bidi w:val="0"/>
        <w:adjustRightInd w:val="0"/>
        <w:snapToGrid w:val="0"/>
        <w:spacing w:line="240" w:lineRule="auto"/>
        <w:ind w:firstLine="280" w:firstLineChars="1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0"/>
          <w:sz w:val="32"/>
          <w:szCs w:val="32"/>
          <w:lang w:val="en-US" w:eastAsia="zh-CN"/>
        </w:rPr>
        <w:t>日期：    年   月   日               日期：    年   月   日</w:t>
      </w:r>
      <w:r>
        <w:rPr>
          <w:rFonts w:hint="eastAsia" w:ascii="仿宋_GB2312" w:hAnsi="仿宋_GB2312" w:eastAsia="仿宋_GB2312" w:cs="仿宋_GB2312"/>
          <w:color w:val="auto"/>
          <w:sz w:val="32"/>
          <w:szCs w:val="32"/>
          <w:lang w:val="en-US" w:eastAsia="zh-CN"/>
        </w:rPr>
        <w:t xml:space="preserve">       </w:t>
      </w:r>
    </w:p>
    <w:p w14:paraId="71EDD6D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14:paraId="12F02F4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14:paraId="6BC108B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销售负责人确认（签字）：            </w:t>
      </w:r>
    </w:p>
    <w:p w14:paraId="6B568FE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 xml:space="preserve">销售负责人联系电话：            </w:t>
      </w:r>
    </w:p>
    <w:p w14:paraId="231FE9F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日期：      年     月    日      </w:t>
      </w:r>
      <w:r>
        <w:rPr>
          <w:rFonts w:hint="eastAsia" w:ascii="仿宋_GB2312" w:hAnsi="仿宋_GB2312" w:eastAsia="仿宋_GB2312" w:cs="仿宋_GB2312"/>
          <w:color w:val="auto"/>
          <w:sz w:val="32"/>
          <w:szCs w:val="32"/>
          <w:lang w:val="en-US" w:eastAsia="zh-CN"/>
        </w:rPr>
        <w:t xml:space="preserve">          </w:t>
      </w:r>
    </w:p>
    <w:p w14:paraId="534C695A">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黑体_GBK" w:hAnsi="方正黑体_GBK" w:eastAsia="方正黑体_GBK" w:cs="方正黑体_GBK"/>
          <w:color w:val="auto"/>
          <w:sz w:val="28"/>
          <w:szCs w:val="28"/>
          <w:lang w:eastAsia="zh-CN"/>
        </w:rPr>
      </w:pPr>
    </w:p>
    <w:p w14:paraId="36A2472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附件</w:t>
      </w:r>
      <w:r>
        <w:rPr>
          <w:rFonts w:hint="eastAsia" w:ascii="方正黑体_GBK" w:hAnsi="方正黑体_GBK" w:eastAsia="方正黑体_GBK" w:cs="方正黑体_GBK"/>
          <w:sz w:val="28"/>
          <w:szCs w:val="28"/>
          <w:lang w:val="en-US" w:eastAsia="zh-CN"/>
        </w:rPr>
        <w:t>2</w:t>
      </w:r>
    </w:p>
    <w:p w14:paraId="4C947E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购房推荐关系确认书</w:t>
      </w:r>
    </w:p>
    <w:p w14:paraId="261EEC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sz w:val="44"/>
          <w:szCs w:val="44"/>
          <w:lang w:eastAsia="zh-CN"/>
        </w:rPr>
      </w:pPr>
    </w:p>
    <w:p w14:paraId="300D38E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一、推荐人</w:t>
      </w:r>
    </w:p>
    <w:p w14:paraId="3D4E19D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p>
    <w:p w14:paraId="69FCAE9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身份证号：</w:t>
      </w:r>
      <w:r>
        <w:rPr>
          <w:rFonts w:hint="eastAsia" w:ascii="仿宋_GB2312" w:hAnsi="仿宋_GB2312" w:eastAsia="仿宋_GB2312" w:cs="仿宋_GB2312"/>
          <w:color w:val="auto"/>
          <w:sz w:val="32"/>
          <w:szCs w:val="32"/>
          <w:u w:val="single"/>
          <w:lang w:val="en-US" w:eastAsia="zh-CN"/>
        </w:rPr>
        <w:t xml:space="preserve">                                               </w:t>
      </w:r>
    </w:p>
    <w:p w14:paraId="5E8A6C2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二、购房人（被推荐人）</w:t>
      </w:r>
    </w:p>
    <w:p w14:paraId="573FDC1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联系电话：</w:t>
      </w:r>
      <w:r>
        <w:rPr>
          <w:rFonts w:hint="eastAsia" w:ascii="仿宋_GB2312" w:hAnsi="仿宋_GB2312" w:eastAsia="仿宋_GB2312" w:cs="仿宋_GB2312"/>
          <w:color w:val="auto"/>
          <w:sz w:val="32"/>
          <w:szCs w:val="32"/>
          <w:u w:val="single"/>
          <w:lang w:val="en-US" w:eastAsia="zh-CN"/>
        </w:rPr>
        <w:t xml:space="preserve">                    </w:t>
      </w:r>
    </w:p>
    <w:p w14:paraId="5E09734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身份证号：</w:t>
      </w:r>
      <w:r>
        <w:rPr>
          <w:rFonts w:hint="eastAsia" w:ascii="仿宋_GB2312" w:hAnsi="仿宋_GB2312" w:eastAsia="仿宋_GB2312" w:cs="仿宋_GB2312"/>
          <w:color w:val="auto"/>
          <w:sz w:val="32"/>
          <w:szCs w:val="32"/>
          <w:u w:val="single"/>
          <w:lang w:val="en-US" w:eastAsia="zh-CN"/>
        </w:rPr>
        <w:t xml:space="preserve">                                               </w:t>
      </w:r>
    </w:p>
    <w:p w14:paraId="7B3DA58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三、推荐关系说明</w:t>
      </w:r>
    </w:p>
    <w:p w14:paraId="791B3DB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本人（</w:t>
      </w:r>
      <w:r>
        <w:rPr>
          <w:rFonts w:hint="eastAsia" w:ascii="仿宋_GB2312" w:hAnsi="仿宋_GB2312" w:eastAsia="仿宋_GB2312" w:cs="仿宋_GB2312"/>
          <w:color w:val="auto"/>
          <w:spacing w:val="-6"/>
          <w:sz w:val="32"/>
          <w:szCs w:val="32"/>
          <w:lang w:val="en-US" w:eastAsia="zh-CN"/>
        </w:rPr>
        <w:t>推荐人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郑重承诺，与购房人（被推荐人）</w:t>
      </w:r>
    </w:p>
    <w:p w14:paraId="742A123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系</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pacing w:val="-6"/>
          <w:sz w:val="32"/>
          <w:szCs w:val="32"/>
          <w:lang w:val="en-US" w:eastAsia="zh-CN"/>
        </w:rPr>
        <w:t>（朋友/同事/亲属）关系，此推荐关系真实存在，无任何虚构情形。</w:t>
      </w:r>
    </w:p>
    <w:p w14:paraId="65B6E59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四、房地产开发企业确认</w:t>
      </w:r>
    </w:p>
    <w:p w14:paraId="1EBC62C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推荐人于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日向被推荐人推荐（房地产开发企业）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开发的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项目。</w:t>
      </w:r>
    </w:p>
    <w:p w14:paraId="13C55FC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被推荐人已就坐落于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的商品房与房地产开发企业于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日签订《中山市商品房买卖合同》（合同编号：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），并办理合同网签备案。</w:t>
      </w:r>
    </w:p>
    <w:p w14:paraId="1274256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五、承诺条款</w:t>
      </w:r>
    </w:p>
    <w:p w14:paraId="5CF90F5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（一）本确认书所载明的推荐关系、推荐行为及购房事实的描述均真实、准确、完整，无虚假陈述、隐瞒或误导性内容。若因虚假信息引发的相应责任的由推荐人、房地产开发企业承担。</w:t>
      </w:r>
    </w:p>
    <w:p w14:paraId="7F28441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（二）推荐人承诺本人符合推荐人认定标准，是年满18岁的完全民事行为能力人，并非被推荐人配偶，且不是所购房地产项目的销售人员、房地产中介从业人员、机关事业单位在编在职工作人员及雇员。</w:t>
      </w:r>
    </w:p>
    <w:p w14:paraId="5A7ABCB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（三）房地产开发企业确认购房人与推荐人推荐关系真实存在，符合活动认定标准，具备合法有效证明依据，无虚构关系、冒名推荐、虚假申报等套取活动奖励的情形。</w:t>
      </w:r>
    </w:p>
    <w:p w14:paraId="3F91293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（四）网签备案后在2028年3月31日（含当日）前注销备案的，在注销商品房买卖合同备案前返还已支付的现金奖励。</w:t>
      </w:r>
    </w:p>
    <w:p w14:paraId="28B6F35F">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六、效力约定</w:t>
      </w:r>
    </w:p>
    <w:p w14:paraId="6D90058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本确认书自推荐人、</w:t>
      </w:r>
      <w:r>
        <w:rPr>
          <w:rFonts w:hint="eastAsia" w:ascii="仿宋_GB2312" w:hAnsi="仿宋_GB2312" w:eastAsia="仿宋_GB2312" w:cs="仿宋_GB2312"/>
          <w:color w:val="auto"/>
          <w:spacing w:val="-20"/>
          <w:sz w:val="32"/>
          <w:szCs w:val="32"/>
          <w:lang w:val="en-US" w:eastAsia="zh-CN"/>
        </w:rPr>
        <w:t>被推荐人</w:t>
      </w:r>
      <w:r>
        <w:rPr>
          <w:rFonts w:hint="eastAsia" w:ascii="仿宋_GB2312" w:hAnsi="仿宋_GB2312" w:eastAsia="仿宋_GB2312" w:cs="仿宋_GB2312"/>
          <w:color w:val="auto"/>
          <w:sz w:val="32"/>
          <w:szCs w:val="32"/>
          <w:lang w:val="en-US" w:eastAsia="zh-CN"/>
        </w:rPr>
        <w:t>签字按手印、房地产开发企业盖章确认之日起生效。本确认书一式肆份推荐人、被推荐人、房地产开发企业、市住房城乡建设局各执一份，具有同等法律效力。</w:t>
      </w:r>
    </w:p>
    <w:p w14:paraId="340B1C1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14:paraId="0958F01C">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14:paraId="383BABB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14:paraId="271A228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p>
    <w:p w14:paraId="67BE129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推荐人（签</w:t>
      </w:r>
      <w:r>
        <w:rPr>
          <w:rFonts w:hint="eastAsia" w:ascii="仿宋_GB2312" w:hAnsi="仿宋_GB2312" w:eastAsia="仿宋_GB2312" w:cs="仿宋_GB2312"/>
          <w:color w:val="auto"/>
          <w:spacing w:val="-20"/>
          <w:sz w:val="32"/>
          <w:szCs w:val="32"/>
          <w:lang w:val="en-US" w:eastAsia="zh"/>
          <w:woUserID w:val="1"/>
        </w:rPr>
        <w:t>字</w:t>
      </w:r>
      <w:r>
        <w:rPr>
          <w:rFonts w:hint="eastAsia" w:ascii="仿宋_GB2312" w:hAnsi="仿宋_GB2312" w:eastAsia="仿宋_GB2312" w:cs="仿宋_GB2312"/>
          <w:color w:val="auto"/>
          <w:spacing w:val="-20"/>
          <w:sz w:val="32"/>
          <w:szCs w:val="32"/>
          <w:lang w:val="en-US" w:eastAsia="zh-CN"/>
        </w:rPr>
        <w:t xml:space="preserve">按手印）：             被推荐人（签字按手印）：              </w:t>
      </w:r>
    </w:p>
    <w:p w14:paraId="0555C9F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20"/>
          <w:sz w:val="32"/>
          <w:szCs w:val="32"/>
          <w:lang w:val="en-US" w:eastAsia="zh-CN"/>
        </w:rPr>
        <w:t>日期：    年  月  日                 日期：    年  月  日</w:t>
      </w:r>
      <w:r>
        <w:rPr>
          <w:rFonts w:hint="eastAsia" w:ascii="仿宋_GB2312" w:hAnsi="仿宋_GB2312" w:eastAsia="仿宋_GB2312" w:cs="仿宋_GB2312"/>
          <w:color w:val="auto"/>
          <w:sz w:val="32"/>
          <w:szCs w:val="32"/>
          <w:lang w:val="en-US" w:eastAsia="zh-CN"/>
        </w:rPr>
        <w:t xml:space="preserve">                       </w:t>
      </w:r>
    </w:p>
    <w:p w14:paraId="288B110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32"/>
          <w:szCs w:val="32"/>
          <w:lang w:val="en-US" w:eastAsia="zh-CN"/>
        </w:rPr>
      </w:pPr>
    </w:p>
    <w:p w14:paraId="0060CE8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2C5F1D35">
      <w:pPr>
        <w:keepNext w:val="0"/>
        <w:keepLines w:val="0"/>
        <w:pageBreakBefore w:val="0"/>
        <w:widowControl w:val="0"/>
        <w:kinsoku/>
        <w:wordWrap w:val="0"/>
        <w:overflowPunct/>
        <w:topLinePunct w:val="0"/>
        <w:autoSpaceDE/>
        <w:autoSpaceDN/>
        <w:bidi w:val="0"/>
        <w:adjustRightInd w:val="0"/>
        <w:snapToGrid w:val="0"/>
        <w:spacing w:line="240" w:lineRule="auto"/>
        <w:ind w:firstLine="3840" w:firstLineChars="1200"/>
        <w:jc w:val="both"/>
        <w:textAlignment w:val="auto"/>
        <w:rPr>
          <w:rFonts w:hint="eastAsia" w:ascii="仿宋_GB2312" w:hAnsi="仿宋_GB2312" w:eastAsia="仿宋_GB2312" w:cs="仿宋_GB2312"/>
          <w:color w:val="auto"/>
          <w:sz w:val="32"/>
          <w:szCs w:val="32"/>
          <w:lang w:val="en-US" w:eastAsia="zh-CN"/>
        </w:rPr>
      </w:pPr>
    </w:p>
    <w:p w14:paraId="6023A86E">
      <w:pPr>
        <w:keepNext w:val="0"/>
        <w:keepLines w:val="0"/>
        <w:pageBreakBefore w:val="0"/>
        <w:widowControl w:val="0"/>
        <w:kinsoku/>
        <w:wordWrap w:val="0"/>
        <w:overflowPunct/>
        <w:topLinePunct w:val="0"/>
        <w:autoSpaceDE/>
        <w:autoSpaceDN/>
        <w:bidi w:val="0"/>
        <w:adjustRightInd w:val="0"/>
        <w:snapToGrid w:val="0"/>
        <w:spacing w:line="240" w:lineRule="auto"/>
        <w:ind w:firstLine="3840" w:firstLineChars="1200"/>
        <w:jc w:val="both"/>
        <w:textAlignment w:val="auto"/>
        <w:rPr>
          <w:rFonts w:hint="eastAsia" w:ascii="仿宋_GB2312" w:hAnsi="仿宋_GB2312" w:eastAsia="仿宋_GB2312" w:cs="仿宋_GB2312"/>
          <w:color w:val="auto"/>
          <w:sz w:val="32"/>
          <w:szCs w:val="32"/>
          <w:lang w:val="en-US" w:eastAsia="zh-CN"/>
        </w:rPr>
      </w:pPr>
    </w:p>
    <w:p w14:paraId="6DE91E22">
      <w:pPr>
        <w:keepNext w:val="0"/>
        <w:keepLines w:val="0"/>
        <w:pageBreakBefore w:val="0"/>
        <w:widowControl w:val="0"/>
        <w:kinsoku/>
        <w:wordWrap w:val="0"/>
        <w:overflowPunct/>
        <w:topLinePunct w:val="0"/>
        <w:autoSpaceDE/>
        <w:autoSpaceDN/>
        <w:bidi w:val="0"/>
        <w:adjustRightInd w:val="0"/>
        <w:snapToGrid w:val="0"/>
        <w:spacing w:line="240" w:lineRule="auto"/>
        <w:ind w:firstLine="3840" w:firstLineChars="1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房地产开发企业（盖章）    </w:t>
      </w:r>
    </w:p>
    <w:p w14:paraId="66DE1372">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z w:val="32"/>
          <w:szCs w:val="32"/>
          <w:lang w:val="en-US" w:eastAsia="zh-CN"/>
        </w:rPr>
        <w:t xml:space="preserve">                        法定代表人/代理人（签字）：             </w:t>
      </w:r>
      <w:r>
        <w:rPr>
          <w:rFonts w:hint="eastAsia" w:ascii="仿宋_GB2312" w:hAnsi="仿宋_GB2312" w:eastAsia="仿宋_GB2312" w:cs="仿宋_GB2312"/>
          <w:color w:val="auto"/>
          <w:spacing w:val="-20"/>
          <w:sz w:val="32"/>
          <w:szCs w:val="32"/>
          <w:lang w:val="en-US" w:eastAsia="zh-CN"/>
        </w:rPr>
        <w:t xml:space="preserve">                日期：      年     月    日       </w:t>
      </w:r>
    </w:p>
    <w:p w14:paraId="0C8E52F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color w:val="auto"/>
          <w:spacing w:val="-20"/>
          <w:sz w:val="32"/>
          <w:szCs w:val="32"/>
          <w:lang w:val="en-US" w:eastAsia="zh-CN"/>
        </w:rPr>
      </w:pPr>
    </w:p>
    <w:p w14:paraId="5ADA902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color w:val="auto"/>
          <w:spacing w:val="-20"/>
          <w:sz w:val="32"/>
          <w:szCs w:val="32"/>
          <w:lang w:val="en-US" w:eastAsia="zh-CN"/>
        </w:rPr>
      </w:pPr>
    </w:p>
    <w:p w14:paraId="784A8C8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pacing w:val="-20"/>
          <w:sz w:val="32"/>
          <w:szCs w:val="32"/>
          <w:lang w:val="en-US" w:eastAsia="zh-CN"/>
        </w:rPr>
      </w:pPr>
    </w:p>
    <w:p w14:paraId="4CB6DFD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color w:val="auto"/>
          <w:spacing w:val="-20"/>
          <w:sz w:val="32"/>
          <w:szCs w:val="32"/>
          <w:lang w:val="en-US" w:eastAsia="zh-CN"/>
        </w:rPr>
      </w:pPr>
    </w:p>
    <w:p w14:paraId="5D443F6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注：同一商品房涉及多个买受人，需全部买受人签名确认。</w:t>
      </w:r>
    </w:p>
    <w:p w14:paraId="406AE133">
      <w:pPr>
        <w:keepNext w:val="0"/>
        <w:keepLines w:val="0"/>
        <w:pageBreakBefore w:val="0"/>
        <w:widowControl w:val="0"/>
        <w:kinsoku/>
        <w:overflowPunct/>
        <w:topLinePunct w:val="0"/>
        <w:autoSpaceDE/>
        <w:autoSpaceDN/>
        <w:bidi w:val="0"/>
        <w:adjustRightInd w:val="0"/>
        <w:snapToGrid w:val="0"/>
        <w:spacing w:line="240" w:lineRule="auto"/>
        <w:textAlignment w:val="auto"/>
        <w:rPr>
          <w:color w:val="auto"/>
        </w:rPr>
      </w:pPr>
    </w:p>
    <w:p w14:paraId="67E706B4">
      <w:pPr>
        <w:pStyle w:val="2"/>
        <w:rPr>
          <w:color w:val="auto"/>
        </w:rPr>
      </w:pPr>
    </w:p>
    <w:p w14:paraId="7643DA22">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sz w:val="28"/>
          <w:szCs w:val="28"/>
          <w:lang w:eastAsia="zh-CN"/>
        </w:rPr>
      </w:pPr>
    </w:p>
    <w:p w14:paraId="301137C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方正黑体_GBK" w:hAnsi="方正黑体_GBK" w:eastAsia="方正黑体_GBK" w:cs="方正黑体_GBK"/>
          <w:sz w:val="28"/>
          <w:szCs w:val="28"/>
          <w:lang w:val="en-US" w:eastAsia="zh-CN"/>
        </w:rPr>
      </w:pPr>
      <w:bookmarkStart w:id="0" w:name="_GoBack"/>
      <w:r>
        <w:rPr>
          <w:rFonts w:hint="eastAsia" w:ascii="方正黑体_GBK" w:hAnsi="方正黑体_GBK" w:eastAsia="方正黑体_GBK" w:cs="方正黑体_GBK"/>
          <w:sz w:val="28"/>
          <w:szCs w:val="28"/>
          <w:lang w:eastAsia="zh-CN"/>
        </w:rPr>
        <w:t>附件</w:t>
      </w:r>
      <w:bookmarkEnd w:id="0"/>
      <w:r>
        <w:rPr>
          <w:rFonts w:hint="eastAsia" w:ascii="方正黑体_GBK" w:hAnsi="方正黑体_GBK" w:eastAsia="方正黑体_GBK" w:cs="方正黑体_GBK"/>
          <w:sz w:val="28"/>
          <w:szCs w:val="28"/>
          <w:lang w:val="en-US" w:eastAsia="zh-CN"/>
        </w:rPr>
        <w:t>3</w:t>
      </w:r>
    </w:p>
    <w:p w14:paraId="34E9B79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sz w:val="44"/>
          <w:szCs w:val="44"/>
          <w:lang w:val="en-US" w:eastAsia="zh-CN"/>
        </w:rPr>
      </w:pPr>
    </w:p>
    <w:p w14:paraId="3CD6EE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推荐人开户行信息</w:t>
      </w:r>
    </w:p>
    <w:p w14:paraId="66059640">
      <w:pPr>
        <w:pStyle w:val="2"/>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方正小标宋_GBK" w:hAnsi="方正小标宋_GBK" w:eastAsia="方正小标宋_GBK" w:cs="方正小标宋_GBK"/>
          <w:sz w:val="44"/>
          <w:szCs w:val="44"/>
          <w:lang w:val="en-US" w:eastAsia="zh-CN"/>
        </w:rPr>
      </w:pPr>
    </w:p>
    <w:p w14:paraId="4FA8410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仿宋_GB2312" w:hAnsi="仿宋_GB2312" w:eastAsia="仿宋_GB2312" w:cs="仿宋_GB2312"/>
          <w:color w:val="auto"/>
          <w:spacing w:val="0"/>
          <w:sz w:val="32"/>
          <w:szCs w:val="32"/>
          <w:u w:val="single"/>
          <w:lang w:val="en-US" w:eastAsia="zh-CN"/>
        </w:rPr>
      </w:pPr>
      <w:r>
        <w:rPr>
          <w:rFonts w:hint="eastAsia" w:ascii="仿宋_GB2312" w:hAnsi="仿宋_GB2312" w:eastAsia="仿宋_GB2312" w:cs="仿宋_GB2312"/>
          <w:color w:val="auto"/>
          <w:spacing w:val="0"/>
          <w:sz w:val="32"/>
          <w:szCs w:val="32"/>
          <w:lang w:val="en-US" w:eastAsia="zh-CN"/>
        </w:rPr>
        <w:t>收款人姓名：</w:t>
      </w:r>
      <w:r>
        <w:rPr>
          <w:rFonts w:hint="eastAsia" w:ascii="仿宋_GB2312" w:hAnsi="仿宋_GB2312" w:eastAsia="仿宋_GB2312" w:cs="仿宋_GB2312"/>
          <w:color w:val="auto"/>
          <w:spacing w:val="0"/>
          <w:sz w:val="32"/>
          <w:szCs w:val="32"/>
          <w:u w:val="single"/>
          <w:lang w:val="en-US" w:eastAsia="zh-CN"/>
        </w:rPr>
        <w:t xml:space="preserve">                                        </w:t>
      </w:r>
    </w:p>
    <w:p w14:paraId="27A0EE1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仿宋_GB2312" w:hAnsi="仿宋_GB2312" w:eastAsia="仿宋_GB2312" w:cs="仿宋_GB2312"/>
          <w:color w:val="auto"/>
          <w:spacing w:val="0"/>
          <w:sz w:val="32"/>
          <w:szCs w:val="32"/>
          <w:u w:val="single"/>
          <w:lang w:val="en-US" w:eastAsia="zh-CN"/>
        </w:rPr>
      </w:pPr>
      <w:r>
        <w:rPr>
          <w:rFonts w:hint="eastAsia" w:ascii="仿宋_GB2312" w:hAnsi="仿宋_GB2312" w:eastAsia="仿宋_GB2312" w:cs="仿宋_GB2312"/>
          <w:color w:val="auto"/>
          <w:spacing w:val="0"/>
          <w:sz w:val="32"/>
          <w:szCs w:val="32"/>
          <w:lang w:val="en-US" w:eastAsia="zh-CN"/>
        </w:rPr>
        <w:t>收款人开户行：</w:t>
      </w:r>
      <w:r>
        <w:rPr>
          <w:rFonts w:hint="eastAsia" w:ascii="仿宋_GB2312" w:hAnsi="仿宋_GB2312" w:eastAsia="仿宋_GB2312" w:cs="仿宋_GB2312"/>
          <w:color w:val="auto"/>
          <w:spacing w:val="0"/>
          <w:sz w:val="32"/>
          <w:szCs w:val="32"/>
          <w:u w:val="single"/>
          <w:lang w:val="en-US" w:eastAsia="zh-CN"/>
        </w:rPr>
        <w:t xml:space="preserve">                                      </w:t>
      </w:r>
    </w:p>
    <w:p w14:paraId="04CC641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收款账号：</w:t>
      </w:r>
      <w:r>
        <w:rPr>
          <w:rFonts w:hint="eastAsia" w:ascii="仿宋_GB2312" w:hAnsi="仿宋_GB2312" w:eastAsia="仿宋_GB2312" w:cs="仿宋_GB2312"/>
          <w:color w:val="auto"/>
          <w:spacing w:val="0"/>
          <w:sz w:val="32"/>
          <w:szCs w:val="32"/>
          <w:u w:val="single"/>
          <w:lang w:val="en-US" w:eastAsia="zh-CN"/>
        </w:rPr>
        <w:t xml:space="preserve">                                          </w:t>
      </w:r>
    </w:p>
    <w:p w14:paraId="699E73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仿宋_GB2312" w:hAnsi="仿宋_GB2312" w:eastAsia="仿宋_GB2312" w:cs="仿宋_GB2312"/>
          <w:color w:val="auto"/>
          <w:spacing w:val="0"/>
          <w:sz w:val="32"/>
          <w:szCs w:val="32"/>
          <w:u w:val="single"/>
          <w:lang w:val="en-US" w:eastAsia="zh-CN"/>
        </w:rPr>
      </w:pPr>
      <w:r>
        <w:rPr>
          <w:rFonts w:hint="eastAsia" w:ascii="仿宋_GB2312" w:hAnsi="仿宋_GB2312" w:eastAsia="仿宋_GB2312" w:cs="仿宋_GB2312"/>
          <w:color w:val="auto"/>
          <w:spacing w:val="0"/>
          <w:sz w:val="32"/>
          <w:szCs w:val="32"/>
          <w:lang w:val="en-US" w:eastAsia="zh-CN"/>
        </w:rPr>
        <w:t>证件类型：</w:t>
      </w:r>
      <w:r>
        <w:rPr>
          <w:rFonts w:hint="eastAsia" w:ascii="仿宋_GB2312" w:hAnsi="仿宋_GB2312" w:eastAsia="仿宋_GB2312" w:cs="仿宋_GB2312"/>
          <w:color w:val="auto"/>
          <w:spacing w:val="0"/>
          <w:sz w:val="32"/>
          <w:szCs w:val="32"/>
          <w:u w:val="single"/>
          <w:lang w:val="en-US" w:eastAsia="zh-CN"/>
        </w:rPr>
        <w:t xml:space="preserve">                                          </w:t>
      </w:r>
    </w:p>
    <w:p w14:paraId="4DBE24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spacing w:val="0"/>
          <w:sz w:val="32"/>
          <w:szCs w:val="32"/>
          <w:u w:val="single"/>
          <w:lang w:val="en-US" w:eastAsia="zh-CN"/>
        </w:rPr>
      </w:pPr>
      <w:r>
        <w:rPr>
          <w:rFonts w:hint="eastAsia" w:ascii="仿宋_GB2312" w:hAnsi="仿宋_GB2312" w:eastAsia="仿宋_GB2312" w:cs="仿宋_GB2312"/>
          <w:color w:val="auto"/>
          <w:spacing w:val="0"/>
          <w:sz w:val="32"/>
          <w:szCs w:val="32"/>
          <w:lang w:val="en-US" w:eastAsia="zh-CN"/>
        </w:rPr>
        <w:t>证件号码：</w:t>
      </w:r>
      <w:r>
        <w:rPr>
          <w:rFonts w:hint="eastAsia" w:ascii="仿宋_GB2312" w:hAnsi="仿宋_GB2312" w:eastAsia="仿宋_GB2312" w:cs="仿宋_GB2312"/>
          <w:color w:val="auto"/>
          <w:spacing w:val="0"/>
          <w:sz w:val="32"/>
          <w:szCs w:val="32"/>
          <w:u w:val="single"/>
          <w:lang w:val="en-US" w:eastAsia="zh-CN"/>
        </w:rPr>
        <w:t xml:space="preserve">                                          </w:t>
      </w:r>
    </w:p>
    <w:p w14:paraId="4561EAF6">
      <w:pPr>
        <w:pStyle w:val="2"/>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pacing w:val="0"/>
          <w:sz w:val="32"/>
          <w:szCs w:val="32"/>
          <w:u w:val="single"/>
          <w:lang w:val="en-US" w:eastAsia="zh-CN"/>
        </w:rPr>
      </w:pPr>
    </w:p>
    <w:p w14:paraId="04C44A08">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pacing w:val="0"/>
          <w:sz w:val="32"/>
          <w:szCs w:val="32"/>
          <w:u w:val="single"/>
          <w:lang w:val="en-US" w:eastAsia="zh-CN"/>
        </w:rPr>
      </w:pPr>
    </w:p>
    <w:p w14:paraId="0EEB56D2">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color w:val="auto"/>
          <w:spacing w:val="0"/>
          <w:sz w:val="32"/>
          <w:szCs w:val="32"/>
          <w:lang w:val="en-US" w:eastAsia="zh-CN"/>
        </w:rPr>
      </w:pPr>
    </w:p>
    <w:p w14:paraId="3DB3AE0A">
      <w:pPr>
        <w:keepNext w:val="0"/>
        <w:keepLines w:val="0"/>
        <w:pageBreakBefore w:val="0"/>
        <w:widowControl w:val="0"/>
        <w:kinsoku/>
        <w:wordWrap/>
        <w:overflowPunct/>
        <w:topLinePunct w:val="0"/>
        <w:autoSpaceDE/>
        <w:autoSpaceDN/>
        <w:bidi w:val="0"/>
        <w:adjustRightInd w:val="0"/>
        <w:snapToGrid w:val="0"/>
        <w:spacing w:line="360" w:lineRule="auto"/>
        <w:ind w:firstLine="3520" w:firstLineChars="1100"/>
        <w:jc w:val="both"/>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推荐人确认（签字按手印）：                   </w:t>
      </w:r>
    </w:p>
    <w:p w14:paraId="21C1C3D4">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日期：    年   月   日  </w:t>
      </w:r>
      <w:r>
        <w:rPr>
          <w:rFonts w:hint="eastAsia" w:ascii="仿宋_GB2312" w:hAnsi="仿宋_GB2312" w:eastAsia="仿宋_GB2312" w:cs="仿宋_GB2312"/>
          <w:color w:val="auto"/>
          <w:sz w:val="32"/>
          <w:szCs w:val="32"/>
          <w:lang w:val="en-US" w:eastAsia="zh-CN"/>
        </w:rPr>
        <w:t xml:space="preserve"> </w:t>
      </w:r>
    </w:p>
    <w:p w14:paraId="4B2BCADB">
      <w:pPr>
        <w:pStyle w:val="2"/>
        <w:ind w:left="0" w:leftChars="0" w:firstLine="0" w:firstLineChars="0"/>
        <w:rPr>
          <w:rFonts w:hint="eastAsia"/>
          <w:lang w:val="en-US" w:eastAsia="zh-CN"/>
        </w:rPr>
      </w:pPr>
    </w:p>
    <w:p w14:paraId="23EB30B1">
      <w:pPr>
        <w:pStyle w:val="2"/>
        <w:ind w:left="0" w:leftChars="0" w:firstLine="0" w:firstLineChars="0"/>
        <w:rPr>
          <w:rFonts w:hint="eastAsia"/>
          <w:lang w:val="en-US" w:eastAsia="zh-CN"/>
        </w:rPr>
      </w:pPr>
    </w:p>
    <w:p w14:paraId="01BEE967">
      <w:pPr>
        <w:pStyle w:val="2"/>
        <w:ind w:left="0" w:leftChars="0" w:firstLine="0" w:firstLineChars="0"/>
        <w:rPr>
          <w:rFonts w:hint="eastAsia"/>
          <w:lang w:val="en-US" w:eastAsia="zh-CN"/>
        </w:rPr>
      </w:pPr>
    </w:p>
    <w:p w14:paraId="4E800701">
      <w:pPr>
        <w:pStyle w:val="2"/>
        <w:ind w:left="0" w:leftChars="0" w:firstLine="0" w:firstLineChars="0"/>
        <w:rPr>
          <w:rFonts w:hint="eastAsia"/>
          <w:lang w:val="en-US" w:eastAsia="zh-CN"/>
        </w:rPr>
      </w:pPr>
    </w:p>
    <w:p w14:paraId="3AF28904">
      <w:pPr>
        <w:pStyle w:val="2"/>
        <w:ind w:left="0" w:leftChars="0" w:firstLine="0" w:firstLineChars="0"/>
      </w:pPr>
      <w:r>
        <w:rPr>
          <w:rFonts w:hint="eastAsia"/>
          <w:lang w:val="en-US" w:eastAsia="zh-CN"/>
        </w:rPr>
        <w:t>注：银行账号需是中国工商银行、中国农业银行、中国银行、中国建设银行、交通银行以及广发银行的一类账户</w:t>
      </w:r>
    </w:p>
    <w:p w14:paraId="003EBD03">
      <w:pPr>
        <w:rPr>
          <w:sz w:val="34"/>
          <w:szCs w:val="34"/>
        </w:rPr>
      </w:pP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NGFkYTYzZTQ4NmZlYjJlNjhhZmJhOGY3ZTZiNTYifQ=="/>
  </w:docVars>
  <w:rsids>
    <w:rsidRoot w:val="00000000"/>
    <w:rsid w:val="3EED05BA"/>
    <w:rsid w:val="3F3F22D3"/>
    <w:rsid w:val="3FF90751"/>
    <w:rsid w:val="7B2B7F00"/>
    <w:rsid w:val="7FF61DAD"/>
    <w:rsid w:val="7FFA6874"/>
    <w:rsid w:val="F7FFABE4"/>
    <w:rsid w:val="FEB7C12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wordWrap w:val="0"/>
      <w:spacing w:after="160"/>
      <w:ind w:left="1600" w:hanging="400"/>
      <w:jc w:val="both"/>
      <w:outlineLvl w:val="3"/>
    </w:pPr>
    <w:rPr>
      <w:rFonts w:cs="宋体"/>
      <w:b/>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0</Words>
  <Characters>0</Characters>
  <Lines>0</Lines>
  <Paragraphs>0</Paragraphs>
  <TotalTime>0</TotalTime>
  <ScaleCrop>false</ScaleCrop>
  <LinksUpToDate>false</LinksUpToDate>
  <CharactersWithSpaces>0</CharactersWithSpaces>
  <Application>WPS Office WWO_wpscloud_20250725212728-169485052d</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2025-09-18T21:45:00Z</dcterms:created>
  <dc:creator>iPhone</dc:creator>
  <cp:lastModifiedBy>user</cp:lastModifiedBy>
  <dcterms:modified xsi:type="dcterms:W3CDTF">2025-09-17T10:42:46Z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E737EA1542584B3C2620CA68C4021C85_43</vt:lpwstr>
  </property>
</Properties>
</file>