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3D799D6">
      <w:pPr>
        <w:adjustRightInd w:val="0"/>
        <w:snapToGrid w:val="0"/>
        <w:spacing w:line="312" w:lineRule="auto"/>
        <w:jc w:val="right"/>
        <w:rPr>
          <w:rFonts w:hint="default" w:ascii="Times New Roman" w:hAnsi="Times New Roman" w:eastAsia="黑体" w:cs="Times New Roman"/>
          <w:sz w:val="44"/>
          <w:szCs w:val="44"/>
          <w:lang w:val="en-AU"/>
        </w:rPr>
      </w:pPr>
    </w:p>
    <w:p w14:paraId="7AF8AA98">
      <w:pPr>
        <w:adjustRightInd w:val="0"/>
        <w:snapToGrid w:val="0"/>
        <w:spacing w:line="312" w:lineRule="auto"/>
        <w:jc w:val="right"/>
        <w:rPr>
          <w:rFonts w:hint="default" w:ascii="Times New Roman" w:hAnsi="Times New Roman" w:eastAsia="黑体" w:cs="Times New Roman"/>
          <w:sz w:val="44"/>
          <w:szCs w:val="44"/>
        </w:rPr>
      </w:pPr>
    </w:p>
    <w:p w14:paraId="23F399AE">
      <w:pPr>
        <w:adjustRightInd w:val="0"/>
        <w:snapToGrid w:val="0"/>
        <w:spacing w:line="312" w:lineRule="auto"/>
        <w:jc w:val="right"/>
        <w:rPr>
          <w:rFonts w:hint="default" w:ascii="Times New Roman" w:hAnsi="Times New Roman" w:eastAsia="黑体" w:cs="Times New Roman"/>
          <w:sz w:val="44"/>
          <w:szCs w:val="44"/>
        </w:rPr>
      </w:pPr>
    </w:p>
    <w:p w14:paraId="473E04FA">
      <w:pPr>
        <w:adjustRightInd w:val="0"/>
        <w:snapToGrid w:val="0"/>
        <w:spacing w:line="312" w:lineRule="auto"/>
        <w:jc w:val="center"/>
        <w:rPr>
          <w:rFonts w:hint="eastAsia" w:ascii="方正小标宋_GBK" w:hAnsi="方正小标宋_GBK" w:eastAsia="方正小标宋_GBK" w:cs="方正小标宋_GBK"/>
          <w:b w:val="0"/>
          <w:bCs/>
          <w:sz w:val="84"/>
          <w:szCs w:val="84"/>
        </w:rPr>
      </w:pPr>
      <w:r>
        <w:rPr>
          <w:rFonts w:hint="eastAsia" w:ascii="方正小标宋_GBK" w:hAnsi="方正小标宋_GBK" w:eastAsia="方正小标宋_GBK" w:cs="方正小标宋_GBK"/>
          <w:b w:val="0"/>
          <w:bCs/>
          <w:sz w:val="84"/>
          <w:szCs w:val="84"/>
        </w:rPr>
        <w:t>中山市绿色建筑发展专项规划</w:t>
      </w:r>
    </w:p>
    <w:p w14:paraId="42F3823C">
      <w:pPr>
        <w:adjustRightInd w:val="0"/>
        <w:snapToGrid w:val="0"/>
        <w:spacing w:line="312" w:lineRule="auto"/>
        <w:jc w:val="center"/>
        <w:rPr>
          <w:rFonts w:hint="eastAsia" w:ascii="方正小标宋_GBK" w:hAnsi="方正小标宋_GBK" w:eastAsia="方正小标宋_GBK" w:cs="方正小标宋_GBK"/>
          <w:b w:val="0"/>
          <w:bCs/>
          <w:sz w:val="84"/>
          <w:szCs w:val="84"/>
        </w:rPr>
      </w:pPr>
      <w:r>
        <w:rPr>
          <w:rFonts w:hint="eastAsia" w:ascii="方正小标宋_GBK" w:hAnsi="方正小标宋_GBK" w:eastAsia="方正小标宋_GBK" w:cs="方正小标宋_GBK"/>
          <w:b w:val="0"/>
          <w:bCs/>
          <w:sz w:val="84"/>
          <w:szCs w:val="84"/>
        </w:rPr>
        <w:t>（2022-2035）</w:t>
      </w:r>
    </w:p>
    <w:p w14:paraId="63659903">
      <w:pPr>
        <w:adjustRightInd w:val="0"/>
        <w:snapToGrid w:val="0"/>
        <w:spacing w:line="312" w:lineRule="auto"/>
        <w:jc w:val="center"/>
        <w:rPr>
          <w:rFonts w:hint="eastAsia" w:ascii="方正小标宋_GBK" w:hAnsi="方正小标宋_GBK" w:eastAsia="方正小标宋_GBK" w:cs="方正小标宋_GBK"/>
          <w:b w:val="0"/>
          <w:bCs/>
          <w:sz w:val="84"/>
          <w:szCs w:val="84"/>
        </w:rPr>
      </w:pPr>
      <w:r>
        <w:rPr>
          <w:rFonts w:hint="eastAsia" w:ascii="方正小标宋_GBK" w:hAnsi="方正小标宋_GBK" w:eastAsia="方正小标宋_GBK" w:cs="方正小标宋_GBK"/>
          <w:b w:val="0"/>
          <w:bCs/>
          <w:sz w:val="84"/>
          <w:szCs w:val="84"/>
          <w:lang w:val="en-US" w:eastAsia="zh-CN"/>
        </w:rPr>
        <w:t>说明书</w:t>
      </w:r>
    </w:p>
    <w:p w14:paraId="4ABCA938">
      <w:pPr>
        <w:adjustRightInd w:val="0"/>
        <w:snapToGrid w:val="0"/>
        <w:spacing w:line="312" w:lineRule="auto"/>
        <w:jc w:val="left"/>
        <w:rPr>
          <w:rFonts w:ascii="Times New Roman" w:hAnsi="Times New Roman" w:eastAsia="仿宋" w:cs="Times New Roman"/>
        </w:rPr>
      </w:pPr>
    </w:p>
    <w:p w14:paraId="503C150E">
      <w:pPr>
        <w:adjustRightInd w:val="0"/>
        <w:snapToGrid w:val="0"/>
        <w:spacing w:line="312" w:lineRule="auto"/>
        <w:jc w:val="left"/>
        <w:rPr>
          <w:rFonts w:ascii="Times New Roman" w:hAnsi="Times New Roman" w:eastAsia="仿宋" w:cs="Times New Roman"/>
        </w:rPr>
      </w:pPr>
    </w:p>
    <w:p w14:paraId="1F771D98">
      <w:pPr>
        <w:adjustRightInd w:val="0"/>
        <w:snapToGrid w:val="0"/>
        <w:spacing w:line="312" w:lineRule="auto"/>
        <w:jc w:val="left"/>
        <w:rPr>
          <w:rFonts w:ascii="Times New Roman" w:hAnsi="Times New Roman" w:eastAsia="仿宋" w:cs="Times New Roman"/>
        </w:rPr>
      </w:pPr>
    </w:p>
    <w:p w14:paraId="275521E3">
      <w:pPr>
        <w:adjustRightInd w:val="0"/>
        <w:snapToGrid w:val="0"/>
        <w:spacing w:line="312" w:lineRule="auto"/>
        <w:jc w:val="left"/>
        <w:rPr>
          <w:rFonts w:ascii="Times New Roman" w:hAnsi="Times New Roman" w:eastAsia="仿宋" w:cs="Times New Roman"/>
          <w:sz w:val="44"/>
          <w:szCs w:val="44"/>
        </w:rPr>
      </w:pPr>
    </w:p>
    <w:p w14:paraId="0BDF865C">
      <w:pPr>
        <w:adjustRightInd w:val="0"/>
        <w:snapToGrid w:val="0"/>
        <w:spacing w:line="312" w:lineRule="auto"/>
        <w:jc w:val="left"/>
        <w:rPr>
          <w:rFonts w:ascii="Times New Roman" w:hAnsi="Times New Roman" w:eastAsia="仿宋" w:cs="Times New Roman"/>
          <w:sz w:val="44"/>
          <w:szCs w:val="44"/>
        </w:rPr>
      </w:pPr>
      <w:r>
        <w:rPr>
          <w:rFonts w:ascii="Times New Roman" w:hAnsi="Times New Roman" w:eastAsia="仿宋" w:cs="Times New Roman"/>
          <w:sz w:val="44"/>
          <w:szCs w:val="44"/>
        </w:rPr>
        <w:tab/>
      </w:r>
    </w:p>
    <w:p w14:paraId="6801B79F">
      <w:pPr>
        <w:adjustRightInd w:val="0"/>
        <w:snapToGrid w:val="0"/>
        <w:spacing w:line="312" w:lineRule="auto"/>
        <w:jc w:val="left"/>
        <w:rPr>
          <w:rFonts w:ascii="Times New Roman" w:hAnsi="Times New Roman" w:eastAsia="仿宋" w:cs="Times New Roman"/>
          <w:sz w:val="44"/>
          <w:szCs w:val="44"/>
        </w:rPr>
      </w:pPr>
    </w:p>
    <w:p w14:paraId="075B4796">
      <w:pPr>
        <w:adjustRightInd w:val="0"/>
        <w:snapToGrid w:val="0"/>
        <w:spacing w:line="312" w:lineRule="auto"/>
        <w:jc w:val="left"/>
        <w:rPr>
          <w:rFonts w:ascii="Times New Roman" w:hAnsi="Times New Roman" w:eastAsia="仿宋" w:cs="Times New Roman"/>
          <w:sz w:val="44"/>
          <w:szCs w:val="44"/>
        </w:rPr>
      </w:pPr>
    </w:p>
    <w:p w14:paraId="262A5B87">
      <w:pPr>
        <w:adjustRightInd w:val="0"/>
        <w:snapToGrid w:val="0"/>
        <w:spacing w:line="312" w:lineRule="auto"/>
        <w:jc w:val="left"/>
        <w:rPr>
          <w:rFonts w:ascii="Times New Roman" w:hAnsi="Times New Roman" w:eastAsia="仿宋" w:cs="Times New Roman"/>
        </w:rPr>
      </w:pPr>
    </w:p>
    <w:p w14:paraId="1E21D700">
      <w:pPr>
        <w:adjustRightInd w:val="0"/>
        <w:snapToGrid w:val="0"/>
        <w:spacing w:line="312" w:lineRule="auto"/>
        <w:jc w:val="left"/>
        <w:rPr>
          <w:rFonts w:ascii="Times New Roman" w:hAnsi="Times New Roman" w:eastAsia="仿宋" w:cs="Times New Roman"/>
        </w:rPr>
      </w:pPr>
    </w:p>
    <w:p w14:paraId="346F77E8">
      <w:pPr>
        <w:adjustRightInd w:val="0"/>
        <w:snapToGrid w:val="0"/>
        <w:spacing w:line="312" w:lineRule="auto"/>
        <w:jc w:val="center"/>
        <w:rPr>
          <w:rFonts w:ascii="Times New Roman" w:hAnsi="Times New Roman" w:eastAsia="仿宋" w:cs="Times New Roman"/>
          <w:sz w:val="44"/>
          <w:szCs w:val="44"/>
        </w:rPr>
      </w:pPr>
      <w:r>
        <w:rPr>
          <w:rFonts w:hint="eastAsia" w:ascii="Times New Roman" w:hAnsi="Times New Roman" w:eastAsia="仿宋" w:cs="Times New Roman"/>
          <w:sz w:val="44"/>
          <w:szCs w:val="44"/>
        </w:rPr>
        <w:t>二〇二三年</w:t>
      </w:r>
      <w:r>
        <w:rPr>
          <w:rFonts w:hint="eastAsia" w:ascii="Times New Roman" w:hAnsi="Times New Roman" w:eastAsia="仿宋" w:cs="Times New Roman"/>
          <w:sz w:val="44"/>
          <w:szCs w:val="44"/>
          <w:lang w:val="en-US" w:eastAsia="zh-CN"/>
        </w:rPr>
        <w:t>四</w:t>
      </w:r>
      <w:r>
        <w:rPr>
          <w:rFonts w:hint="eastAsia" w:ascii="Times New Roman" w:hAnsi="Times New Roman" w:eastAsia="仿宋" w:cs="Times New Roman"/>
          <w:sz w:val="44"/>
          <w:szCs w:val="44"/>
        </w:rPr>
        <w:t>月</w:t>
      </w:r>
    </w:p>
    <w:p w14:paraId="67A5D703">
      <w:pPr>
        <w:adjustRightInd w:val="0"/>
        <w:snapToGrid w:val="0"/>
        <w:spacing w:line="312" w:lineRule="auto"/>
        <w:jc w:val="left"/>
        <w:rPr>
          <w:rFonts w:ascii="Times New Roman" w:hAnsi="Times New Roman" w:eastAsia="仿宋" w:cs="Times New Roman"/>
          <w:sz w:val="44"/>
          <w:szCs w:val="44"/>
        </w:rPr>
      </w:pPr>
    </w:p>
    <w:p w14:paraId="2BA40FD5">
      <w:pPr>
        <w:adjustRightInd w:val="0"/>
        <w:snapToGrid w:val="0"/>
        <w:spacing w:line="312" w:lineRule="auto"/>
        <w:jc w:val="left"/>
        <w:rPr>
          <w:rFonts w:ascii="Times New Roman" w:hAnsi="Times New Roman" w:eastAsia="仿宋" w:cs="Times New Roman"/>
          <w:sz w:val="44"/>
          <w:szCs w:val="44"/>
        </w:rPr>
        <w:sectPr>
          <w:headerReference r:id="rId5" w:type="first"/>
          <w:footerReference r:id="rId8" w:type="first"/>
          <w:headerReference r:id="rId3" w:type="default"/>
          <w:footerReference r:id="rId6" w:type="default"/>
          <w:headerReference r:id="rId4" w:type="even"/>
          <w:footerReference r:id="rId7" w:type="even"/>
          <w:pgSz w:w="11906" w:h="16838"/>
          <w:pgMar w:top="1440" w:right="1797" w:bottom="1440" w:left="1797" w:header="851" w:footer="992" w:gutter="0"/>
          <w:cols w:space="425" w:num="1"/>
          <w:titlePg/>
          <w:docGrid w:type="linesAndChars" w:linePitch="312" w:charSpace="0"/>
        </w:sectPr>
      </w:pPr>
    </w:p>
    <w:p w14:paraId="72C3A842">
      <w:pPr>
        <w:adjustRightInd w:val="0"/>
        <w:snapToGrid w:val="0"/>
        <w:spacing w:line="312" w:lineRule="auto"/>
        <w:jc w:val="right"/>
        <w:rPr>
          <w:rFonts w:ascii="Times New Roman" w:hAnsi="Times New Roman" w:eastAsia="微软雅黑" w:cs="Times New Roman"/>
          <w:sz w:val="44"/>
          <w:szCs w:val="44"/>
        </w:rPr>
      </w:pPr>
    </w:p>
    <w:p w14:paraId="1EB5E997">
      <w:pPr>
        <w:adjustRightInd w:val="0"/>
        <w:snapToGrid w:val="0"/>
        <w:spacing w:line="312" w:lineRule="auto"/>
        <w:jc w:val="right"/>
        <w:rPr>
          <w:rFonts w:ascii="Times New Roman" w:hAnsi="Times New Roman" w:eastAsia="微软雅黑" w:cs="Times New Roman"/>
          <w:sz w:val="44"/>
          <w:szCs w:val="44"/>
        </w:rPr>
      </w:pPr>
    </w:p>
    <w:sdt>
      <w:sdtPr>
        <w:rPr>
          <w:rFonts w:hint="default" w:ascii="Times New Roman" w:hAnsi="Times New Roman" w:cs="Times New Roman"/>
          <w:lang w:val="zh-CN"/>
        </w:rPr>
        <w:id w:val="-636881963"/>
      </w:sdtPr>
      <w:sdtEndPr>
        <w:rPr>
          <w:rFonts w:hint="default" w:ascii="Times New Roman" w:hAnsi="Times New Roman" w:cs="Times New Roman"/>
          <w:b/>
          <w:bCs/>
          <w:lang w:val="zh-CN"/>
        </w:rPr>
      </w:sdtEndPr>
      <w:sdtContent>
        <w:p w14:paraId="67DD494F">
          <w:pPr>
            <w:spacing w:line="600" w:lineRule="auto"/>
            <w:ind w:left="0" w:leftChars="0"/>
            <w:jc w:val="center"/>
            <w:rPr>
              <w:rFonts w:hint="default" w:ascii="Times New Roman" w:hAnsi="Times New Roman" w:cs="Times New Roman"/>
              <w:b/>
              <w:bCs/>
              <w:sz w:val="48"/>
              <w:szCs w:val="52"/>
            </w:rPr>
          </w:pPr>
          <w:r>
            <w:rPr>
              <w:rFonts w:hint="default" w:ascii="Times New Roman" w:hAnsi="Times New Roman" w:eastAsia="宋体" w:cs="Times New Roman"/>
              <w:b/>
              <w:bCs/>
              <w:sz w:val="48"/>
              <w:szCs w:val="52"/>
            </w:rPr>
            <w:t>目录</w:t>
          </w:r>
        </w:p>
        <w:p w14:paraId="4BFE6B71">
          <w:pPr>
            <w:pStyle w:val="18"/>
            <w:tabs>
              <w:tab w:val="right" w:leader="dot" w:pos="10035"/>
            </w:tabs>
            <w:spacing w:line="360" w:lineRule="exact"/>
            <w:ind w:left="0" w:leftChars="0"/>
            <w:rPr>
              <w:rFonts w:hint="default" w:ascii="Times New Roman" w:hAnsi="Times New Roman" w:cs="Times New Roman" w:eastAsiaTheme="majorHAnsi"/>
              <w:b/>
              <w:bCs/>
              <w:kern w:val="2"/>
              <w:sz w:val="28"/>
              <w:szCs w:val="28"/>
            </w:rPr>
          </w:pPr>
          <w:r>
            <w:rPr>
              <w:rFonts w:hint="default" w:ascii="Times New Roman" w:hAnsi="Times New Roman" w:cs="Times New Roman"/>
            </w:rPr>
            <w:fldChar w:fldCharType="begin"/>
          </w:r>
          <w:r>
            <w:rPr>
              <w:rFonts w:hint="default" w:ascii="Times New Roman" w:hAnsi="Times New Roman" w:cs="Times New Roman"/>
            </w:rPr>
            <w:instrText xml:space="preserve"> TOC \o "1-3" \h \z \u </w:instrText>
          </w:r>
          <w:r>
            <w:rPr>
              <w:rFonts w:hint="default" w:ascii="Times New Roman" w:hAnsi="Times New Roman" w:cs="Times New Roman"/>
            </w:rPr>
            <w:fldChar w:fldCharType="separate"/>
          </w:r>
          <w:r>
            <w:rPr>
              <w:rFonts w:hint="default" w:ascii="Times New Roman" w:hAnsi="Times New Roman" w:cs="Times New Roman"/>
            </w:rPr>
            <w:fldChar w:fldCharType="begin"/>
          </w:r>
          <w:r>
            <w:rPr>
              <w:rFonts w:hint="default" w:ascii="Times New Roman" w:hAnsi="Times New Roman" w:cs="Times New Roman"/>
            </w:rPr>
            <w:instrText xml:space="preserve"> HYPERLINK \l "_Toc124352455" </w:instrText>
          </w:r>
          <w:r>
            <w:rPr>
              <w:rFonts w:hint="default" w:ascii="Times New Roman" w:hAnsi="Times New Roman" w:cs="Times New Roman"/>
            </w:rPr>
            <w:fldChar w:fldCharType="separate"/>
          </w:r>
          <w:r>
            <w:rPr>
              <w:rStyle w:val="30"/>
              <w:rFonts w:hint="default" w:ascii="Times New Roman" w:hAnsi="Times New Roman" w:cs="Times New Roman" w:eastAsiaTheme="majorHAnsi"/>
              <w:b/>
              <w:bCs/>
              <w:sz w:val="28"/>
              <w:szCs w:val="28"/>
            </w:rPr>
            <w:t>一、编制概述</w:t>
          </w:r>
          <w:r>
            <w:rPr>
              <w:rFonts w:hint="default" w:ascii="Times New Roman" w:hAnsi="Times New Roman" w:cs="Times New Roman" w:eastAsiaTheme="majorHAnsi"/>
              <w:b/>
              <w:bCs/>
              <w:sz w:val="28"/>
              <w:szCs w:val="28"/>
            </w:rPr>
            <w:tab/>
          </w:r>
          <w:r>
            <w:rPr>
              <w:rFonts w:hint="default" w:ascii="Times New Roman" w:hAnsi="Times New Roman" w:cs="Times New Roman" w:eastAsiaTheme="majorHAnsi"/>
              <w:b/>
              <w:bCs/>
              <w:sz w:val="28"/>
              <w:szCs w:val="28"/>
            </w:rPr>
            <w:fldChar w:fldCharType="begin"/>
          </w:r>
          <w:r>
            <w:rPr>
              <w:rFonts w:hint="default" w:ascii="Times New Roman" w:hAnsi="Times New Roman" w:cs="Times New Roman" w:eastAsiaTheme="majorHAnsi"/>
              <w:b/>
              <w:bCs/>
              <w:sz w:val="28"/>
              <w:szCs w:val="28"/>
            </w:rPr>
            <w:instrText xml:space="preserve"> PAGEREF _Toc124352455 \h </w:instrText>
          </w:r>
          <w:r>
            <w:rPr>
              <w:rFonts w:hint="default" w:ascii="Times New Roman" w:hAnsi="Times New Roman" w:cs="Times New Roman" w:eastAsiaTheme="majorHAnsi"/>
              <w:b/>
              <w:bCs/>
              <w:sz w:val="28"/>
              <w:szCs w:val="28"/>
            </w:rPr>
            <w:fldChar w:fldCharType="separate"/>
          </w:r>
          <w:r>
            <w:rPr>
              <w:rFonts w:hint="default" w:ascii="Times New Roman" w:hAnsi="Times New Roman" w:cs="Times New Roman" w:eastAsiaTheme="majorHAnsi"/>
              <w:b/>
              <w:bCs/>
              <w:sz w:val="28"/>
              <w:szCs w:val="28"/>
            </w:rPr>
            <w:t>1</w:t>
          </w:r>
          <w:r>
            <w:rPr>
              <w:rFonts w:hint="default" w:ascii="Times New Roman" w:hAnsi="Times New Roman" w:cs="Times New Roman" w:eastAsiaTheme="majorHAnsi"/>
              <w:b/>
              <w:bCs/>
              <w:sz w:val="28"/>
              <w:szCs w:val="28"/>
            </w:rPr>
            <w:fldChar w:fldCharType="end"/>
          </w:r>
          <w:r>
            <w:rPr>
              <w:rFonts w:hint="default" w:ascii="Times New Roman" w:hAnsi="Times New Roman" w:cs="Times New Roman" w:eastAsiaTheme="majorHAnsi"/>
              <w:b/>
              <w:bCs/>
              <w:sz w:val="28"/>
              <w:szCs w:val="28"/>
            </w:rPr>
            <w:fldChar w:fldCharType="end"/>
          </w:r>
        </w:p>
        <w:p w14:paraId="3549A520">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"_Toc124352456"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1.1 规划背景</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_Toc124352456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A9A826E">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"_Toc124352457"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1.1.1国家推动绿色建筑高质量发展</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_Toc124352457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C969452">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"_Toc124352458"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1.1.2粤港澳大湾区协同推进绿色建筑发展</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_Toc124352458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50FE5AD1">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"_Toc124352459"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1.1.3广东省加快绿色建筑建设行动</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_Toc124352459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09562FA9">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1.1.4中山市全面推广绿色建筑</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617C8AF8">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1.2 工作内容</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1A65670">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"_Toc124352462"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1.2.1专项规划定义</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_Toc124352462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4892DE7">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1.2.2编制内容</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60105B06">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1.2.3编制成果</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7404A0B">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1.3 编制依据</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71C2AA0">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1.3.1法律法规</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0145C2B2">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1.3.2政策文件</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0CC0702">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1.3.3相关规划</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4</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AB38413">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1.3.4技术标准</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4</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7FC16E3">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1.4 规划范围</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_Toc124352470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4</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6D42F27D">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1.5规划期限</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_Toc124352471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6A3850FC">
          <w:pPr>
            <w:pStyle w:val="18"/>
            <w:tabs>
              <w:tab w:val="right" w:leader="dot" w:pos="10035"/>
            </w:tabs>
            <w:spacing w:line="360" w:lineRule="exact"/>
            <w:ind w:left="0" w:leftChars="0"/>
            <w:rPr>
              <w:rFonts w:hint="default" w:ascii="Times New Roman" w:hAnsi="Times New Roman" w:cs="Times New Roman" w:eastAsiaTheme="majorHAnsi"/>
              <w:b/>
              <w:bCs/>
              <w:kern w:val="2"/>
              <w:sz w:val="28"/>
              <w:szCs w:val="28"/>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"_Toc124352472" </w:instrText>
          </w:r>
          <w:r>
            <w:rPr>
              <w:rFonts w:hint="default" w:ascii="Times New Roman" w:hAnsi="Times New Roman" w:cs="Times New Roman"/>
            </w:rPr>
            <w:fldChar w:fldCharType="separate"/>
          </w:r>
          <w:r>
            <w:rPr>
              <w:rStyle w:val="30"/>
              <w:rFonts w:hint="default" w:ascii="Times New Roman" w:hAnsi="Times New Roman" w:cs="Times New Roman" w:eastAsiaTheme="majorHAnsi"/>
              <w:b/>
              <w:bCs/>
              <w:sz w:val="28"/>
              <w:szCs w:val="28"/>
            </w:rPr>
            <w:t>二、基础分析</w:t>
          </w:r>
          <w:r>
            <w:rPr>
              <w:rFonts w:hint="default" w:ascii="Times New Roman" w:hAnsi="Times New Roman" w:cs="Times New Roman" w:eastAsiaTheme="majorHAnsi"/>
              <w:b/>
              <w:bCs/>
              <w:sz w:val="28"/>
              <w:szCs w:val="28"/>
            </w:rPr>
            <w:tab/>
          </w:r>
          <w:r>
            <w:rPr>
              <w:rFonts w:hint="default" w:ascii="Times New Roman" w:hAnsi="Times New Roman" w:cs="Times New Roman" w:eastAsiaTheme="majorHAnsi"/>
              <w:b/>
              <w:bCs/>
              <w:sz w:val="28"/>
              <w:szCs w:val="28"/>
            </w:rPr>
            <w:fldChar w:fldCharType="begin"/>
          </w:r>
          <w:r>
            <w:rPr>
              <w:rFonts w:hint="default" w:ascii="Times New Roman" w:hAnsi="Times New Roman" w:cs="Times New Roman" w:eastAsiaTheme="majorHAnsi"/>
              <w:b/>
              <w:bCs/>
              <w:sz w:val="28"/>
              <w:szCs w:val="28"/>
            </w:rPr>
            <w:instrText xml:space="preserve"> PAGEREF _Toc124352472 \h </w:instrText>
          </w:r>
          <w:r>
            <w:rPr>
              <w:rFonts w:hint="default" w:ascii="Times New Roman" w:hAnsi="Times New Roman" w:cs="Times New Roman" w:eastAsiaTheme="majorHAnsi"/>
              <w:b/>
              <w:bCs/>
              <w:sz w:val="28"/>
              <w:szCs w:val="28"/>
            </w:rPr>
            <w:fldChar w:fldCharType="separate"/>
          </w:r>
          <w:r>
            <w:rPr>
              <w:rFonts w:hint="default" w:ascii="Times New Roman" w:hAnsi="Times New Roman" w:cs="Times New Roman" w:eastAsiaTheme="majorHAnsi"/>
              <w:b/>
              <w:bCs/>
              <w:sz w:val="28"/>
              <w:szCs w:val="28"/>
            </w:rPr>
            <w:t>6</w:t>
          </w:r>
          <w:r>
            <w:rPr>
              <w:rFonts w:hint="default" w:ascii="Times New Roman" w:hAnsi="Times New Roman" w:cs="Times New Roman" w:eastAsiaTheme="majorHAnsi"/>
              <w:b/>
              <w:bCs/>
              <w:sz w:val="28"/>
              <w:szCs w:val="28"/>
            </w:rPr>
            <w:fldChar w:fldCharType="end"/>
          </w:r>
          <w:r>
            <w:rPr>
              <w:rFonts w:hint="default" w:ascii="Times New Roman" w:hAnsi="Times New Roman" w:cs="Times New Roman" w:eastAsiaTheme="majorHAnsi"/>
              <w:b/>
              <w:bCs/>
              <w:sz w:val="28"/>
              <w:szCs w:val="28"/>
            </w:rPr>
            <w:fldChar w:fldCharType="end"/>
          </w:r>
        </w:p>
        <w:p w14:paraId="3099048C">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2.1 区位条件</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_Toc124352473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8CC40C4">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2.1.1地理区位</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_Toc124352474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32AFC39">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2.1.2交通区位</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_Toc124352475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C8A64CB">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2.1.3城市定位</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_Toc124352476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E6DA15A">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2.2 人口与经济发展</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_Toc124352477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28122DB">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2.3 环境、地理与资源现状</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_Toc124352478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5D749C45">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2.3.1气候</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_Toc124352479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4C214EC">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2.3.2地质地貌</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5DB2A4CD">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2.3.3水文</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7E078B1">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"_Toc124352482"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2.4 规划情况</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_Toc124352482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7AEB0A4">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2.4.1总体规划情况</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68F1DCF">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2.4.2相关专项规划</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1CC8D9A">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2.5 建设情况</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13</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09E7B2C">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2.6 绿色建筑发展现状</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13</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0CE20B19">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2.6.1绿色建筑发展政策</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13</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2275C38">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2.6.2发展水平</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13</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2184FAC">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2.6.3相关工作发展</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14</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F97B6D4">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2.6.4存在问题</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_Toc124352490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14</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6A73CF86">
          <w:pPr>
            <w:pStyle w:val="18"/>
            <w:tabs>
              <w:tab w:val="right" w:leader="dot" w:pos="10035"/>
            </w:tabs>
            <w:spacing w:line="360" w:lineRule="exact"/>
            <w:ind w:left="0" w:leftChars="0"/>
            <w:rPr>
              <w:rFonts w:hint="default" w:ascii="Times New Roman" w:hAnsi="Times New Roman" w:cs="Times New Roman" w:eastAsiaTheme="majorHAnsi"/>
              <w:b/>
              <w:bCs/>
              <w:kern w:val="2"/>
              <w:sz w:val="28"/>
              <w:szCs w:val="28"/>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"_Toc124352491" </w:instrText>
          </w:r>
          <w:r>
            <w:rPr>
              <w:rFonts w:hint="default" w:ascii="Times New Roman" w:hAnsi="Times New Roman" w:cs="Times New Roman"/>
            </w:rPr>
            <w:fldChar w:fldCharType="separate"/>
          </w:r>
          <w:r>
            <w:rPr>
              <w:rStyle w:val="30"/>
              <w:rFonts w:hint="default" w:ascii="Times New Roman" w:hAnsi="Times New Roman" w:cs="Times New Roman" w:eastAsiaTheme="majorHAnsi"/>
              <w:b/>
              <w:bCs/>
              <w:sz w:val="28"/>
              <w:szCs w:val="28"/>
            </w:rPr>
            <w:t>三、目标分析</w:t>
          </w:r>
          <w:r>
            <w:rPr>
              <w:rFonts w:hint="default" w:ascii="Times New Roman" w:hAnsi="Times New Roman" w:cs="Times New Roman" w:eastAsiaTheme="majorHAnsi"/>
              <w:b/>
              <w:bCs/>
              <w:sz w:val="28"/>
              <w:szCs w:val="28"/>
            </w:rPr>
            <w:tab/>
          </w:r>
          <w:r>
            <w:rPr>
              <w:rFonts w:hint="default" w:ascii="Times New Roman" w:hAnsi="Times New Roman" w:cs="Times New Roman" w:eastAsiaTheme="majorHAnsi"/>
              <w:b/>
              <w:bCs/>
              <w:sz w:val="28"/>
              <w:szCs w:val="28"/>
            </w:rPr>
            <w:fldChar w:fldCharType="begin"/>
          </w:r>
          <w:r>
            <w:rPr>
              <w:rFonts w:hint="default" w:ascii="Times New Roman" w:hAnsi="Times New Roman" w:cs="Times New Roman" w:eastAsiaTheme="majorHAnsi"/>
              <w:b/>
              <w:bCs/>
              <w:sz w:val="28"/>
              <w:szCs w:val="28"/>
            </w:rPr>
            <w:instrText xml:space="preserve"> PAGEREF _Toc124352491 \h </w:instrText>
          </w:r>
          <w:r>
            <w:rPr>
              <w:rFonts w:hint="default" w:ascii="Times New Roman" w:hAnsi="Times New Roman" w:cs="Times New Roman" w:eastAsiaTheme="majorHAnsi"/>
              <w:b/>
              <w:bCs/>
              <w:sz w:val="28"/>
              <w:szCs w:val="28"/>
            </w:rPr>
            <w:fldChar w:fldCharType="separate"/>
          </w:r>
          <w:r>
            <w:rPr>
              <w:rFonts w:hint="default" w:ascii="Times New Roman" w:hAnsi="Times New Roman" w:cs="Times New Roman" w:eastAsiaTheme="majorHAnsi"/>
              <w:b/>
              <w:bCs/>
              <w:sz w:val="28"/>
              <w:szCs w:val="28"/>
            </w:rPr>
            <w:t>15</w:t>
          </w:r>
          <w:r>
            <w:rPr>
              <w:rFonts w:hint="default" w:ascii="Times New Roman" w:hAnsi="Times New Roman" w:cs="Times New Roman" w:eastAsiaTheme="majorHAnsi"/>
              <w:b/>
              <w:bCs/>
              <w:sz w:val="28"/>
              <w:szCs w:val="28"/>
            </w:rPr>
            <w:fldChar w:fldCharType="end"/>
          </w:r>
          <w:r>
            <w:rPr>
              <w:rFonts w:hint="default" w:ascii="Times New Roman" w:hAnsi="Times New Roman" w:cs="Times New Roman" w:eastAsiaTheme="majorHAnsi"/>
              <w:b/>
              <w:bCs/>
              <w:sz w:val="28"/>
              <w:szCs w:val="28"/>
            </w:rPr>
            <w:fldChar w:fldCharType="end"/>
          </w:r>
        </w:p>
        <w:p w14:paraId="6B392763">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"_Toc124352492"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3.1 规划原则</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_Toc124352492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055B905E">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3.2 发展定位</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_Toc124352493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66D9C82">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3.3 总体目标</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_Toc124352494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BB16E23">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3.3.1上位要求</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_Toc124352495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DB1CE60">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3.3.2发展禀赋</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_Toc124352496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16</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02863F5">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3.3.3近期目标</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_Toc124352497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AAF302C">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3.3.4远期目标</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_Toc124352498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815063E">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3.3.5 对比分析</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_Toc124352499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B1D06CC">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3.4 发展战略</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B8DD487">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3.4.1优势分析（S）</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D5B909C">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"_Toc124352502"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3.4.2劣势分析（W）</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_Toc124352502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20</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5DFE45D">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3.4.3机遇分析（O）</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20</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C948A34">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3.4.4挑战分析（T）</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E57F88B">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3.4.5战略分析</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064B05B9">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 技术路线</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22</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D1CA0A0">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3.5.1新建建筑</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22</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E6FDE8B">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3.5.2可再生能源</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0523A4C8">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3.5.3节能与绿色化改造</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30</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D8B3F49">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3.5.4 改善城市人居环境</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_Toc124352510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A5A92AB">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3.5.5新型建造</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_Toc124352511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5DBA13D">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"_Toc124352512"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3.5.6绿色建材</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_Toc124352512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65BD3931">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3.5.7建筑信息化</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_Toc124352513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474A430">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3.5.8 工业建筑绿色化</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_Toc124352514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EFDE932">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3.5.9 绿色建筑技术推荐清单</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_Toc124352515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41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F4D874F">
          <w:pPr>
            <w:pStyle w:val="18"/>
            <w:tabs>
              <w:tab w:val="right" w:leader="dot" w:pos="10035"/>
            </w:tabs>
            <w:spacing w:line="360" w:lineRule="exact"/>
            <w:ind w:left="0" w:leftChars="0"/>
            <w:rPr>
              <w:rFonts w:hint="default" w:ascii="Times New Roman" w:hAnsi="Times New Roman" w:cs="Times New Roman" w:eastAsiaTheme="majorHAnsi"/>
              <w:b/>
              <w:bCs/>
              <w:kern w:val="2"/>
              <w:sz w:val="28"/>
              <w:szCs w:val="28"/>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"_Toc124352516" </w:instrText>
          </w:r>
          <w:r>
            <w:rPr>
              <w:rFonts w:hint="default" w:ascii="Times New Roman" w:hAnsi="Times New Roman" w:cs="Times New Roman"/>
            </w:rPr>
            <w:fldChar w:fldCharType="separate"/>
          </w:r>
          <w:r>
            <w:rPr>
              <w:rStyle w:val="30"/>
              <w:rFonts w:hint="default" w:ascii="Times New Roman" w:hAnsi="Times New Roman" w:cs="Times New Roman" w:eastAsiaTheme="majorHAnsi"/>
              <w:b/>
              <w:bCs/>
              <w:sz w:val="28"/>
              <w:szCs w:val="28"/>
            </w:rPr>
            <w:t>四、发展组团与目标单元划分</w:t>
          </w:r>
          <w:r>
            <w:rPr>
              <w:rFonts w:hint="default" w:ascii="Times New Roman" w:hAnsi="Times New Roman" w:cs="Times New Roman" w:eastAsiaTheme="majorHAnsi"/>
              <w:b/>
              <w:bCs/>
              <w:sz w:val="28"/>
              <w:szCs w:val="28"/>
            </w:rPr>
            <w:tab/>
          </w:r>
          <w:r>
            <w:rPr>
              <w:rFonts w:hint="default" w:ascii="Times New Roman" w:hAnsi="Times New Roman" w:cs="Times New Roman" w:eastAsiaTheme="majorHAnsi"/>
              <w:b/>
              <w:bCs/>
              <w:sz w:val="28"/>
              <w:szCs w:val="28"/>
            </w:rPr>
            <w:fldChar w:fldCharType="begin"/>
          </w:r>
          <w:r>
            <w:rPr>
              <w:rFonts w:hint="default" w:ascii="Times New Roman" w:hAnsi="Times New Roman" w:cs="Times New Roman" w:eastAsiaTheme="majorHAnsi"/>
              <w:b/>
              <w:bCs/>
              <w:sz w:val="28"/>
              <w:szCs w:val="28"/>
            </w:rPr>
            <w:instrText xml:space="preserve"> PAGEREF _Toc124352516 \h </w:instrText>
          </w:r>
          <w:r>
            <w:rPr>
              <w:rFonts w:hint="default" w:ascii="Times New Roman" w:hAnsi="Times New Roman" w:cs="Times New Roman" w:eastAsiaTheme="majorHAnsi"/>
              <w:b/>
              <w:bCs/>
              <w:sz w:val="28"/>
              <w:szCs w:val="28"/>
            </w:rPr>
            <w:fldChar w:fldCharType="separate"/>
          </w:r>
          <w:r>
            <w:rPr>
              <w:rFonts w:hint="default" w:ascii="Times New Roman" w:hAnsi="Times New Roman" w:cs="Times New Roman" w:eastAsiaTheme="majorHAnsi"/>
              <w:b/>
              <w:bCs/>
              <w:sz w:val="28"/>
              <w:szCs w:val="28"/>
            </w:rPr>
            <w:t>45</w:t>
          </w:r>
          <w:r>
            <w:rPr>
              <w:rFonts w:hint="default" w:ascii="Times New Roman" w:hAnsi="Times New Roman" w:cs="Times New Roman" w:eastAsiaTheme="majorHAnsi"/>
              <w:b/>
              <w:bCs/>
              <w:sz w:val="28"/>
              <w:szCs w:val="28"/>
            </w:rPr>
            <w:fldChar w:fldCharType="end"/>
          </w:r>
          <w:r>
            <w:rPr>
              <w:rFonts w:hint="default" w:ascii="Times New Roman" w:hAnsi="Times New Roman" w:cs="Times New Roman" w:eastAsiaTheme="majorHAnsi"/>
              <w:b/>
              <w:bCs/>
              <w:sz w:val="28"/>
              <w:szCs w:val="28"/>
            </w:rPr>
            <w:fldChar w:fldCharType="end"/>
          </w:r>
        </w:p>
        <w:p w14:paraId="101FB81F">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4.1 划分依据</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_Toc124352517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45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C2B301B">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4.2 发展组团和目标单元列表</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_Toc124352518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45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5B91109">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4.2.1 发展组团</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_Toc124352519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45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3E1247B">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4.2.2 目标单元</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_Toc124352520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46</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13330FD">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4.2.3 重点区域</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_Toc124352521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49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96E9D68">
          <w:pPr>
            <w:pStyle w:val="18"/>
            <w:tabs>
              <w:tab w:val="right" w:leader="dot" w:pos="10035"/>
            </w:tabs>
            <w:spacing w:line="360" w:lineRule="exact"/>
            <w:ind w:left="0" w:leftChars="0"/>
            <w:rPr>
              <w:rFonts w:hint="default" w:ascii="Times New Roman" w:hAnsi="Times New Roman" w:cs="Times New Roman" w:eastAsiaTheme="majorHAnsi"/>
              <w:b/>
              <w:bCs/>
              <w:kern w:val="2"/>
              <w:sz w:val="28"/>
              <w:szCs w:val="28"/>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"_Toc124352522" </w:instrText>
          </w:r>
          <w:r>
            <w:rPr>
              <w:rFonts w:hint="default" w:ascii="Times New Roman" w:hAnsi="Times New Roman" w:cs="Times New Roman"/>
            </w:rPr>
            <w:fldChar w:fldCharType="separate"/>
          </w:r>
          <w:r>
            <w:rPr>
              <w:rStyle w:val="30"/>
              <w:rFonts w:hint="default" w:ascii="Times New Roman" w:hAnsi="Times New Roman" w:cs="Times New Roman" w:eastAsiaTheme="majorHAnsi"/>
              <w:b/>
              <w:bCs/>
              <w:sz w:val="28"/>
              <w:szCs w:val="28"/>
            </w:rPr>
            <w:t>五、潜力分析</w:t>
          </w:r>
          <w:r>
            <w:rPr>
              <w:rFonts w:hint="default" w:ascii="Times New Roman" w:hAnsi="Times New Roman" w:cs="Times New Roman" w:eastAsiaTheme="majorHAnsi"/>
              <w:b/>
              <w:bCs/>
              <w:sz w:val="28"/>
              <w:szCs w:val="28"/>
            </w:rPr>
            <w:tab/>
          </w:r>
          <w:r>
            <w:rPr>
              <w:rFonts w:hint="default" w:ascii="Times New Roman" w:hAnsi="Times New Roman" w:cs="Times New Roman" w:eastAsiaTheme="majorHAnsi"/>
              <w:b/>
              <w:bCs/>
              <w:sz w:val="28"/>
              <w:szCs w:val="28"/>
            </w:rPr>
            <w:fldChar w:fldCharType="begin"/>
          </w:r>
          <w:r>
            <w:rPr>
              <w:rFonts w:hint="default" w:ascii="Times New Roman" w:hAnsi="Times New Roman" w:cs="Times New Roman" w:eastAsiaTheme="majorHAnsi"/>
              <w:b/>
              <w:bCs/>
              <w:sz w:val="28"/>
              <w:szCs w:val="28"/>
            </w:rPr>
            <w:instrText xml:space="preserve"> PAGEREF _Toc124352522 \h </w:instrText>
          </w:r>
          <w:r>
            <w:rPr>
              <w:rFonts w:hint="default" w:ascii="Times New Roman" w:hAnsi="Times New Roman" w:cs="Times New Roman" w:eastAsiaTheme="majorHAnsi"/>
              <w:b/>
              <w:bCs/>
              <w:sz w:val="28"/>
              <w:szCs w:val="28"/>
            </w:rPr>
            <w:fldChar w:fldCharType="separate"/>
          </w:r>
          <w:r>
            <w:rPr>
              <w:rFonts w:hint="default" w:ascii="Times New Roman" w:hAnsi="Times New Roman" w:cs="Times New Roman" w:eastAsiaTheme="majorHAnsi"/>
              <w:b/>
              <w:bCs/>
              <w:sz w:val="28"/>
              <w:szCs w:val="28"/>
            </w:rPr>
            <w:t>50</w:t>
          </w:r>
          <w:r>
            <w:rPr>
              <w:rFonts w:hint="default" w:ascii="Times New Roman" w:hAnsi="Times New Roman" w:cs="Times New Roman" w:eastAsiaTheme="majorHAnsi"/>
              <w:b/>
              <w:bCs/>
              <w:sz w:val="28"/>
              <w:szCs w:val="28"/>
            </w:rPr>
            <w:fldChar w:fldCharType="end"/>
          </w:r>
          <w:r>
            <w:rPr>
              <w:rFonts w:hint="default" w:ascii="Times New Roman" w:hAnsi="Times New Roman" w:cs="Times New Roman" w:eastAsiaTheme="majorHAnsi"/>
              <w:b/>
              <w:bCs/>
              <w:sz w:val="28"/>
              <w:szCs w:val="28"/>
            </w:rPr>
            <w:fldChar w:fldCharType="end"/>
          </w:r>
        </w:p>
        <w:p w14:paraId="02534D0D">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5.1 发展组团潜力分析</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_Toc124352523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50</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1BB897C">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5.1.1潜力指标体系构建</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_Toc124352524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50</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0436314">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5.1.2因子权重计算</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_Toc124352525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50</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686E0C5">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5.1.3各区综合权重计算</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_Toc124352526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50</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5338021A">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5.2 目标单元潜力分析</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_Toc124352527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39F5F0E">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5.2.1潜力指标体系构建</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_Toc124352528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9796F4B">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5.2.2因子权重计算</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_Toc124352529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52</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919FED2">
          <w:pPr>
            <w:pStyle w:val="18"/>
            <w:tabs>
              <w:tab w:val="right" w:leader="dot" w:pos="10035"/>
            </w:tabs>
            <w:spacing w:line="360" w:lineRule="exact"/>
            <w:ind w:left="0" w:leftChars="0"/>
            <w:rPr>
              <w:rFonts w:hint="default" w:ascii="Times New Roman" w:hAnsi="Times New Roman" w:cs="Times New Roman" w:eastAsiaTheme="majorHAnsi"/>
              <w:b/>
              <w:bCs/>
              <w:kern w:val="2"/>
              <w:sz w:val="28"/>
              <w:szCs w:val="28"/>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"_Toc124352530" </w:instrText>
          </w:r>
          <w:r>
            <w:rPr>
              <w:rFonts w:hint="default" w:ascii="Times New Roman" w:hAnsi="Times New Roman" w:cs="Times New Roman"/>
            </w:rPr>
            <w:fldChar w:fldCharType="separate"/>
          </w:r>
          <w:r>
            <w:rPr>
              <w:rStyle w:val="30"/>
              <w:rFonts w:hint="default" w:ascii="Times New Roman" w:hAnsi="Times New Roman" w:cs="Times New Roman" w:eastAsiaTheme="majorHAnsi"/>
              <w:b/>
              <w:bCs/>
              <w:sz w:val="28"/>
              <w:szCs w:val="28"/>
            </w:rPr>
            <w:t>六、发展策略和指标要求</w:t>
          </w:r>
          <w:r>
            <w:rPr>
              <w:rFonts w:hint="default" w:ascii="Times New Roman" w:hAnsi="Times New Roman" w:cs="Times New Roman" w:eastAsiaTheme="majorHAnsi"/>
              <w:b/>
              <w:bCs/>
              <w:sz w:val="28"/>
              <w:szCs w:val="28"/>
            </w:rPr>
            <w:tab/>
          </w:r>
          <w:r>
            <w:rPr>
              <w:rFonts w:hint="default" w:ascii="Times New Roman" w:hAnsi="Times New Roman" w:cs="Times New Roman" w:eastAsiaTheme="majorHAnsi"/>
              <w:b/>
              <w:bCs/>
              <w:sz w:val="28"/>
              <w:szCs w:val="28"/>
            </w:rPr>
            <w:fldChar w:fldCharType="begin"/>
          </w:r>
          <w:r>
            <w:rPr>
              <w:rFonts w:hint="default" w:ascii="Times New Roman" w:hAnsi="Times New Roman" w:cs="Times New Roman" w:eastAsiaTheme="majorHAnsi"/>
              <w:b/>
              <w:bCs/>
              <w:sz w:val="28"/>
              <w:szCs w:val="28"/>
            </w:rPr>
            <w:instrText xml:space="preserve"> PAGEREF _Toc124352530 \h </w:instrText>
          </w:r>
          <w:r>
            <w:rPr>
              <w:rFonts w:hint="default" w:ascii="Times New Roman" w:hAnsi="Times New Roman" w:cs="Times New Roman" w:eastAsiaTheme="majorHAnsi"/>
              <w:b/>
              <w:bCs/>
              <w:sz w:val="28"/>
              <w:szCs w:val="28"/>
            </w:rPr>
            <w:fldChar w:fldCharType="separate"/>
          </w:r>
          <w:r>
            <w:rPr>
              <w:rFonts w:hint="default" w:ascii="Times New Roman" w:hAnsi="Times New Roman" w:cs="Times New Roman" w:eastAsiaTheme="majorHAnsi"/>
              <w:b/>
              <w:bCs/>
              <w:sz w:val="28"/>
              <w:szCs w:val="28"/>
            </w:rPr>
            <w:t>57</w:t>
          </w:r>
          <w:r>
            <w:rPr>
              <w:rFonts w:hint="default" w:ascii="Times New Roman" w:hAnsi="Times New Roman" w:cs="Times New Roman" w:eastAsiaTheme="majorHAnsi"/>
              <w:b/>
              <w:bCs/>
              <w:sz w:val="28"/>
              <w:szCs w:val="28"/>
            </w:rPr>
            <w:fldChar w:fldCharType="end"/>
          </w:r>
          <w:r>
            <w:rPr>
              <w:rFonts w:hint="default" w:ascii="Times New Roman" w:hAnsi="Times New Roman" w:cs="Times New Roman" w:eastAsiaTheme="majorHAnsi"/>
              <w:b/>
              <w:bCs/>
              <w:sz w:val="28"/>
              <w:szCs w:val="28"/>
            </w:rPr>
            <w:fldChar w:fldCharType="end"/>
          </w:r>
        </w:p>
        <w:p w14:paraId="601C02FC">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6.1 发展组团绿色建筑发展策略</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_Toc124352531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08CEBCF">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"_Toc124352532"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6.1.1 中心城区发展组团</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_Toc124352532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5F8F0784">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6.1.2 翠亨新区发展组团</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_Toc124352533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CBA7881">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6.1.3 火炬区发展组团</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_Toc124352534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C88E8AA">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6.1.4 西部发展组团</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_Toc124352535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37BEB63">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6.1.5 南部发展组团</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_Toc124352536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61955392">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6.1.6 北部发展组团</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_Toc124352537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AD1F3FE">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6.2 目标单元指标要求</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_Toc124352538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17334D8">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6.2.1 中心城区发展组团目标单元</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_Toc124352539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E1D1796">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6.2.2 翠亨新区发展组团目标单元</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_Toc124352540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60</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04CD5FD9">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6.2.3火炬区发展组团目标单元</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_Toc124352541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60</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B661FED">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"_Toc124352542"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6.2.4西部发展组团目标单元</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_Toc124352542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51F43F43">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6.2.5南部发展组团目标单元</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_Toc124352543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634DD412">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6.2.6北部发展组团目标单元</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_Toc124352544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62</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835F2AA">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6.2.7 目标单元管控要求</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_Toc124352545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62</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578F54E2">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6.3 指标校核</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_Toc124352546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06BD11DF">
          <w:pPr>
            <w:pStyle w:val="18"/>
            <w:tabs>
              <w:tab w:val="right" w:leader="dot" w:pos="10035"/>
            </w:tabs>
            <w:spacing w:line="360" w:lineRule="exact"/>
            <w:ind w:left="0" w:leftChars="0"/>
            <w:rPr>
              <w:rFonts w:hint="default" w:ascii="Times New Roman" w:hAnsi="Times New Roman" w:cs="Times New Roman" w:eastAsiaTheme="majorHAnsi"/>
              <w:b/>
              <w:bCs/>
              <w:kern w:val="2"/>
              <w:sz w:val="28"/>
              <w:szCs w:val="28"/>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"_Toc124352547" </w:instrText>
          </w:r>
          <w:r>
            <w:rPr>
              <w:rFonts w:hint="default" w:ascii="Times New Roman" w:hAnsi="Times New Roman" w:cs="Times New Roman"/>
            </w:rPr>
            <w:fldChar w:fldCharType="separate"/>
          </w:r>
          <w:r>
            <w:rPr>
              <w:rStyle w:val="30"/>
              <w:rFonts w:hint="default" w:ascii="Times New Roman" w:hAnsi="Times New Roman" w:cs="Times New Roman" w:eastAsiaTheme="majorHAnsi"/>
              <w:b/>
              <w:bCs/>
              <w:sz w:val="28"/>
              <w:szCs w:val="28"/>
            </w:rPr>
            <w:t>七、重点任务</w:t>
          </w:r>
          <w:r>
            <w:rPr>
              <w:rFonts w:hint="default" w:ascii="Times New Roman" w:hAnsi="Times New Roman" w:cs="Times New Roman" w:eastAsiaTheme="majorHAnsi"/>
              <w:b/>
              <w:bCs/>
              <w:sz w:val="28"/>
              <w:szCs w:val="28"/>
            </w:rPr>
            <w:tab/>
          </w:r>
          <w:r>
            <w:rPr>
              <w:rFonts w:hint="default" w:ascii="Times New Roman" w:hAnsi="Times New Roman" w:cs="Times New Roman" w:eastAsiaTheme="majorHAnsi"/>
              <w:b/>
              <w:bCs/>
              <w:sz w:val="28"/>
              <w:szCs w:val="28"/>
            </w:rPr>
            <w:fldChar w:fldCharType="begin"/>
          </w:r>
          <w:r>
            <w:rPr>
              <w:rFonts w:hint="default" w:ascii="Times New Roman" w:hAnsi="Times New Roman" w:cs="Times New Roman" w:eastAsiaTheme="majorHAnsi"/>
              <w:b/>
              <w:bCs/>
              <w:sz w:val="28"/>
              <w:szCs w:val="28"/>
            </w:rPr>
            <w:instrText xml:space="preserve"> PAGEREF _Toc124352547 \h </w:instrText>
          </w:r>
          <w:r>
            <w:rPr>
              <w:rFonts w:hint="default" w:ascii="Times New Roman" w:hAnsi="Times New Roman" w:cs="Times New Roman" w:eastAsiaTheme="majorHAnsi"/>
              <w:b/>
              <w:bCs/>
              <w:sz w:val="28"/>
              <w:szCs w:val="28"/>
            </w:rPr>
            <w:fldChar w:fldCharType="separate"/>
          </w:r>
          <w:r>
            <w:rPr>
              <w:rFonts w:hint="default" w:ascii="Times New Roman" w:hAnsi="Times New Roman" w:cs="Times New Roman" w:eastAsiaTheme="majorHAnsi"/>
              <w:b/>
              <w:bCs/>
              <w:sz w:val="28"/>
              <w:szCs w:val="28"/>
            </w:rPr>
            <w:t>68</w:t>
          </w:r>
          <w:r>
            <w:rPr>
              <w:rFonts w:hint="default" w:ascii="Times New Roman" w:hAnsi="Times New Roman" w:cs="Times New Roman" w:eastAsiaTheme="majorHAnsi"/>
              <w:b/>
              <w:bCs/>
              <w:sz w:val="28"/>
              <w:szCs w:val="28"/>
            </w:rPr>
            <w:fldChar w:fldCharType="end"/>
          </w:r>
          <w:r>
            <w:rPr>
              <w:rFonts w:hint="default" w:ascii="Times New Roman" w:hAnsi="Times New Roman" w:cs="Times New Roman" w:eastAsiaTheme="majorHAnsi"/>
              <w:b/>
              <w:bCs/>
              <w:sz w:val="28"/>
              <w:szCs w:val="28"/>
            </w:rPr>
            <w:fldChar w:fldCharType="end"/>
          </w:r>
        </w:p>
        <w:p w14:paraId="7ABB0EDE">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7.1 引领绿色建筑高品质发展</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_Toc124352548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6FEF542A">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7.2 加快既有建筑节能绿色化改造</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_Toc124352549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535A5253">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7.3建立绿色低碳技术体系</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_Toc124352550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56B4B6A">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7.4 推动绿色产业发展</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_Toc124352551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7350B0C">
          <w:pPr>
            <w:pStyle w:val="18"/>
            <w:tabs>
              <w:tab w:val="right" w:leader="dot" w:pos="10035"/>
            </w:tabs>
            <w:spacing w:line="360" w:lineRule="exact"/>
            <w:ind w:left="0" w:leftChars="0"/>
            <w:rPr>
              <w:rFonts w:hint="default" w:ascii="Times New Roman" w:hAnsi="Times New Roman" w:cs="Times New Roman" w:eastAsiaTheme="majorHAnsi"/>
              <w:b/>
              <w:bCs/>
              <w:kern w:val="2"/>
              <w:sz w:val="28"/>
              <w:szCs w:val="28"/>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"_Toc124352552" </w:instrText>
          </w:r>
          <w:r>
            <w:rPr>
              <w:rFonts w:hint="default" w:ascii="Times New Roman" w:hAnsi="Times New Roman" w:cs="Times New Roman"/>
            </w:rPr>
            <w:fldChar w:fldCharType="separate"/>
          </w:r>
          <w:r>
            <w:rPr>
              <w:rStyle w:val="30"/>
              <w:rFonts w:hint="default" w:ascii="Times New Roman" w:hAnsi="Times New Roman" w:cs="Times New Roman" w:eastAsiaTheme="majorHAnsi"/>
              <w:b/>
              <w:bCs/>
              <w:sz w:val="28"/>
              <w:szCs w:val="28"/>
            </w:rPr>
            <w:t>八、保障措施</w:t>
          </w:r>
          <w:r>
            <w:rPr>
              <w:rFonts w:hint="default" w:ascii="Times New Roman" w:hAnsi="Times New Roman" w:cs="Times New Roman" w:eastAsiaTheme="majorHAnsi"/>
              <w:b/>
              <w:bCs/>
              <w:sz w:val="28"/>
              <w:szCs w:val="28"/>
            </w:rPr>
            <w:tab/>
          </w:r>
          <w:r>
            <w:rPr>
              <w:rFonts w:hint="default" w:ascii="Times New Roman" w:hAnsi="Times New Roman" w:cs="Times New Roman" w:eastAsiaTheme="majorHAnsi"/>
              <w:b/>
              <w:bCs/>
              <w:sz w:val="28"/>
              <w:szCs w:val="28"/>
            </w:rPr>
            <w:fldChar w:fldCharType="begin"/>
          </w:r>
          <w:r>
            <w:rPr>
              <w:rFonts w:hint="default" w:ascii="Times New Roman" w:hAnsi="Times New Roman" w:cs="Times New Roman" w:eastAsiaTheme="majorHAnsi"/>
              <w:b/>
              <w:bCs/>
              <w:sz w:val="28"/>
              <w:szCs w:val="28"/>
            </w:rPr>
            <w:instrText xml:space="preserve"> PAGEREF _Toc124352552 \h </w:instrText>
          </w:r>
          <w:r>
            <w:rPr>
              <w:rFonts w:hint="default" w:ascii="Times New Roman" w:hAnsi="Times New Roman" w:cs="Times New Roman" w:eastAsiaTheme="majorHAnsi"/>
              <w:b/>
              <w:bCs/>
              <w:sz w:val="28"/>
              <w:szCs w:val="28"/>
            </w:rPr>
            <w:fldChar w:fldCharType="separate"/>
          </w:r>
          <w:r>
            <w:rPr>
              <w:rFonts w:hint="default" w:ascii="Times New Roman" w:hAnsi="Times New Roman" w:cs="Times New Roman" w:eastAsiaTheme="majorHAnsi"/>
              <w:b/>
              <w:bCs/>
              <w:sz w:val="28"/>
              <w:szCs w:val="28"/>
            </w:rPr>
            <w:t>75</w:t>
          </w:r>
          <w:r>
            <w:rPr>
              <w:rFonts w:hint="default" w:ascii="Times New Roman" w:hAnsi="Times New Roman" w:cs="Times New Roman" w:eastAsiaTheme="majorHAnsi"/>
              <w:b/>
              <w:bCs/>
              <w:sz w:val="28"/>
              <w:szCs w:val="28"/>
            </w:rPr>
            <w:fldChar w:fldCharType="end"/>
          </w:r>
          <w:r>
            <w:rPr>
              <w:rFonts w:hint="default" w:ascii="Times New Roman" w:hAnsi="Times New Roman" w:cs="Times New Roman" w:eastAsiaTheme="majorHAnsi"/>
              <w:b/>
              <w:bCs/>
              <w:sz w:val="28"/>
              <w:szCs w:val="28"/>
            </w:rPr>
            <w:fldChar w:fldCharType="end"/>
          </w:r>
        </w:p>
        <w:p w14:paraId="6C19B24D">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8.1国内外经验分析</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_Toc124352553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0260369F">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8.1.1国外绿色建筑发展机制</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_Toc124352554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A9F746D">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8.1.2国内绿色建筑发展机制</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_Toc124352555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D628D4E">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8.2 具体措施</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_Toc124352556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A3F0B4F">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8.2.1加强组织领导</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_Toc124352557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23EEF71">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8.2.2 强化规划衔接</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_Toc124352558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76</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E6B8E44">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8.2.3完善考核机制</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_Toc124352559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76</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9281269">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"_Toc124352560"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8.2.4制定激励政策</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_Toc124352560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5CC45635">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"_Toc124352561"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8.2.5强化宣传培训</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_Toc124352561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3E5AA1B">
          <w:pPr>
            <w:pStyle w:val="18"/>
            <w:tabs>
              <w:tab w:val="right" w:leader="dot" w:pos="10035"/>
            </w:tabs>
            <w:spacing w:line="360" w:lineRule="exact"/>
            <w:ind w:left="0" w:leftChars="0"/>
            <w:rPr>
              <w:rFonts w:hint="default" w:ascii="Times New Roman" w:hAnsi="Times New Roman" w:cs="Times New Roman" w:eastAsiaTheme="majorHAnsi"/>
              <w:b/>
              <w:bCs/>
              <w:kern w:val="2"/>
              <w:sz w:val="28"/>
              <w:szCs w:val="28"/>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"_Toc124352562" </w:instrText>
          </w:r>
          <w:r>
            <w:rPr>
              <w:rFonts w:hint="default" w:ascii="Times New Roman" w:hAnsi="Times New Roman" w:cs="Times New Roman"/>
            </w:rPr>
            <w:fldChar w:fldCharType="separate"/>
          </w:r>
          <w:r>
            <w:rPr>
              <w:rStyle w:val="30"/>
              <w:rFonts w:hint="default" w:ascii="Times New Roman" w:hAnsi="Times New Roman" w:cs="Times New Roman" w:eastAsiaTheme="majorHAnsi"/>
              <w:b/>
              <w:bCs/>
              <w:sz w:val="28"/>
              <w:szCs w:val="28"/>
            </w:rPr>
            <w:t>附件：历次意见及回复</w:t>
          </w:r>
          <w:r>
            <w:rPr>
              <w:rFonts w:hint="default" w:ascii="Times New Roman" w:hAnsi="Times New Roman" w:cs="Times New Roman" w:eastAsiaTheme="majorHAnsi"/>
              <w:b/>
              <w:bCs/>
              <w:sz w:val="28"/>
              <w:szCs w:val="28"/>
            </w:rPr>
            <w:tab/>
          </w:r>
          <w:r>
            <w:rPr>
              <w:rFonts w:hint="default" w:ascii="Times New Roman" w:hAnsi="Times New Roman" w:cs="Times New Roman" w:eastAsiaTheme="majorHAnsi"/>
              <w:b/>
              <w:bCs/>
              <w:sz w:val="28"/>
              <w:szCs w:val="28"/>
            </w:rPr>
            <w:fldChar w:fldCharType="begin"/>
          </w:r>
          <w:r>
            <w:rPr>
              <w:rFonts w:hint="default" w:ascii="Times New Roman" w:hAnsi="Times New Roman" w:cs="Times New Roman" w:eastAsiaTheme="majorHAnsi"/>
              <w:b/>
              <w:bCs/>
              <w:sz w:val="28"/>
              <w:szCs w:val="28"/>
            </w:rPr>
            <w:instrText xml:space="preserve"> PAGEREF _Toc124352562 \h </w:instrText>
          </w:r>
          <w:r>
            <w:rPr>
              <w:rFonts w:hint="default" w:ascii="Times New Roman" w:hAnsi="Times New Roman" w:cs="Times New Roman" w:eastAsiaTheme="majorHAnsi"/>
              <w:b/>
              <w:bCs/>
              <w:sz w:val="28"/>
              <w:szCs w:val="28"/>
            </w:rPr>
            <w:fldChar w:fldCharType="separate"/>
          </w:r>
          <w:r>
            <w:rPr>
              <w:rFonts w:hint="default" w:ascii="Times New Roman" w:hAnsi="Times New Roman" w:cs="Times New Roman" w:eastAsiaTheme="majorHAnsi"/>
              <w:b/>
              <w:bCs/>
              <w:sz w:val="28"/>
              <w:szCs w:val="28"/>
            </w:rPr>
            <w:t>78</w:t>
          </w:r>
          <w:r>
            <w:rPr>
              <w:rFonts w:hint="default" w:ascii="Times New Roman" w:hAnsi="Times New Roman" w:cs="Times New Roman" w:eastAsiaTheme="majorHAnsi"/>
              <w:b/>
              <w:bCs/>
              <w:sz w:val="28"/>
              <w:szCs w:val="28"/>
            </w:rPr>
            <w:fldChar w:fldCharType="end"/>
          </w:r>
          <w:r>
            <w:rPr>
              <w:rFonts w:hint="default" w:ascii="Times New Roman" w:hAnsi="Times New Roman" w:cs="Times New Roman" w:eastAsiaTheme="majorHAnsi"/>
              <w:b/>
              <w:bCs/>
              <w:sz w:val="28"/>
              <w:szCs w:val="28"/>
            </w:rPr>
            <w:fldChar w:fldCharType="end"/>
          </w:r>
        </w:p>
        <w:p w14:paraId="6259BEB5">
          <w:pPr>
            <w:ind w:left="0" w:leftChars="0"/>
            <w:rPr>
              <w:rFonts w:hint="default" w:ascii="Times New Roman" w:hAnsi="Times New Roman" w:cs="Times New Roman"/>
            </w:rPr>
            <w:sectPr>
              <w:headerReference r:id="rId9" w:type="default"/>
              <w:footerReference r:id="rId10" w:type="default"/>
              <w:pgSz w:w="11906" w:h="16838"/>
              <w:pgMar w:top="1440" w:right="720" w:bottom="1440" w:left="873" w:header="851" w:footer="992" w:gutter="0"/>
              <w:cols w:space="425" w:num="1"/>
              <w:docGrid w:type="lines" w:linePitch="312" w:charSpace="0"/>
            </w:sectPr>
          </w:pPr>
          <w:r>
            <w:rPr>
              <w:rFonts w:hint="default" w:ascii="Times New Roman" w:hAnsi="Times New Roman" w:cs="Times New Roman"/>
              <w:bCs/>
              <w:lang w:val="zh-CN"/>
            </w:rPr>
            <w:fldChar w:fldCharType="end"/>
          </w:r>
        </w:p>
      </w:sdtContent>
    </w:sdt>
    <w:p w14:paraId="410607CA">
      <w:pPr>
        <w:pStyle w:val="4"/>
        <w:rPr>
          <w:rFonts w:hint="default" w:ascii="Times New Roman" w:hAnsi="Times New Roman" w:cs="Times New Roman"/>
          <w:color w:val="FF0000"/>
        </w:rPr>
      </w:pPr>
      <w:bookmarkStart w:id="0" w:name="_Toc14298"/>
      <w:bookmarkStart w:id="1" w:name="_Toc124352455"/>
      <w:r>
        <w:rPr>
          <w:rFonts w:hint="default" w:ascii="Times New Roman" w:hAnsi="Times New Roman" w:cs="Times New Roman"/>
        </w:rPr>
        <w:t>一、编制概述</w:t>
      </w:r>
      <w:bookmarkEnd w:id="0"/>
      <w:bookmarkEnd w:id="1"/>
    </w:p>
    <w:p w14:paraId="59066F33">
      <w:pPr>
        <w:pStyle w:val="5"/>
        <w:numPr>
          <w:ilvl w:val="255"/>
          <w:numId w:val="0"/>
        </w:numPr>
        <w:rPr>
          <w:rFonts w:hint="default" w:ascii="Times New Roman" w:hAnsi="Times New Roman" w:cs="Times New Roman"/>
        </w:rPr>
      </w:pPr>
      <w:bookmarkStart w:id="2" w:name="_Toc68"/>
      <w:bookmarkStart w:id="3" w:name="_Toc124352456"/>
      <w:r>
        <w:rPr>
          <w:rFonts w:hint="default" w:ascii="Times New Roman" w:hAnsi="Times New Roman" w:cs="Times New Roman"/>
        </w:rPr>
        <w:t>1.1 规划背景</w:t>
      </w:r>
      <w:bookmarkEnd w:id="2"/>
      <w:bookmarkEnd w:id="3"/>
    </w:p>
    <w:p w14:paraId="378358EC">
      <w:pPr>
        <w:pStyle w:val="6"/>
        <w:numPr>
          <w:ilvl w:val="255"/>
          <w:numId w:val="0"/>
        </w:numPr>
        <w:ind w:firstLine="561"/>
        <w:rPr>
          <w:rFonts w:hint="default" w:ascii="Times New Roman" w:hAnsi="Times New Roman" w:cs="Times New Roman"/>
        </w:rPr>
      </w:pPr>
      <w:bookmarkStart w:id="4" w:name="_Toc124352457"/>
      <w:bookmarkStart w:id="5" w:name="_Toc11529"/>
      <w:r>
        <w:rPr>
          <w:rFonts w:hint="default" w:ascii="Times New Roman" w:hAnsi="Times New Roman" w:cs="Times New Roman"/>
        </w:rPr>
        <w:t>1.1.1国家推动绿色建筑高质量发展</w:t>
      </w:r>
      <w:bookmarkEnd w:id="4"/>
      <w:bookmarkEnd w:id="5"/>
    </w:p>
    <w:p w14:paraId="3E74BC73">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大力发展绿色建筑，是促进生态文明建设，践行绿色发展理念，深化供给侧结构性改革，推动建筑高质量发展，助力建筑领域碳达峰行动的重要途径和必然要求。</w:t>
      </w:r>
    </w:p>
    <w:p w14:paraId="1DA728A9">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国家推动绿色建筑高质量发展。习近平总书记在联合国大会上提出：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我们要构筑尊崇自然、绿色发展的生态体系。人类可以利用自然、改造自然，但归根结底是自然的一部分，必须呵护自然，不能凌驾于自然之上。我们要解决好工业文明带来的矛盾，以人与自然和谐相处为目标，实现世界的可持续发展和人的全面发展</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。生态兴则文明兴，中国作为倡导人类命运共同体的负责任大国，必须坚决贯彻</w:t>
      </w:r>
      <w:r>
        <w:rPr>
          <w:rFonts w:hint="eastAsia" w:ascii="Times New Roman" w:hAnsi="Times New Roman" w:eastAsia="宋体" w:cs="Times New Roman"/>
          <w:sz w:val="28"/>
          <w:szCs w:val="28"/>
          <w:lang w:eastAsia="zh-CN"/>
        </w:rPr>
        <w:t>习近平生态文明思想</w:t>
      </w:r>
      <w:r>
        <w:rPr>
          <w:rFonts w:hint="default" w:ascii="Times New Roman" w:hAnsi="Times New Roman" w:eastAsia="宋体" w:cs="Times New Roman"/>
          <w:sz w:val="28"/>
          <w:szCs w:val="28"/>
        </w:rPr>
        <w:t>，推进绿色发展。《中共中央关于制定国民经济和社会发展第十四个五年规划和二〇三五年远景目标的建议》、《中共中央办公厅 国务院办公厅关于推动城乡建设绿色发展的意见》等重要文件明确提出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发展绿色建筑</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建设高品质绿色建筑</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的要求。住房和城乡建设部等部委围绕绿色建筑管理和创建陆续发布了《绿色建筑创建行动方案》《绿色建筑标识管理办法》等指导性文件，其中，《绿色建筑创建行动方案》明确要求</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制定本地区创建实施方案，细化目标任务，落实支持政策，确保创建工作落实到位</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w:t>
      </w:r>
    </w:p>
    <w:p w14:paraId="0E3244D8">
      <w:pPr>
        <w:pStyle w:val="6"/>
        <w:numPr>
          <w:ilvl w:val="255"/>
          <w:numId w:val="0"/>
        </w:numPr>
        <w:ind w:firstLine="561"/>
        <w:rPr>
          <w:rFonts w:hint="default" w:ascii="Times New Roman" w:hAnsi="Times New Roman" w:cs="Times New Roman"/>
        </w:rPr>
      </w:pPr>
      <w:bookmarkStart w:id="6" w:name="_Toc26081"/>
      <w:bookmarkStart w:id="7" w:name="_Toc124352458"/>
      <w:r>
        <w:rPr>
          <w:rFonts w:hint="default" w:ascii="Times New Roman" w:hAnsi="Times New Roman" w:cs="Times New Roman"/>
        </w:rPr>
        <w:t>1.1.2粤港澳大湾区协同推进绿色建筑发展</w:t>
      </w:r>
      <w:bookmarkEnd w:id="6"/>
      <w:bookmarkEnd w:id="7"/>
    </w:p>
    <w:p w14:paraId="5502E74A">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 xml:space="preserve"> 2017年1月，国家发展和改革委员会、广东省人民政府、香港特别行政区政府、澳门特别行政区政府（以下称四方）经协商一致，制定了《深化粤港澳合作 推进大湾区建设框架协议》，协议中提出以</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生态优先，绿色发展</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为合作原则之一，着眼于城市群可持续发展，推动形成绿色低碳的生产生活方式和城市建设运营模式。</w:t>
      </w:r>
    </w:p>
    <w:p w14:paraId="5F53F6FA">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2019年2月，中共中央、国务院印发了《粤港澳大湾区发展规划纲要》，绿色发展理念贯穿全文，提出大湾区以</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绿色发展，保护生态</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为基准原则之一，以建立</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绿色智慧节能低碳的生产生活方式和城市建设运营模式</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为发展目标，体现出粤港澳大湾区打造绿色低碳城市运营模式的理念。</w:t>
      </w:r>
    </w:p>
    <w:p w14:paraId="6C5362F8">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2019年4月，深圳市绿色建筑协会联合大湾区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9＋2</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城市的行业组织及优秀企业共同发起成立</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粤港澳绿色建筑产业发展联盟</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。深圳市与英国建筑科学研究院</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深圳诺丁汉可持续发展研究院有限公司分别签署《绿色建筑与可持续发展领域合作备忘录》，正式开启深圳绿色建筑评价标准与英国BREEAM（英国建筑研究院环境评估方法）互认合作。</w:t>
      </w:r>
    </w:p>
    <w:p w14:paraId="21CE21B0">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2021年6月，气候债券倡议组织发布《粤港澳大湾区绿色基础设施投资机遇报告》，推动了绿色债券作为主要融资工具对经济体低碳转型的支持，报告分析了大湾区绿色建筑的行业概况及发展目标，明确了大湾区绿色建筑在绿色金融和基础设施投资中的重要地位。</w:t>
      </w:r>
    </w:p>
    <w:p w14:paraId="5F8E628C">
      <w:pPr>
        <w:pStyle w:val="6"/>
        <w:numPr>
          <w:ilvl w:val="255"/>
          <w:numId w:val="0"/>
        </w:numPr>
        <w:ind w:firstLine="561"/>
        <w:rPr>
          <w:rFonts w:hint="default" w:ascii="Times New Roman" w:hAnsi="Times New Roman" w:cs="Times New Roman"/>
        </w:rPr>
      </w:pPr>
      <w:bookmarkStart w:id="8" w:name="_Toc19025"/>
      <w:bookmarkStart w:id="9" w:name="_Toc124352459"/>
      <w:r>
        <w:rPr>
          <w:rFonts w:hint="default" w:ascii="Times New Roman" w:hAnsi="Times New Roman" w:cs="Times New Roman"/>
        </w:rPr>
        <w:t>1.1.3广东省加快绿色建筑建设行动</w:t>
      </w:r>
      <w:bookmarkEnd w:id="8"/>
      <w:bookmarkEnd w:id="9"/>
    </w:p>
    <w:p w14:paraId="6E49EA9B">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2020年11月，广东省人民代表大会常务委员会通过的《广东省绿色建筑条例》提出，地级以上市、县级人民政府住房城乡建设主管部门应当会同发展改革、自然资源等主管部门组织编制本行政区域的绿色建筑发展专项规划，报本级人民政府批准并向社会公开。</w:t>
      </w:r>
    </w:p>
    <w:p w14:paraId="0DD7CC16">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2021年10月，广东省住房和城乡建设厅等部门印发的《广东省绿色建筑创建行动实施方案（2021-2023）》明确提出，各地住房城乡建设主管部门要会同发展改革、自然资源等部门，结合当地实际，于2022年3月底前完成市、县（区、镇）绿色建筑发展专项规划编制，明确绿色建筑发展目标、重点发展区域、新型建造技术路线和既有民用建筑绿色化改造等内容，绿色建筑发展专项规划必须符合国土空间规划及相关专项规划，并提出符合详细规划科学体系和逻辑的绿色建筑技术指标，报本级人民政府批准后向社会公开。各地自然资源主管部门在编制控制性详细规划时，应把绿色建筑发展专项规划中符合详细规划科学体系和逻辑的相关绿色建筑技术指标纳入详细规划，并在建设用地规划条件中明确项目的绿色建筑等级要求。</w:t>
      </w:r>
    </w:p>
    <w:p w14:paraId="348C3666">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202</w:t>
      </w:r>
      <w:r>
        <w:rPr>
          <w:rFonts w:hint="default" w:ascii="Times New Roman" w:hAnsi="Times New Roman" w:eastAsia="宋体" w:cs="Times New Roman"/>
          <w:sz w:val="28"/>
          <w:szCs w:val="28"/>
          <w:lang w:val="en-US" w:eastAsia="zh-CN"/>
        </w:rPr>
        <w:t>2</w:t>
      </w:r>
      <w:r>
        <w:rPr>
          <w:rFonts w:hint="default" w:ascii="Times New Roman" w:hAnsi="Times New Roman" w:eastAsia="宋体" w:cs="Times New Roman"/>
          <w:sz w:val="28"/>
          <w:szCs w:val="28"/>
        </w:rPr>
        <w:t>年</w:t>
      </w:r>
      <w:r>
        <w:rPr>
          <w:rFonts w:hint="default" w:ascii="Times New Roman" w:hAnsi="Times New Roman" w:eastAsia="宋体" w:cs="Times New Roman"/>
          <w:sz w:val="28"/>
          <w:szCs w:val="28"/>
          <w:lang w:val="en-US" w:eastAsia="zh-CN"/>
        </w:rPr>
        <w:t>3</w:t>
      </w:r>
      <w:r>
        <w:rPr>
          <w:rFonts w:hint="default" w:ascii="Times New Roman" w:hAnsi="Times New Roman" w:eastAsia="宋体" w:cs="Times New Roman"/>
          <w:sz w:val="28"/>
          <w:szCs w:val="28"/>
        </w:rPr>
        <w:t>月，广东省住房和城乡建设厅发布的《广东省建筑节能与绿色建筑发展</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十四五</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规划》中提出，要编制我省绿色建筑发展专项规划编制技术导则，各市结合实际会同相关部门编制绿色建筑发展专项规划。</w:t>
      </w:r>
    </w:p>
    <w:p w14:paraId="604097D0">
      <w:pPr>
        <w:pStyle w:val="2"/>
        <w:rPr>
          <w:rFonts w:hint="default" w:ascii="Times New Roman" w:hAnsi="Times New Roman" w:cs="Times New Roman"/>
        </w:rPr>
      </w:pPr>
    </w:p>
    <w:p w14:paraId="06D25165">
      <w:pPr>
        <w:pStyle w:val="6"/>
        <w:numPr>
          <w:ilvl w:val="255"/>
          <w:numId w:val="0"/>
        </w:numPr>
        <w:ind w:firstLine="561"/>
        <w:rPr>
          <w:rFonts w:hint="default" w:ascii="Times New Roman" w:hAnsi="Times New Roman" w:cs="Times New Roman"/>
        </w:rPr>
      </w:pPr>
      <w:bookmarkStart w:id="10" w:name="_Toc124352460"/>
      <w:bookmarkStart w:id="11" w:name="_Toc19148"/>
      <w:r>
        <w:rPr>
          <w:rFonts w:hint="default" w:ascii="Times New Roman" w:hAnsi="Times New Roman" w:cs="Times New Roman"/>
        </w:rPr>
        <w:t>1.1.4中山市全面推广绿色建筑</w:t>
      </w:r>
      <w:bookmarkEnd w:id="10"/>
      <w:bookmarkEnd w:id="11"/>
    </w:p>
    <w:p w14:paraId="4A6C8806">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中山市进入全面推广绿色建筑高速发展新时代。中山市绿色建筑发展紧跟全国和广东省绿色建筑发展步伐，积极贯彻落实广东省的相关工作部署的同时，根据我市地情</w:t>
      </w:r>
      <w:r>
        <w:rPr>
          <w:rFonts w:hint="default" w:ascii="Times New Roman" w:hAnsi="Times New Roman" w:eastAsia="宋体" w:cs="Times New Roman"/>
          <w:sz w:val="28"/>
          <w:szCs w:val="28"/>
          <w:lang w:val="en-US" w:eastAsia="zh-CN"/>
        </w:rPr>
        <w:t>发布了</w:t>
      </w:r>
      <w:r>
        <w:rPr>
          <w:rFonts w:hint="default" w:ascii="Times New Roman" w:hAnsi="Times New Roman" w:eastAsia="宋体" w:cs="Times New Roman"/>
          <w:sz w:val="28"/>
          <w:szCs w:val="28"/>
        </w:rPr>
        <w:t>《关于印发〈中山市绿色建筑创建行动实施方案（2021-2023）〉的通知》（中建通〔2022〕73号）、</w:t>
      </w:r>
      <w:r>
        <w:rPr>
          <w:rFonts w:hint="default" w:ascii="Times New Roman" w:hAnsi="Times New Roman" w:eastAsia="宋体" w:cs="Times New Roman"/>
          <w:sz w:val="28"/>
          <w:szCs w:val="28"/>
          <w:lang w:val="en-US" w:eastAsia="zh-CN"/>
        </w:rPr>
        <w:t>《关于加强绿色建筑工程质量管理的通知》、</w:t>
      </w:r>
      <w:r>
        <w:rPr>
          <w:rFonts w:hint="default" w:ascii="Times New Roman" w:hAnsi="Times New Roman" w:eastAsia="宋体" w:cs="Times New Roman"/>
          <w:sz w:val="28"/>
          <w:szCs w:val="28"/>
        </w:rPr>
        <w:t>《中山市住房和城乡建设局关于做好我市新旧绿色建筑评价标准平稳过渡工作的通知》（中建函〔2017〕665号）等一系列政策，出台了《中山市绿色建筑设计指南》（2021版）和《中山市装配式建筑设计指南》（2021版）等一系列标准和指南，对中山市的绿色建筑发展起到了积极引导和推广的作用。</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十三五</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期间，中山市新增城镇绿色建筑面积5184万平方米，占全市新建民用建筑面积比例达到64%，新增城镇绿色建筑面积和全市新建民用建筑中绿色建筑占比均位列全省第4位。截至2022年1月，中山市共申报绿色建筑设计标识项目83个，建筑面积合计792.21万平方米，在广东省各地市中位列第13位。已申报的项目中，一星级（包含国标一星和省标一星B和一星A级）项目74个，占所有申报标识的绿色建筑的面积比例达到97.18%，二星级及以上的项目9个，占所有申报标识的绿色建筑的面积比例为2.82%。已申报的项目中，申报设计标识的项目78个，占所有申报标识的绿色建筑的面积比例达到98.51%，申报运行标识的项目5个，占所有申报标识的绿色建筑的面积比例为1.49%。随着我省绿色建筑发展的进一步提升，中山市的绿色建筑也将迎来新的发展。</w:t>
      </w:r>
    </w:p>
    <w:p w14:paraId="4D66E2CE">
      <w:pPr>
        <w:pStyle w:val="5"/>
        <w:rPr>
          <w:rFonts w:hint="default" w:ascii="Times New Roman" w:hAnsi="Times New Roman" w:cs="Times New Roman"/>
        </w:rPr>
      </w:pPr>
      <w:bookmarkStart w:id="12" w:name="_Toc124352461"/>
      <w:bookmarkStart w:id="13" w:name="_Toc28649"/>
      <w:r>
        <w:rPr>
          <w:rFonts w:hint="default" w:ascii="Times New Roman" w:hAnsi="Times New Roman" w:cs="Times New Roman"/>
        </w:rPr>
        <w:t>1.2 工作内容</w:t>
      </w:r>
      <w:bookmarkEnd w:id="12"/>
      <w:bookmarkEnd w:id="13"/>
    </w:p>
    <w:p w14:paraId="36EC0D11">
      <w:pPr>
        <w:pStyle w:val="6"/>
        <w:numPr>
          <w:ilvl w:val="255"/>
          <w:numId w:val="0"/>
        </w:numPr>
        <w:ind w:firstLine="561"/>
        <w:rPr>
          <w:rFonts w:hint="default" w:ascii="Times New Roman" w:hAnsi="Times New Roman" w:cs="Times New Roman"/>
        </w:rPr>
      </w:pPr>
      <w:bookmarkStart w:id="14" w:name="_Toc124352462"/>
      <w:bookmarkStart w:id="15" w:name="_Toc15637"/>
      <w:r>
        <w:rPr>
          <w:rFonts w:hint="default" w:ascii="Times New Roman" w:hAnsi="Times New Roman" w:cs="Times New Roman"/>
        </w:rPr>
        <w:t>1.2.1专项规划定义</w:t>
      </w:r>
      <w:bookmarkEnd w:id="14"/>
      <w:bookmarkEnd w:id="15"/>
    </w:p>
    <w:p w14:paraId="3C7EA504">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为推进绿色建筑高质量发展，按照国民经济和社会发展规划等相关规划要求，以国土空间总体规划为依据，明确规划范围内绿色建筑发展目标、重点发展区域、绿色建造技术路线和既有民用建筑绿色化改造等内容，指导控制性详细规划中绿色建筑相关内容编制的专项规划。</w:t>
      </w:r>
    </w:p>
    <w:p w14:paraId="5E358EF0">
      <w:pPr>
        <w:pStyle w:val="6"/>
        <w:numPr>
          <w:ilvl w:val="255"/>
          <w:numId w:val="0"/>
        </w:numPr>
        <w:ind w:firstLine="561"/>
        <w:rPr>
          <w:rFonts w:hint="default" w:ascii="Times New Roman" w:hAnsi="Times New Roman" w:cs="Times New Roman"/>
        </w:rPr>
      </w:pPr>
      <w:bookmarkStart w:id="16" w:name="_Toc20339"/>
      <w:bookmarkStart w:id="17" w:name="_Toc124352463"/>
      <w:r>
        <w:rPr>
          <w:rFonts w:hint="default" w:ascii="Times New Roman" w:hAnsi="Times New Roman" w:cs="Times New Roman"/>
        </w:rPr>
        <w:t>1.2.2编制内容</w:t>
      </w:r>
      <w:bookmarkEnd w:id="16"/>
      <w:bookmarkEnd w:id="17"/>
    </w:p>
    <w:p w14:paraId="1418B3C5">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本次专项规划的编制内容主要包括：基础资料分析、确定目标任务、划定绿色建筑发展分区、建立规划指标、规划实施和保障，编制路线见下图。</w:t>
      </w:r>
    </w:p>
    <w:p w14:paraId="0C1B213A">
      <w:pPr>
        <w:widowControl/>
        <w:adjustRightInd w:val="0"/>
        <w:snapToGrid w:val="0"/>
        <w:spacing w:line="360" w:lineRule="auto"/>
        <w:jc w:val="center"/>
        <w:rPr>
          <w:rFonts w:hint="default" w:ascii="Times New Roman" w:hAnsi="Times New Roman" w:eastAsia="宋体" w:cs="Times New Roman"/>
          <w:color w:val="FF0000"/>
          <w:sz w:val="28"/>
          <w:szCs w:val="28"/>
        </w:rPr>
      </w:pPr>
      <w:r>
        <w:rPr>
          <w:rFonts w:hint="default" w:ascii="Times New Roman" w:hAnsi="Times New Roman" w:cs="Times New Roman"/>
        </w:rPr>
        <w:drawing>
          <wp:inline distT="0" distB="0" distL="114300" distR="114300">
            <wp:extent cx="4095750" cy="6040120"/>
            <wp:effectExtent l="0" t="0" r="0" b="17780"/>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pic:cNvPicPr>
                  </pic:nvPicPr>
                  <pic:blipFill>
                    <a:blip r:embed="rId13"/>
                    <a:stretch>
                      <a:fillRect/>
                    </a:stretch>
                  </pic:blipFill>
                  <pic:spPr>
                    <a:xfrm>
                      <a:off x="0" y="0"/>
                      <a:ext cx="4096810" cy="6041972"/>
                    </a:xfrm>
                    <a:prstGeom prst="rect">
                      <a:avLst/>
                    </a:prstGeom>
                    <a:noFill/>
                    <a:ln>
                      <a:noFill/>
                    </a:ln>
                  </pic:spPr>
                </pic:pic>
              </a:graphicData>
            </a:graphic>
          </wp:inline>
        </w:drawing>
      </w:r>
    </w:p>
    <w:p w14:paraId="520E779B">
      <w:pPr>
        <w:pStyle w:val="6"/>
        <w:numPr>
          <w:ilvl w:val="255"/>
          <w:numId w:val="0"/>
        </w:numPr>
        <w:ind w:firstLine="561"/>
        <w:rPr>
          <w:rFonts w:hint="default" w:ascii="Times New Roman" w:hAnsi="Times New Roman" w:cs="Times New Roman"/>
        </w:rPr>
      </w:pPr>
      <w:bookmarkStart w:id="18" w:name="_Toc124352464"/>
      <w:bookmarkStart w:id="19" w:name="_Toc23657"/>
      <w:r>
        <w:rPr>
          <w:rFonts w:hint="default" w:ascii="Times New Roman" w:hAnsi="Times New Roman" w:cs="Times New Roman"/>
        </w:rPr>
        <w:t>1.2.3编制成果</w:t>
      </w:r>
      <w:bookmarkEnd w:id="18"/>
      <w:bookmarkEnd w:id="19"/>
    </w:p>
    <w:p w14:paraId="4B9E18DB">
      <w:pPr>
        <w:widowControl/>
        <w:adjustRightInd w:val="0"/>
        <w:snapToGrid w:val="0"/>
        <w:spacing w:line="360" w:lineRule="auto"/>
        <w:ind w:firstLine="560" w:firstLineChars="200"/>
        <w:rPr>
          <w:rFonts w:hint="default" w:ascii="Times New Roman" w:hAnsi="Times New Roman" w:eastAsia="宋体" w:cs="Times New Roman"/>
          <w:color w:val="FF0000"/>
          <w:sz w:val="28"/>
          <w:szCs w:val="28"/>
        </w:rPr>
      </w:pPr>
      <w:r>
        <w:rPr>
          <w:rFonts w:hint="default" w:ascii="Times New Roman" w:hAnsi="Times New Roman" w:eastAsia="宋体" w:cs="Times New Roman"/>
          <w:sz w:val="28"/>
          <w:szCs w:val="28"/>
        </w:rPr>
        <w:t>本次专项规划的规划成果包括：文本、图表、说明书。</w:t>
      </w:r>
    </w:p>
    <w:p w14:paraId="5E03E7B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（1）文本是专项规划的主要成果，主要内容包括：总则、目标与定位、发展组团与管控要求、目标单元与指标要求、近期规划、保障措施等。</w:t>
      </w:r>
    </w:p>
    <w:p w14:paraId="2508B0AA">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（2）图表主要包括总区位图、现状图、发展组团与目标单元区划图、指标表等。</w:t>
      </w:r>
    </w:p>
    <w:p w14:paraId="5CD3EBF8">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（3）说明书是对最终形成的专项规划文本及相关图表的说明性文件。</w:t>
      </w:r>
    </w:p>
    <w:p w14:paraId="5DD7B5ED">
      <w:pPr>
        <w:pStyle w:val="5"/>
        <w:rPr>
          <w:rFonts w:hint="default" w:ascii="Times New Roman" w:hAnsi="Times New Roman" w:cs="Times New Roman"/>
        </w:rPr>
      </w:pPr>
      <w:bookmarkStart w:id="20" w:name="_Toc124352465"/>
      <w:bookmarkStart w:id="21" w:name="_Toc5197"/>
      <w:r>
        <w:rPr>
          <w:rFonts w:hint="default" w:ascii="Times New Roman" w:hAnsi="Times New Roman" w:cs="Times New Roman"/>
        </w:rPr>
        <w:t>1.3 编制依据</w:t>
      </w:r>
      <w:bookmarkEnd w:id="20"/>
      <w:bookmarkEnd w:id="21"/>
    </w:p>
    <w:p w14:paraId="2B59FCDB">
      <w:pPr>
        <w:pStyle w:val="6"/>
        <w:numPr>
          <w:ilvl w:val="255"/>
          <w:numId w:val="0"/>
        </w:numPr>
        <w:ind w:firstLine="561"/>
        <w:rPr>
          <w:rFonts w:hint="default" w:ascii="Times New Roman" w:hAnsi="Times New Roman" w:cs="Times New Roman"/>
        </w:rPr>
      </w:pPr>
      <w:bookmarkStart w:id="22" w:name="_Toc3966"/>
      <w:bookmarkStart w:id="23" w:name="_Toc124352466"/>
      <w:r>
        <w:rPr>
          <w:rFonts w:hint="default" w:ascii="Times New Roman" w:hAnsi="Times New Roman" w:cs="Times New Roman"/>
        </w:rPr>
        <w:t>1.3.1法律法规</w:t>
      </w:r>
      <w:bookmarkEnd w:id="22"/>
      <w:bookmarkEnd w:id="23"/>
    </w:p>
    <w:p w14:paraId="68C696FD">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 《中华人民共和国城乡规划法》</w:t>
      </w:r>
    </w:p>
    <w:p w14:paraId="45CB372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 《民用建筑节能条例》</w:t>
      </w:r>
    </w:p>
    <w:p w14:paraId="6EC27F27">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 《广东省城乡规划条例》</w:t>
      </w:r>
    </w:p>
    <w:p w14:paraId="327470F7">
      <w:pPr>
        <w:widowControl/>
        <w:adjustRightInd w:val="0"/>
        <w:snapToGrid w:val="0"/>
        <w:spacing w:line="360" w:lineRule="auto"/>
        <w:ind w:firstLine="560" w:firstLineChars="200"/>
        <w:rPr>
          <w:rFonts w:hint="default"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4</w:t>
      </w:r>
      <w:r>
        <w:rPr>
          <w:rFonts w:hint="default" w:ascii="Times New Roman" w:hAnsi="Times New Roman" w:eastAsia="宋体" w:cs="Times New Roman"/>
          <w:sz w:val="28"/>
          <w:szCs w:val="28"/>
        </w:rPr>
        <w:t>《广东省绿色建筑条例》</w:t>
      </w:r>
    </w:p>
    <w:p w14:paraId="6C0CBFA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4 其他相关法律法规</w:t>
      </w:r>
    </w:p>
    <w:p w14:paraId="48B3B0EB">
      <w:pPr>
        <w:pStyle w:val="6"/>
        <w:numPr>
          <w:ilvl w:val="255"/>
          <w:numId w:val="0"/>
        </w:numPr>
        <w:ind w:firstLine="561"/>
        <w:rPr>
          <w:rFonts w:hint="default" w:ascii="Times New Roman" w:hAnsi="Times New Roman" w:cs="Times New Roman"/>
        </w:rPr>
      </w:pPr>
      <w:bookmarkStart w:id="24" w:name="_Toc124352467"/>
      <w:bookmarkStart w:id="25" w:name="_Toc14271"/>
      <w:r>
        <w:rPr>
          <w:rFonts w:hint="default" w:ascii="Times New Roman" w:hAnsi="Times New Roman" w:cs="Times New Roman"/>
        </w:rPr>
        <w:t>1.3.2政策文件</w:t>
      </w:r>
      <w:bookmarkEnd w:id="24"/>
      <w:bookmarkEnd w:id="25"/>
    </w:p>
    <w:p w14:paraId="1AEB5746">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bookmarkStart w:id="26" w:name="_Toc10070"/>
      <w:r>
        <w:rPr>
          <w:rFonts w:hint="default" w:ascii="Times New Roman" w:hAnsi="Times New Roman" w:eastAsia="宋体" w:cs="Times New Roman"/>
          <w:sz w:val="28"/>
          <w:szCs w:val="28"/>
        </w:rPr>
        <w:t>《住房和城乡建设部 国家发展改革委 教育部 工业和信息化部 人民银行 国管局 银保监会关于印发绿色建筑创建行动方案的通知》</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建标〔2020〕65号</w:t>
      </w:r>
      <w:r>
        <w:rPr>
          <w:rFonts w:hint="default" w:ascii="Times New Roman" w:hAnsi="Times New Roman" w:eastAsia="宋体" w:cs="Times New Roman"/>
          <w:sz w:val="28"/>
          <w:szCs w:val="28"/>
          <w:lang w:eastAsia="zh-CN"/>
        </w:rPr>
        <w:t>）</w:t>
      </w:r>
    </w:p>
    <w:p w14:paraId="2AA3CA1C">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《中共中央办公厅 国务院办公厅印发〈关于推动城乡建设绿色发展的意见〉》</w:t>
      </w:r>
    </w:p>
    <w:p w14:paraId="459E5AEB">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《中共中央 国务院关于完整准确全面贯彻新发展理念做好碳达峰碳中和工作的意见》</w:t>
      </w:r>
    </w:p>
    <w:p w14:paraId="2BFD2E4A">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lang w:val="en-US"/>
        </w:rPr>
      </w:pPr>
      <w:r>
        <w:rPr>
          <w:rFonts w:hint="default" w:ascii="Times New Roman" w:hAnsi="Times New Roman" w:eastAsia="宋体" w:cs="Times New Roman"/>
          <w:sz w:val="28"/>
          <w:szCs w:val="28"/>
        </w:rPr>
        <w:t xml:space="preserve"> 《国务院关于印发2030年前碳达峰行动方案的通知》</w:t>
      </w:r>
      <w:r>
        <w:rPr>
          <w:rFonts w:hint="default" w:ascii="Times New Roman" w:hAnsi="Times New Roman" w:eastAsia="宋体" w:cs="Times New Roman"/>
          <w:sz w:val="28"/>
          <w:szCs w:val="28"/>
          <w:lang w:eastAsia="zh-CN"/>
        </w:rPr>
        <w:t>（国发〔2021〕23号）</w:t>
      </w:r>
    </w:p>
    <w:p w14:paraId="0F08A5CD">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lang w:val="en-US"/>
        </w:rPr>
      </w:pPr>
      <w:r>
        <w:rPr>
          <w:rFonts w:hint="default" w:ascii="Times New Roman" w:hAnsi="Times New Roman" w:eastAsia="宋体" w:cs="Times New Roman"/>
          <w:sz w:val="28"/>
          <w:szCs w:val="28"/>
        </w:rPr>
        <w:t>《住房和城乡建设部关于印发绿色建筑标识管理办法的通知》</w:t>
      </w:r>
      <w:r>
        <w:rPr>
          <w:rFonts w:hint="default" w:ascii="Times New Roman" w:hAnsi="Times New Roman" w:eastAsia="宋体" w:cs="Times New Roman"/>
          <w:sz w:val="28"/>
          <w:szCs w:val="28"/>
          <w:lang w:eastAsia="zh-CN"/>
        </w:rPr>
        <w:t>（建标规〔2021〕1号）</w:t>
      </w:r>
    </w:p>
    <w:p w14:paraId="72960002">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《住房和城乡建设部关于印发</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十四五</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建筑节能与绿色建筑发展规划的通知》</w:t>
      </w:r>
      <w:r>
        <w:rPr>
          <w:rFonts w:hint="default" w:ascii="Times New Roman" w:hAnsi="Times New Roman" w:eastAsia="宋体" w:cs="Times New Roman"/>
          <w:sz w:val="28"/>
          <w:szCs w:val="28"/>
          <w:lang w:eastAsia="zh-CN"/>
        </w:rPr>
        <w:t>（建标〔2022〕24号）</w:t>
      </w:r>
    </w:p>
    <w:p w14:paraId="27358B49">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《中共广东省委 广东省人民政府关于完整准确全面贯彻新发展理念推进碳达峰碳中和工作的实施意见》</w:t>
      </w:r>
    </w:p>
    <w:p w14:paraId="722C608E">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《广东省人民政府关于印发</w:t>
      </w:r>
      <w:r>
        <w:rPr>
          <w:rFonts w:hint="default" w:ascii="Times New Roman" w:hAnsi="Times New Roman" w:eastAsia="宋体" w:cs="Times New Roman"/>
          <w:sz w:val="28"/>
          <w:szCs w:val="28"/>
          <w:lang w:val="en-US" w:eastAsia="zh-CN"/>
        </w:rPr>
        <w:t>&lt;</w:t>
      </w:r>
      <w:r>
        <w:rPr>
          <w:rFonts w:hint="default" w:ascii="Times New Roman" w:hAnsi="Times New Roman" w:eastAsia="宋体" w:cs="Times New Roman"/>
          <w:sz w:val="28"/>
          <w:szCs w:val="28"/>
        </w:rPr>
        <w:t>广东省国民经济和社会发展第十四个五年规划和2035年远景目标纲要</w:t>
      </w:r>
      <w:r>
        <w:rPr>
          <w:rFonts w:hint="default" w:ascii="Times New Roman" w:hAnsi="Times New Roman" w:eastAsia="宋体" w:cs="Times New Roman"/>
          <w:sz w:val="28"/>
          <w:szCs w:val="28"/>
          <w:lang w:val="en-US" w:eastAsia="zh-CN"/>
        </w:rPr>
        <w:t>&gt;</w:t>
      </w:r>
      <w:r>
        <w:rPr>
          <w:rFonts w:hint="default" w:ascii="Times New Roman" w:hAnsi="Times New Roman" w:eastAsia="宋体" w:cs="Times New Roman"/>
          <w:sz w:val="28"/>
          <w:szCs w:val="28"/>
        </w:rPr>
        <w:t>的通知》</w:t>
      </w:r>
      <w:r>
        <w:rPr>
          <w:rFonts w:hint="default" w:ascii="Times New Roman" w:hAnsi="Times New Roman" w:eastAsia="宋体" w:cs="Times New Roman"/>
          <w:sz w:val="28"/>
          <w:szCs w:val="28"/>
          <w:lang w:eastAsia="zh-CN"/>
        </w:rPr>
        <w:t>（粤府〔2021〕28号）</w:t>
      </w:r>
    </w:p>
    <w:p w14:paraId="4701467F">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《关于印发〈广东省绿色建筑创建行动实施方案（2021-2023）〉的通知》（粤建科〔2021〕166号）</w:t>
      </w:r>
    </w:p>
    <w:p w14:paraId="1F317715">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《广东省住房和城乡建设厅关于印发广东省建筑节能与绿色建筑发展</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十四五</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规划的通知》</w:t>
      </w:r>
      <w:r>
        <w:rPr>
          <w:rFonts w:hint="default" w:ascii="Times New Roman" w:hAnsi="Times New Roman" w:eastAsia="宋体" w:cs="Times New Roman"/>
          <w:sz w:val="28"/>
          <w:szCs w:val="28"/>
          <w:lang w:eastAsia="zh-CN"/>
        </w:rPr>
        <w:t>（粤建科〔2022〕56号）</w:t>
      </w:r>
    </w:p>
    <w:p w14:paraId="1347DFB4">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《中山市人民政府关于印发〈中山市国民经济和社会发展第十四个五年规划和2035年远景目标纲要〉的通知》</w:t>
      </w:r>
      <w:r>
        <w:rPr>
          <w:rFonts w:hint="default" w:ascii="Times New Roman" w:hAnsi="Times New Roman" w:eastAsia="宋体" w:cs="Times New Roman"/>
          <w:sz w:val="28"/>
          <w:szCs w:val="28"/>
          <w:lang w:eastAsia="zh-CN"/>
        </w:rPr>
        <w:t>（中府〔2021〕53号）</w:t>
      </w:r>
    </w:p>
    <w:p w14:paraId="1A44320F">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关于印发《中山市绿色建筑创建行动实施方案（2021-2023）》的通知（中建通〔2022〕73号）</w:t>
      </w:r>
    </w:p>
    <w:p w14:paraId="594AA5C7">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《关于加强绿色建筑工程质量管理的通知》，中山市住房和城乡建设局</w:t>
      </w:r>
    </w:p>
    <w:p w14:paraId="4BD438A2">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 xml:space="preserve"> </w:t>
      </w:r>
    </w:p>
    <w:p w14:paraId="001144E2">
      <w:pPr>
        <w:pStyle w:val="6"/>
        <w:numPr>
          <w:ilvl w:val="255"/>
          <w:numId w:val="0"/>
        </w:numPr>
        <w:ind w:firstLine="561"/>
        <w:rPr>
          <w:rFonts w:hint="default" w:ascii="Times New Roman" w:hAnsi="Times New Roman" w:cs="Times New Roman"/>
        </w:rPr>
      </w:pPr>
      <w:bookmarkStart w:id="27" w:name="_Toc124352468"/>
      <w:r>
        <w:rPr>
          <w:rFonts w:hint="default" w:ascii="Times New Roman" w:hAnsi="Times New Roman" w:cs="Times New Roman"/>
        </w:rPr>
        <w:t>1.3.3相关规划</w:t>
      </w:r>
      <w:bookmarkEnd w:id="27"/>
    </w:p>
    <w:p w14:paraId="7F898A0F">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 《粤港澳大湾区发展规划纲要》</w:t>
      </w:r>
    </w:p>
    <w:p w14:paraId="2A41F0C7">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2</w:t>
      </w:r>
      <w:r>
        <w:rPr>
          <w:rFonts w:hint="default" w:ascii="Times New Roman" w:hAnsi="Times New Roman" w:eastAsia="宋体" w:cs="Times New Roman"/>
          <w:sz w:val="28"/>
          <w:szCs w:val="28"/>
        </w:rPr>
        <w:t xml:space="preserve"> 《中山市国土空间总体规划（202</w:t>
      </w:r>
      <w:r>
        <w:rPr>
          <w:rFonts w:hint="default" w:ascii="Times New Roman" w:hAnsi="Times New Roman" w:eastAsia="宋体" w:cs="Times New Roman"/>
          <w:sz w:val="28"/>
          <w:szCs w:val="28"/>
          <w:lang w:val="en-US" w:eastAsia="zh-CN"/>
        </w:rPr>
        <w:t>1</w:t>
      </w:r>
      <w:r>
        <w:rPr>
          <w:rFonts w:hint="default" w:ascii="Times New Roman" w:hAnsi="Times New Roman" w:eastAsia="宋体" w:cs="Times New Roman"/>
          <w:sz w:val="28"/>
          <w:szCs w:val="28"/>
        </w:rPr>
        <w:t>-2035年）》</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lang w:val="en-US" w:eastAsia="zh-CN"/>
        </w:rPr>
        <w:t>公众版</w:t>
      </w:r>
      <w:r>
        <w:rPr>
          <w:rFonts w:hint="default" w:ascii="Times New Roman" w:hAnsi="Times New Roman" w:eastAsia="宋体" w:cs="Times New Roman"/>
          <w:sz w:val="28"/>
          <w:szCs w:val="28"/>
          <w:lang w:eastAsia="zh-CN"/>
        </w:rPr>
        <w:t>）</w:t>
      </w:r>
    </w:p>
    <w:p w14:paraId="2E411EB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 xml:space="preserve">3 </w:t>
      </w:r>
      <w:r>
        <w:rPr>
          <w:rFonts w:hint="default" w:ascii="Times New Roman" w:hAnsi="Times New Roman" w:eastAsia="宋体" w:cs="Times New Roman"/>
          <w:sz w:val="28"/>
          <w:szCs w:val="28"/>
        </w:rPr>
        <w:t>《中山市装配式建筑（2021-2025年）发展规划》</w:t>
      </w:r>
    </w:p>
    <w:p w14:paraId="2BF21840">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4</w:t>
      </w:r>
      <w:r>
        <w:rPr>
          <w:rFonts w:hint="default" w:ascii="Times New Roman" w:hAnsi="Times New Roman" w:eastAsia="宋体" w:cs="Times New Roman"/>
          <w:sz w:val="28"/>
          <w:szCs w:val="28"/>
        </w:rPr>
        <w:t xml:space="preserve"> 《中山市绿色基础设施规划》</w:t>
      </w:r>
    </w:p>
    <w:p w14:paraId="23A4100F">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5</w:t>
      </w:r>
      <w:r>
        <w:rPr>
          <w:rFonts w:hint="default" w:ascii="Times New Roman" w:hAnsi="Times New Roman" w:eastAsia="宋体" w:cs="Times New Roman"/>
          <w:sz w:val="28"/>
          <w:szCs w:val="28"/>
        </w:rPr>
        <w:t xml:space="preserve"> 《中山市海绵城市专项规划》</w:t>
      </w:r>
    </w:p>
    <w:p w14:paraId="369E9925">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6</w:t>
      </w:r>
      <w:r>
        <w:rPr>
          <w:rFonts w:hint="default" w:ascii="Times New Roman" w:hAnsi="Times New Roman" w:eastAsia="宋体" w:cs="Times New Roman"/>
          <w:sz w:val="28"/>
          <w:szCs w:val="28"/>
        </w:rPr>
        <w:t xml:space="preserve"> 《中山市声环境功能区划方案（2021年修编）》</w:t>
      </w:r>
    </w:p>
    <w:p w14:paraId="04C3302A">
      <w:pPr>
        <w:widowControl/>
        <w:adjustRightInd w:val="0"/>
        <w:snapToGrid w:val="0"/>
        <w:spacing w:line="360" w:lineRule="auto"/>
        <w:ind w:firstLine="560" w:firstLineChars="200"/>
        <w:rPr>
          <w:rFonts w:hint="default" w:ascii="Times New Roman" w:hAnsi="Times New Roman" w:cs="Times New Roman"/>
        </w:rPr>
      </w:pPr>
      <w:r>
        <w:rPr>
          <w:rFonts w:hint="default" w:ascii="Times New Roman" w:hAnsi="Times New Roman" w:eastAsia="宋体" w:cs="Times New Roman"/>
          <w:sz w:val="28"/>
          <w:szCs w:val="28"/>
          <w:lang w:val="en-US" w:eastAsia="zh-CN"/>
        </w:rPr>
        <w:t xml:space="preserve">7 </w:t>
      </w:r>
      <w:r>
        <w:rPr>
          <w:rFonts w:hint="default" w:ascii="Times New Roman" w:hAnsi="Times New Roman" w:eastAsia="宋体" w:cs="Times New Roman"/>
          <w:sz w:val="28"/>
          <w:szCs w:val="28"/>
        </w:rPr>
        <w:t>《中山市城市更新（</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三旧</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改造）专项规划（2020-2035）》</w:t>
      </w:r>
    </w:p>
    <w:p w14:paraId="09295F72">
      <w:pPr>
        <w:widowControl/>
        <w:adjustRightInd w:val="0"/>
        <w:snapToGrid w:val="0"/>
        <w:spacing w:line="360" w:lineRule="auto"/>
        <w:ind w:firstLine="560" w:firstLineChars="200"/>
        <w:rPr>
          <w:rFonts w:hint="default"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8 《中山市公共交通系统规划》</w:t>
      </w:r>
    </w:p>
    <w:p w14:paraId="4C450F50">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9</w:t>
      </w:r>
      <w:r>
        <w:rPr>
          <w:rFonts w:hint="default" w:ascii="Times New Roman" w:hAnsi="Times New Roman" w:eastAsia="宋体" w:cs="Times New Roman"/>
          <w:sz w:val="28"/>
          <w:szCs w:val="28"/>
        </w:rPr>
        <w:t>《中山市体育公共服务设施专项规划（2020-2035）》</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lang w:val="en-US" w:eastAsia="zh-CN"/>
        </w:rPr>
        <w:t>草案</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lang w:val="en-US" w:eastAsia="zh-CN"/>
        </w:rPr>
        <w:t>2021年5月</w:t>
      </w:r>
    </w:p>
    <w:p w14:paraId="6F94F7C3">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10</w:t>
      </w:r>
      <w:r>
        <w:rPr>
          <w:rFonts w:hint="default" w:ascii="Times New Roman" w:hAnsi="Times New Roman" w:eastAsia="宋体" w:cs="Times New Roman"/>
          <w:sz w:val="28"/>
          <w:szCs w:val="28"/>
        </w:rPr>
        <w:t xml:space="preserve"> 《中山市教育设施专项规划（2020-2035）》</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lang w:val="en-US" w:eastAsia="zh-CN"/>
        </w:rPr>
        <w:t>草案</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lang w:val="en-US" w:eastAsia="zh-CN"/>
        </w:rPr>
        <w:t>2021年7月</w:t>
      </w:r>
    </w:p>
    <w:p w14:paraId="1BFA3FCB">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 xml:space="preserve">11 </w:t>
      </w:r>
      <w:r>
        <w:rPr>
          <w:rFonts w:hint="default" w:ascii="Times New Roman" w:hAnsi="Times New Roman" w:eastAsia="宋体" w:cs="Times New Roman"/>
          <w:sz w:val="28"/>
          <w:szCs w:val="28"/>
        </w:rPr>
        <w:t>《中山市水利发展</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十四五</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规划》</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lang w:val="en-US" w:eastAsia="zh-CN"/>
        </w:rPr>
        <w:t>2022年4月</w:t>
      </w:r>
    </w:p>
    <w:p w14:paraId="3003D7A9">
      <w:pPr>
        <w:widowControl/>
        <w:adjustRightInd w:val="0"/>
        <w:snapToGrid w:val="0"/>
        <w:spacing w:line="360" w:lineRule="auto"/>
        <w:ind w:firstLine="560" w:firstLineChars="200"/>
        <w:rPr>
          <w:rFonts w:hint="default" w:ascii="Times New Roman" w:hAnsi="Times New Roman" w:eastAsia="宋体" w:cs="Times New Roman"/>
          <w:color w:val="FF0000"/>
          <w:sz w:val="28"/>
          <w:szCs w:val="28"/>
        </w:rPr>
      </w:pPr>
      <w:r>
        <w:rPr>
          <w:rFonts w:hint="default" w:ascii="Times New Roman" w:hAnsi="Times New Roman" w:eastAsia="宋体" w:cs="Times New Roman"/>
          <w:sz w:val="28"/>
          <w:szCs w:val="28"/>
          <w:lang w:val="en-US" w:eastAsia="zh-CN"/>
        </w:rPr>
        <w:t xml:space="preserve">12 </w:t>
      </w:r>
      <w:r>
        <w:rPr>
          <w:rFonts w:hint="default" w:ascii="Times New Roman" w:hAnsi="Times New Roman" w:eastAsia="宋体" w:cs="Times New Roman"/>
          <w:sz w:val="28"/>
          <w:szCs w:val="28"/>
        </w:rPr>
        <w:t xml:space="preserve"> 其他上位规划和相关专项规划</w:t>
      </w:r>
    </w:p>
    <w:p w14:paraId="3C4ABAA5">
      <w:pPr>
        <w:pStyle w:val="6"/>
        <w:numPr>
          <w:ilvl w:val="255"/>
          <w:numId w:val="0"/>
        </w:numPr>
        <w:ind w:firstLine="561"/>
        <w:rPr>
          <w:rFonts w:hint="default" w:ascii="Times New Roman" w:hAnsi="Times New Roman" w:cs="Times New Roman"/>
        </w:rPr>
      </w:pPr>
      <w:bookmarkStart w:id="28" w:name="_Toc124352469"/>
      <w:r>
        <w:rPr>
          <w:rFonts w:hint="default" w:ascii="Times New Roman" w:hAnsi="Times New Roman" w:cs="Times New Roman"/>
        </w:rPr>
        <w:t>1.3.4技术标准</w:t>
      </w:r>
      <w:bookmarkEnd w:id="26"/>
      <w:bookmarkEnd w:id="28"/>
    </w:p>
    <w:p w14:paraId="1E1EAFA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 《绿色建筑评价标准》（GB/T50378-2019）</w:t>
      </w:r>
    </w:p>
    <w:p w14:paraId="52BD8C06">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 《建筑节能与可再生能源利用通用规范》（GB55015-2021）</w:t>
      </w:r>
    </w:p>
    <w:p w14:paraId="7C46C4DB">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 《建筑环境通用规范》（GB55016-2021）</w:t>
      </w:r>
    </w:p>
    <w:p w14:paraId="2BFA52EB">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4 《既有建筑绿色改造评价标准》（GB/T51141-2015）</w:t>
      </w:r>
    </w:p>
    <w:p w14:paraId="7ADC0A08">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5 《绿色生态城区评价标准》（GB/T51255-2017）</w:t>
      </w:r>
    </w:p>
    <w:p w14:paraId="226B904F">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6 《广东省绿色建筑设计规范》（DBJ/T15-201-2020）</w:t>
      </w:r>
    </w:p>
    <w:p w14:paraId="28A8FF52">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7 《广东省建筑节能与绿色建筑工程施工质量验收规范》（DBJ15-65-2021）</w:t>
      </w:r>
    </w:p>
    <w:p w14:paraId="0A0EF376">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8</w:t>
      </w:r>
      <w:r>
        <w:rPr>
          <w:rFonts w:hint="default" w:ascii="Times New Roman" w:hAnsi="Times New Roman" w:eastAsia="宋体" w:cs="Times New Roman"/>
          <w:sz w:val="28"/>
          <w:szCs w:val="28"/>
        </w:rPr>
        <w:t xml:space="preserve"> 《广东省绿色建筑发展专项规划编制技术导则</w:t>
      </w:r>
      <w:r>
        <w:rPr>
          <w:rFonts w:hint="default" w:ascii="Times New Roman" w:hAnsi="Times New Roman" w:eastAsia="宋体" w:cs="Times New Roman"/>
          <w:sz w:val="28"/>
          <w:szCs w:val="28"/>
          <w:lang w:val="en-US" w:eastAsia="zh-CN"/>
        </w:rPr>
        <w:t>(试行)</w:t>
      </w:r>
      <w:r>
        <w:rPr>
          <w:rFonts w:hint="default" w:ascii="Times New Roman" w:hAnsi="Times New Roman" w:eastAsia="宋体" w:cs="Times New Roman"/>
          <w:sz w:val="28"/>
          <w:szCs w:val="28"/>
        </w:rPr>
        <w:t>》</w:t>
      </w:r>
    </w:p>
    <w:p w14:paraId="24F1EF1D">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 xml:space="preserve">9 </w:t>
      </w:r>
      <w:r>
        <w:rPr>
          <w:rFonts w:hint="default" w:ascii="Times New Roman" w:hAnsi="Times New Roman" w:eastAsia="宋体" w:cs="Times New Roman"/>
          <w:sz w:val="28"/>
          <w:szCs w:val="28"/>
        </w:rPr>
        <w:t>《广东省既有建筑绿色改造技术规程》（征求意见稿）</w:t>
      </w:r>
    </w:p>
    <w:p w14:paraId="5F1A0EC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lang w:val="en-US" w:eastAsia="zh-CN"/>
        </w:rPr>
        <w:t>0</w:t>
      </w:r>
      <w:r>
        <w:rPr>
          <w:rFonts w:hint="default" w:ascii="Times New Roman" w:hAnsi="Times New Roman" w:eastAsia="宋体" w:cs="Times New Roman"/>
          <w:sz w:val="28"/>
          <w:szCs w:val="28"/>
        </w:rPr>
        <w:t xml:space="preserve"> 《广东省低碳生态城市规划建设指引》</w:t>
      </w:r>
    </w:p>
    <w:p w14:paraId="4BD93CB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lang w:val="en-US" w:eastAsia="zh-CN"/>
        </w:rPr>
        <w:t xml:space="preserve">1 </w:t>
      </w:r>
      <w:r>
        <w:rPr>
          <w:rFonts w:hint="default" w:ascii="Times New Roman" w:hAnsi="Times New Roman" w:eastAsia="宋体" w:cs="Times New Roman"/>
          <w:sz w:val="28"/>
          <w:szCs w:val="28"/>
        </w:rPr>
        <w:t>其他相关技术标准</w:t>
      </w:r>
    </w:p>
    <w:p w14:paraId="00C44A82">
      <w:pPr>
        <w:pStyle w:val="5"/>
        <w:rPr>
          <w:rFonts w:hint="default" w:ascii="Times New Roman" w:hAnsi="Times New Roman" w:cs="Times New Roman"/>
        </w:rPr>
      </w:pPr>
      <w:bookmarkStart w:id="29" w:name="_Toc12482"/>
      <w:bookmarkStart w:id="30" w:name="_Toc124352470"/>
      <w:r>
        <w:rPr>
          <w:rFonts w:hint="default" w:ascii="Times New Roman" w:hAnsi="Times New Roman" w:cs="Times New Roman"/>
        </w:rPr>
        <w:t xml:space="preserve">1.4 </w:t>
      </w:r>
      <w:r>
        <w:rPr>
          <w:rFonts w:hint="default" w:ascii="Times New Roman" w:hAnsi="Times New Roman" w:cs="Times New Roman"/>
          <w:szCs w:val="28"/>
        </w:rPr>
        <w:t>规划范围</w:t>
      </w:r>
      <w:bookmarkEnd w:id="29"/>
      <w:bookmarkEnd w:id="30"/>
    </w:p>
    <w:p w14:paraId="705A8765">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中山市行政辖区包括8个街道、15个建制镇、区域内含有1个国家级开发区——中山火炬高技术产业开发区和1个经济协作区——翠亨新区，辖1</w:t>
      </w:r>
      <w:r>
        <w:rPr>
          <w:rFonts w:hint="default" w:ascii="Times New Roman" w:hAnsi="Times New Roman" w:eastAsia="宋体" w:cs="Times New Roman"/>
          <w:sz w:val="28"/>
          <w:szCs w:val="28"/>
          <w:lang w:val="en-US" w:eastAsia="zh-CN"/>
        </w:rPr>
        <w:t>39</w:t>
      </w:r>
      <w:r>
        <w:rPr>
          <w:rFonts w:hint="default" w:ascii="Times New Roman" w:hAnsi="Times New Roman" w:eastAsia="宋体" w:cs="Times New Roman"/>
          <w:sz w:val="28"/>
          <w:szCs w:val="28"/>
        </w:rPr>
        <w:t>个社区和150个行政村，总面积1899平方公里。其中：陆域面积1781平方公里，海域面积118平方公里。本规划范围为中山市行政辖区陆域面积，共1781平方公里。</w:t>
      </w:r>
    </w:p>
    <w:p w14:paraId="5AFC5C0B">
      <w:pPr>
        <w:pStyle w:val="1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230370" cy="4425315"/>
            <wp:effectExtent l="0" t="0" r="17780" b="1333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14"/>
                    <a:srcRect t="944" b="1888"/>
                    <a:stretch>
                      <a:fillRect/>
                    </a:stretch>
                  </pic:blipFill>
                  <pic:spPr>
                    <a:xfrm>
                      <a:off x="0" y="0"/>
                      <a:ext cx="4230370" cy="4425315"/>
                    </a:xfrm>
                    <a:prstGeom prst="rect">
                      <a:avLst/>
                    </a:prstGeom>
                    <a:noFill/>
                    <a:ln>
                      <a:noFill/>
                    </a:ln>
                  </pic:spPr>
                </pic:pic>
              </a:graphicData>
            </a:graphic>
          </wp:inline>
        </w:drawing>
      </w:r>
    </w:p>
    <w:p w14:paraId="5DC20688">
      <w:pPr>
        <w:pStyle w:val="10"/>
        <w:jc w:val="center"/>
        <w:rPr>
          <w:rFonts w:hint="default" w:ascii="Times New Roman" w:hAnsi="Times New Roman" w:cs="Times New Roman"/>
        </w:rPr>
      </w:pPr>
    </w:p>
    <w:p w14:paraId="6B122442">
      <w:pPr>
        <w:pStyle w:val="10"/>
        <w:jc w:val="center"/>
        <w:rPr>
          <w:rFonts w:hint="default" w:ascii="Times New Roman" w:hAnsi="Times New Roman" w:cs="Times New Roman"/>
        </w:rPr>
      </w:pPr>
      <w:r>
        <w:rPr>
          <w:rFonts w:hint="default" w:ascii="Times New Roman" w:hAnsi="Times New Roman" w:eastAsia="宋体" w:cs="Times New Roman"/>
          <w:b w:val="0"/>
          <w:bCs w:val="0"/>
          <w:sz w:val="21"/>
          <w:szCs w:val="21"/>
        </w:rPr>
        <w:t>图1</w:t>
      </w:r>
      <w:r>
        <w:rPr>
          <w:rFonts w:hint="default" w:ascii="Times New Roman" w:hAnsi="Times New Roman" w:eastAsia="宋体" w:cs="Times New Roman"/>
          <w:b w:val="0"/>
          <w:bCs w:val="0"/>
          <w:sz w:val="21"/>
          <w:szCs w:val="21"/>
          <w:lang w:val="en-US" w:eastAsia="zh-CN"/>
        </w:rPr>
        <w:t>-1</w:t>
      </w:r>
      <w:r>
        <w:rPr>
          <w:rFonts w:hint="default" w:ascii="Times New Roman" w:hAnsi="Times New Roman" w:eastAsia="宋体" w:cs="Times New Roman"/>
          <w:b w:val="0"/>
          <w:bCs w:val="0"/>
          <w:sz w:val="21"/>
          <w:szCs w:val="21"/>
        </w:rPr>
        <w:t xml:space="preserve"> 中山市规划范围图</w:t>
      </w:r>
      <w:bookmarkStart w:id="31" w:name="_Toc22295"/>
    </w:p>
    <w:p w14:paraId="49ACE4D7">
      <w:pPr>
        <w:pStyle w:val="5"/>
        <w:rPr>
          <w:rFonts w:hint="default" w:ascii="Times New Roman" w:hAnsi="Times New Roman" w:cs="Times New Roman"/>
        </w:rPr>
      </w:pPr>
      <w:bookmarkStart w:id="32" w:name="_Toc124352471"/>
      <w:r>
        <w:rPr>
          <w:rFonts w:hint="default" w:ascii="Times New Roman" w:hAnsi="Times New Roman" w:cs="Times New Roman"/>
        </w:rPr>
        <w:t>1.5规划期限</w:t>
      </w:r>
      <w:bookmarkEnd w:id="31"/>
      <w:bookmarkEnd w:id="32"/>
    </w:p>
    <w:p w14:paraId="745876AA">
      <w:pPr>
        <w:widowControl/>
        <w:adjustRightInd w:val="0"/>
        <w:snapToGrid w:val="0"/>
        <w:spacing w:line="360" w:lineRule="auto"/>
        <w:ind w:firstLine="560" w:firstLineChars="200"/>
        <w:rPr>
          <w:rFonts w:hint="default" w:ascii="Times New Roman" w:hAnsi="Times New Roman" w:eastAsia="宋体" w:cs="Times New Roman"/>
          <w:b/>
          <w:bCs/>
          <w:sz w:val="28"/>
          <w:szCs w:val="28"/>
        </w:rPr>
      </w:pPr>
      <w:bookmarkStart w:id="33" w:name="_Hlk100666775"/>
      <w:r>
        <w:rPr>
          <w:rFonts w:hint="default" w:ascii="Times New Roman" w:hAnsi="Times New Roman" w:eastAsia="宋体" w:cs="Times New Roman"/>
          <w:sz w:val="28"/>
          <w:szCs w:val="28"/>
        </w:rPr>
        <w:t>规划期限为2022年至2035年，近期目标年为2025年，远期目标年为2035年。</w:t>
      </w:r>
      <w:bookmarkEnd w:id="33"/>
      <w:r>
        <w:rPr>
          <w:rFonts w:hint="default" w:ascii="Times New Roman" w:hAnsi="Times New Roman" w:eastAsia="宋体" w:cs="Times New Roman"/>
          <w:b/>
          <w:bCs/>
          <w:sz w:val="28"/>
          <w:szCs w:val="28"/>
        </w:rPr>
        <w:br w:type="page"/>
      </w:r>
    </w:p>
    <w:p w14:paraId="40F97424">
      <w:pPr>
        <w:pStyle w:val="4"/>
        <w:rPr>
          <w:rFonts w:hint="default" w:ascii="Times New Roman" w:hAnsi="Times New Roman" w:cs="Times New Roman"/>
        </w:rPr>
      </w:pPr>
      <w:bookmarkStart w:id="34" w:name="_Toc3070"/>
      <w:bookmarkStart w:id="35" w:name="_Toc124352472"/>
      <w:r>
        <w:rPr>
          <w:rFonts w:hint="default" w:ascii="Times New Roman" w:hAnsi="Times New Roman" w:cs="Times New Roman"/>
        </w:rPr>
        <w:t>二、基础分析</w:t>
      </w:r>
      <w:bookmarkEnd w:id="34"/>
      <w:bookmarkEnd w:id="35"/>
    </w:p>
    <w:p w14:paraId="51E26963">
      <w:pPr>
        <w:pStyle w:val="5"/>
        <w:rPr>
          <w:rFonts w:hint="default" w:ascii="Times New Roman" w:hAnsi="Times New Roman" w:cs="Times New Roman"/>
        </w:rPr>
      </w:pPr>
      <w:bookmarkStart w:id="36" w:name="_Toc124352473"/>
      <w:bookmarkStart w:id="37" w:name="_Toc26243"/>
      <w:r>
        <w:rPr>
          <w:rFonts w:hint="default" w:ascii="Times New Roman" w:hAnsi="Times New Roman" w:cs="Times New Roman"/>
        </w:rPr>
        <w:t>2.1 区位条件</w:t>
      </w:r>
      <w:bookmarkEnd w:id="36"/>
      <w:bookmarkEnd w:id="37"/>
    </w:p>
    <w:p w14:paraId="541BD152">
      <w:pPr>
        <w:pStyle w:val="6"/>
        <w:numPr>
          <w:ilvl w:val="255"/>
          <w:numId w:val="0"/>
        </w:numPr>
        <w:ind w:firstLine="561"/>
        <w:rPr>
          <w:rFonts w:hint="default" w:ascii="Times New Roman" w:hAnsi="Times New Roman" w:cs="Times New Roman"/>
        </w:rPr>
      </w:pPr>
      <w:bookmarkStart w:id="38" w:name="_Toc124352474"/>
      <w:r>
        <w:rPr>
          <w:rFonts w:hint="default" w:ascii="Times New Roman" w:hAnsi="Times New Roman" w:cs="Times New Roman"/>
        </w:rPr>
        <w:t>2.1.1地理区位</w:t>
      </w:r>
      <w:bookmarkEnd w:id="38"/>
    </w:p>
    <w:p w14:paraId="1CE26145">
      <w:pPr>
        <w:pStyle w:val="10"/>
        <w:ind w:firstLine="560" w:firstLineChars="200"/>
        <w:jc w:val="left"/>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中山是广东省辖地级市，位于珠江三角洲中部偏南的西、北江下游出海处，北接广州市南沙区和佛山市顺德区，西邻江门市区、新会区和珠海市斗门区，东南连珠海市，东隔珠江口伶仃洋与深圳市和香港特别行政区相望。</w:t>
      </w:r>
    </w:p>
    <w:p w14:paraId="1B3ED620">
      <w:pPr>
        <w:pStyle w:val="10"/>
        <w:ind w:firstLine="560" w:firstLineChars="200"/>
        <w:jc w:val="left"/>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中山市位于珠江口西岸，作为承东启西，联动珠江东西两岸，拓展大西南陆海通道与腹地的重要节点城市，中山市依托</w:t>
      </w:r>
      <w:r>
        <w:rPr>
          <w:rFonts w:hint="eastAsia" w:ascii="Times New Roman" w:hAnsi="Times New Roman" w:eastAsia="宋体" w:cs="Times New Roman"/>
          <w:color w:val="auto"/>
          <w:sz w:val="28"/>
          <w:szCs w:val="28"/>
          <w:lang w:eastAsia="zh-CN"/>
        </w:rPr>
        <w:t>“</w:t>
      </w:r>
      <w:r>
        <w:rPr>
          <w:rFonts w:hint="default" w:ascii="Times New Roman" w:hAnsi="Times New Roman" w:eastAsia="宋体" w:cs="Times New Roman"/>
          <w:color w:val="000000" w:themeColor="text1"/>
          <w:sz w:val="28"/>
          <w:szCs w:val="28"/>
          <w14:textFill>
            <w14:solidFill>
              <w14:schemeClr w14:val="tx1"/>
            </w14:solidFill>
          </w14:textFill>
        </w:rPr>
        <w:t>一带一路</w:t>
      </w:r>
      <w:r>
        <w:rPr>
          <w:rFonts w:hint="eastAsia" w:ascii="Times New Roman" w:hAnsi="Times New Roman" w:eastAsia="宋体" w:cs="Times New Roman"/>
          <w:color w:val="auto"/>
          <w:sz w:val="28"/>
          <w:szCs w:val="28"/>
          <w:lang w:eastAsia="zh-CN"/>
        </w:rPr>
        <w:t>”</w:t>
      </w:r>
      <w:r>
        <w:rPr>
          <w:rFonts w:hint="default" w:ascii="Times New Roman" w:hAnsi="Times New Roman" w:eastAsia="宋体" w:cs="Times New Roman"/>
          <w:color w:val="000000" w:themeColor="text1"/>
          <w:sz w:val="28"/>
          <w:szCs w:val="28"/>
          <w14:textFill>
            <w14:solidFill>
              <w14:schemeClr w14:val="tx1"/>
            </w14:solidFill>
          </w14:textFill>
        </w:rPr>
        <w:t>建设，起到国家沿海大通道与珠江东西两岸战略枢纽的作用。同时，中山市作为珠江西岸</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东承西接</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的关键节点，积极落实省委省政府</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珠江东西两岸融合发展的支撑点、沿海经济带的枢纽城市、粤港澳大湾区的重要一极</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要求，依托跨江通道，促进要素快速流动，推动珠江口东西两岸形成优势互补高质量发展的区域经济布局。</w:t>
      </w:r>
    </w:p>
    <w:p w14:paraId="0D9C8BE3">
      <w:pPr>
        <w:pStyle w:val="1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674235" cy="2891790"/>
            <wp:effectExtent l="0" t="0" r="12065" b="381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15"/>
                    <a:stretch>
                      <a:fillRect/>
                    </a:stretch>
                  </pic:blipFill>
                  <pic:spPr>
                    <a:xfrm>
                      <a:off x="0" y="0"/>
                      <a:ext cx="4674235" cy="2891790"/>
                    </a:xfrm>
                    <a:prstGeom prst="rect">
                      <a:avLst/>
                    </a:prstGeom>
                    <a:noFill/>
                    <a:ln>
                      <a:noFill/>
                    </a:ln>
                  </pic:spPr>
                </pic:pic>
              </a:graphicData>
            </a:graphic>
          </wp:inline>
        </w:drawing>
      </w:r>
    </w:p>
    <w:p w14:paraId="781F7BAB">
      <w:pPr>
        <w:pStyle w:val="1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图2-1 中山市在广东省空间格局的位置</w:t>
      </w:r>
    </w:p>
    <w:p w14:paraId="2F546F94">
      <w:pPr>
        <w:rPr>
          <w:rFonts w:hint="default" w:ascii="Times New Roman" w:hAnsi="Times New Roman" w:cs="Times New Roman"/>
        </w:rPr>
      </w:pPr>
    </w:p>
    <w:p w14:paraId="71630F77">
      <w:pPr>
        <w:pStyle w:val="6"/>
        <w:numPr>
          <w:ilvl w:val="255"/>
          <w:numId w:val="0"/>
        </w:numPr>
        <w:ind w:firstLine="561"/>
        <w:rPr>
          <w:rFonts w:hint="default" w:ascii="Times New Roman" w:hAnsi="Times New Roman" w:cs="Times New Roman"/>
        </w:rPr>
      </w:pPr>
      <w:bookmarkStart w:id="39" w:name="_Toc124352475"/>
      <w:r>
        <w:rPr>
          <w:rFonts w:hint="default" w:ascii="Times New Roman" w:hAnsi="Times New Roman" w:cs="Times New Roman"/>
        </w:rPr>
        <w:t>2.1.2交通区位</w:t>
      </w:r>
      <w:bookmarkEnd w:id="39"/>
    </w:p>
    <w:p w14:paraId="6B97CA39">
      <w:pPr>
        <w:pStyle w:val="10"/>
        <w:ind w:firstLine="560" w:firstLineChars="200"/>
        <w:jc w:val="left"/>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14:textFill>
            <w14:solidFill>
              <w14:schemeClr w14:val="tx1"/>
            </w14:solidFill>
          </w14:textFill>
        </w:rPr>
        <w:t>中山市现代化综合交通网络建设全面提速，深中通道加快建设，轨道交通接入国家高铁网，公路总里程超2670公里。</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十三五</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期间，形成</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三纵三横</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铁路网。</w:t>
      </w:r>
      <w:r>
        <w:rPr>
          <w:rFonts w:hint="eastAsia" w:ascii="Times New Roman" w:hAnsi="Times New Roman" w:eastAsia="宋体" w:cs="Times New Roman"/>
          <w:color w:val="auto"/>
          <w:sz w:val="28"/>
          <w:szCs w:val="28"/>
          <w:lang w:eastAsia="zh-CN"/>
        </w:rPr>
        <w:t>“</w:t>
      </w:r>
      <w:r>
        <w:rPr>
          <w:rFonts w:hint="default" w:ascii="Times New Roman" w:hAnsi="Times New Roman" w:eastAsia="宋体" w:cs="Times New Roman"/>
          <w:color w:val="000000" w:themeColor="text1"/>
          <w:sz w:val="28"/>
          <w:szCs w:val="28"/>
          <w14:textFill>
            <w14:solidFill>
              <w14:schemeClr w14:val="tx1"/>
            </w14:solidFill>
          </w14:textFill>
        </w:rPr>
        <w:t>三纵</w:t>
      </w:r>
      <w:r>
        <w:rPr>
          <w:rFonts w:hint="eastAsia" w:ascii="Times New Roman" w:hAnsi="Times New Roman" w:eastAsia="宋体" w:cs="Times New Roman"/>
          <w:color w:val="auto"/>
          <w:sz w:val="28"/>
          <w:szCs w:val="28"/>
          <w:lang w:eastAsia="zh-CN"/>
        </w:rPr>
        <w:t>”</w:t>
      </w:r>
      <w:r>
        <w:rPr>
          <w:rFonts w:hint="default" w:ascii="Times New Roman" w:hAnsi="Times New Roman" w:eastAsia="宋体" w:cs="Times New Roman"/>
          <w:color w:val="000000" w:themeColor="text1"/>
          <w:sz w:val="28"/>
          <w:szCs w:val="28"/>
          <w14:textFill>
            <w14:solidFill>
              <w14:schemeClr w14:val="tx1"/>
            </w14:solidFill>
          </w14:textFill>
        </w:rPr>
        <w:t>指广珠城际、广州至珠海（澳门）高铁、南沙至珠海（中山）城际，</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三横</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指深江铁路、南沙港铁路、深大城际西延线；构建了</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四纵五横</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高速公路网。</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四纵</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指东部外环高速、广澳高速、广珠西线高速、西环高速（含小榄支线），</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五横</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指广中江高速及佛江高速、中江高速及南中高速、中开高速及深中通道、西部沿海高速、香海高速；构建了</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二环十二快</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主干线快速路网。</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二环</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指G105-北外环-长江路-博爱路、逸仙路-南外环-沙港公路，</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十二快</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指翠亨快线、南朗快线、G105南段、G105北段、横栏快线、古镇快线、黄圃快线、民众快线、火炬快线、北部快线、起湾快线、世纪大道。</w:t>
      </w:r>
    </w:p>
    <w:p w14:paraId="7996B15A">
      <w:pPr>
        <w:pStyle w:val="1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325620" cy="3288665"/>
            <wp:effectExtent l="0" t="0" r="17780" b="6985"/>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16"/>
                    <a:stretch>
                      <a:fillRect/>
                    </a:stretch>
                  </pic:blipFill>
                  <pic:spPr>
                    <a:xfrm>
                      <a:off x="0" y="0"/>
                      <a:ext cx="4325620" cy="3288665"/>
                    </a:xfrm>
                    <a:prstGeom prst="rect">
                      <a:avLst/>
                    </a:prstGeom>
                    <a:noFill/>
                    <a:ln>
                      <a:noFill/>
                    </a:ln>
                  </pic:spPr>
                </pic:pic>
              </a:graphicData>
            </a:graphic>
          </wp:inline>
        </w:drawing>
      </w:r>
    </w:p>
    <w:p w14:paraId="5802996E">
      <w:pPr>
        <w:pStyle w:val="1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图2-2 中山市区位交通优势示意图</w:t>
      </w:r>
    </w:p>
    <w:p w14:paraId="2625BC4C">
      <w:pPr>
        <w:pStyle w:val="6"/>
        <w:numPr>
          <w:ilvl w:val="255"/>
          <w:numId w:val="0"/>
        </w:numPr>
        <w:ind w:firstLine="561"/>
        <w:rPr>
          <w:rFonts w:hint="default" w:ascii="Times New Roman" w:hAnsi="Times New Roman" w:cs="Times New Roman"/>
          <w:color w:val="000000" w:themeColor="text1"/>
          <w:szCs w:val="28"/>
          <w14:textFill>
            <w14:solidFill>
              <w14:schemeClr w14:val="tx1"/>
            </w14:solidFill>
          </w14:textFill>
        </w:rPr>
      </w:pPr>
      <w:bookmarkStart w:id="40" w:name="_Toc124352476"/>
      <w:r>
        <w:rPr>
          <w:rFonts w:hint="default" w:ascii="Times New Roman" w:hAnsi="Times New Roman" w:cs="Times New Roman"/>
          <w:color w:val="000000" w:themeColor="text1"/>
          <w:szCs w:val="28"/>
          <w14:textFill>
            <w14:solidFill>
              <w14:schemeClr w14:val="tx1"/>
            </w14:solidFill>
          </w14:textFill>
        </w:rPr>
        <w:t>2.1.3城市定位</w:t>
      </w:r>
      <w:bookmarkEnd w:id="40"/>
    </w:p>
    <w:p w14:paraId="2263E90A">
      <w:pPr>
        <w:widowControl/>
        <w:numPr>
          <w:ilvl w:val="255"/>
          <w:numId w:val="0"/>
        </w:numPr>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根据《中山市国土空间规划（202</w:t>
      </w:r>
      <w:r>
        <w:rPr>
          <w:rFonts w:hint="default" w:ascii="Times New Roman" w:hAnsi="Times New Roman" w:eastAsia="宋体" w:cs="Times New Roman"/>
          <w:color w:val="000000" w:themeColor="text1"/>
          <w:sz w:val="28"/>
          <w:szCs w:val="28"/>
          <w:lang w:val="en-US" w:eastAsia="zh-CN"/>
          <w14:textFill>
            <w14:solidFill>
              <w14:schemeClr w14:val="tx1"/>
            </w14:solidFill>
          </w14:textFill>
        </w:rPr>
        <w:t>1</w:t>
      </w:r>
      <w:r>
        <w:rPr>
          <w:rFonts w:hint="default" w:ascii="Times New Roman" w:hAnsi="Times New Roman" w:eastAsia="宋体" w:cs="Times New Roman"/>
          <w:color w:val="000000" w:themeColor="text1"/>
          <w:sz w:val="28"/>
          <w:szCs w:val="28"/>
          <w14:textFill>
            <w14:solidFill>
              <w14:schemeClr w14:val="tx1"/>
            </w14:solidFill>
          </w14:textFill>
        </w:rPr>
        <w:t>-2035年）》</w:t>
      </w:r>
      <w:r>
        <w:rPr>
          <w:rFonts w:hint="default"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lang w:val="en-US" w:eastAsia="zh-CN"/>
          <w14:textFill>
            <w14:solidFill>
              <w14:schemeClr w14:val="tx1"/>
            </w14:solidFill>
          </w14:textFill>
        </w:rPr>
        <w:t>公众版</w:t>
      </w:r>
      <w:r>
        <w:rPr>
          <w:rFonts w:hint="default"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的内容，为适应全球发展区域，落实国家与省战略，立足广大市民期待，中山市发展定位为</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珠江东西两岸融合发展支撑点、沿海经济带枢纽城市、粤港澳大湾区重要一</w:t>
      </w:r>
      <w:r>
        <w:rPr>
          <w:rFonts w:hint="default" w:ascii="Times New Roman" w:hAnsi="Times New Roman" w:eastAsia="宋体" w:cs="Times New Roman"/>
          <w:color w:val="000000" w:themeColor="text1"/>
          <w:sz w:val="28"/>
          <w:szCs w:val="28"/>
          <w:lang w:val="en-US" w:eastAsia="zh-CN"/>
          <w14:textFill>
            <w14:solidFill>
              <w14:schemeClr w14:val="tx1"/>
            </w14:solidFill>
          </w14:textFill>
        </w:rPr>
        <w:t>极</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。城市性质为粤港澳大湾区重要一</w:t>
      </w:r>
      <w:r>
        <w:rPr>
          <w:rFonts w:hint="default" w:ascii="Times New Roman" w:hAnsi="Times New Roman" w:eastAsia="宋体" w:cs="Times New Roman"/>
          <w:color w:val="000000" w:themeColor="text1"/>
          <w:sz w:val="28"/>
          <w:szCs w:val="28"/>
          <w:lang w:val="en-US" w:eastAsia="zh-CN"/>
          <w14:textFill>
            <w14:solidFill>
              <w14:schemeClr w14:val="tx1"/>
            </w14:solidFill>
          </w14:textFill>
        </w:rPr>
        <w:t>极</w:t>
      </w:r>
      <w:r>
        <w:rPr>
          <w:rFonts w:hint="default" w:ascii="Times New Roman" w:hAnsi="Times New Roman" w:eastAsia="宋体" w:cs="Times New Roman"/>
          <w:color w:val="000000" w:themeColor="text1"/>
          <w:sz w:val="28"/>
          <w:szCs w:val="28"/>
          <w14:textFill>
            <w14:solidFill>
              <w14:schemeClr w14:val="tx1"/>
            </w14:solidFill>
          </w14:textFill>
        </w:rPr>
        <w:t>、大湾区西岸枢纽城市与创新高地、国家创新型制造业城市、国家历史文化名城、精品宜居典范城市。城市愿景希望将中山建设成为</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开放枢纽之城</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繁荣创新之城</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幸福宜居之城</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和</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岭南水乡山海人文之城</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w:t>
      </w:r>
    </w:p>
    <w:p w14:paraId="4F0BDDFB">
      <w:pPr>
        <w:pStyle w:val="5"/>
        <w:rPr>
          <w:rFonts w:hint="default" w:ascii="Times New Roman" w:hAnsi="Times New Roman" w:cs="Times New Roman"/>
        </w:rPr>
      </w:pPr>
      <w:bookmarkStart w:id="41" w:name="_Toc124352477"/>
      <w:bookmarkStart w:id="42" w:name="_Toc32652"/>
      <w:r>
        <w:rPr>
          <w:rFonts w:hint="default" w:ascii="Times New Roman" w:hAnsi="Times New Roman" w:cs="Times New Roman"/>
        </w:rPr>
        <w:t>2.2 人口与经济发展</w:t>
      </w:r>
      <w:bookmarkEnd w:id="41"/>
      <w:bookmarkEnd w:id="42"/>
    </w:p>
    <w:p w14:paraId="6CD22CCE">
      <w:pPr>
        <w:widowControl/>
        <w:numPr>
          <w:ilvl w:val="255"/>
          <w:numId w:val="0"/>
        </w:numPr>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根据中山市第七次全国人口普查公报，截至2020年11月1日，全市常住人口4418060人。常住人口与第六次全国人口普查相比，年平均增长率为3.54%。全县共有家庭户1697001户，平均每个家庭户的人口为2.73人。</w:t>
      </w:r>
    </w:p>
    <w:p w14:paraId="7C6EC567">
      <w:pPr>
        <w:widowControl/>
        <w:numPr>
          <w:ilvl w:val="255"/>
          <w:numId w:val="0"/>
        </w:numPr>
        <w:adjustRightInd w:val="0"/>
        <w:snapToGrid w:val="0"/>
        <w:spacing w:line="360" w:lineRule="auto"/>
        <w:ind w:firstLine="560" w:firstLineChars="200"/>
        <w:rPr>
          <w:rFonts w:hint="default" w:ascii="Times New Roman" w:hAnsi="Times New Roman" w:cs="Times New Roman"/>
        </w:rPr>
      </w:pPr>
      <w:r>
        <w:rPr>
          <w:rFonts w:hint="default" w:ascii="Times New Roman" w:hAnsi="Times New Roman" w:eastAsia="宋体" w:cs="Times New Roman"/>
          <w:color w:val="000000" w:themeColor="text1"/>
          <w:sz w:val="28"/>
          <w:szCs w:val="28"/>
          <w14:textFill>
            <w14:solidFill>
              <w14:schemeClr w14:val="tx1"/>
            </w14:solidFill>
          </w14:textFill>
        </w:rPr>
        <w:t>根据《2021年中山市国民经济和社会发展统计公报》，2021年中山实现地区生产总值（初步核算数）3566.17亿元，比上年增长8.2%。分产业看，全市第一、第二、第三产业分别实现增加值90.81亿元、1761.78亿元和1713.58亿元，分别增长5.5%、11.0%和5.0%。经济实力进一步提升，一般公共预算收入、税收总额、一般公共预算支出分别同比增长10.0%、8.8%、25.8%。农业稳产保供有力，全年粮食产量1.47万吨，比上年增长9.5%。工业和建筑业经济承压稳定前行，全年规模以上工业实现利润总额286.01亿元，比上年下降5.9%，全年全社会建筑业增加值113.55亿元，比上年增长14.6%。后疫情时代，服务业复苏进程稳定，批发和零售业、交通运输、仓储和邮政业、住宿和餐饮业等主要行业稳步增长，信息传输、软件和信息技术服务业等新型服务业行业平稳发展。居民收入保持稳定增长，2021年全县居民人均可支配收入57901元，比上年增长9.8%。分城乡看，城镇居民人均可支配收入60323元，增长10.2%；农村居民人均可支配收入41750元，增长10.9%。</w:t>
      </w:r>
    </w:p>
    <w:p w14:paraId="4ED3A3FC">
      <w:pPr>
        <w:pStyle w:val="5"/>
        <w:rPr>
          <w:rFonts w:hint="default" w:ascii="Times New Roman" w:hAnsi="Times New Roman" w:cs="Times New Roman"/>
        </w:rPr>
      </w:pPr>
      <w:bookmarkStart w:id="43" w:name="_Toc124352478"/>
      <w:bookmarkStart w:id="44" w:name="_Toc29317"/>
      <w:r>
        <w:rPr>
          <w:rFonts w:hint="default" w:ascii="Times New Roman" w:hAnsi="Times New Roman" w:cs="Times New Roman"/>
        </w:rPr>
        <w:t>2.3 环境、地理与资源现状</w:t>
      </w:r>
      <w:bookmarkEnd w:id="43"/>
      <w:bookmarkEnd w:id="44"/>
    </w:p>
    <w:p w14:paraId="734465F7">
      <w:pPr>
        <w:pStyle w:val="6"/>
        <w:numPr>
          <w:ilvl w:val="255"/>
          <w:numId w:val="0"/>
        </w:numPr>
        <w:ind w:firstLine="561"/>
        <w:rPr>
          <w:rFonts w:hint="default" w:ascii="Times New Roman" w:hAnsi="Times New Roman" w:cs="Times New Roman"/>
        </w:rPr>
      </w:pPr>
      <w:bookmarkStart w:id="45" w:name="_Toc13082"/>
      <w:bookmarkStart w:id="46" w:name="_Toc124352479"/>
      <w:r>
        <w:rPr>
          <w:rFonts w:hint="default" w:ascii="Times New Roman" w:hAnsi="Times New Roman" w:cs="Times New Roman"/>
        </w:rPr>
        <w:t>2.3.1气候</w:t>
      </w:r>
      <w:bookmarkEnd w:id="45"/>
      <w:bookmarkEnd w:id="46"/>
    </w:p>
    <w:p w14:paraId="4C73B82F">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中山市位于北纬22°11′—22°47′，东经113°09′—113°46′，属于亚热带季风气候区，光热充足，雨量充沛。年平均（1981—2010年）气温为22.5℃。雨量充沛，年平均降水量为1886毫米，日照时长1705.4小时。年平均雷暴日数为68.2日。灾害天气主要有台风、暴雨和强对流。中山空气质量优良，森林植被指数</w:t>
      </w:r>
      <w:r>
        <w:rPr>
          <w:rFonts w:hint="default" w:ascii="Times New Roman" w:hAnsi="Times New Roman" w:eastAsia="宋体" w:cs="Times New Roman"/>
          <w:color w:val="000000" w:themeColor="text1"/>
          <w:sz w:val="28"/>
          <w:szCs w:val="28"/>
          <w:lang w:val="en-US" w:eastAsia="zh-CN"/>
          <w14:textFill>
            <w14:solidFill>
              <w14:schemeClr w14:val="tx1"/>
            </w14:solidFill>
          </w14:textFill>
        </w:rPr>
        <w:t>较</w:t>
      </w:r>
      <w:r>
        <w:rPr>
          <w:rFonts w:hint="default" w:ascii="Times New Roman" w:hAnsi="Times New Roman" w:eastAsia="宋体" w:cs="Times New Roman"/>
          <w:color w:val="000000" w:themeColor="text1"/>
          <w:sz w:val="28"/>
          <w:szCs w:val="28"/>
          <w14:textFill>
            <w14:solidFill>
              <w14:schemeClr w14:val="tx1"/>
            </w14:solidFill>
          </w14:textFill>
        </w:rPr>
        <w:t>高，生态环境好，气候资源丰富，水资源充沛，水质优良。</w:t>
      </w:r>
    </w:p>
    <w:p w14:paraId="01D2F141">
      <w:pPr>
        <w:pStyle w:val="6"/>
        <w:numPr>
          <w:ilvl w:val="255"/>
          <w:numId w:val="0"/>
        </w:numPr>
        <w:ind w:firstLine="561"/>
        <w:rPr>
          <w:rFonts w:hint="default" w:ascii="Times New Roman" w:hAnsi="Times New Roman" w:cs="Times New Roman"/>
        </w:rPr>
      </w:pPr>
      <w:bookmarkStart w:id="47" w:name="_Toc4750"/>
      <w:bookmarkStart w:id="48" w:name="_Toc124352480"/>
      <w:r>
        <w:rPr>
          <w:rFonts w:hint="default" w:ascii="Times New Roman" w:hAnsi="Times New Roman" w:cs="Times New Roman"/>
        </w:rPr>
        <w:t>2.3.2地质地貌</w:t>
      </w:r>
      <w:bookmarkEnd w:id="47"/>
      <w:bookmarkEnd w:id="48"/>
    </w:p>
    <w:p w14:paraId="5C774C0B">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中山市地形以平原为主，地势中部高亢，四周平坦，平原地区自西北向东南倾斜。五桂山、竹嵩岭等山脉突屹于市中南部，五桂山主峰海拔531米，为全市最高峰。地貌由大陆架隆起的低山、丘陵、台地和珠江口的冲积平原、海滩组成。其中低山、丘陵、台地占全境面积的24%，一般海拔为10—200米，土壤类型为赤红壤。平原和滩涂占全境面积的68%，一般海拔为-0.5—1米，其中平原土壤类型为水稻土和基水地，滩涂广泛分布有滨海盐渍沼泽土及滨海沙土。河流面积占全境的8%，西江下游的西海水道、磨刀门水道自北向南流经市西部边界，由磨刀门出南海；北江下游的洪奇沥水道自西北向东南经过市东北边界由洪奇门出珠江口。其间汊道纵横交错，其中小榄水道、鸡鸦水道横贯市北半部，汇入横门水道由横门出珠江口。水系划分为平原河网和低山丘陵河网两个部分，平原地区河网深受南海海洋潮汐的影响，具典型河口区特色。</w:t>
      </w:r>
    </w:p>
    <w:p w14:paraId="26110C0C">
      <w:pPr>
        <w:pStyle w:val="6"/>
        <w:numPr>
          <w:ilvl w:val="255"/>
          <w:numId w:val="0"/>
        </w:numPr>
        <w:ind w:firstLine="561"/>
        <w:rPr>
          <w:rFonts w:hint="default" w:ascii="Times New Roman" w:hAnsi="Times New Roman" w:cs="Times New Roman"/>
          <w:color w:val="000000" w:themeColor="text1"/>
          <w:szCs w:val="28"/>
          <w14:textFill>
            <w14:solidFill>
              <w14:schemeClr w14:val="tx1"/>
            </w14:solidFill>
          </w14:textFill>
        </w:rPr>
      </w:pPr>
      <w:bookmarkStart w:id="49" w:name="_Toc1934"/>
      <w:bookmarkStart w:id="50" w:name="_Toc124352481"/>
      <w:r>
        <w:rPr>
          <w:rFonts w:hint="default" w:ascii="Times New Roman" w:hAnsi="Times New Roman" w:cs="Times New Roman"/>
        </w:rPr>
        <w:t>2.3.3水文</w:t>
      </w:r>
      <w:bookmarkEnd w:id="49"/>
      <w:bookmarkEnd w:id="50"/>
    </w:p>
    <w:p w14:paraId="760A2CD0">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中山市地处珠江三角洲中南部，东临伶仃洋，珠江八大出海水道中有磨刀门、横门、洪奇沥等三条经市境出海。市境内平原广阔，山丘起伏，雨量多而强度大。水系可以划分为平原河网和低山丘陵河网两个明显区别而又互相联系的部分。平原地区河网深受南海海洋潮汐的影响，具典型河口区特色。中山市平原河网是珠江河口区网状水系的主要组成部分之一。呈现大致自西北向东南伸展的扇形网状河系。市境内平原河网的河道，河床高程均处于海平面以下，且坡降很小。绝大部分河床的纵横剖面均表现为波状起伏，仅磨刀门水道河床的纵剖面出现倒比降。中山市低山丘陵区的河流，大部分流入珠江各干支流，小部分独流注入珠江河口湾伶仃洋，因此仍属珠江水系。受地质构造和地貌形态的影响，各河溪表现出以五桂山为中心向四周流散的放射状网格分布的特点。</w:t>
      </w:r>
    </w:p>
    <w:p w14:paraId="78DEB272">
      <w:pPr>
        <w:pStyle w:val="5"/>
        <w:rPr>
          <w:rFonts w:hint="default" w:ascii="Times New Roman" w:hAnsi="Times New Roman" w:cs="Times New Roman"/>
        </w:rPr>
      </w:pPr>
      <w:bookmarkStart w:id="51" w:name="_Toc20100"/>
      <w:bookmarkStart w:id="52" w:name="_Toc124352482"/>
      <w:r>
        <w:rPr>
          <w:rFonts w:hint="default" w:ascii="Times New Roman" w:hAnsi="Times New Roman" w:cs="Times New Roman"/>
        </w:rPr>
        <w:t>2.4 规划情况</w:t>
      </w:r>
      <w:bookmarkEnd w:id="51"/>
      <w:bookmarkEnd w:id="52"/>
    </w:p>
    <w:p w14:paraId="0FE97183">
      <w:pPr>
        <w:pStyle w:val="6"/>
        <w:numPr>
          <w:ilvl w:val="255"/>
          <w:numId w:val="0"/>
        </w:numPr>
        <w:ind w:firstLine="561"/>
        <w:rPr>
          <w:rFonts w:hint="default" w:ascii="Times New Roman" w:hAnsi="Times New Roman" w:cs="Times New Roman"/>
        </w:rPr>
      </w:pPr>
      <w:bookmarkStart w:id="53" w:name="_Toc124352483"/>
      <w:bookmarkStart w:id="54" w:name="_Toc4906"/>
      <w:r>
        <w:rPr>
          <w:rFonts w:hint="default" w:ascii="Times New Roman" w:hAnsi="Times New Roman" w:cs="Times New Roman"/>
        </w:rPr>
        <w:t>2.4.1总体规划情况</w:t>
      </w:r>
      <w:bookmarkEnd w:id="53"/>
      <w:bookmarkEnd w:id="54"/>
    </w:p>
    <w:p w14:paraId="7245D204">
      <w:pPr>
        <w:widowControl/>
        <w:adjustRightInd w:val="0"/>
        <w:snapToGrid w:val="0"/>
        <w:spacing w:line="360" w:lineRule="auto"/>
        <w:ind w:firstLine="562" w:firstLineChars="200"/>
        <w:outlineLvl w:val="3"/>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（1）中山市国民经济和社会发展第十四个五年规划和2035年远景目标纲要</w:t>
      </w:r>
    </w:p>
    <w:p w14:paraId="00F00F4A">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指导思想：紧抓粤港澳大湾区和深圳中国特色社会主义先行示范区建设</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双区驱动</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重大历史机遇，加快建设国际化现代化创新型城市，聚力打造</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湾区枢纽、精品中山</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，坚决打赢经济翻身仗，重振中山虎威、加快高质量崛起，为全面建设社会主义现代化</w:t>
      </w:r>
      <w:r>
        <w:rPr>
          <w:rFonts w:hint="eastAsia" w:ascii="Times New Roman" w:hAnsi="Times New Roman" w:eastAsia="宋体" w:cs="Times New Roman"/>
          <w:color w:val="000000" w:themeColor="text1"/>
          <w:sz w:val="28"/>
          <w:szCs w:val="28"/>
          <w:lang w:val="en-US" w:eastAsia="zh-CN"/>
          <w14:textFill>
            <w14:solidFill>
              <w14:schemeClr w14:val="tx1"/>
            </w14:solidFill>
          </w14:textFill>
        </w:rPr>
        <w:t>国家</w:t>
      </w:r>
      <w:r>
        <w:rPr>
          <w:rFonts w:hint="default" w:ascii="Times New Roman" w:hAnsi="Times New Roman" w:eastAsia="宋体" w:cs="Times New Roman"/>
          <w:color w:val="000000" w:themeColor="text1"/>
          <w:sz w:val="28"/>
          <w:szCs w:val="28"/>
          <w14:textFill>
            <w14:solidFill>
              <w14:schemeClr w14:val="tx1"/>
            </w14:solidFill>
          </w14:textFill>
        </w:rPr>
        <w:t>开好局、起好步。</w:t>
      </w:r>
    </w:p>
    <w:p w14:paraId="07E24C19">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bookmarkStart w:id="55" w:name="_Hlk98747582"/>
      <w:r>
        <w:rPr>
          <w:rFonts w:hint="default" w:ascii="Times New Roman" w:hAnsi="Times New Roman" w:eastAsia="宋体" w:cs="Times New Roman"/>
          <w:color w:val="000000" w:themeColor="text1"/>
          <w:sz w:val="28"/>
          <w:szCs w:val="28"/>
          <w14:textFill>
            <w14:solidFill>
              <w14:schemeClr w14:val="tx1"/>
            </w14:solidFill>
          </w14:textFill>
        </w:rPr>
        <w:t>发展目标：</w:t>
      </w:r>
      <w:bookmarkEnd w:id="55"/>
      <w:r>
        <w:rPr>
          <w:rFonts w:hint="default" w:ascii="Times New Roman" w:hAnsi="Times New Roman" w:eastAsia="宋体" w:cs="Times New Roman"/>
          <w:color w:val="000000" w:themeColor="text1"/>
          <w:sz w:val="28"/>
          <w:szCs w:val="28"/>
          <w14:textFill>
            <w14:solidFill>
              <w14:schemeClr w14:val="tx1"/>
            </w14:solidFill>
          </w14:textFill>
        </w:rPr>
        <w:t>努力打造绿色发展标杆市。生态文明建设取得新突破，国土空间开发保护格局明显优化，生产生活方式绿色转型成效显著，大气、土壤环境和水生态得到显著改善，绿色产业发展、资源能源利用效率、清洁能源发展走在前列，公共交通分担率进一步提升。公园城市、森林城市建设成效突出，城市人均公园绿地面积和森林覆盖率进一步提高，生态安全屏障更加牢固，努力建成天蓝地绿水清的国家生态文明建设示范市。</w:t>
      </w:r>
    </w:p>
    <w:p w14:paraId="5FBA9A93">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重点任务：推动形成绿色低碳生活方式。倡导简约适度、绿色低碳的生活理念，推行绿色消费，反对奢侈浪费和不合理消费。全面推进绿色办公和绿色行政，推广无纸化办公和电子政务系统建设。推行绿色采购制度，建立低碳绿色产品评价标准、认证制度和质量监督体系。建立企业节约资源领跑者制度，鼓励重点企业率先实行绿色供应链管理，实现供应链体系产品的绿色设计、绿色生产、绿色包装及回收处理。稳步推进绿色建筑发展，推广装配式建筑，强化公共机构、商业楼宇节能，新建民用建筑全部执行绿色建筑标准。推进废旧物资循环利用，全面推进垃圾分类和减量化、资源化、无害化，建设</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无废城市</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。营造良好绿色出行环境，鼓励以公共交通、自行车、步行等方式绿色出行。</w:t>
      </w:r>
    </w:p>
    <w:p w14:paraId="7FCD6A67">
      <w:pPr>
        <w:widowControl/>
        <w:adjustRightInd w:val="0"/>
        <w:snapToGrid w:val="0"/>
        <w:spacing w:line="360" w:lineRule="auto"/>
        <w:jc w:val="center"/>
        <w:rPr>
          <w:rFonts w:hint="default" w:ascii="Times New Roman" w:hAnsi="Times New Roman" w:cs="Times New Roman"/>
          <w:kern w:val="0"/>
        </w:rPr>
      </w:pPr>
      <w:r>
        <w:rPr>
          <w:rFonts w:hint="default" w:ascii="Times New Roman" w:hAnsi="Times New Roman" w:cs="Times New Roman"/>
          <w:kern w:val="0"/>
        </w:rPr>
        <w:drawing>
          <wp:inline distT="0" distB="0" distL="114300" distR="114300">
            <wp:extent cx="3274060" cy="4413250"/>
            <wp:effectExtent l="0" t="0" r="2540" b="6350"/>
            <wp:docPr id="1" name="图片 4" descr="01“三核两带一轴多支点”城市格局示意图（A4整版）-2021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descr="01“三核两带一轴多支点”城市格局示意图（A4整版）-20210119"/>
                    <pic:cNvPicPr>
                      <a:picLocks noChangeAspect="1"/>
                    </pic:cNvPicPr>
                  </pic:nvPicPr>
                  <pic:blipFill>
                    <a:blip r:embed="rId17"/>
                    <a:stretch>
                      <a:fillRect/>
                    </a:stretch>
                  </pic:blipFill>
                  <pic:spPr>
                    <a:xfrm>
                      <a:off x="0" y="0"/>
                      <a:ext cx="3274060" cy="4413250"/>
                    </a:xfrm>
                    <a:prstGeom prst="rect">
                      <a:avLst/>
                    </a:prstGeom>
                    <a:noFill/>
                    <a:ln>
                      <a:noFill/>
                    </a:ln>
                  </pic:spPr>
                </pic:pic>
              </a:graphicData>
            </a:graphic>
          </wp:inline>
        </w:drawing>
      </w:r>
    </w:p>
    <w:p w14:paraId="648663F0">
      <w:pPr>
        <w:pStyle w:val="1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图2-3</w:t>
      </w:r>
      <w:r>
        <w:rPr>
          <w:rFonts w:hint="eastAsia" w:ascii="Times New Roman" w:hAnsi="Times New Roman" w:eastAsia="宋体" w:cs="Times New Roman"/>
          <w:b w:val="0"/>
          <w:bCs w:val="0"/>
          <w:sz w:val="21"/>
          <w:szCs w:val="21"/>
          <w:lang w:eastAsia="zh-CN"/>
        </w:rPr>
        <w:t>““</w:t>
      </w:r>
      <w:r>
        <w:rPr>
          <w:rFonts w:hint="default" w:ascii="Times New Roman" w:hAnsi="Times New Roman" w:eastAsia="宋体" w:cs="Times New Roman"/>
          <w:b w:val="0"/>
          <w:bCs w:val="0"/>
          <w:sz w:val="21"/>
          <w:szCs w:val="21"/>
        </w:rPr>
        <w:t>三核两带一轴多支点</w:t>
      </w:r>
      <w:r>
        <w:rPr>
          <w:rFonts w:hint="eastAsia" w:ascii="Times New Roman" w:hAnsi="Times New Roman" w:eastAsia="宋体" w:cs="Times New Roman"/>
          <w:b w:val="0"/>
          <w:bCs w:val="0"/>
          <w:sz w:val="21"/>
          <w:szCs w:val="21"/>
          <w:lang w:eastAsia="zh-CN"/>
        </w:rPr>
        <w:t>””</w:t>
      </w:r>
      <w:r>
        <w:rPr>
          <w:rFonts w:hint="default" w:ascii="Times New Roman" w:hAnsi="Times New Roman" w:eastAsia="宋体" w:cs="Times New Roman"/>
          <w:b w:val="0"/>
          <w:bCs w:val="0"/>
          <w:sz w:val="21"/>
          <w:szCs w:val="21"/>
        </w:rPr>
        <w:t>城市格局示意图</w:t>
      </w:r>
    </w:p>
    <w:p w14:paraId="521A53D3">
      <w:pPr>
        <w:rPr>
          <w:rFonts w:hint="default" w:ascii="Times New Roman" w:hAnsi="Times New Roman" w:cs="Times New Roman"/>
        </w:rPr>
      </w:pPr>
    </w:p>
    <w:p w14:paraId="209474AA">
      <w:pPr>
        <w:rPr>
          <w:rFonts w:hint="default" w:ascii="Times New Roman" w:hAnsi="Times New Roman" w:cs="Times New Roman"/>
        </w:rPr>
      </w:pPr>
    </w:p>
    <w:p w14:paraId="194C757C">
      <w:pPr>
        <w:widowControl/>
        <w:adjustRightInd w:val="0"/>
        <w:snapToGrid w:val="0"/>
        <w:spacing w:line="360" w:lineRule="auto"/>
        <w:ind w:firstLine="562" w:firstLineChars="200"/>
        <w:outlineLvl w:val="3"/>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（2）中山市国土空间总体规划（2020-2035年）</w:t>
      </w:r>
    </w:p>
    <w:p w14:paraId="6EED5C68">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lang w:eastAsia="zh-CN"/>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发展定位：珠江东西两岸融合发展支撑点、沿海经济带枢纽城市、粤港澳大湾区重要一级</w:t>
      </w:r>
      <w:r>
        <w:rPr>
          <w:rFonts w:hint="default" w:ascii="Times New Roman" w:hAnsi="Times New Roman" w:eastAsia="宋体" w:cs="Times New Roman"/>
          <w:color w:val="000000" w:themeColor="text1"/>
          <w:sz w:val="28"/>
          <w:szCs w:val="28"/>
          <w:lang w:eastAsia="zh-CN"/>
          <w14:textFill>
            <w14:solidFill>
              <w14:schemeClr w14:val="tx1"/>
            </w14:solidFill>
          </w14:textFill>
        </w:rPr>
        <w:t>。</w:t>
      </w:r>
    </w:p>
    <w:p w14:paraId="77BC0B47">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城市性质：粤港澳大湾区重要一极，大湾区西岸枢纽城市与创新高地，国家创新型制造业城市，国家历史文化名城，精品宜居典范城市。</w:t>
      </w:r>
    </w:p>
    <w:p w14:paraId="4A065872">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国土空间开发保护目标：2025年，成为大湾区经济发展新增长极，跻身全国制造业一线城市前列，国际化现代化创新型城市功能与形象充分显现，区域资源配置能力与城市美誉度稳步提升。</w:t>
      </w:r>
    </w:p>
    <w:p w14:paraId="2CDC06E5">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2035年，成为国内外具有较高美誉度的城市，</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湾区枢纽、 精品中山</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目标实现。城市各项发展指标、功能与品质、文化影响力、生态环境质量、城市治理能力均位于全国同类城市前列。</w:t>
      </w:r>
    </w:p>
    <w:p w14:paraId="7F155D18">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2050年，全球资源配置能力、产业创新能力、文化影响力、公共服务水平、生态环境质量、城市美誉度达到国际一流水平，跻身全球先进城市之列。</w:t>
      </w:r>
    </w:p>
    <w:p w14:paraId="60D3C1F6">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城市愿景：开放枢纽之城，繁荣创新之城，幸福宜居之城，岭南水乡山海人文之城。</w:t>
      </w:r>
    </w:p>
    <w:p w14:paraId="2A9F0C4C">
      <w:pPr>
        <w:pStyle w:val="6"/>
        <w:numPr>
          <w:ilvl w:val="255"/>
          <w:numId w:val="0"/>
        </w:numPr>
        <w:ind w:firstLine="561"/>
        <w:rPr>
          <w:rFonts w:hint="default" w:ascii="Times New Roman" w:hAnsi="Times New Roman" w:cs="Times New Roman"/>
        </w:rPr>
      </w:pPr>
      <w:bookmarkStart w:id="56" w:name="_Toc124352484"/>
      <w:bookmarkStart w:id="57" w:name="_Toc28009"/>
      <w:r>
        <w:rPr>
          <w:rFonts w:hint="default" w:ascii="Times New Roman" w:hAnsi="Times New Roman" w:cs="Times New Roman"/>
        </w:rPr>
        <w:t>2.4.2相关专项规划</w:t>
      </w:r>
      <w:bookmarkEnd w:id="56"/>
      <w:bookmarkEnd w:id="57"/>
    </w:p>
    <w:p w14:paraId="2A0D76F5">
      <w:pPr>
        <w:widowControl/>
        <w:adjustRightInd w:val="0"/>
        <w:snapToGrid w:val="0"/>
        <w:spacing w:line="360" w:lineRule="auto"/>
        <w:ind w:firstLine="562" w:firstLineChars="200"/>
        <w:outlineLvl w:val="3"/>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（1）中山市海绵城市专项规划</w:t>
      </w:r>
    </w:p>
    <w:p w14:paraId="2C50FA79">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中山市的海绵生态基质主要为</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一核、四区</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：海绵生态廊道为</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五廊</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和</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多接点</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五廊</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和</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多</w:t>
      </w:r>
      <w:r>
        <w:rPr>
          <w:rFonts w:hint="default" w:ascii="Times New Roman" w:hAnsi="Times New Roman" w:eastAsia="宋体" w:cs="Times New Roman"/>
          <w:color w:val="000000" w:themeColor="text1"/>
          <w:sz w:val="28"/>
          <w:szCs w:val="28"/>
          <w:lang w:val="en-US" w:eastAsia="zh-CN"/>
          <w14:textFill>
            <w14:solidFill>
              <w14:schemeClr w14:val="tx1"/>
            </w14:solidFill>
          </w14:textFill>
        </w:rPr>
        <w:t>节</w:t>
      </w:r>
      <w:r>
        <w:rPr>
          <w:rFonts w:hint="default" w:ascii="Times New Roman" w:hAnsi="Times New Roman" w:eastAsia="宋体" w:cs="Times New Roman"/>
          <w:color w:val="000000" w:themeColor="text1"/>
          <w:sz w:val="28"/>
          <w:szCs w:val="28"/>
          <w14:textFill>
            <w14:solidFill>
              <w14:schemeClr w14:val="tx1"/>
            </w14:solidFill>
          </w14:textFill>
        </w:rPr>
        <w:t>点</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共同构成了城市生态网络骨架，成为遏制组团蔓延的重要工具。</w:t>
      </w:r>
    </w:p>
    <w:p w14:paraId="1B6DE59E">
      <w:pPr>
        <w:widowControl/>
        <w:adjustRightInd w:val="0"/>
        <w:snapToGrid w:val="0"/>
        <w:spacing w:line="360" w:lineRule="auto"/>
        <w:ind w:firstLine="560" w:firstLineChars="200"/>
        <w:jc w:val="center"/>
        <w:rPr>
          <w:rFonts w:hint="default" w:ascii="Times New Roman" w:hAnsi="Times New Roman" w:eastAsia="宋体" w:cs="Times New Roman"/>
          <w:color w:val="FF0000"/>
          <w:sz w:val="28"/>
          <w:szCs w:val="28"/>
        </w:rPr>
      </w:pPr>
      <w:r>
        <w:rPr>
          <w:rFonts w:hint="default" w:ascii="Times New Roman" w:hAnsi="Times New Roman" w:eastAsia="宋体" w:cs="Times New Roman"/>
          <w:color w:val="FF0000"/>
          <w:sz w:val="28"/>
          <w:szCs w:val="28"/>
        </w:rPr>
        <w:drawing>
          <wp:inline distT="0" distB="0" distL="114300" distR="114300">
            <wp:extent cx="3034030" cy="3935095"/>
            <wp:effectExtent l="0" t="0" r="13970" b="8255"/>
            <wp:docPr id="5" name="图片 5" descr="1655263639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655263639605"/>
                    <pic:cNvPicPr>
                      <a:picLocks noChangeAspect="1"/>
                    </pic:cNvPicPr>
                  </pic:nvPicPr>
                  <pic:blipFill>
                    <a:blip r:embed="rId18"/>
                    <a:stretch>
                      <a:fillRect/>
                    </a:stretch>
                  </pic:blipFill>
                  <pic:spPr>
                    <a:xfrm>
                      <a:off x="0" y="0"/>
                      <a:ext cx="3034030" cy="3935095"/>
                    </a:xfrm>
                    <a:prstGeom prst="rect">
                      <a:avLst/>
                    </a:prstGeom>
                  </pic:spPr>
                </pic:pic>
              </a:graphicData>
            </a:graphic>
          </wp:inline>
        </w:drawing>
      </w:r>
    </w:p>
    <w:p w14:paraId="1E287E00">
      <w:pPr>
        <w:pStyle w:val="1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图2-4 海绵城市建设目标分解图</w:t>
      </w:r>
    </w:p>
    <w:p w14:paraId="31E3BBE9">
      <w:pPr>
        <w:rPr>
          <w:rFonts w:hint="default" w:ascii="Times New Roman" w:hAnsi="Times New Roman" w:cs="Times New Roman"/>
        </w:rPr>
      </w:pPr>
    </w:p>
    <w:p w14:paraId="7050263B">
      <w:pPr>
        <w:widowControl/>
        <w:adjustRightInd w:val="0"/>
        <w:snapToGrid w:val="0"/>
        <w:spacing w:line="360" w:lineRule="auto"/>
        <w:ind w:firstLine="562" w:firstLineChars="200"/>
        <w:outlineLvl w:val="3"/>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（2）中山市城市更新（</w:t>
      </w:r>
      <w:r>
        <w:rPr>
          <w:rFonts w:hint="eastAsia" w:ascii="Times New Roman" w:hAnsi="Times New Roman" w:eastAsia="宋体" w:cs="Times New Roman"/>
          <w:b/>
          <w:bCs/>
          <w:sz w:val="28"/>
          <w:szCs w:val="28"/>
          <w:lang w:eastAsia="zh-CN"/>
        </w:rPr>
        <w:t>“</w:t>
      </w:r>
      <w:r>
        <w:rPr>
          <w:rFonts w:hint="default" w:ascii="Times New Roman" w:hAnsi="Times New Roman" w:eastAsia="宋体" w:cs="Times New Roman"/>
          <w:b/>
          <w:bCs/>
          <w:sz w:val="28"/>
          <w:szCs w:val="28"/>
        </w:rPr>
        <w:t>三旧</w:t>
      </w:r>
      <w:r>
        <w:rPr>
          <w:rFonts w:hint="eastAsia" w:ascii="Times New Roman" w:hAnsi="Times New Roman" w:eastAsia="宋体" w:cs="Times New Roman"/>
          <w:b/>
          <w:bCs/>
          <w:sz w:val="28"/>
          <w:szCs w:val="28"/>
          <w:lang w:eastAsia="zh-CN"/>
        </w:rPr>
        <w:t>”</w:t>
      </w:r>
      <w:r>
        <w:rPr>
          <w:rFonts w:hint="default" w:ascii="Times New Roman" w:hAnsi="Times New Roman" w:eastAsia="宋体" w:cs="Times New Roman"/>
          <w:b/>
          <w:bCs/>
          <w:sz w:val="28"/>
          <w:szCs w:val="28"/>
        </w:rPr>
        <w:t>改造）专项规划（2020-2035）</w:t>
      </w:r>
    </w:p>
    <w:p w14:paraId="7B23A351">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更新目标：通过城市更新，推动中山国土开发保护格局优化，促进产业转型升级与产城融合发展，完善社区公共服务体系，提升城乡人居环境，保护和传承历史文化，塑造湾区魅力城市风貌，推动城乡治理体系与治理能力现代化建设，助力打造国际化现代化创新型城市。</w:t>
      </w:r>
    </w:p>
    <w:p w14:paraId="5D9233CD">
      <w:pPr>
        <w:widowControl/>
        <w:adjustRightInd w:val="0"/>
        <w:snapToGrid w:val="0"/>
        <w:spacing w:line="360" w:lineRule="auto"/>
        <w:ind w:firstLine="562"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b/>
          <w:bCs/>
          <w:color w:val="000000" w:themeColor="text1"/>
          <w:sz w:val="28"/>
          <w:szCs w:val="28"/>
          <w14:textFill>
            <w14:solidFill>
              <w14:schemeClr w14:val="tx1"/>
            </w14:solidFill>
          </w14:textFill>
        </w:rPr>
        <w:t>市级重点城市更新片区：</w:t>
      </w:r>
      <w:r>
        <w:rPr>
          <w:rFonts w:hint="default" w:ascii="Times New Roman" w:hAnsi="Times New Roman" w:eastAsia="宋体" w:cs="Times New Roman"/>
          <w:color w:val="000000" w:themeColor="text1"/>
          <w:sz w:val="28"/>
          <w:szCs w:val="28"/>
          <w14:textFill>
            <w14:solidFill>
              <w14:schemeClr w14:val="tx1"/>
            </w14:solidFill>
          </w14:textFill>
        </w:rPr>
        <w:t>对全市具有重大战略意义和典型示范作用</w:t>
      </w:r>
      <w:r>
        <w:rPr>
          <w:rFonts w:hint="default"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或须跨镇街行政边界进行整体统筹的城市更新片区。</w:t>
      </w:r>
    </w:p>
    <w:p w14:paraId="4A81CE7E">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按照上位规划要求，由市城市更新主管部门（或市城市更新主管部门会同镇街政府）组织编制片区统筹规划、划定城市更新单元范围。镇街政府依据片区统筹规划申报城市更新单元计划，市城市更新主管部门进行重点管控和审批。市级重点城市更新片区内的城市更新单元优先纳入年度实施计划，市城市更新领导机构重点指导相应镇街政府组织实施。</w:t>
      </w:r>
    </w:p>
    <w:p w14:paraId="36B5A314">
      <w:pPr>
        <w:widowControl/>
        <w:adjustRightInd w:val="0"/>
        <w:snapToGrid w:val="0"/>
        <w:spacing w:line="360" w:lineRule="auto"/>
        <w:ind w:firstLine="562" w:firstLineChars="200"/>
        <w:rPr>
          <w:rFonts w:hint="default" w:ascii="Times New Roman" w:hAnsi="Times New Roman" w:eastAsia="宋体" w:cs="Times New Roman"/>
          <w:b/>
          <w:bCs/>
          <w:color w:val="000000" w:themeColor="text1"/>
          <w:sz w:val="28"/>
          <w:szCs w:val="28"/>
          <w14:textFill>
            <w14:solidFill>
              <w14:schemeClr w14:val="tx1"/>
            </w14:solidFill>
          </w14:textFill>
        </w:rPr>
      </w:pPr>
      <w:r>
        <w:rPr>
          <w:rFonts w:hint="default" w:ascii="Times New Roman" w:hAnsi="Times New Roman" w:eastAsia="宋体" w:cs="Times New Roman"/>
          <w:b/>
          <w:bCs/>
          <w:color w:val="000000" w:themeColor="text1"/>
          <w:sz w:val="28"/>
          <w:szCs w:val="28"/>
          <w14:textFill>
            <w14:solidFill>
              <w14:schemeClr w14:val="tx1"/>
            </w14:solidFill>
          </w14:textFill>
        </w:rPr>
        <w:t>镇级重点城市更新片区：</w:t>
      </w:r>
      <w:r>
        <w:rPr>
          <w:rFonts w:hint="default" w:ascii="Times New Roman" w:hAnsi="Times New Roman" w:eastAsia="宋体" w:cs="Times New Roman"/>
          <w:color w:val="000000" w:themeColor="text1"/>
          <w:sz w:val="28"/>
          <w:szCs w:val="28"/>
          <w14:textFill>
            <w14:solidFill>
              <w14:schemeClr w14:val="tx1"/>
            </w14:solidFill>
          </w14:textFill>
        </w:rPr>
        <w:t>对镇街产业发展或品质提升具有重要战略意义、或需通过更新统筹补足公共设施的片区。</w:t>
      </w:r>
    </w:p>
    <w:p w14:paraId="4FB4199D">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按照上位规划要求，由镇街政府组织编制片区统筹规划、划定城市更新单元范围，依据片区统筹规划申报城市更新单元计划。镇级重点城市更新片区内的城市更新单元按申报批次有序纳入年度实施计划，由镇街政府稳步推动实施。</w:t>
      </w:r>
    </w:p>
    <w:p w14:paraId="61306DC9">
      <w:pPr>
        <w:widowControl/>
        <w:adjustRightInd w:val="0"/>
        <w:snapToGrid w:val="0"/>
        <w:spacing w:line="360" w:lineRule="auto"/>
        <w:ind w:firstLine="562"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b/>
          <w:bCs/>
          <w:color w:val="000000" w:themeColor="text1"/>
          <w:sz w:val="28"/>
          <w:szCs w:val="28"/>
          <w14:textFill>
            <w14:solidFill>
              <w14:schemeClr w14:val="tx1"/>
            </w14:solidFill>
          </w14:textFill>
        </w:rPr>
        <w:t>一般城市更新片区：</w:t>
      </w:r>
      <w:r>
        <w:rPr>
          <w:rFonts w:hint="default" w:ascii="Times New Roman" w:hAnsi="Times New Roman" w:eastAsia="宋体" w:cs="Times New Roman"/>
          <w:color w:val="000000" w:themeColor="text1"/>
          <w:sz w:val="28"/>
          <w:szCs w:val="28"/>
          <w14:textFill>
            <w14:solidFill>
              <w14:schemeClr w14:val="tx1"/>
            </w14:solidFill>
          </w14:textFill>
        </w:rPr>
        <w:t>除市级和镇级重点城市更新片区以外的，为一般城市更新片区。</w:t>
      </w:r>
    </w:p>
    <w:p w14:paraId="23E83B31">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针对一般城市更新片区，结合更新意愿与实际情况，由镇街政府组织编制城市更新单元计划，经市城市更新主管部门审查后，报市政府批准，按批次纳入年度实施计划。近期阶段，年度实施计划原则上仅纳入一般城市更新片区内的产业提升类、重大安全隐患排除类、微改造或局部改造类城市更新单元。一般城市更新片区内的单宗工改项目，在符合国土空间总体规划及城市更新相关政策的前提下，可按照控规实施。确需调整控规的，按相关要求修编控规或编制城市更新单元规划。</w:t>
      </w:r>
    </w:p>
    <w:p w14:paraId="35C41B61">
      <w:pPr>
        <w:widowControl/>
        <w:adjustRightInd w:val="0"/>
        <w:snapToGrid w:val="0"/>
        <w:spacing w:line="360" w:lineRule="auto"/>
        <w:ind w:firstLine="560" w:firstLineChars="200"/>
        <w:jc w:val="center"/>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drawing>
          <wp:inline distT="0" distB="0" distL="114300" distR="114300">
            <wp:extent cx="3025775" cy="4015740"/>
            <wp:effectExtent l="0" t="0" r="3175" b="3810"/>
            <wp:docPr id="4" name="图片 4" descr="2-中山更新专规图纸-公示版【202104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中山更新专规图纸-公示版【20210428-3】"/>
                    <pic:cNvPicPr>
                      <a:picLocks noChangeAspect="1"/>
                    </pic:cNvPicPr>
                  </pic:nvPicPr>
                  <pic:blipFill>
                    <a:blip r:embed="rId19"/>
                    <a:srcRect l="3753" t="8662" r="3228" b="4255"/>
                    <a:stretch>
                      <a:fillRect/>
                    </a:stretch>
                  </pic:blipFill>
                  <pic:spPr>
                    <a:xfrm>
                      <a:off x="0" y="0"/>
                      <a:ext cx="3025775" cy="4015740"/>
                    </a:xfrm>
                    <a:prstGeom prst="rect">
                      <a:avLst/>
                    </a:prstGeom>
                  </pic:spPr>
                </pic:pic>
              </a:graphicData>
            </a:graphic>
          </wp:inline>
        </w:drawing>
      </w:r>
    </w:p>
    <w:p w14:paraId="295AF983">
      <w:pPr>
        <w:pStyle w:val="1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图2-5 中山市城市更新片区划分与分级管控图</w:t>
      </w:r>
    </w:p>
    <w:p w14:paraId="755442F3">
      <w:pPr>
        <w:rPr>
          <w:rFonts w:hint="default"/>
        </w:rPr>
      </w:pPr>
    </w:p>
    <w:p w14:paraId="74810BFC">
      <w:pPr>
        <w:widowControl/>
        <w:adjustRightInd w:val="0"/>
        <w:snapToGrid w:val="0"/>
        <w:spacing w:line="360" w:lineRule="auto"/>
        <w:ind w:firstLine="562" w:firstLineChars="200"/>
        <w:outlineLvl w:val="3"/>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rPr>
        <w:t>（3）中山市教育设施专项规划（2020-2035）</w:t>
      </w:r>
      <w:r>
        <w:rPr>
          <w:rFonts w:hint="default" w:ascii="Times New Roman" w:hAnsi="Times New Roman" w:eastAsia="宋体" w:cs="Times New Roman"/>
          <w:b/>
          <w:bCs/>
          <w:sz w:val="28"/>
          <w:szCs w:val="28"/>
          <w:lang w:val="en-US" w:eastAsia="zh-CN"/>
        </w:rPr>
        <w:t>草案</w:t>
      </w:r>
    </w:p>
    <w:p w14:paraId="1E492081">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总体发展目标：到2035年，全市形成布局匀、质量优、效益高、特色显的现代教育设施体系，各级各类教育实现更高水平、更高质量发展，中山教育综合竞争力进入国内</w:t>
      </w:r>
      <w:r>
        <w:rPr>
          <w:rFonts w:hint="default" w:ascii="Times New Roman" w:hAnsi="Times New Roman" w:eastAsia="宋体" w:cs="Times New Roman"/>
          <w:color w:val="000000" w:themeColor="text1"/>
          <w:sz w:val="28"/>
          <w:szCs w:val="28"/>
          <w:lang w:val="en-US" w:eastAsia="zh-CN"/>
          <w14:textFill>
            <w14:solidFill>
              <w14:schemeClr w14:val="tx1"/>
            </w14:solidFill>
          </w14:textFill>
        </w:rPr>
        <w:t>一</w:t>
      </w:r>
      <w:r>
        <w:rPr>
          <w:rFonts w:hint="default" w:ascii="Times New Roman" w:hAnsi="Times New Roman" w:eastAsia="宋体" w:cs="Times New Roman"/>
          <w:color w:val="000000" w:themeColor="text1"/>
          <w:sz w:val="28"/>
          <w:szCs w:val="28"/>
          <w14:textFill>
            <w14:solidFill>
              <w14:schemeClr w14:val="tx1"/>
            </w14:solidFill>
          </w14:textFill>
        </w:rPr>
        <w:t>流城市行列， 并以强有力的教育支撑助力中山建设更具实力、更富活力、更有魅力的国际化现代化创新型城市。</w:t>
      </w:r>
    </w:p>
    <w:p w14:paraId="7A721BBF">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各阶段学位千人指标如下：幼儿园为40座/千人，小学为80座/千人，初中为40座/千人，高中为40座/千人，其中普通高中和中职学校均为20座/千人。</w:t>
      </w:r>
    </w:p>
    <w:p w14:paraId="77BD0A38">
      <w:pPr>
        <w:rPr>
          <w:rFonts w:hint="default" w:ascii="Times New Roman" w:hAnsi="Times New Roman" w:eastAsia="宋体" w:cs="Times New Roman"/>
          <w:sz w:val="21"/>
          <w:szCs w:val="21"/>
        </w:rPr>
      </w:pPr>
      <w:r>
        <w:rPr>
          <w:rFonts w:hint="default" w:ascii="Times New Roman" w:hAnsi="Times New Roman" w:eastAsia="宋体" w:cs="Times New Roman"/>
          <w:sz w:val="21"/>
          <w:szCs w:val="21"/>
        </w:rPr>
        <w:br w:type="page"/>
      </w:r>
    </w:p>
    <w:p w14:paraId="0C424FB3">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表2-1中山市教育</w:t>
      </w:r>
      <w:r>
        <w:rPr>
          <w:rFonts w:hint="default" w:ascii="Times New Roman" w:hAnsi="Times New Roman" w:eastAsia="宋体" w:cs="Times New Roman"/>
          <w:sz w:val="21"/>
          <w:szCs w:val="21"/>
          <w:lang w:val="en-US" w:eastAsia="zh-CN"/>
        </w:rPr>
        <w:t>设施</w:t>
      </w:r>
      <w:r>
        <w:rPr>
          <w:rFonts w:hint="default" w:ascii="Times New Roman" w:hAnsi="Times New Roman" w:eastAsia="宋体" w:cs="Times New Roman"/>
          <w:sz w:val="21"/>
          <w:szCs w:val="21"/>
        </w:rPr>
        <w:t>专项规划指标表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
        <w:gridCol w:w="2241"/>
        <w:gridCol w:w="1056"/>
        <w:gridCol w:w="1295"/>
        <w:gridCol w:w="1295"/>
        <w:gridCol w:w="1331"/>
        <w:gridCol w:w="846"/>
      </w:tblGrid>
      <w:tr w14:paraId="61FAF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539" w:type="dxa"/>
            <w:shd w:val="clear" w:color="auto" w:fill="auto"/>
            <w:vAlign w:val="center"/>
          </w:tcPr>
          <w:p w14:paraId="6EE6B4C4">
            <w:pPr>
              <w:widowControl/>
              <w:adjustRightInd w:val="0"/>
              <w:snapToGrid w:val="0"/>
              <w:jc w:val="center"/>
              <w:rPr>
                <w:rFonts w:hint="default" w:ascii="Times New Roman" w:hAnsi="Times New Roman" w:eastAsia="宋体" w:cs="Times New Roman"/>
                <w:color w:val="000000"/>
                <w:sz w:val="21"/>
                <w:szCs w:val="21"/>
              </w:rPr>
            </w:pPr>
            <w:bookmarkStart w:id="58" w:name="_Hlk40126747"/>
            <w:r>
              <w:rPr>
                <w:rFonts w:hint="default" w:ascii="Times New Roman" w:hAnsi="Times New Roman" w:eastAsia="宋体" w:cs="Times New Roman"/>
                <w:color w:val="000000"/>
                <w:sz w:val="21"/>
                <w:szCs w:val="21"/>
              </w:rPr>
              <w:t>序号</w:t>
            </w:r>
          </w:p>
        </w:tc>
        <w:tc>
          <w:tcPr>
            <w:tcW w:w="2638" w:type="dxa"/>
            <w:shd w:val="clear" w:color="auto" w:fill="auto"/>
            <w:vAlign w:val="center"/>
          </w:tcPr>
          <w:p w14:paraId="0DA4C3D8">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指标</w:t>
            </w:r>
          </w:p>
        </w:tc>
        <w:tc>
          <w:tcPr>
            <w:tcW w:w="1244" w:type="dxa"/>
            <w:shd w:val="clear" w:color="auto" w:fill="auto"/>
            <w:vAlign w:val="center"/>
          </w:tcPr>
          <w:p w14:paraId="10636819">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2020年</w:t>
            </w:r>
          </w:p>
          <w:p w14:paraId="6F75E809">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现状值</w:t>
            </w:r>
          </w:p>
        </w:tc>
        <w:tc>
          <w:tcPr>
            <w:tcW w:w="1525" w:type="dxa"/>
            <w:shd w:val="clear" w:color="auto" w:fill="auto"/>
            <w:vAlign w:val="center"/>
          </w:tcPr>
          <w:p w14:paraId="286E23BE">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2025年</w:t>
            </w:r>
          </w:p>
          <w:p w14:paraId="61C1FE4F">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目标值</w:t>
            </w:r>
          </w:p>
        </w:tc>
        <w:tc>
          <w:tcPr>
            <w:tcW w:w="1525" w:type="dxa"/>
            <w:shd w:val="clear" w:color="auto" w:fill="auto"/>
            <w:vAlign w:val="center"/>
          </w:tcPr>
          <w:p w14:paraId="0BFD19B4">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2030年</w:t>
            </w:r>
          </w:p>
          <w:p w14:paraId="668BB2D6">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目标值</w:t>
            </w:r>
          </w:p>
        </w:tc>
        <w:tc>
          <w:tcPr>
            <w:tcW w:w="1567" w:type="dxa"/>
            <w:shd w:val="clear" w:color="auto" w:fill="auto"/>
            <w:vAlign w:val="center"/>
          </w:tcPr>
          <w:p w14:paraId="1398B205">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2035年</w:t>
            </w:r>
          </w:p>
          <w:p w14:paraId="17A55F11">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目标值</w:t>
            </w:r>
          </w:p>
        </w:tc>
        <w:tc>
          <w:tcPr>
            <w:tcW w:w="997" w:type="dxa"/>
            <w:shd w:val="clear" w:color="auto" w:fill="auto"/>
            <w:vAlign w:val="center"/>
          </w:tcPr>
          <w:p w14:paraId="5C0847CF">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指标</w:t>
            </w:r>
          </w:p>
          <w:p w14:paraId="4FA202F2">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属性</w:t>
            </w:r>
          </w:p>
        </w:tc>
      </w:tr>
      <w:tr w14:paraId="4A090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9" w:type="dxa"/>
            <w:shd w:val="clear" w:color="auto" w:fill="auto"/>
            <w:vAlign w:val="center"/>
          </w:tcPr>
          <w:p w14:paraId="3E76EB66">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2638" w:type="dxa"/>
            <w:shd w:val="clear" w:color="auto" w:fill="auto"/>
            <w:vAlign w:val="center"/>
          </w:tcPr>
          <w:p w14:paraId="7479DB33">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万人拥有幼儿园班数（班）</w:t>
            </w:r>
          </w:p>
        </w:tc>
        <w:tc>
          <w:tcPr>
            <w:tcW w:w="1244" w:type="dxa"/>
            <w:shd w:val="clear" w:color="auto" w:fill="auto"/>
            <w:vAlign w:val="center"/>
          </w:tcPr>
          <w:p w14:paraId="0FBBEDB5">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17.67</w:t>
            </w:r>
          </w:p>
        </w:tc>
        <w:tc>
          <w:tcPr>
            <w:tcW w:w="1525" w:type="dxa"/>
            <w:shd w:val="clear" w:color="auto" w:fill="auto"/>
            <w:vAlign w:val="center"/>
          </w:tcPr>
          <w:p w14:paraId="4755FAA2">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w:t>
            </w:r>
          </w:p>
        </w:tc>
        <w:tc>
          <w:tcPr>
            <w:tcW w:w="1525" w:type="dxa"/>
            <w:shd w:val="clear" w:color="auto" w:fill="auto"/>
            <w:vAlign w:val="center"/>
          </w:tcPr>
          <w:p w14:paraId="64B31E20">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w:t>
            </w:r>
          </w:p>
        </w:tc>
        <w:tc>
          <w:tcPr>
            <w:tcW w:w="1567" w:type="dxa"/>
            <w:shd w:val="clear" w:color="auto" w:fill="auto"/>
            <w:vAlign w:val="center"/>
          </w:tcPr>
          <w:p w14:paraId="3ACB4FF9">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w:t>
            </w:r>
          </w:p>
        </w:tc>
        <w:tc>
          <w:tcPr>
            <w:tcW w:w="997" w:type="dxa"/>
            <w:shd w:val="clear" w:color="auto" w:fill="auto"/>
          </w:tcPr>
          <w:p w14:paraId="34858258">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预期性</w:t>
            </w:r>
          </w:p>
        </w:tc>
      </w:tr>
      <w:tr w14:paraId="1FF7F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9" w:type="dxa"/>
            <w:shd w:val="clear" w:color="auto" w:fill="auto"/>
            <w:vAlign w:val="center"/>
          </w:tcPr>
          <w:p w14:paraId="2AE495A6">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w:t>
            </w:r>
          </w:p>
        </w:tc>
        <w:tc>
          <w:tcPr>
            <w:tcW w:w="2638" w:type="dxa"/>
            <w:shd w:val="clear" w:color="auto" w:fill="auto"/>
            <w:vAlign w:val="center"/>
          </w:tcPr>
          <w:p w14:paraId="5F467082">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人均基础教育设施用地面积（m2）</w:t>
            </w:r>
          </w:p>
        </w:tc>
        <w:tc>
          <w:tcPr>
            <w:tcW w:w="1244" w:type="dxa"/>
            <w:shd w:val="clear" w:color="auto" w:fill="auto"/>
            <w:vAlign w:val="center"/>
          </w:tcPr>
          <w:p w14:paraId="7A0C723E">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3.90</w:t>
            </w:r>
          </w:p>
        </w:tc>
        <w:tc>
          <w:tcPr>
            <w:tcW w:w="1525" w:type="dxa"/>
            <w:shd w:val="clear" w:color="auto" w:fill="auto"/>
            <w:vAlign w:val="center"/>
          </w:tcPr>
          <w:p w14:paraId="18E66C9D">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2.94-3.57</w:t>
            </w:r>
          </w:p>
        </w:tc>
        <w:tc>
          <w:tcPr>
            <w:tcW w:w="1525" w:type="dxa"/>
            <w:shd w:val="clear" w:color="auto" w:fill="auto"/>
            <w:vAlign w:val="center"/>
          </w:tcPr>
          <w:p w14:paraId="61A5059C">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2.94-3.57</w:t>
            </w:r>
          </w:p>
        </w:tc>
        <w:tc>
          <w:tcPr>
            <w:tcW w:w="1567" w:type="dxa"/>
            <w:shd w:val="clear" w:color="auto" w:fill="auto"/>
            <w:vAlign w:val="center"/>
          </w:tcPr>
          <w:p w14:paraId="74E1414E">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2.94-3.57</w:t>
            </w:r>
          </w:p>
        </w:tc>
        <w:tc>
          <w:tcPr>
            <w:tcW w:w="997" w:type="dxa"/>
            <w:shd w:val="clear" w:color="auto" w:fill="auto"/>
          </w:tcPr>
          <w:p w14:paraId="43B19CA5">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预期性</w:t>
            </w:r>
          </w:p>
        </w:tc>
      </w:tr>
      <w:tr w14:paraId="22AD7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9" w:type="dxa"/>
            <w:shd w:val="clear" w:color="auto" w:fill="auto"/>
            <w:vAlign w:val="center"/>
          </w:tcPr>
          <w:p w14:paraId="05382A74">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w:t>
            </w:r>
          </w:p>
        </w:tc>
        <w:tc>
          <w:tcPr>
            <w:tcW w:w="2638" w:type="dxa"/>
            <w:shd w:val="clear" w:color="auto" w:fill="auto"/>
            <w:vAlign w:val="center"/>
          </w:tcPr>
          <w:p w14:paraId="75D8B6D9">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公办园在园幼儿数占比（%）</w:t>
            </w:r>
          </w:p>
        </w:tc>
        <w:tc>
          <w:tcPr>
            <w:tcW w:w="1244" w:type="dxa"/>
            <w:shd w:val="clear" w:color="auto" w:fill="auto"/>
            <w:vAlign w:val="center"/>
          </w:tcPr>
          <w:p w14:paraId="6962586F">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w:t>
            </w:r>
          </w:p>
        </w:tc>
        <w:tc>
          <w:tcPr>
            <w:tcW w:w="1525" w:type="dxa"/>
            <w:shd w:val="clear" w:color="auto" w:fill="auto"/>
            <w:vAlign w:val="center"/>
          </w:tcPr>
          <w:p w14:paraId="4BA671AC">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w:t>
            </w:r>
          </w:p>
        </w:tc>
        <w:tc>
          <w:tcPr>
            <w:tcW w:w="1525" w:type="dxa"/>
            <w:shd w:val="clear" w:color="auto" w:fill="auto"/>
            <w:vAlign w:val="center"/>
          </w:tcPr>
          <w:p w14:paraId="3C5DF3BC">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w:t>
            </w:r>
          </w:p>
        </w:tc>
        <w:tc>
          <w:tcPr>
            <w:tcW w:w="1567" w:type="dxa"/>
            <w:shd w:val="clear" w:color="auto" w:fill="auto"/>
            <w:vAlign w:val="center"/>
          </w:tcPr>
          <w:p w14:paraId="2731184D">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w:t>
            </w:r>
          </w:p>
        </w:tc>
        <w:tc>
          <w:tcPr>
            <w:tcW w:w="997" w:type="dxa"/>
            <w:shd w:val="clear" w:color="auto" w:fill="auto"/>
          </w:tcPr>
          <w:p w14:paraId="51A70DDB">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约束性</w:t>
            </w:r>
          </w:p>
        </w:tc>
      </w:tr>
      <w:tr w14:paraId="1D0BD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9" w:type="dxa"/>
            <w:shd w:val="clear" w:color="auto" w:fill="auto"/>
            <w:vAlign w:val="center"/>
          </w:tcPr>
          <w:p w14:paraId="138586BD">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w:t>
            </w:r>
          </w:p>
        </w:tc>
        <w:tc>
          <w:tcPr>
            <w:tcW w:w="2638" w:type="dxa"/>
            <w:shd w:val="clear" w:color="auto" w:fill="auto"/>
            <w:vAlign w:val="center"/>
          </w:tcPr>
          <w:p w14:paraId="052F7C24">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公办（集体办）园和普惠性民办园在园幼儿数占比</w:t>
            </w:r>
          </w:p>
        </w:tc>
        <w:tc>
          <w:tcPr>
            <w:tcW w:w="1244" w:type="dxa"/>
            <w:shd w:val="clear" w:color="auto" w:fill="auto"/>
            <w:vAlign w:val="center"/>
          </w:tcPr>
          <w:p w14:paraId="7F2FB039">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78%</w:t>
            </w:r>
          </w:p>
        </w:tc>
        <w:tc>
          <w:tcPr>
            <w:tcW w:w="1525" w:type="dxa"/>
            <w:shd w:val="clear" w:color="auto" w:fill="auto"/>
            <w:vAlign w:val="center"/>
          </w:tcPr>
          <w:p w14:paraId="5AA6D2BE">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80%</w:t>
            </w:r>
          </w:p>
        </w:tc>
        <w:tc>
          <w:tcPr>
            <w:tcW w:w="1525" w:type="dxa"/>
            <w:shd w:val="clear" w:color="auto" w:fill="auto"/>
            <w:vAlign w:val="center"/>
          </w:tcPr>
          <w:p w14:paraId="1928851A">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80%</w:t>
            </w:r>
          </w:p>
        </w:tc>
        <w:tc>
          <w:tcPr>
            <w:tcW w:w="1567" w:type="dxa"/>
            <w:shd w:val="clear" w:color="auto" w:fill="auto"/>
            <w:vAlign w:val="center"/>
          </w:tcPr>
          <w:p w14:paraId="373FB783">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80%</w:t>
            </w:r>
          </w:p>
        </w:tc>
        <w:tc>
          <w:tcPr>
            <w:tcW w:w="997" w:type="dxa"/>
            <w:shd w:val="clear" w:color="auto" w:fill="auto"/>
            <w:vAlign w:val="center"/>
          </w:tcPr>
          <w:p w14:paraId="4B6C281D">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约束性</w:t>
            </w:r>
          </w:p>
        </w:tc>
      </w:tr>
      <w:tr w14:paraId="13DF0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9" w:type="dxa"/>
            <w:shd w:val="clear" w:color="auto" w:fill="auto"/>
            <w:vAlign w:val="center"/>
          </w:tcPr>
          <w:p w14:paraId="62825DA3">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w:t>
            </w:r>
          </w:p>
        </w:tc>
        <w:tc>
          <w:tcPr>
            <w:tcW w:w="2638" w:type="dxa"/>
            <w:shd w:val="clear" w:color="auto" w:fill="auto"/>
            <w:vAlign w:val="center"/>
          </w:tcPr>
          <w:p w14:paraId="2EE3B916">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随迁子女在义务教育公办学校和给予学位补贴民办学校就读比例</w:t>
            </w:r>
          </w:p>
        </w:tc>
        <w:tc>
          <w:tcPr>
            <w:tcW w:w="1244" w:type="dxa"/>
            <w:shd w:val="clear" w:color="auto" w:fill="auto"/>
            <w:vAlign w:val="center"/>
          </w:tcPr>
          <w:p w14:paraId="4FBFA02C">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w:t>
            </w:r>
          </w:p>
        </w:tc>
        <w:tc>
          <w:tcPr>
            <w:tcW w:w="1525" w:type="dxa"/>
            <w:shd w:val="clear" w:color="auto" w:fill="auto"/>
            <w:vAlign w:val="center"/>
          </w:tcPr>
          <w:p w14:paraId="47788E3B">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不少于50%</w:t>
            </w:r>
          </w:p>
        </w:tc>
        <w:tc>
          <w:tcPr>
            <w:tcW w:w="1525" w:type="dxa"/>
            <w:shd w:val="clear" w:color="auto" w:fill="auto"/>
            <w:vAlign w:val="center"/>
          </w:tcPr>
          <w:p w14:paraId="16FFEB77">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不少于50%</w:t>
            </w:r>
          </w:p>
        </w:tc>
        <w:tc>
          <w:tcPr>
            <w:tcW w:w="1567" w:type="dxa"/>
            <w:shd w:val="clear" w:color="auto" w:fill="auto"/>
            <w:vAlign w:val="center"/>
          </w:tcPr>
          <w:p w14:paraId="75AC198F">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不少于50%</w:t>
            </w:r>
          </w:p>
        </w:tc>
        <w:tc>
          <w:tcPr>
            <w:tcW w:w="997" w:type="dxa"/>
            <w:shd w:val="clear" w:color="auto" w:fill="auto"/>
            <w:vAlign w:val="center"/>
          </w:tcPr>
          <w:p w14:paraId="0B7513A8">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约束性</w:t>
            </w:r>
          </w:p>
        </w:tc>
      </w:tr>
      <w:tr w14:paraId="130AE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9" w:type="dxa"/>
            <w:shd w:val="clear" w:color="auto" w:fill="auto"/>
            <w:vAlign w:val="center"/>
          </w:tcPr>
          <w:p w14:paraId="65C6CFEB">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w:t>
            </w:r>
          </w:p>
        </w:tc>
        <w:tc>
          <w:tcPr>
            <w:tcW w:w="2638" w:type="dxa"/>
            <w:shd w:val="clear" w:color="auto" w:fill="auto"/>
            <w:vAlign w:val="center"/>
          </w:tcPr>
          <w:p w14:paraId="6CCB2A2F">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未来学校数量（所）</w:t>
            </w:r>
          </w:p>
        </w:tc>
        <w:tc>
          <w:tcPr>
            <w:tcW w:w="1244" w:type="dxa"/>
            <w:shd w:val="clear" w:color="auto" w:fill="auto"/>
            <w:vAlign w:val="center"/>
          </w:tcPr>
          <w:p w14:paraId="4040C174">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w:t>
            </w:r>
          </w:p>
        </w:tc>
        <w:tc>
          <w:tcPr>
            <w:tcW w:w="1525" w:type="dxa"/>
            <w:shd w:val="clear" w:color="auto" w:fill="auto"/>
            <w:vAlign w:val="center"/>
          </w:tcPr>
          <w:p w14:paraId="416D94CB">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w:t>
            </w:r>
          </w:p>
        </w:tc>
        <w:tc>
          <w:tcPr>
            <w:tcW w:w="1525" w:type="dxa"/>
            <w:shd w:val="clear" w:color="auto" w:fill="auto"/>
            <w:vAlign w:val="center"/>
          </w:tcPr>
          <w:p w14:paraId="1F11D633">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w:t>
            </w:r>
          </w:p>
        </w:tc>
        <w:tc>
          <w:tcPr>
            <w:tcW w:w="1567" w:type="dxa"/>
            <w:shd w:val="clear" w:color="auto" w:fill="auto"/>
            <w:vAlign w:val="center"/>
          </w:tcPr>
          <w:p w14:paraId="15C60980">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w:t>
            </w:r>
          </w:p>
        </w:tc>
        <w:tc>
          <w:tcPr>
            <w:tcW w:w="997" w:type="dxa"/>
            <w:shd w:val="clear" w:color="auto" w:fill="auto"/>
            <w:vAlign w:val="center"/>
          </w:tcPr>
          <w:p w14:paraId="00C6800E">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预期性</w:t>
            </w:r>
          </w:p>
        </w:tc>
      </w:tr>
      <w:tr w14:paraId="6A575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9" w:type="dxa"/>
            <w:shd w:val="clear" w:color="auto" w:fill="auto"/>
            <w:vAlign w:val="center"/>
          </w:tcPr>
          <w:p w14:paraId="69BB8D02">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w:t>
            </w:r>
          </w:p>
        </w:tc>
        <w:tc>
          <w:tcPr>
            <w:tcW w:w="2638" w:type="dxa"/>
            <w:shd w:val="clear" w:color="auto" w:fill="auto"/>
            <w:vAlign w:val="center"/>
          </w:tcPr>
          <w:p w14:paraId="3F72EA24">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老年大学（所）</w:t>
            </w:r>
          </w:p>
        </w:tc>
        <w:tc>
          <w:tcPr>
            <w:tcW w:w="1244" w:type="dxa"/>
            <w:shd w:val="clear" w:color="auto" w:fill="auto"/>
            <w:vAlign w:val="center"/>
          </w:tcPr>
          <w:p w14:paraId="00BF5632">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w:t>
            </w:r>
          </w:p>
        </w:tc>
        <w:tc>
          <w:tcPr>
            <w:tcW w:w="1525" w:type="dxa"/>
            <w:shd w:val="clear" w:color="auto" w:fill="auto"/>
            <w:vAlign w:val="center"/>
          </w:tcPr>
          <w:p w14:paraId="7D412277">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w:t>
            </w:r>
          </w:p>
        </w:tc>
        <w:tc>
          <w:tcPr>
            <w:tcW w:w="1525" w:type="dxa"/>
            <w:shd w:val="clear" w:color="auto" w:fill="auto"/>
            <w:vAlign w:val="center"/>
          </w:tcPr>
          <w:p w14:paraId="00725ECF">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w:t>
            </w:r>
          </w:p>
        </w:tc>
        <w:tc>
          <w:tcPr>
            <w:tcW w:w="1567" w:type="dxa"/>
            <w:shd w:val="clear" w:color="auto" w:fill="auto"/>
            <w:vAlign w:val="center"/>
          </w:tcPr>
          <w:p w14:paraId="0FB18B2D">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8</w:t>
            </w:r>
          </w:p>
        </w:tc>
        <w:tc>
          <w:tcPr>
            <w:tcW w:w="997" w:type="dxa"/>
            <w:shd w:val="clear" w:color="auto" w:fill="auto"/>
            <w:vAlign w:val="center"/>
          </w:tcPr>
          <w:p w14:paraId="7CCF96C3">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预期性</w:t>
            </w:r>
          </w:p>
        </w:tc>
      </w:tr>
      <w:bookmarkEnd w:id="58"/>
    </w:tbl>
    <w:p w14:paraId="1FA9DA91">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p>
    <w:p w14:paraId="5763D37A">
      <w:pPr>
        <w:widowControl/>
        <w:adjustRightInd w:val="0"/>
        <w:snapToGrid w:val="0"/>
        <w:spacing w:line="360" w:lineRule="auto"/>
        <w:ind w:firstLine="562" w:firstLineChars="200"/>
        <w:outlineLvl w:val="3"/>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（4）中山市体育公共服务设施专项规划（2020-2035）草案</w:t>
      </w:r>
    </w:p>
    <w:p w14:paraId="12BBF768">
      <w:pPr>
        <w:widowControl/>
        <w:adjustRightInd w:val="0"/>
        <w:snapToGrid w:val="0"/>
        <w:spacing w:line="360" w:lineRule="auto"/>
        <w:ind w:firstLine="560" w:firstLineChars="200"/>
        <w:rPr>
          <w:rFonts w:hint="default" w:ascii="Times New Roman" w:hAnsi="Times New Roman" w:cs="Times New Roman"/>
          <w:sz w:val="21"/>
          <w:szCs w:val="21"/>
        </w:rPr>
      </w:pPr>
      <w:r>
        <w:rPr>
          <w:rFonts w:hint="default" w:ascii="Times New Roman" w:hAnsi="Times New Roman" w:eastAsia="宋体" w:cs="Times New Roman"/>
          <w:sz w:val="28"/>
          <w:szCs w:val="28"/>
        </w:rPr>
        <w:t>总体发展目标：按照城市总体发展格局，充分考虑城市功能分区、交通条件及人口分布等基本要素，在全市构建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市—组团—镇（街）—社区（村）</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四级公共体育设施服务体系。到2035年全市规划体育设施用地总面积达到455公顷以上，社区15分钟体育健身圈覆盖率达到100%。基本形成层次清晰、覆盖城乡、布局合理、功能完善的公共体育设施服务体系，具备承担国内国际大型赛事的能力。</w:t>
      </w:r>
    </w:p>
    <w:p w14:paraId="4E563901">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表2-2中山市体育设施控制指标表</w:t>
      </w:r>
    </w:p>
    <w:tbl>
      <w:tblPr>
        <w:tblStyle w:val="25"/>
        <w:tblW w:w="86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762"/>
        <w:gridCol w:w="1304"/>
        <w:gridCol w:w="1304"/>
        <w:gridCol w:w="1304"/>
      </w:tblGrid>
      <w:tr w14:paraId="4B821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62" w:type="dxa"/>
            <w:shd w:val="clear" w:color="auto" w:fill="auto"/>
            <w:tcMar>
              <w:top w:w="15" w:type="dxa"/>
              <w:left w:w="108" w:type="dxa"/>
              <w:bottom w:w="0" w:type="dxa"/>
              <w:right w:w="108" w:type="dxa"/>
            </w:tcMar>
            <w:vAlign w:val="center"/>
          </w:tcPr>
          <w:p w14:paraId="6C377406">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相关指标</w:t>
            </w:r>
          </w:p>
        </w:tc>
        <w:tc>
          <w:tcPr>
            <w:tcW w:w="1304" w:type="dxa"/>
            <w:shd w:val="clear" w:color="auto" w:fill="auto"/>
            <w:tcMar>
              <w:top w:w="15" w:type="dxa"/>
              <w:left w:w="108" w:type="dxa"/>
              <w:bottom w:w="0" w:type="dxa"/>
              <w:right w:w="108" w:type="dxa"/>
            </w:tcMar>
            <w:vAlign w:val="center"/>
          </w:tcPr>
          <w:p w14:paraId="601A920E">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现状</w:t>
            </w:r>
          </w:p>
        </w:tc>
        <w:tc>
          <w:tcPr>
            <w:tcW w:w="1304" w:type="dxa"/>
            <w:vAlign w:val="center"/>
          </w:tcPr>
          <w:p w14:paraId="02452735">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2025年</w:t>
            </w:r>
          </w:p>
        </w:tc>
        <w:tc>
          <w:tcPr>
            <w:tcW w:w="1304" w:type="dxa"/>
            <w:vAlign w:val="center"/>
          </w:tcPr>
          <w:p w14:paraId="682BAF4B">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2035年</w:t>
            </w:r>
          </w:p>
        </w:tc>
      </w:tr>
      <w:tr w14:paraId="3D08B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62" w:type="dxa"/>
            <w:shd w:val="clear" w:color="auto" w:fill="auto"/>
            <w:tcMar>
              <w:top w:w="15" w:type="dxa"/>
              <w:left w:w="108" w:type="dxa"/>
              <w:bottom w:w="0" w:type="dxa"/>
              <w:right w:w="108" w:type="dxa"/>
            </w:tcMar>
            <w:vAlign w:val="center"/>
          </w:tcPr>
          <w:p w14:paraId="67E73F09">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文体设施用地总规模（平方公里）</w:t>
            </w:r>
          </w:p>
        </w:tc>
        <w:tc>
          <w:tcPr>
            <w:tcW w:w="1304" w:type="dxa"/>
            <w:shd w:val="clear" w:color="auto" w:fill="auto"/>
            <w:tcMar>
              <w:top w:w="15" w:type="dxa"/>
              <w:left w:w="108" w:type="dxa"/>
              <w:bottom w:w="0" w:type="dxa"/>
              <w:right w:w="108" w:type="dxa"/>
            </w:tcMar>
            <w:vAlign w:val="center"/>
          </w:tcPr>
          <w:p w14:paraId="4DEC6064">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6.1</w:t>
            </w:r>
          </w:p>
        </w:tc>
        <w:tc>
          <w:tcPr>
            <w:tcW w:w="1304" w:type="dxa"/>
            <w:vAlign w:val="center"/>
          </w:tcPr>
          <w:p w14:paraId="6C66B8FB">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8.2</w:t>
            </w:r>
          </w:p>
        </w:tc>
        <w:tc>
          <w:tcPr>
            <w:tcW w:w="1304" w:type="dxa"/>
            <w:vAlign w:val="center"/>
          </w:tcPr>
          <w:p w14:paraId="7BA67042">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10.8</w:t>
            </w:r>
          </w:p>
        </w:tc>
      </w:tr>
      <w:tr w14:paraId="7C664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62" w:type="dxa"/>
            <w:shd w:val="clear" w:color="auto" w:fill="auto"/>
            <w:tcMar>
              <w:top w:w="15" w:type="dxa"/>
              <w:left w:w="108" w:type="dxa"/>
              <w:bottom w:w="0" w:type="dxa"/>
              <w:right w:w="108" w:type="dxa"/>
            </w:tcMar>
            <w:vAlign w:val="center"/>
          </w:tcPr>
          <w:p w14:paraId="741274EC">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人均文化设施用地面积（m²/人）</w:t>
            </w:r>
          </w:p>
        </w:tc>
        <w:tc>
          <w:tcPr>
            <w:tcW w:w="1304" w:type="dxa"/>
            <w:shd w:val="clear" w:color="auto" w:fill="auto"/>
            <w:tcMar>
              <w:top w:w="15" w:type="dxa"/>
              <w:left w:w="108" w:type="dxa"/>
              <w:bottom w:w="0" w:type="dxa"/>
              <w:right w:w="108" w:type="dxa"/>
            </w:tcMar>
            <w:vAlign w:val="center"/>
          </w:tcPr>
          <w:p w14:paraId="75CF07A4">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0.24</w:t>
            </w:r>
          </w:p>
        </w:tc>
        <w:tc>
          <w:tcPr>
            <w:tcW w:w="1304" w:type="dxa"/>
            <w:vAlign w:val="center"/>
          </w:tcPr>
          <w:p w14:paraId="4D16AFC7">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0.25</w:t>
            </w:r>
          </w:p>
        </w:tc>
        <w:tc>
          <w:tcPr>
            <w:tcW w:w="1304" w:type="dxa"/>
            <w:vAlign w:val="center"/>
          </w:tcPr>
          <w:p w14:paraId="3703E55C">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0.3</w:t>
            </w:r>
          </w:p>
        </w:tc>
      </w:tr>
      <w:tr w14:paraId="44F0D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62" w:type="dxa"/>
            <w:shd w:val="clear" w:color="auto" w:fill="auto"/>
            <w:tcMar>
              <w:top w:w="15" w:type="dxa"/>
              <w:left w:w="108" w:type="dxa"/>
              <w:bottom w:w="0" w:type="dxa"/>
              <w:right w:w="108" w:type="dxa"/>
            </w:tcMar>
            <w:vAlign w:val="center"/>
          </w:tcPr>
          <w:p w14:paraId="009BE81A">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人均体育场地面积（m²/人）</w:t>
            </w:r>
          </w:p>
        </w:tc>
        <w:tc>
          <w:tcPr>
            <w:tcW w:w="1304" w:type="dxa"/>
            <w:shd w:val="clear" w:color="auto" w:fill="auto"/>
            <w:tcMar>
              <w:top w:w="15" w:type="dxa"/>
              <w:left w:w="108" w:type="dxa"/>
              <w:bottom w:w="0" w:type="dxa"/>
              <w:right w:w="108" w:type="dxa"/>
            </w:tcMar>
            <w:vAlign w:val="center"/>
          </w:tcPr>
          <w:p w14:paraId="3A0B9DFF">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3.21</w:t>
            </w:r>
          </w:p>
        </w:tc>
        <w:tc>
          <w:tcPr>
            <w:tcW w:w="1304" w:type="dxa"/>
            <w:vAlign w:val="center"/>
          </w:tcPr>
          <w:p w14:paraId="1200DC78">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3.25</w:t>
            </w:r>
          </w:p>
        </w:tc>
        <w:tc>
          <w:tcPr>
            <w:tcW w:w="1304" w:type="dxa"/>
            <w:vAlign w:val="center"/>
          </w:tcPr>
          <w:p w14:paraId="177FAB64">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3.30</w:t>
            </w:r>
          </w:p>
        </w:tc>
      </w:tr>
      <w:tr w14:paraId="2CB4E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62" w:type="dxa"/>
            <w:shd w:val="clear" w:color="auto" w:fill="auto"/>
            <w:tcMar>
              <w:top w:w="15" w:type="dxa"/>
              <w:left w:w="108" w:type="dxa"/>
              <w:bottom w:w="0" w:type="dxa"/>
              <w:right w:w="108" w:type="dxa"/>
            </w:tcMar>
            <w:vAlign w:val="center"/>
          </w:tcPr>
          <w:p w14:paraId="34D1468E">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新建居住区和社区体育设施覆盖率</w:t>
            </w:r>
          </w:p>
        </w:tc>
        <w:tc>
          <w:tcPr>
            <w:tcW w:w="1304" w:type="dxa"/>
            <w:shd w:val="clear" w:color="auto" w:fill="auto"/>
            <w:tcMar>
              <w:top w:w="15" w:type="dxa"/>
              <w:left w:w="108" w:type="dxa"/>
              <w:bottom w:w="0" w:type="dxa"/>
              <w:right w:w="108" w:type="dxa"/>
            </w:tcMar>
            <w:vAlign w:val="center"/>
          </w:tcPr>
          <w:p w14:paraId="3E5A1A1F">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100%</w:t>
            </w:r>
          </w:p>
        </w:tc>
        <w:tc>
          <w:tcPr>
            <w:tcW w:w="1304" w:type="dxa"/>
            <w:vAlign w:val="center"/>
          </w:tcPr>
          <w:p w14:paraId="4C25FD51">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100%</w:t>
            </w:r>
          </w:p>
        </w:tc>
        <w:tc>
          <w:tcPr>
            <w:tcW w:w="1304" w:type="dxa"/>
            <w:vAlign w:val="center"/>
          </w:tcPr>
          <w:p w14:paraId="155D9266">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100%</w:t>
            </w:r>
          </w:p>
        </w:tc>
      </w:tr>
      <w:tr w14:paraId="06B61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62" w:type="dxa"/>
            <w:shd w:val="clear" w:color="auto" w:fill="auto"/>
            <w:tcMar>
              <w:top w:w="15" w:type="dxa"/>
              <w:left w:w="108" w:type="dxa"/>
              <w:bottom w:w="0" w:type="dxa"/>
              <w:right w:w="108" w:type="dxa"/>
            </w:tcMar>
            <w:vAlign w:val="center"/>
          </w:tcPr>
          <w:p w14:paraId="1B181BA8">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公共体育场地设施开放率</w:t>
            </w:r>
          </w:p>
        </w:tc>
        <w:tc>
          <w:tcPr>
            <w:tcW w:w="1304" w:type="dxa"/>
            <w:shd w:val="clear" w:color="auto" w:fill="auto"/>
            <w:tcMar>
              <w:top w:w="15" w:type="dxa"/>
              <w:left w:w="108" w:type="dxa"/>
              <w:bottom w:w="0" w:type="dxa"/>
              <w:right w:w="108" w:type="dxa"/>
            </w:tcMar>
            <w:vAlign w:val="center"/>
          </w:tcPr>
          <w:p w14:paraId="5E9AF304">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100%</w:t>
            </w:r>
          </w:p>
        </w:tc>
        <w:tc>
          <w:tcPr>
            <w:tcW w:w="1304" w:type="dxa"/>
            <w:vAlign w:val="center"/>
          </w:tcPr>
          <w:p w14:paraId="4E659079">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100%</w:t>
            </w:r>
          </w:p>
        </w:tc>
        <w:tc>
          <w:tcPr>
            <w:tcW w:w="1304" w:type="dxa"/>
            <w:vAlign w:val="center"/>
          </w:tcPr>
          <w:p w14:paraId="281E9A48">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100%</w:t>
            </w:r>
          </w:p>
        </w:tc>
      </w:tr>
    </w:tbl>
    <w:p w14:paraId="69D170B8">
      <w:pPr>
        <w:widowControl/>
        <w:adjustRightInd w:val="0"/>
        <w:snapToGrid w:val="0"/>
        <w:spacing w:line="360" w:lineRule="auto"/>
        <w:rPr>
          <w:rFonts w:hint="default" w:ascii="Times New Roman" w:hAnsi="Times New Roman" w:eastAsia="宋体" w:cs="Times New Roman"/>
          <w:sz w:val="28"/>
          <w:szCs w:val="28"/>
        </w:rPr>
      </w:pPr>
    </w:p>
    <w:p w14:paraId="2893D790">
      <w:pPr>
        <w:widowControl/>
        <w:adjustRightInd w:val="0"/>
        <w:snapToGrid w:val="0"/>
        <w:spacing w:line="360" w:lineRule="auto"/>
        <w:ind w:firstLine="562" w:firstLineChars="200"/>
        <w:outlineLvl w:val="3"/>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（5）中山市声环境功能区划方案</w:t>
      </w:r>
    </w:p>
    <w:p w14:paraId="1718671F">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根据《中山市声环境功能区划方案（2021年修编）》，中山市划分为1、2、3、4类声环境功能区（4a类和4b类）。《方案》要求中山市各级人民政府有关管理部门，根据各自职责做好噪声污染防治工作。建设项目应严格执行声环境功能区环境准入，禁止在I类区、严格限制在2类区建设产生环境噪声污染的工业项目。</w:t>
      </w:r>
    </w:p>
    <w:p w14:paraId="13891960">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建设经过已有的噪声敏感建筑物集中区域的高速公路和城市高架、轻轨道路，有可能造成环境噪声污染的，应当设置声屏障或者采取其他有效的控制环境噪声污染的措施。</w:t>
      </w:r>
    </w:p>
    <w:p w14:paraId="08004D46">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在环评项目审批中，项目用地属于经市级及以上政府批准的国土空间总体规划、城市总体规划、控制性详细规划等确定的产业园区、重大项目和重要基础设施的用地，经市生态环境局商自然资源局同意，其声环境功能区划相应调整，报市政府备案。</w:t>
      </w:r>
    </w:p>
    <w:p w14:paraId="39F3202A">
      <w:pPr>
        <w:widowControl/>
        <w:adjustRightInd w:val="0"/>
        <w:snapToGrid w:val="0"/>
        <w:spacing w:line="360" w:lineRule="auto"/>
        <w:jc w:val="center"/>
        <w:rPr>
          <w:rFonts w:hint="default" w:ascii="Times New Roman" w:hAnsi="Times New Roman" w:cs="Times New Roman"/>
        </w:rPr>
      </w:pPr>
      <w:r>
        <w:rPr>
          <w:rFonts w:hint="default" w:ascii="Times New Roman" w:hAnsi="Times New Roman" w:cs="Times New Roman"/>
        </w:rPr>
        <w:drawing>
          <wp:inline distT="0" distB="0" distL="114300" distR="114300">
            <wp:extent cx="2790190" cy="3942715"/>
            <wp:effectExtent l="0" t="0" r="10160" b="63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20"/>
                    <a:stretch>
                      <a:fillRect/>
                    </a:stretch>
                  </pic:blipFill>
                  <pic:spPr>
                    <a:xfrm>
                      <a:off x="0" y="0"/>
                      <a:ext cx="2790190" cy="3942715"/>
                    </a:xfrm>
                    <a:prstGeom prst="rect">
                      <a:avLst/>
                    </a:prstGeom>
                    <a:noFill/>
                    <a:ln>
                      <a:noFill/>
                    </a:ln>
                  </pic:spPr>
                </pic:pic>
              </a:graphicData>
            </a:graphic>
          </wp:inline>
        </w:drawing>
      </w:r>
    </w:p>
    <w:p w14:paraId="73E7081A">
      <w:pPr>
        <w:widowControl/>
        <w:adjustRightInd w:val="0"/>
        <w:snapToGrid w:val="0"/>
        <w:spacing w:line="360" w:lineRule="auto"/>
        <w:jc w:val="center"/>
        <w:rPr>
          <w:rFonts w:hint="default" w:ascii="Times New Roman" w:hAnsi="Times New Roman" w:cs="Times New Roman"/>
        </w:rPr>
      </w:pPr>
      <w:r>
        <w:rPr>
          <w:rFonts w:hint="default" w:ascii="Times New Roman" w:hAnsi="Times New Roman" w:eastAsia="宋体" w:cs="Times New Roman"/>
          <w:b w:val="0"/>
          <w:bCs w:val="0"/>
          <w:kern w:val="2"/>
          <w:sz w:val="21"/>
          <w:szCs w:val="21"/>
          <w:lang w:val="en-US" w:eastAsia="zh-CN" w:bidi="ar-SA"/>
        </w:rPr>
        <w:t>图2-6 中山市声环境功能区划图</w:t>
      </w:r>
    </w:p>
    <w:p w14:paraId="229039EE">
      <w:pPr>
        <w:widowControl/>
        <w:adjustRightInd w:val="0"/>
        <w:snapToGrid w:val="0"/>
        <w:spacing w:line="360" w:lineRule="auto"/>
        <w:ind w:firstLine="562" w:firstLineChars="200"/>
        <w:outlineLvl w:val="3"/>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（6）中山市装配式建筑（2021-2025年）发展规划</w:t>
      </w:r>
    </w:p>
    <w:p w14:paraId="1A50FE7A">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总体发展目标：到2021年末，全市装配式建筑占新建建筑面积比例达到15%以上，其中政府投资工程装配式建筑面积占比达到50%以上，基本形成适应装配建筑发展的政策和技术保障体系；到2025年末，全市装配式建筑占新建建筑面积比例达到35%以上，其中政府投资工程装配式建筑面积占比达到70%以上，推动形成一批设计、施工、部品部件生产规模化企业，具有现代化装配建造水平的工程总承包企业以及与之相适应的专业化队伍，建成2-4个装配式建筑省级示范基地，力争建成省级装配式建筑示范市。</w:t>
      </w:r>
    </w:p>
    <w:p w14:paraId="1B7AE488">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表2-3 中山市装配式建筑发展指标</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96"/>
        <w:gridCol w:w="3690"/>
        <w:gridCol w:w="568"/>
        <w:gridCol w:w="845"/>
        <w:gridCol w:w="1132"/>
        <w:gridCol w:w="992"/>
        <w:gridCol w:w="1044"/>
      </w:tblGrid>
      <w:tr w14:paraId="7794B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596" w:type="dxa"/>
            <w:vAlign w:val="center"/>
          </w:tcPr>
          <w:p w14:paraId="3479316E">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序号</w:t>
            </w:r>
          </w:p>
        </w:tc>
        <w:tc>
          <w:tcPr>
            <w:tcW w:w="3690" w:type="dxa"/>
            <w:vAlign w:val="center"/>
          </w:tcPr>
          <w:p w14:paraId="5DE99A86">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定量指标</w:t>
            </w:r>
          </w:p>
        </w:tc>
        <w:tc>
          <w:tcPr>
            <w:tcW w:w="568" w:type="dxa"/>
            <w:vAlign w:val="center"/>
          </w:tcPr>
          <w:p w14:paraId="6545B801">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单位</w:t>
            </w:r>
          </w:p>
        </w:tc>
        <w:tc>
          <w:tcPr>
            <w:tcW w:w="845" w:type="dxa"/>
            <w:vAlign w:val="center"/>
          </w:tcPr>
          <w:p w14:paraId="3EA8157E">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现状值</w:t>
            </w:r>
          </w:p>
        </w:tc>
        <w:tc>
          <w:tcPr>
            <w:tcW w:w="1132" w:type="dxa"/>
            <w:vAlign w:val="center"/>
          </w:tcPr>
          <w:p w14:paraId="67ECCF37">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2021年</w:t>
            </w:r>
          </w:p>
          <w:p w14:paraId="6450FEAA">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目标值</w:t>
            </w:r>
          </w:p>
        </w:tc>
        <w:tc>
          <w:tcPr>
            <w:tcW w:w="992" w:type="dxa"/>
            <w:vAlign w:val="center"/>
          </w:tcPr>
          <w:p w14:paraId="46D2C594">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2025年</w:t>
            </w:r>
          </w:p>
          <w:p w14:paraId="031CEF7D">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目标值</w:t>
            </w:r>
          </w:p>
        </w:tc>
        <w:tc>
          <w:tcPr>
            <w:tcW w:w="1044" w:type="dxa"/>
            <w:vAlign w:val="center"/>
          </w:tcPr>
          <w:p w14:paraId="25D41911">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指标属性</w:t>
            </w:r>
          </w:p>
        </w:tc>
      </w:tr>
      <w:tr w14:paraId="386C3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596" w:type="dxa"/>
            <w:vAlign w:val="center"/>
          </w:tcPr>
          <w:p w14:paraId="365CA212">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3690" w:type="dxa"/>
            <w:vAlign w:val="center"/>
          </w:tcPr>
          <w:p w14:paraId="25D85E1F">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装配式建筑占新建建筑比例</w:t>
            </w:r>
          </w:p>
        </w:tc>
        <w:tc>
          <w:tcPr>
            <w:tcW w:w="568" w:type="dxa"/>
            <w:vAlign w:val="center"/>
          </w:tcPr>
          <w:p w14:paraId="38B4D5FC">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845" w:type="dxa"/>
            <w:vAlign w:val="center"/>
          </w:tcPr>
          <w:p w14:paraId="40487729">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1132" w:type="dxa"/>
            <w:vAlign w:val="center"/>
          </w:tcPr>
          <w:p w14:paraId="41378DDD">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≥15%</w:t>
            </w:r>
          </w:p>
        </w:tc>
        <w:tc>
          <w:tcPr>
            <w:tcW w:w="992" w:type="dxa"/>
            <w:vAlign w:val="center"/>
          </w:tcPr>
          <w:p w14:paraId="5EDA576A">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≥35%</w:t>
            </w:r>
          </w:p>
        </w:tc>
        <w:tc>
          <w:tcPr>
            <w:tcW w:w="1044" w:type="dxa"/>
            <w:vAlign w:val="center"/>
          </w:tcPr>
          <w:p w14:paraId="457566AE">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约束性</w:t>
            </w:r>
          </w:p>
        </w:tc>
      </w:tr>
      <w:tr w14:paraId="6778E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596" w:type="dxa"/>
            <w:vAlign w:val="center"/>
          </w:tcPr>
          <w:p w14:paraId="2D8BC618">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2</w:t>
            </w:r>
          </w:p>
        </w:tc>
        <w:tc>
          <w:tcPr>
            <w:tcW w:w="3690" w:type="dxa"/>
            <w:vAlign w:val="center"/>
          </w:tcPr>
          <w:p w14:paraId="700AE198">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政府投资工程装配式建筑面积占比</w:t>
            </w:r>
          </w:p>
        </w:tc>
        <w:tc>
          <w:tcPr>
            <w:tcW w:w="568" w:type="dxa"/>
            <w:vAlign w:val="center"/>
          </w:tcPr>
          <w:p w14:paraId="0107717B">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845" w:type="dxa"/>
            <w:vAlign w:val="center"/>
          </w:tcPr>
          <w:p w14:paraId="532B2EED">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1132" w:type="dxa"/>
            <w:vAlign w:val="center"/>
          </w:tcPr>
          <w:p w14:paraId="5A7CBEB9">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≥50%</w:t>
            </w:r>
          </w:p>
        </w:tc>
        <w:tc>
          <w:tcPr>
            <w:tcW w:w="992" w:type="dxa"/>
            <w:vAlign w:val="center"/>
          </w:tcPr>
          <w:p w14:paraId="2380D1AF">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≥70%</w:t>
            </w:r>
          </w:p>
        </w:tc>
        <w:tc>
          <w:tcPr>
            <w:tcW w:w="1044" w:type="dxa"/>
            <w:vAlign w:val="center"/>
          </w:tcPr>
          <w:p w14:paraId="7E3D62F5">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约束性</w:t>
            </w:r>
          </w:p>
        </w:tc>
      </w:tr>
      <w:tr w14:paraId="3FE93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596" w:type="dxa"/>
            <w:vAlign w:val="center"/>
          </w:tcPr>
          <w:p w14:paraId="1732B7F6">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3</w:t>
            </w:r>
          </w:p>
        </w:tc>
        <w:tc>
          <w:tcPr>
            <w:tcW w:w="3690" w:type="dxa"/>
            <w:vAlign w:val="center"/>
          </w:tcPr>
          <w:p w14:paraId="02402044">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装配式建筑全装修项目比例</w:t>
            </w:r>
          </w:p>
        </w:tc>
        <w:tc>
          <w:tcPr>
            <w:tcW w:w="568" w:type="dxa"/>
            <w:vAlign w:val="center"/>
          </w:tcPr>
          <w:p w14:paraId="265BE260">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845" w:type="dxa"/>
            <w:vAlign w:val="center"/>
          </w:tcPr>
          <w:p w14:paraId="23184450">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1132" w:type="dxa"/>
            <w:vAlign w:val="center"/>
          </w:tcPr>
          <w:p w14:paraId="50A9E02A">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≥100%</w:t>
            </w:r>
          </w:p>
        </w:tc>
        <w:tc>
          <w:tcPr>
            <w:tcW w:w="992" w:type="dxa"/>
            <w:vAlign w:val="center"/>
          </w:tcPr>
          <w:p w14:paraId="49AC899E">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≥100%</w:t>
            </w:r>
          </w:p>
        </w:tc>
        <w:tc>
          <w:tcPr>
            <w:tcW w:w="1044" w:type="dxa"/>
            <w:vAlign w:val="center"/>
          </w:tcPr>
          <w:p w14:paraId="367C336C">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约束性</w:t>
            </w:r>
          </w:p>
        </w:tc>
      </w:tr>
      <w:tr w14:paraId="76305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596" w:type="dxa"/>
            <w:vAlign w:val="center"/>
          </w:tcPr>
          <w:p w14:paraId="62D6FCA2">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4</w:t>
            </w:r>
          </w:p>
        </w:tc>
        <w:tc>
          <w:tcPr>
            <w:tcW w:w="3690" w:type="dxa"/>
            <w:vAlign w:val="center"/>
          </w:tcPr>
          <w:p w14:paraId="6FF58934">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装配式建筑部品部件生产基地</w:t>
            </w:r>
          </w:p>
        </w:tc>
        <w:tc>
          <w:tcPr>
            <w:tcW w:w="568" w:type="dxa"/>
            <w:vAlign w:val="center"/>
          </w:tcPr>
          <w:p w14:paraId="0E7E2EAA">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个</w:t>
            </w:r>
          </w:p>
        </w:tc>
        <w:tc>
          <w:tcPr>
            <w:tcW w:w="845" w:type="dxa"/>
            <w:vAlign w:val="center"/>
          </w:tcPr>
          <w:p w14:paraId="005453DB">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1132" w:type="dxa"/>
            <w:vAlign w:val="center"/>
          </w:tcPr>
          <w:p w14:paraId="25AB9AA3">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≥2</w:t>
            </w:r>
          </w:p>
        </w:tc>
        <w:tc>
          <w:tcPr>
            <w:tcW w:w="992" w:type="dxa"/>
            <w:vAlign w:val="center"/>
          </w:tcPr>
          <w:p w14:paraId="601D912C">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≥3</w:t>
            </w:r>
          </w:p>
        </w:tc>
        <w:tc>
          <w:tcPr>
            <w:tcW w:w="1044" w:type="dxa"/>
            <w:vAlign w:val="center"/>
          </w:tcPr>
          <w:p w14:paraId="5BE0A8BA">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预期性</w:t>
            </w:r>
          </w:p>
        </w:tc>
      </w:tr>
      <w:tr w14:paraId="72FAD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596" w:type="dxa"/>
            <w:vAlign w:val="center"/>
          </w:tcPr>
          <w:p w14:paraId="68B215D6">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5</w:t>
            </w:r>
          </w:p>
        </w:tc>
        <w:tc>
          <w:tcPr>
            <w:tcW w:w="3690" w:type="dxa"/>
            <w:vAlign w:val="center"/>
          </w:tcPr>
          <w:p w14:paraId="24C7749A">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装配式建筑省级示范项目</w:t>
            </w:r>
          </w:p>
        </w:tc>
        <w:tc>
          <w:tcPr>
            <w:tcW w:w="568" w:type="dxa"/>
            <w:vAlign w:val="center"/>
          </w:tcPr>
          <w:p w14:paraId="5B954DE9">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个</w:t>
            </w:r>
          </w:p>
        </w:tc>
        <w:tc>
          <w:tcPr>
            <w:tcW w:w="845" w:type="dxa"/>
            <w:vAlign w:val="center"/>
          </w:tcPr>
          <w:p w14:paraId="62F94B85">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1132" w:type="dxa"/>
            <w:vAlign w:val="center"/>
          </w:tcPr>
          <w:p w14:paraId="2A89F165">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≥2</w:t>
            </w:r>
          </w:p>
        </w:tc>
        <w:tc>
          <w:tcPr>
            <w:tcW w:w="992" w:type="dxa"/>
            <w:vAlign w:val="center"/>
          </w:tcPr>
          <w:p w14:paraId="5042D1A4">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≥5</w:t>
            </w:r>
          </w:p>
        </w:tc>
        <w:tc>
          <w:tcPr>
            <w:tcW w:w="1044" w:type="dxa"/>
            <w:vAlign w:val="center"/>
          </w:tcPr>
          <w:p w14:paraId="3BD282DA">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预期性</w:t>
            </w:r>
          </w:p>
        </w:tc>
      </w:tr>
    </w:tbl>
    <w:p w14:paraId="7AD3B125">
      <w:pPr>
        <w:pStyle w:val="2"/>
        <w:rPr>
          <w:rFonts w:hint="default" w:ascii="Times New Roman" w:hAnsi="Times New Roman" w:cs="Times New Roman"/>
        </w:rPr>
      </w:pPr>
    </w:p>
    <w:p w14:paraId="732DC2C4">
      <w:pPr>
        <w:pStyle w:val="10"/>
        <w:jc w:val="center"/>
        <w:rPr>
          <w:rFonts w:hint="default" w:ascii="Times New Roman" w:hAnsi="Times New Roman" w:cs="Times New Roman"/>
          <w:b/>
          <w:bCs/>
        </w:rPr>
      </w:pPr>
      <w:r>
        <w:rPr>
          <w:rFonts w:hint="default" w:ascii="Times New Roman" w:hAnsi="Times New Roman" w:cs="Times New Roman"/>
          <w:b/>
          <w:bCs/>
        </w:rPr>
        <w:drawing>
          <wp:inline distT="0" distB="0" distL="114300" distR="114300">
            <wp:extent cx="4908550" cy="3949065"/>
            <wp:effectExtent l="0" t="0" r="6350" b="13335"/>
            <wp:docPr id="3" name="图片 1" descr="eaea339edbbdfd340b5cfa52f023d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eaea339edbbdfd340b5cfa52f023d75"/>
                    <pic:cNvPicPr>
                      <a:picLocks noChangeAspect="1"/>
                    </pic:cNvPicPr>
                  </pic:nvPicPr>
                  <pic:blipFill>
                    <a:blip r:embed="rId21"/>
                    <a:srcRect l="15170" t="7624" r="5625" b="5844"/>
                    <a:stretch>
                      <a:fillRect/>
                    </a:stretch>
                  </pic:blipFill>
                  <pic:spPr>
                    <a:xfrm>
                      <a:off x="0" y="0"/>
                      <a:ext cx="4908550" cy="3949065"/>
                    </a:xfrm>
                    <a:prstGeom prst="rect">
                      <a:avLst/>
                    </a:prstGeom>
                    <a:noFill/>
                    <a:ln>
                      <a:noFill/>
                    </a:ln>
                  </pic:spPr>
                </pic:pic>
              </a:graphicData>
            </a:graphic>
          </wp:inline>
        </w:drawing>
      </w:r>
    </w:p>
    <w:p w14:paraId="5A1C989C">
      <w:pPr>
        <w:pStyle w:val="1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图2-7中山市装配式建筑分区划分及指标</w:t>
      </w:r>
    </w:p>
    <w:p w14:paraId="40E6B812">
      <w:pPr>
        <w:rPr>
          <w:rFonts w:hint="default" w:ascii="Times New Roman" w:hAnsi="Times New Roman" w:cs="Times New Roman"/>
        </w:rPr>
      </w:pPr>
    </w:p>
    <w:p w14:paraId="7722C1E8">
      <w:pPr>
        <w:rPr>
          <w:rFonts w:hint="default" w:ascii="Times New Roman" w:hAnsi="Times New Roman" w:cs="Times New Roman"/>
        </w:rPr>
      </w:pPr>
    </w:p>
    <w:p w14:paraId="3991C836">
      <w:pPr>
        <w:widowControl/>
        <w:adjustRightInd w:val="0"/>
        <w:snapToGrid w:val="0"/>
        <w:spacing w:line="360" w:lineRule="auto"/>
        <w:ind w:firstLine="562" w:firstLineChars="200"/>
        <w:outlineLvl w:val="3"/>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（7）中山市公共交通系统规划</w:t>
      </w:r>
    </w:p>
    <w:p w14:paraId="3253570F">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总体发展目标：落实</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公交都市、公交优先</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 xml:space="preserve">发展理念，建立以轨道交通+快速化公交为骨架、常规公交为主体、出租车和水上巴士为补充、公共自行车为延伸的层次分明、模式多元、适度竞争的一体化大公交体系。为市民提供快捷、安全、方便、舒适的公共交通服务，支撑中山市粤大湾区西翼重要交通枢纽、珠江西岸区域性综合交通枢纽、珠三角宜居精品城市建设。 </w:t>
      </w:r>
    </w:p>
    <w:p w14:paraId="57BE01A3">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规划范围：包括中山市域全境，陆域总面积1800平方公里。其中以主城区为规划研究重点范围，包含石岐、东区、西区、南区4个区，陆域总面积为362平方公里。</w:t>
      </w:r>
    </w:p>
    <w:p w14:paraId="7C9C3F01">
      <w:pPr>
        <w:rPr>
          <w:rFonts w:hint="default" w:ascii="Times New Roman" w:hAnsi="Times New Roman" w:eastAsia="宋体" w:cs="Times New Roman"/>
          <w:sz w:val="21"/>
          <w:szCs w:val="21"/>
        </w:rPr>
      </w:pPr>
      <w:r>
        <w:rPr>
          <w:rFonts w:hint="default" w:ascii="Times New Roman" w:hAnsi="Times New Roman" w:eastAsia="宋体" w:cs="Times New Roman"/>
          <w:sz w:val="21"/>
          <w:szCs w:val="21"/>
        </w:rPr>
        <w:br w:type="page"/>
      </w:r>
    </w:p>
    <w:p w14:paraId="41CA58F4">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表2-4 中山市公共交通发展核心指标</w:t>
      </w:r>
    </w:p>
    <w:tbl>
      <w:tblPr>
        <w:tblStyle w:val="25"/>
        <w:tblW w:w="8258" w:type="dxa"/>
        <w:tblInd w:w="0" w:type="dxa"/>
        <w:tblLayout w:type="fixed"/>
        <w:tblCellMar>
          <w:top w:w="0" w:type="dxa"/>
          <w:left w:w="0" w:type="dxa"/>
          <w:bottom w:w="0" w:type="dxa"/>
          <w:right w:w="0" w:type="dxa"/>
        </w:tblCellMar>
      </w:tblPr>
      <w:tblGrid>
        <w:gridCol w:w="424"/>
        <w:gridCol w:w="3667"/>
        <w:gridCol w:w="717"/>
        <w:gridCol w:w="966"/>
        <w:gridCol w:w="934"/>
        <w:gridCol w:w="766"/>
        <w:gridCol w:w="784"/>
      </w:tblGrid>
      <w:tr w14:paraId="7D968E14">
        <w:tblPrEx>
          <w:tblCellMar>
            <w:top w:w="0" w:type="dxa"/>
            <w:left w:w="0" w:type="dxa"/>
            <w:bottom w:w="0" w:type="dxa"/>
            <w:right w:w="0" w:type="dxa"/>
          </w:tblCellMar>
        </w:tblPrEx>
        <w:trPr>
          <w:trHeight w:val="270" w:hRule="atLeast"/>
        </w:trPr>
        <w:tc>
          <w:tcPr>
            <w:tcW w:w="4808" w:type="dxa"/>
            <w:gridSpan w:val="3"/>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92819E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指标类型</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1C21F0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单位</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E064A2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现状值2018</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441492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目标值2023</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E0480D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目标值2030</w:t>
            </w:r>
          </w:p>
        </w:tc>
      </w:tr>
      <w:tr w14:paraId="095F890A">
        <w:tblPrEx>
          <w:tblCellMar>
            <w:top w:w="0" w:type="dxa"/>
            <w:left w:w="0" w:type="dxa"/>
            <w:bottom w:w="0" w:type="dxa"/>
            <w:right w:w="0" w:type="dxa"/>
          </w:tblCellMar>
        </w:tblPrEx>
        <w:trPr>
          <w:trHeight w:val="270" w:hRule="atLeast"/>
        </w:trPr>
        <w:tc>
          <w:tcPr>
            <w:tcW w:w="424" w:type="dxa"/>
            <w:vMerge w:val="restar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30D4CDB">
            <w:pPr>
              <w:widowControl/>
              <w:ind w:left="0" w:leftChars="0"/>
              <w:jc w:val="center"/>
              <w:textAlignment w:val="center"/>
              <w:rPr>
                <w:rFonts w:hint="eastAsia" w:ascii="Times New Roman" w:hAnsi="Times New Roman" w:eastAsia="宋体" w:cs="Times New Roman"/>
                <w:color w:val="000000"/>
                <w:kern w:val="0"/>
                <w:sz w:val="21"/>
                <w:szCs w:val="21"/>
                <w:lang w:eastAsia="zh-CN" w:bidi="ar"/>
              </w:rPr>
            </w:pPr>
            <w:r>
              <w:rPr>
                <w:rFonts w:hint="default" w:ascii="Times New Roman" w:hAnsi="Times New Roman" w:eastAsia="宋体" w:cs="Times New Roman"/>
                <w:color w:val="000000"/>
                <w:kern w:val="0"/>
                <w:sz w:val="21"/>
                <w:szCs w:val="21"/>
                <w:lang w:bidi="ar"/>
              </w:rPr>
              <w:t>完善的公</w:t>
            </w:r>
          </w:p>
          <w:p w14:paraId="29830B20">
            <w:pPr>
              <w:widowControl/>
              <w:ind w:left="0" w:leftChars="0"/>
              <w:jc w:val="center"/>
              <w:textAlignment w:val="center"/>
              <w:rPr>
                <w:rFonts w:hint="eastAsia" w:ascii="Times New Roman" w:hAnsi="Times New Roman" w:eastAsia="宋体" w:cs="Times New Roman"/>
                <w:color w:val="000000"/>
                <w:kern w:val="0"/>
                <w:sz w:val="21"/>
                <w:szCs w:val="21"/>
                <w:lang w:eastAsia="zh-CN" w:bidi="ar"/>
              </w:rPr>
            </w:pPr>
            <w:r>
              <w:rPr>
                <w:rFonts w:hint="default" w:ascii="Times New Roman" w:hAnsi="Times New Roman" w:eastAsia="宋体" w:cs="Times New Roman"/>
                <w:color w:val="000000"/>
                <w:kern w:val="0"/>
                <w:sz w:val="21"/>
                <w:szCs w:val="21"/>
                <w:lang w:bidi="ar"/>
              </w:rPr>
              <w:t>共交通服</w:t>
            </w:r>
          </w:p>
          <w:p w14:paraId="20E97AE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务体系</w:t>
            </w:r>
          </w:p>
        </w:tc>
        <w:tc>
          <w:tcPr>
            <w:tcW w:w="3667" w:type="dxa"/>
            <w:vMerge w:val="restar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2BA723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公交机动化分担率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3CF83A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215026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9214B9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6.5</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37358A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D1578B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30</w:t>
            </w:r>
          </w:p>
        </w:tc>
      </w:tr>
      <w:tr w14:paraId="476FE46D">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9E31D23">
            <w:pPr>
              <w:ind w:left="0" w:leftChars="0"/>
              <w:jc w:val="center"/>
              <w:rPr>
                <w:rFonts w:hint="default" w:ascii="Times New Roman" w:hAnsi="Times New Roman" w:eastAsia="宋体" w:cs="Times New Roman"/>
                <w:color w:val="000000"/>
                <w:sz w:val="21"/>
                <w:szCs w:val="21"/>
              </w:rPr>
            </w:pPr>
          </w:p>
        </w:tc>
        <w:tc>
          <w:tcPr>
            <w:tcW w:w="3667"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C5AB626">
            <w:pPr>
              <w:ind w:left="0" w:leftChars="0"/>
              <w:jc w:val="center"/>
              <w:rPr>
                <w:rFonts w:hint="default" w:ascii="Times New Roman" w:hAnsi="Times New Roman" w:eastAsia="宋体" w:cs="Times New Roman"/>
                <w:color w:val="000000"/>
                <w:sz w:val="21"/>
                <w:szCs w:val="21"/>
              </w:rPr>
            </w:pP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A9B7C4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74E11C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66269B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37.1</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3DEEA2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45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A1E798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60</w:t>
            </w:r>
          </w:p>
        </w:tc>
      </w:tr>
      <w:tr w14:paraId="433CDC30">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15384C4">
            <w:pPr>
              <w:ind w:left="0" w:leftChars="0"/>
              <w:jc w:val="center"/>
              <w:rPr>
                <w:rFonts w:hint="default" w:ascii="Times New Roman" w:hAnsi="Times New Roman" w:eastAsia="宋体" w:cs="Times New Roman"/>
                <w:color w:val="000000"/>
                <w:sz w:val="21"/>
                <w:szCs w:val="21"/>
              </w:rPr>
            </w:pPr>
          </w:p>
        </w:tc>
        <w:tc>
          <w:tcPr>
            <w:tcW w:w="3667" w:type="dxa"/>
            <w:vMerge w:val="restar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84A364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绿色出行全方式分担率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0F4805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068ECB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FF502C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60</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8D842D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66</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628EFC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78</w:t>
            </w:r>
          </w:p>
        </w:tc>
      </w:tr>
      <w:tr w14:paraId="1BD5BED5">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DA9F5E0">
            <w:pPr>
              <w:ind w:left="0" w:leftChars="0"/>
              <w:jc w:val="center"/>
              <w:rPr>
                <w:rFonts w:hint="default" w:ascii="Times New Roman" w:hAnsi="Times New Roman" w:eastAsia="宋体" w:cs="Times New Roman"/>
                <w:color w:val="000000"/>
                <w:sz w:val="21"/>
                <w:szCs w:val="21"/>
              </w:rPr>
            </w:pPr>
          </w:p>
        </w:tc>
        <w:tc>
          <w:tcPr>
            <w:tcW w:w="3667"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D189ACE">
            <w:pPr>
              <w:ind w:left="0" w:leftChars="0"/>
              <w:jc w:val="center"/>
              <w:rPr>
                <w:rFonts w:hint="default" w:ascii="Times New Roman" w:hAnsi="Times New Roman" w:eastAsia="宋体" w:cs="Times New Roman"/>
                <w:color w:val="000000"/>
                <w:sz w:val="21"/>
                <w:szCs w:val="21"/>
              </w:rPr>
            </w:pP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BFC18C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5CA8B6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827DAC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63</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01FFBA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75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CAA989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83</w:t>
            </w:r>
          </w:p>
        </w:tc>
      </w:tr>
      <w:tr w14:paraId="5B4A9B17">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8DE32F4">
            <w:pPr>
              <w:ind w:left="0" w:leftChars="0"/>
              <w:jc w:val="center"/>
              <w:rPr>
                <w:rFonts w:hint="default" w:ascii="Times New Roman" w:hAnsi="Times New Roman" w:eastAsia="宋体" w:cs="Times New Roman"/>
                <w:color w:val="000000"/>
                <w:sz w:val="21"/>
                <w:szCs w:val="21"/>
              </w:rPr>
            </w:pPr>
          </w:p>
        </w:tc>
        <w:tc>
          <w:tcPr>
            <w:tcW w:w="3667" w:type="dxa"/>
            <w:vMerge w:val="restar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25D49A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公共交通线网密度</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0B31583">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A092FD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km/km²</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DB3966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2.6</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C3FCCF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C0453A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3.5</w:t>
            </w:r>
          </w:p>
        </w:tc>
      </w:tr>
      <w:tr w14:paraId="51598D04">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26613A7">
            <w:pPr>
              <w:ind w:left="0" w:leftChars="0"/>
              <w:jc w:val="center"/>
              <w:rPr>
                <w:rFonts w:hint="default" w:ascii="Times New Roman" w:hAnsi="Times New Roman" w:eastAsia="宋体" w:cs="Times New Roman"/>
                <w:color w:val="000000"/>
                <w:sz w:val="21"/>
                <w:szCs w:val="21"/>
              </w:rPr>
            </w:pPr>
          </w:p>
        </w:tc>
        <w:tc>
          <w:tcPr>
            <w:tcW w:w="3667"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1C866E5">
            <w:pPr>
              <w:ind w:left="0" w:leftChars="0"/>
              <w:jc w:val="center"/>
              <w:rPr>
                <w:rFonts w:hint="default" w:ascii="Times New Roman" w:hAnsi="Times New Roman" w:eastAsia="宋体" w:cs="Times New Roman"/>
                <w:color w:val="000000"/>
                <w:sz w:val="21"/>
                <w:szCs w:val="21"/>
              </w:rPr>
            </w:pP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39C789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680230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km/km²</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B60DDF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3.58</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A370C5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3.8</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870FBC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4</w:t>
            </w:r>
          </w:p>
        </w:tc>
      </w:tr>
      <w:tr w14:paraId="2129D21D">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C1790D3">
            <w:pPr>
              <w:ind w:left="0" w:leftChars="0"/>
              <w:jc w:val="center"/>
              <w:rPr>
                <w:rFonts w:hint="default" w:ascii="Times New Roman" w:hAnsi="Times New Roman" w:eastAsia="宋体" w:cs="Times New Roman"/>
                <w:color w:val="000000"/>
                <w:sz w:val="21"/>
                <w:szCs w:val="21"/>
              </w:rPr>
            </w:pPr>
          </w:p>
        </w:tc>
        <w:tc>
          <w:tcPr>
            <w:tcW w:w="3667" w:type="dxa"/>
            <w:vMerge w:val="restar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57E4AD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公共交通站点500米覆盖率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61BCD2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2E7335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6B9FFD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72.4</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948A6F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85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16C8FC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95</w:t>
            </w:r>
          </w:p>
        </w:tc>
      </w:tr>
      <w:tr w14:paraId="2BFA0AB3">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E1350D3">
            <w:pPr>
              <w:ind w:left="0" w:leftChars="0"/>
              <w:jc w:val="center"/>
              <w:rPr>
                <w:rFonts w:hint="default" w:ascii="Times New Roman" w:hAnsi="Times New Roman" w:eastAsia="宋体" w:cs="Times New Roman"/>
                <w:color w:val="000000"/>
                <w:sz w:val="21"/>
                <w:szCs w:val="21"/>
              </w:rPr>
            </w:pPr>
          </w:p>
        </w:tc>
        <w:tc>
          <w:tcPr>
            <w:tcW w:w="3667"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6CDAA50">
            <w:pPr>
              <w:ind w:left="0" w:leftChars="0"/>
              <w:jc w:val="center"/>
              <w:rPr>
                <w:rFonts w:hint="default" w:ascii="Times New Roman" w:hAnsi="Times New Roman" w:eastAsia="宋体" w:cs="Times New Roman"/>
                <w:color w:val="000000"/>
                <w:sz w:val="21"/>
                <w:szCs w:val="21"/>
              </w:rPr>
            </w:pP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FC81F60">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EFAF41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E069F9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93.6</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32DE2D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145F44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r>
      <w:tr w14:paraId="6DACF8A1">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4F53164">
            <w:pPr>
              <w:ind w:left="0" w:leftChars="0"/>
              <w:jc w:val="center"/>
              <w:rPr>
                <w:rFonts w:hint="default" w:ascii="Times New Roman" w:hAnsi="Times New Roman" w:eastAsia="宋体" w:cs="Times New Roman"/>
                <w:color w:val="000000"/>
                <w:sz w:val="21"/>
                <w:szCs w:val="21"/>
              </w:rPr>
            </w:pPr>
          </w:p>
        </w:tc>
        <w:tc>
          <w:tcPr>
            <w:tcW w:w="3667" w:type="dxa"/>
            <w:vMerge w:val="restar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489CDD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公共交通站点300米覆盖率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224329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743756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AEB7E40">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44.6</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0AFABB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52.7</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764256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60</w:t>
            </w:r>
          </w:p>
        </w:tc>
      </w:tr>
      <w:tr w14:paraId="2A1D293A">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DF84688">
            <w:pPr>
              <w:ind w:left="0" w:leftChars="0"/>
              <w:jc w:val="center"/>
              <w:rPr>
                <w:rFonts w:hint="default" w:ascii="Times New Roman" w:hAnsi="Times New Roman" w:eastAsia="宋体" w:cs="Times New Roman"/>
                <w:color w:val="000000"/>
                <w:sz w:val="21"/>
                <w:szCs w:val="21"/>
              </w:rPr>
            </w:pPr>
          </w:p>
        </w:tc>
        <w:tc>
          <w:tcPr>
            <w:tcW w:w="3667"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F65A690">
            <w:pPr>
              <w:ind w:left="0" w:leftChars="0"/>
              <w:jc w:val="center"/>
              <w:rPr>
                <w:rFonts w:hint="default" w:ascii="Times New Roman" w:hAnsi="Times New Roman" w:eastAsia="宋体" w:cs="Times New Roman"/>
                <w:color w:val="000000"/>
                <w:sz w:val="21"/>
                <w:szCs w:val="21"/>
              </w:rPr>
            </w:pP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7D2C6A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86E120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2B34E5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63.4</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63B364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AF57B6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70</w:t>
            </w:r>
          </w:p>
        </w:tc>
      </w:tr>
      <w:tr w14:paraId="09E62046">
        <w:tblPrEx>
          <w:tblCellMar>
            <w:top w:w="0" w:type="dxa"/>
            <w:left w:w="0" w:type="dxa"/>
            <w:bottom w:w="0" w:type="dxa"/>
            <w:right w:w="0" w:type="dxa"/>
          </w:tblCellMar>
        </w:tblPrEx>
        <w:trPr>
          <w:trHeight w:val="54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FF77E94">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D04C2A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公共交通与小汽车出行时间比</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166346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FD7D65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02F5E9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2.0</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2F9364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1.8</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166136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1.4</w:t>
            </w:r>
          </w:p>
        </w:tc>
      </w:tr>
      <w:tr w14:paraId="173ABC67">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D884216">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42ECF6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中心城区到达区域综合客运枢纽公共交通出行时间</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735C93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C3FD61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分钟</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306973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46</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6B50F6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03E2F90">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30</w:t>
            </w:r>
          </w:p>
        </w:tc>
      </w:tr>
      <w:tr w14:paraId="0C2535CB">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4087970">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9C9BB6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城市综合客运枢纽不同运输方式换乘时间</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B130523">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62A0B7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分钟</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091765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15</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D629C2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CB924F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4</w:t>
            </w:r>
          </w:p>
        </w:tc>
      </w:tr>
      <w:tr w14:paraId="5FD762E5">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296E70B">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3C2D4A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公共交通车船智能化调度和监控率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BF0B312">
            <w:pPr>
              <w:ind w:left="0" w:leftChars="0"/>
              <w:jc w:val="center"/>
              <w:rPr>
                <w:rFonts w:hint="default" w:ascii="Times New Roman" w:hAnsi="Times New Roman" w:eastAsia="宋体" w:cs="Times New Roman"/>
                <w:color w:val="000000"/>
                <w:sz w:val="21"/>
                <w:szCs w:val="21"/>
              </w:rPr>
            </w:pP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A91679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0D1E41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50632F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B92567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r>
      <w:tr w14:paraId="53B02EB5">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F46A53B">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43308F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高峰期公交平均运营速度</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1689A1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9468BC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公里/小时</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D32DF5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22.11</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ED5820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643C15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35</w:t>
            </w:r>
          </w:p>
        </w:tc>
      </w:tr>
      <w:tr w14:paraId="40172057">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A667E89">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329AB4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高峰时段公交车辆满载率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9C84A4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7BC994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D6AD00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71</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2530A2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&lt;90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04BD55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&lt;85</w:t>
            </w:r>
          </w:p>
        </w:tc>
      </w:tr>
      <w:tr w14:paraId="36888E77">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977A00A">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9DD08C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公交准点率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C4CF7A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670DC0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0AAD64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82</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B21B423">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85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B824BA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95</w:t>
            </w:r>
          </w:p>
        </w:tc>
      </w:tr>
      <w:tr w14:paraId="6F2980F7">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1A0ADA3">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08496B3">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建制村客运通达率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333F2E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F8C03D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1DEDA9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E67B0C3">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3D19B2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r>
      <w:tr w14:paraId="272AAA72">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B5FA2EF">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52177F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公共交通乘客满意度</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327756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65583C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125A14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88.7</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34EB14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90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9DF000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92</w:t>
            </w:r>
          </w:p>
        </w:tc>
      </w:tr>
      <w:tr w14:paraId="39718DFE">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82C439D">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A27752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公共交通一卡通覆盖率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9EB9CA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03B4DB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0BBC35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115F62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D69C74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r>
      <w:tr w14:paraId="6555F6C7">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2EA6603">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63713D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城市公共汽电车责任事故死亡率（人/百万车公里）</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6CAA78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22C3A5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人/百万车公里</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749024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0.06</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471E6B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0.04</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DCE1D9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0.04</w:t>
            </w:r>
          </w:p>
        </w:tc>
      </w:tr>
      <w:tr w14:paraId="4D2CAA4B">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D7E9131">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183E68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公共汽电车交通责任事故年均死亡率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433B9A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164C9E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人/万标台</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C8AD86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3.5</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EECE22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2.3</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359EE1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2.3</w:t>
            </w:r>
          </w:p>
        </w:tc>
      </w:tr>
      <w:tr w14:paraId="7BDA2916">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AF696D6">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1E4BD1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公共交通补贴补偿资金到位率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C6E248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DE7D22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0CD016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6902D0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75BF16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r>
      <w:tr w14:paraId="693F60A8">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841A908">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FA1760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公共交通在交通建设投资中所占比例</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A002B4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62BB6F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0FDEFE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&lt;5</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3CCABE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B80B90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25</w:t>
            </w:r>
          </w:p>
        </w:tc>
      </w:tr>
      <w:tr w14:paraId="5137763D">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9001754">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B3B7C5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多元化公共交通服务体系</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F8E6BC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F5FFCC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01A867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未建立</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23B87C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建立</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AE30B2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建立</w:t>
            </w:r>
          </w:p>
        </w:tc>
      </w:tr>
      <w:tr w14:paraId="2E3F71C6">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629BD7A">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09821C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区域公共交通协调管理机制</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B61FC03">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A82E78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EC2913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初步建立</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52212F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建立</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5F47E3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建立</w:t>
            </w:r>
          </w:p>
        </w:tc>
      </w:tr>
      <w:tr w14:paraId="0535F760">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789E2BA">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57F105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社会公众综合出行信息服务平台</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8980E8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A9663B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4E4A0F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初步建立</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B2F6AF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建立</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0292600">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建立</w:t>
            </w:r>
          </w:p>
        </w:tc>
      </w:tr>
      <w:tr w14:paraId="01E0CB85">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D5E19C5">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F334AB0">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多层次差别化公共价格体系</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C0D019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165649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A65529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未建立</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E89881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建立</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B8B771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建立</w:t>
            </w:r>
          </w:p>
        </w:tc>
      </w:tr>
      <w:tr w14:paraId="5621D69E">
        <w:tblPrEx>
          <w:tblCellMar>
            <w:top w:w="0" w:type="dxa"/>
            <w:left w:w="0" w:type="dxa"/>
            <w:bottom w:w="0" w:type="dxa"/>
            <w:right w:w="0" w:type="dxa"/>
          </w:tblCellMar>
        </w:tblPrEx>
        <w:trPr>
          <w:trHeight w:val="270" w:hRule="atLeast"/>
        </w:trPr>
        <w:tc>
          <w:tcPr>
            <w:tcW w:w="424" w:type="dxa"/>
            <w:vMerge w:val="restar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092D39B">
            <w:pPr>
              <w:widowControl/>
              <w:ind w:left="0" w:leftChars="0"/>
              <w:jc w:val="center"/>
              <w:textAlignment w:val="center"/>
              <w:rPr>
                <w:rFonts w:hint="eastAsia" w:ascii="Times New Roman" w:hAnsi="Times New Roman" w:eastAsia="宋体" w:cs="Times New Roman"/>
                <w:color w:val="000000"/>
                <w:kern w:val="0"/>
                <w:sz w:val="21"/>
                <w:szCs w:val="21"/>
                <w:lang w:eastAsia="zh-CN" w:bidi="ar"/>
              </w:rPr>
            </w:pPr>
            <w:r>
              <w:rPr>
                <w:rFonts w:hint="default" w:ascii="Times New Roman" w:hAnsi="Times New Roman" w:eastAsia="宋体" w:cs="Times New Roman"/>
                <w:color w:val="000000"/>
                <w:kern w:val="0"/>
                <w:sz w:val="21"/>
                <w:szCs w:val="21"/>
                <w:lang w:bidi="ar"/>
              </w:rPr>
              <w:t>发达的公</w:t>
            </w:r>
          </w:p>
          <w:p w14:paraId="61A060B9">
            <w:pPr>
              <w:widowControl/>
              <w:ind w:left="0" w:leftChars="0"/>
              <w:jc w:val="center"/>
              <w:textAlignment w:val="center"/>
              <w:rPr>
                <w:rFonts w:hint="eastAsia" w:ascii="Times New Roman" w:hAnsi="Times New Roman" w:eastAsia="宋体" w:cs="Times New Roman"/>
                <w:color w:val="000000"/>
                <w:kern w:val="0"/>
                <w:sz w:val="21"/>
                <w:szCs w:val="21"/>
                <w:lang w:eastAsia="zh-CN" w:bidi="ar"/>
              </w:rPr>
            </w:pPr>
            <w:r>
              <w:rPr>
                <w:rFonts w:hint="default" w:ascii="Times New Roman" w:hAnsi="Times New Roman" w:eastAsia="宋体" w:cs="Times New Roman"/>
                <w:color w:val="000000"/>
                <w:kern w:val="0"/>
                <w:sz w:val="21"/>
                <w:szCs w:val="21"/>
                <w:lang w:bidi="ar"/>
              </w:rPr>
              <w:t>共交通设</w:t>
            </w:r>
          </w:p>
          <w:p w14:paraId="160854D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施体系</w:t>
            </w:r>
          </w:p>
        </w:tc>
        <w:tc>
          <w:tcPr>
            <w:tcW w:w="3667" w:type="dxa"/>
            <w:vMerge w:val="restar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844044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万人公共交通车辆保有量</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9B6679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5C0D87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标台</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082DF4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7.6</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2950F3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45A414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11</w:t>
            </w:r>
          </w:p>
        </w:tc>
      </w:tr>
      <w:tr w14:paraId="0C69FBFC">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CA0699E">
            <w:pPr>
              <w:ind w:left="0" w:leftChars="0"/>
              <w:jc w:val="center"/>
              <w:rPr>
                <w:rFonts w:hint="default" w:ascii="Times New Roman" w:hAnsi="Times New Roman" w:eastAsia="宋体" w:cs="Times New Roman"/>
                <w:color w:val="000000"/>
                <w:sz w:val="21"/>
                <w:szCs w:val="21"/>
              </w:rPr>
            </w:pPr>
          </w:p>
        </w:tc>
        <w:tc>
          <w:tcPr>
            <w:tcW w:w="3667"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4F72AFB">
            <w:pPr>
              <w:ind w:left="0" w:leftChars="0"/>
              <w:jc w:val="center"/>
              <w:rPr>
                <w:rFonts w:hint="default" w:ascii="Times New Roman" w:hAnsi="Times New Roman" w:eastAsia="宋体" w:cs="Times New Roman"/>
                <w:color w:val="000000"/>
                <w:sz w:val="21"/>
                <w:szCs w:val="21"/>
              </w:rPr>
            </w:pP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538E1E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D44B40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标台</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82BB043">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22.21</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82EE770">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23</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B90F81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25</w:t>
            </w:r>
          </w:p>
        </w:tc>
      </w:tr>
      <w:tr w14:paraId="683E7580">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E8CD44B">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E68FAD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公交专用道设置比例</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D1EF4F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F46BDC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C3AE08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5.1</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270234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4AD389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20</w:t>
            </w:r>
          </w:p>
        </w:tc>
      </w:tr>
      <w:tr w14:paraId="24C7CA09">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8DBB1EE">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B235E7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车均场站面积</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A7BC45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A746E9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平方米</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12C29D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107.4</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E635F0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120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12A6E90">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200</w:t>
            </w:r>
          </w:p>
        </w:tc>
      </w:tr>
      <w:tr w14:paraId="7D2A0EF1">
        <w:tblPrEx>
          <w:tblCellMar>
            <w:top w:w="0" w:type="dxa"/>
            <w:left w:w="0" w:type="dxa"/>
            <w:bottom w:w="0" w:type="dxa"/>
            <w:right w:w="0" w:type="dxa"/>
          </w:tblCellMar>
        </w:tblPrEx>
        <w:trPr>
          <w:trHeight w:val="54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241A3E8">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ACDDE7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每标准车平均综合服务面积</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5518F2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EBFBFE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平方米/标台</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61EBB2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109</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073A3D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145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5F7820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222</w:t>
            </w:r>
          </w:p>
        </w:tc>
      </w:tr>
      <w:tr w14:paraId="6C0FB09C">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AF4DE7E">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B585FB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新能源公交车辆比例</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53058E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10DC62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C39497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61.52</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73B86E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09F28E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r>
      <w:tr w14:paraId="683A3E22">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9DFCC67">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971B49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新增及更换公交车中新能源公交车比重</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2CCAC83">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142492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75E93C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68844B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F39102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r>
      <w:tr w14:paraId="3D69E032">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D5DB558">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FCFAF6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新建或改扩建城市主干道设置港湾式停靠站比例（%）</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723309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5CC199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4749C8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18.5</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BB114C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90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53D1DC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95</w:t>
            </w:r>
          </w:p>
        </w:tc>
      </w:tr>
      <w:tr w14:paraId="12B8390B">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008935E">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D6476E0">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公共交通平均能耗强度下降（%）</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7C6AFD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7869A6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0E9204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F01EC1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F535DF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15</w:t>
            </w:r>
          </w:p>
        </w:tc>
      </w:tr>
    </w:tbl>
    <w:p w14:paraId="416C6A47">
      <w:pPr>
        <w:jc w:val="center"/>
        <w:rPr>
          <w:rFonts w:hint="default" w:ascii="Times New Roman" w:hAnsi="Times New Roman" w:cs="Times New Roman"/>
        </w:rPr>
      </w:pPr>
    </w:p>
    <w:p w14:paraId="0DBB8D00">
      <w:pPr>
        <w:pStyle w:val="5"/>
        <w:rPr>
          <w:rFonts w:hint="default" w:ascii="Times New Roman" w:hAnsi="Times New Roman" w:cs="Times New Roman"/>
        </w:rPr>
      </w:pPr>
      <w:bookmarkStart w:id="59" w:name="_Toc124352485"/>
      <w:r>
        <w:rPr>
          <w:rFonts w:hint="default" w:ascii="Times New Roman" w:hAnsi="Times New Roman" w:cs="Times New Roman"/>
        </w:rPr>
        <w:t>2.5 建设情况</w:t>
      </w:r>
      <w:bookmarkEnd w:id="59"/>
    </w:p>
    <w:p w14:paraId="17E85BDB">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根据中山市2016~2021年国有建设用地供应计划汇总表，可知近年中山市国有建设用地计划年均超过900万平方米，其中，商服建设用地面积年均超过73万平方米，住宅建设用地面积年均超过184万平方米。土地储备与国有建设用地供应稳定，整体建设量呈稳步增长的趋势。</w:t>
      </w:r>
    </w:p>
    <w:p w14:paraId="3BA2430D">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表2-5 中山市2016年~2021年国有建设用地供应计划汇总表（单位：万平方米）</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6"/>
        <w:gridCol w:w="934"/>
        <w:gridCol w:w="883"/>
        <w:gridCol w:w="862"/>
        <w:gridCol w:w="861"/>
        <w:gridCol w:w="1301"/>
        <w:gridCol w:w="1036"/>
        <w:gridCol w:w="1189"/>
        <w:gridCol w:w="750"/>
      </w:tblGrid>
      <w:tr w14:paraId="7EE7D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dxa"/>
            <w:vAlign w:val="center"/>
          </w:tcPr>
          <w:p w14:paraId="289CE2D7">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年份</w:t>
            </w:r>
          </w:p>
        </w:tc>
        <w:tc>
          <w:tcPr>
            <w:tcW w:w="934" w:type="dxa"/>
            <w:vAlign w:val="center"/>
          </w:tcPr>
          <w:p w14:paraId="5D10C584">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合计</w:t>
            </w:r>
          </w:p>
        </w:tc>
        <w:tc>
          <w:tcPr>
            <w:tcW w:w="883" w:type="dxa"/>
            <w:vAlign w:val="center"/>
          </w:tcPr>
          <w:p w14:paraId="730B341A">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商服用地</w:t>
            </w:r>
          </w:p>
        </w:tc>
        <w:tc>
          <w:tcPr>
            <w:tcW w:w="862" w:type="dxa"/>
            <w:vAlign w:val="center"/>
          </w:tcPr>
          <w:p w14:paraId="5E73AB78">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工矿仓储用地</w:t>
            </w:r>
          </w:p>
        </w:tc>
        <w:tc>
          <w:tcPr>
            <w:tcW w:w="861" w:type="dxa"/>
            <w:vAlign w:val="center"/>
          </w:tcPr>
          <w:p w14:paraId="2EA24B83">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住宅用地</w:t>
            </w:r>
          </w:p>
        </w:tc>
        <w:tc>
          <w:tcPr>
            <w:tcW w:w="1301" w:type="dxa"/>
            <w:vAlign w:val="center"/>
          </w:tcPr>
          <w:p w14:paraId="1CF751FD">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公共管理与服务用地</w:t>
            </w:r>
          </w:p>
        </w:tc>
        <w:tc>
          <w:tcPr>
            <w:tcW w:w="1036" w:type="dxa"/>
            <w:vAlign w:val="center"/>
          </w:tcPr>
          <w:p w14:paraId="04ACD08C">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交通运输用地</w:t>
            </w:r>
          </w:p>
        </w:tc>
        <w:tc>
          <w:tcPr>
            <w:tcW w:w="1189" w:type="dxa"/>
            <w:vAlign w:val="center"/>
          </w:tcPr>
          <w:p w14:paraId="389408EF">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水域及水利设施用地</w:t>
            </w:r>
          </w:p>
        </w:tc>
        <w:tc>
          <w:tcPr>
            <w:tcW w:w="750" w:type="dxa"/>
            <w:vAlign w:val="center"/>
          </w:tcPr>
          <w:p w14:paraId="5FB1D1DF">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特殊用地</w:t>
            </w:r>
          </w:p>
        </w:tc>
      </w:tr>
      <w:tr w14:paraId="27346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6" w:type="dxa"/>
            <w:vAlign w:val="center"/>
          </w:tcPr>
          <w:p w14:paraId="4D90AC32">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2016</w:t>
            </w:r>
          </w:p>
        </w:tc>
        <w:tc>
          <w:tcPr>
            <w:tcW w:w="934" w:type="dxa"/>
            <w:vAlign w:val="center"/>
          </w:tcPr>
          <w:p w14:paraId="3947695E">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926.51</w:t>
            </w:r>
          </w:p>
        </w:tc>
        <w:tc>
          <w:tcPr>
            <w:tcW w:w="883" w:type="dxa"/>
            <w:vAlign w:val="center"/>
          </w:tcPr>
          <w:p w14:paraId="00E5EAD9">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85.77</w:t>
            </w:r>
          </w:p>
        </w:tc>
        <w:tc>
          <w:tcPr>
            <w:tcW w:w="862" w:type="dxa"/>
            <w:vAlign w:val="center"/>
          </w:tcPr>
          <w:p w14:paraId="1F6B4DF1">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479.57</w:t>
            </w:r>
          </w:p>
        </w:tc>
        <w:tc>
          <w:tcPr>
            <w:tcW w:w="861" w:type="dxa"/>
            <w:vAlign w:val="center"/>
          </w:tcPr>
          <w:p w14:paraId="2522246A">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181.65</w:t>
            </w:r>
          </w:p>
        </w:tc>
        <w:tc>
          <w:tcPr>
            <w:tcW w:w="1301" w:type="dxa"/>
            <w:vAlign w:val="center"/>
          </w:tcPr>
          <w:p w14:paraId="1E6DE3FB">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148.65</w:t>
            </w:r>
          </w:p>
        </w:tc>
        <w:tc>
          <w:tcPr>
            <w:tcW w:w="1036" w:type="dxa"/>
            <w:vAlign w:val="center"/>
          </w:tcPr>
          <w:p w14:paraId="0F2BF8F5">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25.28</w:t>
            </w:r>
          </w:p>
        </w:tc>
        <w:tc>
          <w:tcPr>
            <w:tcW w:w="1189" w:type="dxa"/>
            <w:vAlign w:val="center"/>
          </w:tcPr>
          <w:p w14:paraId="7E5E17B4">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3.09</w:t>
            </w:r>
          </w:p>
        </w:tc>
        <w:tc>
          <w:tcPr>
            <w:tcW w:w="750" w:type="dxa"/>
            <w:vAlign w:val="center"/>
          </w:tcPr>
          <w:p w14:paraId="17A46ECA">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2.5</w:t>
            </w:r>
          </w:p>
        </w:tc>
      </w:tr>
      <w:tr w14:paraId="32325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6" w:type="dxa"/>
            <w:vAlign w:val="center"/>
          </w:tcPr>
          <w:p w14:paraId="2D89AADB">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2017</w:t>
            </w:r>
          </w:p>
        </w:tc>
        <w:tc>
          <w:tcPr>
            <w:tcW w:w="934" w:type="dxa"/>
            <w:vAlign w:val="center"/>
          </w:tcPr>
          <w:p w14:paraId="71AF0F96">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906.05</w:t>
            </w:r>
          </w:p>
        </w:tc>
        <w:tc>
          <w:tcPr>
            <w:tcW w:w="883" w:type="dxa"/>
            <w:vAlign w:val="center"/>
          </w:tcPr>
          <w:p w14:paraId="31B5E481">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65.60</w:t>
            </w:r>
          </w:p>
        </w:tc>
        <w:tc>
          <w:tcPr>
            <w:tcW w:w="862" w:type="dxa"/>
            <w:vAlign w:val="center"/>
          </w:tcPr>
          <w:p w14:paraId="54056667">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447.43</w:t>
            </w:r>
          </w:p>
        </w:tc>
        <w:tc>
          <w:tcPr>
            <w:tcW w:w="861" w:type="dxa"/>
            <w:vAlign w:val="center"/>
          </w:tcPr>
          <w:p w14:paraId="0D91B19C">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240.79</w:t>
            </w:r>
          </w:p>
        </w:tc>
        <w:tc>
          <w:tcPr>
            <w:tcW w:w="1301" w:type="dxa"/>
            <w:vAlign w:val="center"/>
          </w:tcPr>
          <w:p w14:paraId="74FFF6F1">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123.49</w:t>
            </w:r>
          </w:p>
        </w:tc>
        <w:tc>
          <w:tcPr>
            <w:tcW w:w="1036" w:type="dxa"/>
            <w:vAlign w:val="center"/>
          </w:tcPr>
          <w:p w14:paraId="0477F3B4">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28.74</w:t>
            </w:r>
          </w:p>
        </w:tc>
        <w:tc>
          <w:tcPr>
            <w:tcW w:w="1189" w:type="dxa"/>
            <w:vAlign w:val="center"/>
          </w:tcPr>
          <w:p w14:paraId="6A0FBAD0">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0.00</w:t>
            </w:r>
          </w:p>
        </w:tc>
        <w:tc>
          <w:tcPr>
            <w:tcW w:w="750" w:type="dxa"/>
            <w:vAlign w:val="center"/>
          </w:tcPr>
          <w:p w14:paraId="0EA91454">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0.00</w:t>
            </w:r>
          </w:p>
        </w:tc>
      </w:tr>
      <w:tr w14:paraId="69ABB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6" w:type="dxa"/>
            <w:vAlign w:val="center"/>
          </w:tcPr>
          <w:p w14:paraId="00479D13">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2018</w:t>
            </w:r>
          </w:p>
        </w:tc>
        <w:tc>
          <w:tcPr>
            <w:tcW w:w="934" w:type="dxa"/>
            <w:vAlign w:val="center"/>
          </w:tcPr>
          <w:p w14:paraId="79F7094B">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1127.08</w:t>
            </w:r>
          </w:p>
        </w:tc>
        <w:tc>
          <w:tcPr>
            <w:tcW w:w="883" w:type="dxa"/>
            <w:vAlign w:val="center"/>
          </w:tcPr>
          <w:p w14:paraId="1B18AC53">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49.85</w:t>
            </w:r>
          </w:p>
        </w:tc>
        <w:tc>
          <w:tcPr>
            <w:tcW w:w="862" w:type="dxa"/>
            <w:vAlign w:val="center"/>
          </w:tcPr>
          <w:p w14:paraId="5C82F169">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674.59</w:t>
            </w:r>
          </w:p>
        </w:tc>
        <w:tc>
          <w:tcPr>
            <w:tcW w:w="861" w:type="dxa"/>
            <w:vAlign w:val="center"/>
          </w:tcPr>
          <w:p w14:paraId="0900E3DC">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210.40</w:t>
            </w:r>
          </w:p>
        </w:tc>
        <w:tc>
          <w:tcPr>
            <w:tcW w:w="1301" w:type="dxa"/>
            <w:vAlign w:val="center"/>
          </w:tcPr>
          <w:p w14:paraId="290EEF50">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97.44</w:t>
            </w:r>
          </w:p>
        </w:tc>
        <w:tc>
          <w:tcPr>
            <w:tcW w:w="1036" w:type="dxa"/>
            <w:vAlign w:val="center"/>
          </w:tcPr>
          <w:p w14:paraId="3B556C86">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90.27</w:t>
            </w:r>
          </w:p>
        </w:tc>
        <w:tc>
          <w:tcPr>
            <w:tcW w:w="1189" w:type="dxa"/>
            <w:vAlign w:val="center"/>
          </w:tcPr>
          <w:p w14:paraId="0FC46E97">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0.00</w:t>
            </w:r>
          </w:p>
        </w:tc>
        <w:tc>
          <w:tcPr>
            <w:tcW w:w="750" w:type="dxa"/>
            <w:vAlign w:val="center"/>
          </w:tcPr>
          <w:p w14:paraId="46B662E1">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4.53</w:t>
            </w:r>
          </w:p>
        </w:tc>
      </w:tr>
      <w:tr w14:paraId="63112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6" w:type="dxa"/>
            <w:vAlign w:val="center"/>
          </w:tcPr>
          <w:p w14:paraId="24DEA9AE">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2019</w:t>
            </w:r>
          </w:p>
        </w:tc>
        <w:tc>
          <w:tcPr>
            <w:tcW w:w="934" w:type="dxa"/>
            <w:vAlign w:val="center"/>
          </w:tcPr>
          <w:p w14:paraId="16C8C155">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701.11</w:t>
            </w:r>
          </w:p>
        </w:tc>
        <w:tc>
          <w:tcPr>
            <w:tcW w:w="883" w:type="dxa"/>
            <w:vAlign w:val="center"/>
          </w:tcPr>
          <w:p w14:paraId="522F727E">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51.30</w:t>
            </w:r>
          </w:p>
        </w:tc>
        <w:tc>
          <w:tcPr>
            <w:tcW w:w="862" w:type="dxa"/>
            <w:vAlign w:val="center"/>
          </w:tcPr>
          <w:p w14:paraId="5FFF23F2">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257.90</w:t>
            </w:r>
          </w:p>
        </w:tc>
        <w:tc>
          <w:tcPr>
            <w:tcW w:w="861" w:type="dxa"/>
            <w:vAlign w:val="center"/>
          </w:tcPr>
          <w:p w14:paraId="38BB6F55">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100.29</w:t>
            </w:r>
          </w:p>
        </w:tc>
        <w:tc>
          <w:tcPr>
            <w:tcW w:w="1301" w:type="dxa"/>
            <w:vAlign w:val="center"/>
          </w:tcPr>
          <w:p w14:paraId="1F5F542C">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24.54</w:t>
            </w:r>
          </w:p>
        </w:tc>
        <w:tc>
          <w:tcPr>
            <w:tcW w:w="1036" w:type="dxa"/>
            <w:vAlign w:val="center"/>
          </w:tcPr>
          <w:p w14:paraId="5AC6D04A">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267.08</w:t>
            </w:r>
          </w:p>
        </w:tc>
        <w:tc>
          <w:tcPr>
            <w:tcW w:w="1189" w:type="dxa"/>
            <w:vAlign w:val="center"/>
          </w:tcPr>
          <w:p w14:paraId="13C41F5A">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0.00</w:t>
            </w:r>
          </w:p>
        </w:tc>
        <w:tc>
          <w:tcPr>
            <w:tcW w:w="750" w:type="dxa"/>
            <w:vAlign w:val="center"/>
          </w:tcPr>
          <w:p w14:paraId="4A5C6C64">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0.00</w:t>
            </w:r>
          </w:p>
        </w:tc>
      </w:tr>
      <w:tr w14:paraId="63826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6" w:type="dxa"/>
            <w:vAlign w:val="center"/>
          </w:tcPr>
          <w:p w14:paraId="6118CC47">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2020</w:t>
            </w:r>
          </w:p>
        </w:tc>
        <w:tc>
          <w:tcPr>
            <w:tcW w:w="934" w:type="dxa"/>
            <w:vAlign w:val="center"/>
          </w:tcPr>
          <w:p w14:paraId="74860112">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820.64</w:t>
            </w:r>
          </w:p>
        </w:tc>
        <w:tc>
          <w:tcPr>
            <w:tcW w:w="883" w:type="dxa"/>
            <w:vAlign w:val="center"/>
          </w:tcPr>
          <w:p w14:paraId="62CD881C">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106.42</w:t>
            </w:r>
          </w:p>
        </w:tc>
        <w:tc>
          <w:tcPr>
            <w:tcW w:w="862" w:type="dxa"/>
            <w:vAlign w:val="center"/>
          </w:tcPr>
          <w:p w14:paraId="2D85E00F">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308.19</w:t>
            </w:r>
          </w:p>
        </w:tc>
        <w:tc>
          <w:tcPr>
            <w:tcW w:w="861" w:type="dxa"/>
            <w:vAlign w:val="center"/>
          </w:tcPr>
          <w:p w14:paraId="1E638737">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142.05</w:t>
            </w:r>
          </w:p>
        </w:tc>
        <w:tc>
          <w:tcPr>
            <w:tcW w:w="1301" w:type="dxa"/>
            <w:vAlign w:val="center"/>
          </w:tcPr>
          <w:p w14:paraId="435A3754">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71.80</w:t>
            </w:r>
          </w:p>
        </w:tc>
        <w:tc>
          <w:tcPr>
            <w:tcW w:w="1036" w:type="dxa"/>
            <w:vAlign w:val="center"/>
          </w:tcPr>
          <w:p w14:paraId="040BC9FC">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192.18</w:t>
            </w:r>
          </w:p>
        </w:tc>
        <w:tc>
          <w:tcPr>
            <w:tcW w:w="1189" w:type="dxa"/>
            <w:vAlign w:val="center"/>
          </w:tcPr>
          <w:p w14:paraId="4535E659">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0.00</w:t>
            </w:r>
          </w:p>
        </w:tc>
        <w:tc>
          <w:tcPr>
            <w:tcW w:w="750" w:type="dxa"/>
            <w:vAlign w:val="center"/>
          </w:tcPr>
          <w:p w14:paraId="3688BEEF">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0.00</w:t>
            </w:r>
          </w:p>
        </w:tc>
      </w:tr>
      <w:tr w14:paraId="3FA5C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6" w:type="dxa"/>
            <w:vAlign w:val="center"/>
          </w:tcPr>
          <w:p w14:paraId="3A1CE0D5">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2021</w:t>
            </w:r>
          </w:p>
        </w:tc>
        <w:tc>
          <w:tcPr>
            <w:tcW w:w="934" w:type="dxa"/>
            <w:vAlign w:val="center"/>
          </w:tcPr>
          <w:p w14:paraId="5C7E9A94">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920.16</w:t>
            </w:r>
          </w:p>
        </w:tc>
        <w:tc>
          <w:tcPr>
            <w:tcW w:w="883" w:type="dxa"/>
            <w:vAlign w:val="center"/>
          </w:tcPr>
          <w:p w14:paraId="6654C1D4">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81.00</w:t>
            </w:r>
          </w:p>
        </w:tc>
        <w:tc>
          <w:tcPr>
            <w:tcW w:w="862" w:type="dxa"/>
            <w:vAlign w:val="center"/>
          </w:tcPr>
          <w:p w14:paraId="3903B1F9">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260.26</w:t>
            </w:r>
          </w:p>
        </w:tc>
        <w:tc>
          <w:tcPr>
            <w:tcW w:w="861" w:type="dxa"/>
            <w:vAlign w:val="center"/>
          </w:tcPr>
          <w:p w14:paraId="4D3C851B">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229.80</w:t>
            </w:r>
          </w:p>
        </w:tc>
        <w:tc>
          <w:tcPr>
            <w:tcW w:w="1301" w:type="dxa"/>
            <w:vAlign w:val="center"/>
          </w:tcPr>
          <w:p w14:paraId="1A0FCFAD">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77.01</w:t>
            </w:r>
          </w:p>
        </w:tc>
        <w:tc>
          <w:tcPr>
            <w:tcW w:w="1036" w:type="dxa"/>
            <w:vAlign w:val="center"/>
          </w:tcPr>
          <w:p w14:paraId="2C480837">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272.10</w:t>
            </w:r>
          </w:p>
        </w:tc>
        <w:tc>
          <w:tcPr>
            <w:tcW w:w="1189" w:type="dxa"/>
            <w:vAlign w:val="center"/>
          </w:tcPr>
          <w:p w14:paraId="640935FE">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0.00</w:t>
            </w:r>
          </w:p>
        </w:tc>
        <w:tc>
          <w:tcPr>
            <w:tcW w:w="750" w:type="dxa"/>
            <w:vAlign w:val="center"/>
          </w:tcPr>
          <w:p w14:paraId="668EC113">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0.00</w:t>
            </w:r>
          </w:p>
        </w:tc>
      </w:tr>
    </w:tbl>
    <w:p w14:paraId="0E180AA8">
      <w:pPr>
        <w:pStyle w:val="5"/>
        <w:rPr>
          <w:rFonts w:hint="default" w:ascii="Times New Roman" w:hAnsi="Times New Roman" w:cs="Times New Roman"/>
        </w:rPr>
      </w:pPr>
      <w:bookmarkStart w:id="60" w:name="_Toc21568"/>
      <w:bookmarkStart w:id="61" w:name="_Toc124352486"/>
      <w:r>
        <w:rPr>
          <w:rFonts w:hint="default" w:ascii="Times New Roman" w:hAnsi="Times New Roman" w:cs="Times New Roman"/>
        </w:rPr>
        <w:t>2.6 绿色建筑发展现状</w:t>
      </w:r>
      <w:bookmarkEnd w:id="60"/>
      <w:bookmarkEnd w:id="61"/>
    </w:p>
    <w:p w14:paraId="6EAD5481">
      <w:pPr>
        <w:pStyle w:val="6"/>
        <w:numPr>
          <w:ilvl w:val="255"/>
          <w:numId w:val="0"/>
        </w:numPr>
        <w:ind w:firstLine="561"/>
        <w:rPr>
          <w:rFonts w:hint="default" w:ascii="Times New Roman" w:hAnsi="Times New Roman" w:cs="Times New Roman"/>
        </w:rPr>
      </w:pPr>
      <w:bookmarkStart w:id="62" w:name="_Toc7749"/>
      <w:bookmarkStart w:id="63" w:name="_Toc124352487"/>
      <w:r>
        <w:rPr>
          <w:rFonts w:hint="default" w:ascii="Times New Roman" w:hAnsi="Times New Roman" w:cs="Times New Roman"/>
        </w:rPr>
        <w:t>2.6.1绿色建筑发展政策</w:t>
      </w:r>
      <w:bookmarkEnd w:id="62"/>
      <w:bookmarkEnd w:id="63"/>
    </w:p>
    <w:p w14:paraId="5B87D3B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中山市进入全面推广绿色建筑高速发展新时代。中山市绿色建筑发展紧跟全国和广东省绿色建筑发展步伐，积极贯彻落实广东省的相关工作部署的同时，根据我市地情</w:t>
      </w:r>
      <w:r>
        <w:rPr>
          <w:rFonts w:hint="default" w:ascii="Times New Roman" w:hAnsi="Times New Roman" w:cs="Times New Roman"/>
          <w:sz w:val="28"/>
          <w:szCs w:val="28"/>
          <w:lang w:val="en-US" w:eastAsia="zh-CN"/>
        </w:rPr>
        <w:t>发布了</w:t>
      </w:r>
      <w:r>
        <w:rPr>
          <w:rFonts w:hint="default" w:ascii="Times New Roman" w:hAnsi="Times New Roman" w:cs="Times New Roman"/>
          <w:sz w:val="28"/>
          <w:szCs w:val="28"/>
        </w:rPr>
        <w:t>《〈关于印发中山市绿色建筑创建行动实施方案（2021-2023）〉的通知》（中建通〔2022〕73号）、</w:t>
      </w:r>
      <w:r>
        <w:rPr>
          <w:rFonts w:hint="default" w:ascii="Times New Roman" w:hAnsi="Times New Roman" w:eastAsia="宋体" w:cs="Times New Roman"/>
          <w:sz w:val="28"/>
          <w:szCs w:val="28"/>
          <w:lang w:val="en-US" w:eastAsia="zh-CN"/>
        </w:rPr>
        <w:t>《关于加强绿色建筑工程质量管理的通知》</w:t>
      </w:r>
      <w:r>
        <w:rPr>
          <w:rFonts w:hint="default" w:ascii="Times New Roman" w:hAnsi="Times New Roman" w:cs="Times New Roman"/>
          <w:sz w:val="28"/>
          <w:szCs w:val="28"/>
          <w:lang w:val="en-US" w:eastAsia="zh-CN"/>
        </w:rPr>
        <w:t>、</w:t>
      </w:r>
      <w:r>
        <w:rPr>
          <w:rFonts w:hint="default" w:ascii="Times New Roman" w:hAnsi="Times New Roman" w:cs="Times New Roman"/>
          <w:sz w:val="28"/>
          <w:szCs w:val="28"/>
        </w:rPr>
        <w:t>《中山市住房和城乡建设局关于做好我市新旧绿色建筑评价标准平稳过渡工作的通知》（中建函〔2017〕665号）等一系列政策，出台了《中山市绿色建筑设计指南》（2021版）和《中山市装配式建筑设计指南》（2021版）等一系列标准和指南，对中山市的绿色建筑发展起到了积极引导和推广的作用。</w:t>
      </w:r>
    </w:p>
    <w:p w14:paraId="00F042C1">
      <w:pPr>
        <w:pStyle w:val="6"/>
        <w:numPr>
          <w:ilvl w:val="255"/>
          <w:numId w:val="0"/>
        </w:numPr>
        <w:ind w:firstLine="561"/>
        <w:rPr>
          <w:rFonts w:hint="default" w:ascii="Times New Roman" w:hAnsi="Times New Roman" w:cs="Times New Roman"/>
        </w:rPr>
      </w:pPr>
      <w:bookmarkStart w:id="64" w:name="_Toc124352488"/>
      <w:bookmarkStart w:id="65" w:name="_Toc27494"/>
      <w:r>
        <w:rPr>
          <w:rFonts w:hint="default" w:ascii="Times New Roman" w:hAnsi="Times New Roman" w:cs="Times New Roman"/>
        </w:rPr>
        <w:t>2.6.2发展水平</w:t>
      </w:r>
      <w:bookmarkEnd w:id="64"/>
      <w:bookmarkEnd w:id="65"/>
    </w:p>
    <w:p w14:paraId="1DE6EB84">
      <w:pPr>
        <w:pStyle w:val="34"/>
        <w:adjustRightInd w:val="0"/>
        <w:snapToGrid w:val="0"/>
        <w:spacing w:line="360" w:lineRule="auto"/>
        <w:ind w:firstLine="560"/>
        <w:rPr>
          <w:rFonts w:hint="default" w:ascii="Times New Roman" w:hAnsi="Times New Roman" w:cs="Times New Roman"/>
          <w:sz w:val="28"/>
          <w:szCs w:val="28"/>
        </w:rPr>
      </w:pPr>
      <w:r>
        <w:rPr>
          <w:rFonts w:hint="eastAsia" w:ascii="Times New Roman" w:hAnsi="Times New Roman" w:cs="Times New Roman"/>
          <w:sz w:val="28"/>
          <w:szCs w:val="28"/>
          <w:lang w:eastAsia="zh-CN"/>
        </w:rPr>
        <w:t>“</w:t>
      </w:r>
      <w:r>
        <w:rPr>
          <w:rFonts w:hint="default" w:ascii="Times New Roman" w:hAnsi="Times New Roman" w:cs="Times New Roman"/>
          <w:sz w:val="28"/>
          <w:szCs w:val="28"/>
        </w:rPr>
        <w:t>十三五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期间，中山市新增城镇绿色建筑面积5184万平方米，占全市新建民用建筑面积比例达到64%，新增城镇绿色建筑面积和全市新建民用建筑中绿色建筑占比均位列全省第4位。截至2022年1月，中山市共申报绿色建筑设计标识项目83个，建筑面积合计792.21万平方米，在广东省各地市中位列第13位。已申报的项目中，一星级（包含国标一星和省标一星B和一星A级）项目74个，占所有申报标识的绿色建筑的面积比例达到97.18%，二星级及以上的项目9个，占所有申报标识的绿色建筑的面积比例为2.82%。已申报的项目中，申报设计标识的项目78个，占所有申报标识的绿色建筑的面积比例达到98.51%，申报运行标识的项目5个，占所有申报标识的绿色建筑的面积比例为1.49%。随着我省绿色建筑发展的进一步提升，中山市的绿色建筑也将迎来新的发展。</w:t>
      </w:r>
    </w:p>
    <w:p w14:paraId="5A4802B0">
      <w:pPr>
        <w:pStyle w:val="6"/>
        <w:numPr>
          <w:ilvl w:val="255"/>
          <w:numId w:val="0"/>
        </w:numPr>
        <w:ind w:firstLine="561"/>
        <w:rPr>
          <w:rFonts w:hint="default" w:ascii="Times New Roman" w:hAnsi="Times New Roman" w:cs="Times New Roman"/>
        </w:rPr>
      </w:pPr>
      <w:bookmarkStart w:id="66" w:name="_Toc124352489"/>
      <w:bookmarkStart w:id="67" w:name="_Toc2977"/>
      <w:r>
        <w:rPr>
          <w:rFonts w:hint="default" w:ascii="Times New Roman" w:hAnsi="Times New Roman" w:cs="Times New Roman"/>
        </w:rPr>
        <w:t>2.6.3相关工作发展</w:t>
      </w:r>
      <w:bookmarkEnd w:id="66"/>
      <w:bookmarkEnd w:id="67"/>
    </w:p>
    <w:p w14:paraId="0D638907">
      <w:pPr>
        <w:pStyle w:val="34"/>
        <w:numPr>
          <w:ilvl w:val="0"/>
          <w:numId w:val="2"/>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建筑节能改造：</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十三五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期间，中山市积极推进建筑节能改造。据统计，</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十三五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期间，中山市建筑节能改造面积合计77万平方米，位居全省各地市第7位；</w:t>
      </w:r>
    </w:p>
    <w:p w14:paraId="0A652E10">
      <w:pPr>
        <w:pStyle w:val="34"/>
        <w:numPr>
          <w:ilvl w:val="0"/>
          <w:numId w:val="2"/>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可再生能源：</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十三五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期间，中山市努力推动太阳能、余热等可再生能源在建筑中的规模化应用，全市新增太阳能光电建筑装机容量130兆瓦，位居全省各地市第5位；</w:t>
      </w:r>
    </w:p>
    <w:p w14:paraId="7C3FC490">
      <w:pPr>
        <w:pStyle w:val="34"/>
        <w:numPr>
          <w:ilvl w:val="0"/>
          <w:numId w:val="2"/>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装配式建筑：为落实国家和省对装配式建筑的相关要求，中山市市委、市政府进行了一系列工作部署。2017年4月，印发《中共中山市委中山市人民政府关于深入推进质量强市建设的实施意见》提出，要提高建筑工业化和部件化水平，提高建筑工业化项目所占比重。2017年5月。印发《中共中山市委中山市人民政府关于进一步加强城市规划建设管理工作的实施意见》，首次提出发展新型建造方式，大力推广装配式建筑。2017年10月，印发《中山市大气污染防治强化措施方案》，提出为了强化扬尘污染控制，我市要大力发展装配式建筑，并明确到2020年，中心城区装配式建筑占新建建筑面积比例达到15%以上。2018年12月，印发《中山市人民政府办公室关于加快发展装配式建筑的实施意见》，明确了我市装配式建筑发展的工作目标、实施范围、重点任务及保障措施，为我市装配式建筑发展提供了有力的政策支持。</w:t>
      </w:r>
    </w:p>
    <w:p w14:paraId="6F260C8A">
      <w:pPr>
        <w:pStyle w:val="6"/>
        <w:numPr>
          <w:ilvl w:val="255"/>
          <w:numId w:val="0"/>
        </w:numPr>
        <w:ind w:firstLine="561"/>
        <w:rPr>
          <w:rFonts w:hint="default" w:ascii="Times New Roman" w:hAnsi="Times New Roman" w:cs="Times New Roman"/>
        </w:rPr>
      </w:pPr>
      <w:bookmarkStart w:id="68" w:name="_Toc14470"/>
      <w:bookmarkStart w:id="69" w:name="_Toc124352490"/>
      <w:r>
        <w:rPr>
          <w:rFonts w:hint="default" w:ascii="Times New Roman" w:hAnsi="Times New Roman" w:cs="Times New Roman"/>
        </w:rPr>
        <w:t>2.6.4存在问题</w:t>
      </w:r>
      <w:bookmarkEnd w:id="68"/>
      <w:bookmarkEnd w:id="69"/>
    </w:p>
    <w:p w14:paraId="1257C44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申报标识的绿色建筑项目的数量在广东省各地市中处于中游位置，需进一步提升发展力度和发展速度，提高中山市绿色建筑在广东省绿色建筑发展中的地位和分量。且因未对绿色建筑的监管及验收制度进行明确，造成了</w:t>
      </w:r>
      <w:r>
        <w:rPr>
          <w:rFonts w:hint="eastAsia" w:ascii="Times New Roman" w:hAnsi="Times New Roman" w:cs="Times New Roman"/>
          <w:sz w:val="28"/>
          <w:szCs w:val="28"/>
          <w:lang w:eastAsia="zh-CN"/>
        </w:rPr>
        <w:t>“</w:t>
      </w:r>
      <w:r>
        <w:rPr>
          <w:rFonts w:hint="default" w:ascii="Times New Roman" w:hAnsi="Times New Roman" w:cs="Times New Roman"/>
          <w:sz w:val="28"/>
          <w:szCs w:val="28"/>
        </w:rPr>
        <w:t>重设计，轻实施</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的局面，群众对绿色建筑的获得感不明显。高质量发展绿色建筑缺少内在动力。大部分企业将实施绿色建筑视为任务、负担，在进行绿色建筑建设时仅仅是为了达到了政府部门规定的最低标准，没有很好注重建筑自身在自然通风、采光、遮阳等方面的绿色基因。同时，缺乏相关的奖励激励政策，建设单位实施高星级运行标识绿色建筑的积极性不足。</w:t>
      </w:r>
    </w:p>
    <w:p w14:paraId="5CD9F1AD">
      <w:pPr>
        <w:pStyle w:val="34"/>
        <w:adjustRightInd w:val="0"/>
        <w:snapToGrid w:val="0"/>
        <w:spacing w:line="360" w:lineRule="auto"/>
        <w:rPr>
          <w:rFonts w:hint="default" w:ascii="Times New Roman" w:hAnsi="Times New Roman" w:cs="Times New Roman"/>
          <w:b/>
          <w:bCs/>
          <w:kern w:val="44"/>
          <w:sz w:val="32"/>
          <w:szCs w:val="44"/>
        </w:rPr>
      </w:pPr>
      <w:r>
        <w:rPr>
          <w:rFonts w:hint="default" w:ascii="Times New Roman" w:hAnsi="Times New Roman" w:cs="Times New Roman"/>
        </w:rPr>
        <w:br w:type="page"/>
      </w:r>
    </w:p>
    <w:p w14:paraId="45738165">
      <w:pPr>
        <w:pStyle w:val="4"/>
        <w:rPr>
          <w:rFonts w:hint="default" w:ascii="Times New Roman" w:hAnsi="Times New Roman" w:cs="Times New Roman"/>
        </w:rPr>
      </w:pPr>
      <w:bookmarkStart w:id="70" w:name="_Toc124352491"/>
      <w:r>
        <w:rPr>
          <w:rFonts w:hint="default" w:ascii="Times New Roman" w:hAnsi="Times New Roman" w:cs="Times New Roman"/>
        </w:rPr>
        <w:t>三、目标分析</w:t>
      </w:r>
      <w:bookmarkEnd w:id="70"/>
    </w:p>
    <w:p w14:paraId="47C52805">
      <w:pPr>
        <w:pStyle w:val="5"/>
        <w:rPr>
          <w:rFonts w:hint="default" w:ascii="Times New Roman" w:hAnsi="Times New Roman" w:cs="Times New Roman"/>
        </w:rPr>
      </w:pPr>
      <w:bookmarkStart w:id="71" w:name="_Toc124352492"/>
      <w:r>
        <w:rPr>
          <w:rFonts w:hint="default" w:ascii="Times New Roman" w:hAnsi="Times New Roman" w:cs="Times New Roman"/>
        </w:rPr>
        <w:t>3.1 规划原则</w:t>
      </w:r>
      <w:bookmarkEnd w:id="71"/>
    </w:p>
    <w:p w14:paraId="72DC4D2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本规划编制科学分析中山市绿色建筑发展基础、条件和趋势，坚持</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因地制宜、适度超前，统筹兼顾、突出重点</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的原则。</w:t>
      </w:r>
    </w:p>
    <w:p w14:paraId="02B5552F">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因地制宜。应结合中山市绿色建筑发展现状和地方特点，制定符合中山市地方特色的绿色建筑发展专项规划。</w:t>
      </w:r>
    </w:p>
    <w:p w14:paraId="45FEDDD8">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适度超前。应着眼满足当前和未来一定时期的绿色建筑发展的需要，先期高标准建设形成富余的绿色建筑发展局面，后期可有较充分的调整空间。</w:t>
      </w:r>
    </w:p>
    <w:p w14:paraId="4FDBDA18">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统筹兼顾。应以完成广东省下达的任务目标为基础，统一筹划。同时综合考虑各镇街不同发展基础通盘筹划，制定合理的任务指标。</w:t>
      </w:r>
    </w:p>
    <w:p w14:paraId="783153B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 xml:space="preserve">突出重点。应在均衡发展的基础上，挑选基础好、潜力大的一些区域，作为绿色建筑重点发展区域，提出更高的绿色建筑发展目标要求，打造中山市高星级绿色建筑聚集区，形成示范效应。 </w:t>
      </w:r>
    </w:p>
    <w:p w14:paraId="6BBC79C1">
      <w:pPr>
        <w:pStyle w:val="5"/>
        <w:rPr>
          <w:rFonts w:hint="default" w:ascii="Times New Roman" w:hAnsi="Times New Roman" w:cs="Times New Roman"/>
        </w:rPr>
      </w:pPr>
      <w:bookmarkStart w:id="72" w:name="_Toc124352493"/>
      <w:r>
        <w:rPr>
          <w:rFonts w:hint="default" w:ascii="Times New Roman" w:hAnsi="Times New Roman" w:cs="Times New Roman"/>
        </w:rPr>
        <w:t>3.2 发展定位</w:t>
      </w:r>
      <w:bookmarkEnd w:id="72"/>
    </w:p>
    <w:p w14:paraId="50AE9E52">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73" w:name="_Hlk119621899"/>
      <w:r>
        <w:rPr>
          <w:rFonts w:hint="default" w:ascii="Times New Roman" w:hAnsi="Times New Roman" w:eastAsia="宋体" w:cs="Times New Roman"/>
          <w:sz w:val="28"/>
          <w:szCs w:val="28"/>
        </w:rPr>
        <w:t>抓粤港澳大湾区和深圳中国特色社会主义先行示范区建设</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双区驱动</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重大历史机遇，紧紧围绕</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湾区枢纽、精品中山</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的战略部署，努力推进中山市建筑低碳绿色发展，将中山市打造成珠江西岸绿色建筑高质量发展</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桥头堡</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，广东省绿色建筑发展重点城市。</w:t>
      </w:r>
      <w:bookmarkEnd w:id="73"/>
    </w:p>
    <w:p w14:paraId="24592648">
      <w:pPr>
        <w:pStyle w:val="5"/>
        <w:rPr>
          <w:rFonts w:hint="default" w:ascii="Times New Roman" w:hAnsi="Times New Roman" w:cs="Times New Roman"/>
        </w:rPr>
      </w:pPr>
      <w:bookmarkStart w:id="74" w:name="_Toc124352494"/>
      <w:r>
        <w:rPr>
          <w:rFonts w:hint="default" w:ascii="Times New Roman" w:hAnsi="Times New Roman" w:cs="Times New Roman"/>
        </w:rPr>
        <w:t>3.3 总体目标</w:t>
      </w:r>
      <w:bookmarkEnd w:id="74"/>
    </w:p>
    <w:p w14:paraId="1B5AD8E0">
      <w:pPr>
        <w:pStyle w:val="6"/>
        <w:numPr>
          <w:ilvl w:val="255"/>
          <w:numId w:val="0"/>
        </w:numPr>
        <w:ind w:firstLine="561"/>
        <w:rPr>
          <w:rFonts w:hint="default" w:ascii="Times New Roman" w:hAnsi="Times New Roman" w:cs="Times New Roman"/>
        </w:rPr>
      </w:pPr>
      <w:bookmarkStart w:id="75" w:name="_Toc124352495"/>
      <w:r>
        <w:rPr>
          <w:rFonts w:hint="default" w:ascii="Times New Roman" w:hAnsi="Times New Roman" w:cs="Times New Roman"/>
        </w:rPr>
        <w:t>3.3.1上位要求</w:t>
      </w:r>
      <w:bookmarkEnd w:id="75"/>
    </w:p>
    <w:p w14:paraId="332F4A1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《广东省建筑节能与绿色建筑发展</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十四五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规划》</w:t>
      </w:r>
    </w:p>
    <w:p w14:paraId="7C027C7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总体目标：以建筑节能与绿色建筑高质量发展推动城乡建设更高质量、人居环境更加优良、人民生活更有品质、温室气体更少排放，到2025年，建筑能源利用效率稳步提升，建筑能耗和碳排放增长趋势得到有效控制，绿色建筑全面建设，以装配式建筑为代表的新型建筑工业化加快发展，装配式建筑标准化水平和建造质量进一步提高，绿色建材应用形成长效机制，为城乡建设领域2030年前碳达峰奠定坚实基础。</w:t>
      </w:r>
    </w:p>
    <w:p w14:paraId="1813CDC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2）具体目标</w:t>
      </w:r>
    </w:p>
    <w:p w14:paraId="4E730AD0">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表3-1 </w:t>
      </w:r>
      <w:r>
        <w:rPr>
          <w:rFonts w:hint="eastAsia" w:ascii="Times New Roman" w:hAnsi="Times New Roman" w:cs="Times New Roman"/>
          <w:sz w:val="21"/>
          <w:szCs w:val="21"/>
          <w:lang w:eastAsia="zh-CN"/>
        </w:rPr>
        <w:t>“</w:t>
      </w:r>
      <w:r>
        <w:rPr>
          <w:rFonts w:hint="default" w:ascii="Times New Roman" w:hAnsi="Times New Roman" w:eastAsia="宋体" w:cs="Times New Roman"/>
          <w:sz w:val="21"/>
          <w:szCs w:val="21"/>
        </w:rPr>
        <w:t>十四五</w:t>
      </w:r>
      <w:r>
        <w:rPr>
          <w:rFonts w:hint="eastAsia" w:ascii="Times New Roman" w:hAnsi="Times New Roman" w:cs="Times New Roman"/>
          <w:sz w:val="21"/>
          <w:szCs w:val="21"/>
          <w:lang w:eastAsia="zh-CN"/>
        </w:rPr>
        <w:t>”</w:t>
      </w:r>
      <w:r>
        <w:rPr>
          <w:rFonts w:hint="default" w:ascii="Times New Roman" w:hAnsi="Times New Roman" w:eastAsia="宋体" w:cs="Times New Roman"/>
          <w:sz w:val="21"/>
          <w:szCs w:val="21"/>
        </w:rPr>
        <w:t>时期建筑节能与绿色建筑发展具体目标</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23"/>
        <w:gridCol w:w="3399"/>
      </w:tblGrid>
      <w:tr w14:paraId="6339C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3" w:type="dxa"/>
            <w:vAlign w:val="center"/>
          </w:tcPr>
          <w:p w14:paraId="1F0734F1">
            <w:pPr>
              <w:pStyle w:val="47"/>
              <w:keepNext w:val="0"/>
              <w:keepLines w:val="0"/>
              <w:pageBreakBefore w:val="0"/>
              <w:widowControl w:val="0"/>
              <w:kinsoku/>
              <w:wordWrap/>
              <w:overflowPunct/>
              <w:topLinePunct w:val="0"/>
              <w:autoSpaceDE/>
              <w:autoSpaceDN/>
              <w:bidi w:val="0"/>
              <w:adjustRightInd w:val="0"/>
              <w:snapToGrid w:val="0"/>
              <w:spacing w:after="0" w:line="336"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主要指标</w:t>
            </w:r>
          </w:p>
        </w:tc>
        <w:tc>
          <w:tcPr>
            <w:tcW w:w="3399" w:type="dxa"/>
            <w:vAlign w:val="center"/>
          </w:tcPr>
          <w:p w14:paraId="405DCE4C">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2025年</w:t>
            </w:r>
          </w:p>
        </w:tc>
      </w:tr>
      <w:tr w14:paraId="38F40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3" w:type="dxa"/>
            <w:vAlign w:val="center"/>
          </w:tcPr>
          <w:p w14:paraId="78B81EAF">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既有建筑节能绿色化改造面积（万平方米）</w:t>
            </w:r>
          </w:p>
        </w:tc>
        <w:tc>
          <w:tcPr>
            <w:tcW w:w="3399" w:type="dxa"/>
            <w:vAlign w:val="center"/>
          </w:tcPr>
          <w:p w14:paraId="45997264">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3000</w:t>
            </w:r>
          </w:p>
        </w:tc>
      </w:tr>
      <w:tr w14:paraId="039D6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3" w:type="dxa"/>
            <w:vAlign w:val="center"/>
          </w:tcPr>
          <w:p w14:paraId="10D9D5B1">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岭南特色超低能耗、近零能耗建筑面积</w:t>
            </w:r>
          </w:p>
          <w:p w14:paraId="25753B71">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（万平方米）</w:t>
            </w:r>
          </w:p>
        </w:tc>
        <w:tc>
          <w:tcPr>
            <w:tcW w:w="3399" w:type="dxa"/>
            <w:vAlign w:val="center"/>
          </w:tcPr>
          <w:p w14:paraId="03C53292">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300</w:t>
            </w:r>
          </w:p>
        </w:tc>
      </w:tr>
      <w:tr w14:paraId="3A742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3" w:type="dxa"/>
            <w:vAlign w:val="center"/>
          </w:tcPr>
          <w:p w14:paraId="75DE0AE5">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新增建筑太阳能光伏装机容量（万千瓦）</w:t>
            </w:r>
          </w:p>
        </w:tc>
        <w:tc>
          <w:tcPr>
            <w:tcW w:w="3399" w:type="dxa"/>
            <w:vAlign w:val="center"/>
          </w:tcPr>
          <w:p w14:paraId="153B5E53">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200</w:t>
            </w:r>
          </w:p>
        </w:tc>
      </w:tr>
      <w:tr w14:paraId="3E4E2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23" w:type="dxa"/>
            <w:vAlign w:val="center"/>
          </w:tcPr>
          <w:p w14:paraId="34443C42">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城镇建筑可再生能源替代率</w:t>
            </w:r>
          </w:p>
        </w:tc>
        <w:tc>
          <w:tcPr>
            <w:tcW w:w="3399" w:type="dxa"/>
            <w:vAlign w:val="center"/>
          </w:tcPr>
          <w:p w14:paraId="46FA170A">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8%</w:t>
            </w:r>
          </w:p>
        </w:tc>
      </w:tr>
      <w:tr w14:paraId="4B15A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3" w:type="dxa"/>
            <w:vAlign w:val="center"/>
          </w:tcPr>
          <w:p w14:paraId="297349AF">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建筑能耗中电力消费比例</w:t>
            </w:r>
          </w:p>
        </w:tc>
        <w:tc>
          <w:tcPr>
            <w:tcW w:w="3399" w:type="dxa"/>
            <w:vAlign w:val="center"/>
          </w:tcPr>
          <w:p w14:paraId="320FA2CC">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80%</w:t>
            </w:r>
          </w:p>
        </w:tc>
      </w:tr>
      <w:tr w14:paraId="33466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3" w:type="dxa"/>
            <w:vAlign w:val="center"/>
          </w:tcPr>
          <w:p w14:paraId="671AB2D2">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一星及以上等级绿色建筑占城镇新增绿色</w:t>
            </w:r>
          </w:p>
          <w:p w14:paraId="30D7F0EB">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建筑比例</w:t>
            </w:r>
          </w:p>
        </w:tc>
        <w:tc>
          <w:tcPr>
            <w:tcW w:w="3399" w:type="dxa"/>
            <w:vAlign w:val="center"/>
          </w:tcPr>
          <w:p w14:paraId="56803E13">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30%（全省）</w:t>
            </w:r>
          </w:p>
          <w:p w14:paraId="25B71A6A">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45%（粤港澳大湾区珠三角九市）</w:t>
            </w:r>
          </w:p>
        </w:tc>
      </w:tr>
      <w:tr w14:paraId="3D5CB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3" w:type="dxa"/>
            <w:vAlign w:val="center"/>
          </w:tcPr>
          <w:p w14:paraId="0962A6C7">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城镇新建建筑中装配式建筑比例</w:t>
            </w:r>
          </w:p>
        </w:tc>
        <w:tc>
          <w:tcPr>
            <w:tcW w:w="3399" w:type="dxa"/>
            <w:vAlign w:val="center"/>
          </w:tcPr>
          <w:p w14:paraId="453B1EF4">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30%（全省）</w:t>
            </w:r>
          </w:p>
          <w:p w14:paraId="4C5B7E0F">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35%（重点推进地区）</w:t>
            </w:r>
          </w:p>
          <w:p w14:paraId="5F9A6C21">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30%（积极推进地区）</w:t>
            </w:r>
          </w:p>
          <w:p w14:paraId="6ACA6EA6">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20%（鼓励推进地区）</w:t>
            </w:r>
          </w:p>
        </w:tc>
      </w:tr>
      <w:tr w14:paraId="6A671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3" w:type="dxa"/>
            <w:vAlign w:val="center"/>
          </w:tcPr>
          <w:p w14:paraId="2620B175">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城镇新建政府投资工程中装配式建筑比例</w:t>
            </w:r>
          </w:p>
        </w:tc>
        <w:tc>
          <w:tcPr>
            <w:tcW w:w="3399" w:type="dxa"/>
            <w:vAlign w:val="center"/>
          </w:tcPr>
          <w:p w14:paraId="2D1B47CB">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70%（重点推进地区）</w:t>
            </w:r>
          </w:p>
          <w:p w14:paraId="4FD92FAF">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50%（积极推进地区）</w:t>
            </w:r>
          </w:p>
          <w:p w14:paraId="1B91DC61">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50%（鼓励推进地区）</w:t>
            </w:r>
          </w:p>
        </w:tc>
      </w:tr>
      <w:tr w14:paraId="5CE89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5123" w:type="dxa"/>
            <w:vAlign w:val="center"/>
          </w:tcPr>
          <w:p w14:paraId="67FD72CF">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水泥散装率</w:t>
            </w:r>
          </w:p>
        </w:tc>
        <w:tc>
          <w:tcPr>
            <w:tcW w:w="3399" w:type="dxa"/>
            <w:vAlign w:val="center"/>
          </w:tcPr>
          <w:p w14:paraId="01145CDE">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75%</w:t>
            </w:r>
          </w:p>
        </w:tc>
      </w:tr>
    </w:tbl>
    <w:p w14:paraId="72532823">
      <w:pPr>
        <w:pStyle w:val="34"/>
        <w:adjustRightInd w:val="0"/>
        <w:snapToGrid w:val="0"/>
        <w:spacing w:line="360" w:lineRule="auto"/>
        <w:ind w:firstLine="560"/>
        <w:rPr>
          <w:rFonts w:hint="default" w:ascii="Times New Roman" w:hAnsi="Times New Roman" w:cs="Times New Roman"/>
          <w:sz w:val="28"/>
          <w:szCs w:val="28"/>
        </w:rPr>
      </w:pPr>
    </w:p>
    <w:p w14:paraId="45E1AD5F">
      <w:pPr>
        <w:pStyle w:val="6"/>
        <w:numPr>
          <w:ilvl w:val="255"/>
          <w:numId w:val="0"/>
        </w:numPr>
        <w:ind w:firstLine="561"/>
        <w:rPr>
          <w:rFonts w:hint="default" w:ascii="Times New Roman" w:hAnsi="Times New Roman" w:cs="Times New Roman"/>
        </w:rPr>
      </w:pPr>
      <w:bookmarkStart w:id="76" w:name="_Toc124352496"/>
      <w:r>
        <w:rPr>
          <w:rFonts w:hint="default" w:ascii="Times New Roman" w:hAnsi="Times New Roman" w:cs="Times New Roman"/>
        </w:rPr>
        <w:t>3.3.2发展禀赋</w:t>
      </w:r>
      <w:bookmarkEnd w:id="76"/>
    </w:p>
    <w:p w14:paraId="6E511B7A">
      <w:pPr>
        <w:pStyle w:val="34"/>
        <w:adjustRightInd w:val="0"/>
        <w:snapToGrid w:val="0"/>
        <w:spacing w:line="360" w:lineRule="auto"/>
        <w:ind w:firstLine="562"/>
        <w:rPr>
          <w:rFonts w:hint="default" w:ascii="Times New Roman" w:hAnsi="Times New Roman" w:cs="Times New Roman"/>
          <w:b/>
          <w:bCs/>
          <w:sz w:val="28"/>
          <w:szCs w:val="28"/>
        </w:rPr>
      </w:pPr>
      <w:r>
        <w:rPr>
          <w:rFonts w:hint="default" w:ascii="Times New Roman" w:hAnsi="Times New Roman" w:cs="Times New Roman"/>
          <w:b/>
          <w:bCs/>
          <w:sz w:val="28"/>
          <w:szCs w:val="28"/>
        </w:rPr>
        <w:t>（1）新建绿色建筑</w:t>
      </w:r>
    </w:p>
    <w:p w14:paraId="126CE7B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中山市进入全面推广绿色建筑高速发展新时代。中山市绿色建筑发展紧跟全国和广东省绿色建筑发展步伐，积极贯彻落实广东省的相关工作部署的同时，根据我市地情颁布了《</w:t>
      </w:r>
      <w:r>
        <w:rPr>
          <w:rFonts w:hint="default" w:ascii="Times New Roman" w:hAnsi="Times New Roman" w:cs="Times New Roman"/>
          <w:sz w:val="28"/>
          <w:szCs w:val="28"/>
          <w:lang w:val="en-US" w:eastAsia="zh-CN"/>
        </w:rPr>
        <w:t>发布了</w:t>
      </w:r>
      <w:r>
        <w:rPr>
          <w:rFonts w:hint="default" w:ascii="Times New Roman" w:hAnsi="Times New Roman" w:cs="Times New Roman"/>
          <w:sz w:val="28"/>
          <w:szCs w:val="28"/>
        </w:rPr>
        <w:t>《〈关于印发中山市绿色建筑创建行动实施方案（2021-2023）〉的通知》（中建通〔2022〕73号）、</w:t>
      </w:r>
      <w:r>
        <w:rPr>
          <w:rFonts w:hint="default" w:ascii="Times New Roman" w:hAnsi="Times New Roman" w:eastAsia="宋体" w:cs="Times New Roman"/>
          <w:sz w:val="28"/>
          <w:szCs w:val="28"/>
          <w:lang w:val="en-US" w:eastAsia="zh-CN"/>
        </w:rPr>
        <w:t>《关于加强绿色建筑工程质量管理的通知》</w:t>
      </w:r>
      <w:r>
        <w:rPr>
          <w:rFonts w:hint="default" w:ascii="Times New Roman" w:hAnsi="Times New Roman" w:cs="Times New Roman"/>
          <w:sz w:val="28"/>
          <w:szCs w:val="28"/>
        </w:rPr>
        <w:t>、《中山市住房和城乡建设局关于做好我市新旧绿色建筑评价标准平稳过渡工作的通知》（中建函〔2017〕665号）等一系列政策，出台了《中山市绿色建筑设计指南》（2021版）和《中山市装配式建筑设计指南》（2021版）等一系列标准和指南，对中山市的绿色建筑发展起到了积极引导和推广的作用。截至2022年1月，中山市共申报绿色建筑设计标识项目83个，建筑面积合计792.21万平方米，在广东省各地市中位列第13位。已申报的项目中，一星级（包含国标一星和省标一星B和一星A级）项目74个，占所有申报标识的绿色建筑的面积比例达到97.18%，二星级及以上的项目9个，占所有申报标识的绿色建筑的面积比例为2.82%。已申报的项目中，申报设计标识的项目78个，占所有申报标识的绿色建筑的面积比例达到98.51%，申报运行标识的项目5个，占所有申报标识的绿色建筑的面积比例为1.49%。随着我省绿色建筑发展的进一步提升，中山市的绿色建筑也将迎来新的发展。</w:t>
      </w:r>
    </w:p>
    <w:p w14:paraId="43D09C16">
      <w:pPr>
        <w:pStyle w:val="34"/>
        <w:adjustRightInd w:val="0"/>
        <w:snapToGrid w:val="0"/>
        <w:spacing w:line="360" w:lineRule="auto"/>
        <w:ind w:firstLine="562"/>
        <w:rPr>
          <w:rFonts w:hint="default" w:ascii="Times New Roman" w:hAnsi="Times New Roman" w:cs="Times New Roman"/>
          <w:b/>
          <w:bCs/>
          <w:sz w:val="28"/>
          <w:szCs w:val="28"/>
        </w:rPr>
      </w:pPr>
      <w:r>
        <w:rPr>
          <w:rFonts w:hint="default" w:ascii="Times New Roman" w:hAnsi="Times New Roman" w:cs="Times New Roman"/>
          <w:b/>
          <w:bCs/>
          <w:sz w:val="28"/>
          <w:szCs w:val="28"/>
        </w:rPr>
        <w:t>（2）既有建筑节能改造</w:t>
      </w:r>
    </w:p>
    <w:p w14:paraId="21995E7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中山市积极推进既有建筑节能改造，改造内容主要包括立面改造、外围护结构改造、配电照明系统节能改造、外遮阳改造、可再生能源应用改造、节水改造等。</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十三五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期间，中山市建筑节能改造面积合计77万平方米，位居全省各地市第7位。</w:t>
      </w:r>
    </w:p>
    <w:p w14:paraId="52F6FE7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目前</w:t>
      </w:r>
      <w:r>
        <w:rPr>
          <w:rFonts w:hint="eastAsia" w:ascii="Times New Roman" w:hAnsi="Times New Roman" w:cs="Times New Roman"/>
          <w:sz w:val="28"/>
          <w:szCs w:val="28"/>
          <w:lang w:eastAsia="zh-CN"/>
        </w:rPr>
        <w:t>“</w:t>
      </w:r>
      <w:r>
        <w:rPr>
          <w:rFonts w:hint="default" w:ascii="Times New Roman" w:hAnsi="Times New Roman" w:cs="Times New Roman"/>
          <w:sz w:val="28"/>
          <w:szCs w:val="28"/>
        </w:rPr>
        <w:t>节能改造</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已进一步拓展为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绿色化改造</w:t>
      </w:r>
      <w:r>
        <w:rPr>
          <w:rFonts w:hint="eastAsia" w:ascii="Times New Roman" w:hAnsi="Times New Roman" w:cs="Times New Roman"/>
          <w:sz w:val="28"/>
          <w:szCs w:val="28"/>
          <w:lang w:eastAsia="zh-CN"/>
        </w:rPr>
        <w:t>”</w:t>
      </w:r>
      <w:r>
        <w:rPr>
          <w:rFonts w:hint="default" w:ascii="Times New Roman" w:hAnsi="Times New Roman" w:cs="Times New Roman"/>
          <w:sz w:val="28"/>
          <w:szCs w:val="28"/>
        </w:rPr>
        <w:t>。除传统的围护结构节能改造，空调、照明等机电系统节能改造外，安全耐久、生活便利、环境宜居等方面的改造也纳入了绿色化改造范畴。</w:t>
      </w:r>
    </w:p>
    <w:p w14:paraId="012815C9">
      <w:pPr>
        <w:pStyle w:val="34"/>
        <w:adjustRightInd w:val="0"/>
        <w:snapToGrid w:val="0"/>
        <w:spacing w:line="360" w:lineRule="auto"/>
        <w:ind w:firstLine="562"/>
        <w:rPr>
          <w:rFonts w:hint="default" w:ascii="Times New Roman" w:hAnsi="Times New Roman" w:cs="Times New Roman"/>
          <w:b/>
          <w:bCs/>
          <w:sz w:val="28"/>
          <w:szCs w:val="28"/>
        </w:rPr>
      </w:pPr>
      <w:r>
        <w:rPr>
          <w:rFonts w:hint="default" w:ascii="Times New Roman" w:hAnsi="Times New Roman" w:cs="Times New Roman"/>
          <w:b/>
          <w:bCs/>
          <w:sz w:val="28"/>
          <w:szCs w:val="28"/>
        </w:rPr>
        <w:t>（3）建筑可再生能源应用</w:t>
      </w:r>
    </w:p>
    <w:p w14:paraId="7EEA97D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十三五期间，中山市积极响应广东省绿色低碳发展的要求，大力推广可再生能源在建筑中的规模化应用，可再生能源建筑应用规模增长明显。全市新增太阳能光电建筑装机容量130兆瓦，位居全省各地市第5位。</w:t>
      </w:r>
    </w:p>
    <w:p w14:paraId="4DC8538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随着</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双碳</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国家战略的推进，挑战与机遇并存。2022年4月起执行的全文强条的《建筑节能与可再生能源利用通用规范》（GB 55015-2021），明确要求</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新建建筑应安装太阳能系统</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，对建筑太阳能应用的发展具有极大促进作用。</w:t>
      </w:r>
    </w:p>
    <w:p w14:paraId="5091846B">
      <w:pPr>
        <w:pStyle w:val="34"/>
        <w:adjustRightInd w:val="0"/>
        <w:snapToGrid w:val="0"/>
        <w:spacing w:line="360" w:lineRule="auto"/>
        <w:ind w:firstLine="562"/>
        <w:rPr>
          <w:rFonts w:hint="default" w:ascii="Times New Roman" w:hAnsi="Times New Roman" w:cs="Times New Roman"/>
          <w:b/>
          <w:bCs/>
          <w:sz w:val="28"/>
          <w:szCs w:val="28"/>
        </w:rPr>
      </w:pPr>
      <w:r>
        <w:rPr>
          <w:rFonts w:hint="default" w:ascii="Times New Roman" w:hAnsi="Times New Roman" w:cs="Times New Roman"/>
          <w:b/>
          <w:bCs/>
          <w:sz w:val="28"/>
          <w:szCs w:val="28"/>
        </w:rPr>
        <w:t>（4）绿色建造</w:t>
      </w:r>
    </w:p>
    <w:p w14:paraId="6543970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2021年，中山住建局发布关于《中山市装配式建筑（2021-2025年）发展规划》的公示，</w:t>
      </w:r>
      <w:r>
        <w:rPr>
          <w:rFonts w:hint="default" w:ascii="Times New Roman" w:hAnsi="Times New Roman" w:cs="Times New Roman"/>
          <w:sz w:val="28"/>
          <w:szCs w:val="28"/>
          <w:lang w:val="en-US" w:eastAsia="zh-CN"/>
        </w:rPr>
        <w:t>规划中</w:t>
      </w:r>
      <w:r>
        <w:rPr>
          <w:rFonts w:hint="default" w:ascii="Times New Roman" w:hAnsi="Times New Roman" w:cs="Times New Roman"/>
          <w:sz w:val="28"/>
          <w:szCs w:val="28"/>
        </w:rPr>
        <w:t>提出到2021年末，全市装配式建筑占新建建筑面积比例达到15%以上，其中政府投资工程装配式建筑面积占比达到50%以上，基本形成适应装配建筑发展的政策和技术保障体系；到2025年末，全市装配式建筑占新建建筑面积比例达到35%以上，其中政府投资工程装配式建筑面积占比达到70%以上，推动形成一批设计、施工、部品部件生产规模化企业，具有现代化装配建造水平的工程总承包企业以及与之相适应的专业化队伍，建成2-4个装配式建筑省级示范基地，力争建成省级装配式建筑示范市。</w:t>
      </w:r>
    </w:p>
    <w:p w14:paraId="6110CE02">
      <w:pPr>
        <w:pStyle w:val="6"/>
        <w:numPr>
          <w:ilvl w:val="255"/>
          <w:numId w:val="0"/>
        </w:numPr>
        <w:ind w:firstLine="561"/>
        <w:rPr>
          <w:rFonts w:hint="default" w:ascii="Times New Roman" w:hAnsi="Times New Roman" w:cs="Times New Roman"/>
        </w:rPr>
      </w:pPr>
      <w:bookmarkStart w:id="77" w:name="_Toc124352497"/>
      <w:r>
        <w:rPr>
          <w:rFonts w:hint="default" w:ascii="Times New Roman" w:hAnsi="Times New Roman" w:cs="Times New Roman"/>
        </w:rPr>
        <w:t>3.3.3近期目标</w:t>
      </w:r>
      <w:bookmarkEnd w:id="77"/>
    </w:p>
    <w:p w14:paraId="6F00909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根据基础分析，以及《广东省建筑节能与绿色建筑发展</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十四五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规划》《中山市装配式建筑（2021-2025年）发展规划》等相关规划，制定近期（2025年）中山市绿色建筑发展目标如下。</w:t>
      </w:r>
    </w:p>
    <w:p w14:paraId="6360AAF9">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表3-2 中山市绿色建筑发展指标表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57"/>
        <w:gridCol w:w="2886"/>
        <w:gridCol w:w="1579"/>
      </w:tblGrid>
      <w:tr w14:paraId="2F265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0" w:hRule="atLeast"/>
          <w:tblHeader/>
          <w:jc w:val="center"/>
        </w:trPr>
        <w:tc>
          <w:tcPr>
            <w:tcW w:w="4777" w:type="dxa"/>
            <w:shd w:val="clear" w:color="auto" w:fill="auto"/>
            <w:vAlign w:val="center"/>
          </w:tcPr>
          <w:p w14:paraId="1D2F8D7C">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主要指标</w:t>
            </w:r>
          </w:p>
        </w:tc>
        <w:tc>
          <w:tcPr>
            <w:tcW w:w="3398" w:type="dxa"/>
            <w:shd w:val="clear" w:color="auto" w:fill="auto"/>
            <w:vAlign w:val="center"/>
          </w:tcPr>
          <w:p w14:paraId="7A181AE6">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至2025年</w:t>
            </w:r>
          </w:p>
        </w:tc>
        <w:tc>
          <w:tcPr>
            <w:tcW w:w="1860" w:type="dxa"/>
            <w:shd w:val="clear" w:color="auto" w:fill="auto"/>
            <w:vAlign w:val="center"/>
          </w:tcPr>
          <w:p w14:paraId="48B3B9C9">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指标类型</w:t>
            </w:r>
          </w:p>
        </w:tc>
      </w:tr>
      <w:tr w14:paraId="5A7EC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7" w:type="dxa"/>
            <w:shd w:val="clear" w:color="auto" w:fill="auto"/>
            <w:vAlign w:val="center"/>
          </w:tcPr>
          <w:p w14:paraId="393848AA">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城镇绿色建筑占当年新建建筑比例</w:t>
            </w:r>
          </w:p>
        </w:tc>
        <w:tc>
          <w:tcPr>
            <w:tcW w:w="3398" w:type="dxa"/>
            <w:shd w:val="clear" w:color="auto" w:fill="auto"/>
            <w:vAlign w:val="center"/>
          </w:tcPr>
          <w:p w14:paraId="7F6AD477">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100%</w:t>
            </w:r>
          </w:p>
        </w:tc>
        <w:tc>
          <w:tcPr>
            <w:tcW w:w="1860" w:type="dxa"/>
            <w:vAlign w:val="center"/>
          </w:tcPr>
          <w:p w14:paraId="7E8996EA">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约束性</w:t>
            </w:r>
          </w:p>
        </w:tc>
      </w:tr>
      <w:tr w14:paraId="1D124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4777" w:type="dxa"/>
            <w:shd w:val="clear" w:color="auto" w:fill="auto"/>
            <w:vAlign w:val="center"/>
          </w:tcPr>
          <w:p w14:paraId="5856E24E">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一星及以上等级绿色建筑占城镇新增绿色建筑比例</w:t>
            </w:r>
          </w:p>
        </w:tc>
        <w:tc>
          <w:tcPr>
            <w:tcW w:w="3398" w:type="dxa"/>
            <w:shd w:val="clear" w:color="auto" w:fill="auto"/>
            <w:vAlign w:val="center"/>
          </w:tcPr>
          <w:p w14:paraId="4889CE75">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45%</w:t>
            </w:r>
          </w:p>
        </w:tc>
        <w:tc>
          <w:tcPr>
            <w:tcW w:w="1860" w:type="dxa"/>
            <w:vAlign w:val="center"/>
          </w:tcPr>
          <w:p w14:paraId="50298324">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约束性</w:t>
            </w:r>
          </w:p>
        </w:tc>
      </w:tr>
      <w:tr w14:paraId="64D23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4777" w:type="dxa"/>
            <w:shd w:val="clear" w:color="auto" w:fill="auto"/>
            <w:vAlign w:val="center"/>
          </w:tcPr>
          <w:p w14:paraId="4AAB6BF3">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城镇新建居住建筑能效水平提升</w:t>
            </w:r>
          </w:p>
        </w:tc>
        <w:tc>
          <w:tcPr>
            <w:tcW w:w="3398" w:type="dxa"/>
            <w:shd w:val="clear" w:color="auto" w:fill="auto"/>
            <w:vAlign w:val="center"/>
          </w:tcPr>
          <w:p w14:paraId="6E20A4E2">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≥30%</w:t>
            </w:r>
          </w:p>
        </w:tc>
        <w:tc>
          <w:tcPr>
            <w:tcW w:w="1860" w:type="dxa"/>
            <w:vAlign w:val="center"/>
          </w:tcPr>
          <w:p w14:paraId="2F50101C">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约束性</w:t>
            </w:r>
          </w:p>
        </w:tc>
      </w:tr>
      <w:tr w14:paraId="49A36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4777" w:type="dxa"/>
            <w:shd w:val="clear" w:color="auto" w:fill="auto"/>
            <w:vAlign w:val="center"/>
          </w:tcPr>
          <w:p w14:paraId="31EF3B88">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城镇新建公共建筑能效水平提升</w:t>
            </w:r>
          </w:p>
        </w:tc>
        <w:tc>
          <w:tcPr>
            <w:tcW w:w="3398" w:type="dxa"/>
            <w:shd w:val="clear" w:color="auto" w:fill="auto"/>
            <w:vAlign w:val="center"/>
          </w:tcPr>
          <w:p w14:paraId="29F9B44C">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≥20%</w:t>
            </w:r>
          </w:p>
        </w:tc>
        <w:tc>
          <w:tcPr>
            <w:tcW w:w="1860" w:type="dxa"/>
            <w:vAlign w:val="center"/>
          </w:tcPr>
          <w:p w14:paraId="222C50E1">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约束性</w:t>
            </w:r>
          </w:p>
        </w:tc>
      </w:tr>
      <w:tr w14:paraId="2A1DF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4777" w:type="dxa"/>
            <w:shd w:val="clear" w:color="auto" w:fill="auto"/>
            <w:vAlign w:val="center"/>
          </w:tcPr>
          <w:p w14:paraId="252F8D21">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既有建筑节能绿色化改造（万m</w:t>
            </w:r>
            <w:r>
              <w:rPr>
                <w:rFonts w:hint="default" w:ascii="Times New Roman" w:hAnsi="Times New Roman" w:cs="Times New Roman"/>
                <w:b w:val="0"/>
                <w:bCs w:val="0"/>
                <w:sz w:val="21"/>
                <w:szCs w:val="21"/>
                <w:vertAlign w:val="superscript"/>
              </w:rPr>
              <w:t>2</w:t>
            </w:r>
            <w:r>
              <w:rPr>
                <w:rFonts w:hint="default" w:ascii="Times New Roman" w:hAnsi="Times New Roman" w:cs="Times New Roman"/>
                <w:b w:val="0"/>
                <w:bCs w:val="0"/>
                <w:sz w:val="21"/>
                <w:szCs w:val="21"/>
              </w:rPr>
              <w:t>）</w:t>
            </w:r>
          </w:p>
        </w:tc>
        <w:tc>
          <w:tcPr>
            <w:tcW w:w="3398" w:type="dxa"/>
            <w:shd w:val="clear" w:color="auto" w:fill="auto"/>
            <w:vAlign w:val="center"/>
          </w:tcPr>
          <w:p w14:paraId="42FB3DD9">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200</w:t>
            </w:r>
          </w:p>
        </w:tc>
        <w:tc>
          <w:tcPr>
            <w:tcW w:w="1860" w:type="dxa"/>
            <w:vAlign w:val="center"/>
          </w:tcPr>
          <w:p w14:paraId="2FCCB73D">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约束性</w:t>
            </w:r>
          </w:p>
        </w:tc>
      </w:tr>
    </w:tbl>
    <w:p w14:paraId="3AB5A19C">
      <w:pPr>
        <w:pStyle w:val="34"/>
        <w:adjustRightInd w:val="0"/>
        <w:snapToGrid w:val="0"/>
        <w:spacing w:line="360" w:lineRule="auto"/>
        <w:ind w:firstLine="560"/>
        <w:rPr>
          <w:rFonts w:hint="default" w:ascii="Times New Roman" w:hAnsi="Times New Roman" w:cs="Times New Roman"/>
          <w:sz w:val="28"/>
          <w:szCs w:val="28"/>
        </w:rPr>
      </w:pPr>
    </w:p>
    <w:p w14:paraId="70EF6A3C">
      <w:pPr>
        <w:pStyle w:val="6"/>
        <w:numPr>
          <w:ilvl w:val="255"/>
          <w:numId w:val="0"/>
        </w:numPr>
        <w:ind w:firstLine="561"/>
        <w:rPr>
          <w:rFonts w:hint="default" w:ascii="Times New Roman" w:hAnsi="Times New Roman" w:cs="Times New Roman"/>
        </w:rPr>
      </w:pPr>
      <w:bookmarkStart w:id="78" w:name="_Toc124352498"/>
      <w:r>
        <w:rPr>
          <w:rFonts w:hint="default" w:ascii="Times New Roman" w:hAnsi="Times New Roman" w:cs="Times New Roman"/>
        </w:rPr>
        <w:t>3.3.4远期目标</w:t>
      </w:r>
      <w:bookmarkEnd w:id="78"/>
    </w:p>
    <w:p w14:paraId="777753A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1、至2030年：</w:t>
      </w:r>
    </w:p>
    <w:p w14:paraId="2EF9C54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城市建设方式绿色低碳转型取得积极进展。绿色建筑得到进一步发展，一星级及以上绿色建筑占比达到50%以上。建成一批绿色农房，鼓励建设星级绿色农房和零碳农房。引导新建农房按照《农村居住建筑节能设计标准》、《广东省农房建设绿色技术导则》等国家、省出台的技术文件进行建设。</w:t>
      </w:r>
    </w:p>
    <w:p w14:paraId="22C4B22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城市空间布局持续优化，建筑能源利用效率持续提升。建筑节能利用水平大幅提升，能源资源利用率达到国际领先水平。新建居住建筑本体达到75%节能要求，新建公共建筑本体达到78%节能要求，新建建筑的围护结构性能满足超低能耗标准要求；形成一批岭南特色超低能耗建筑示范项目，力争建成3个以上岭南特色近零能耗建筑项目。</w:t>
      </w:r>
    </w:p>
    <w:p w14:paraId="744BA82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（3）用能结构和方式更加优化，可再生能源应用更加充分。建筑品质和工程质量进一步提高，绿色建造方式广泛推行。</w:t>
      </w:r>
    </w:p>
    <w:p w14:paraId="187DC2E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4）进一步加强既有建筑节能改造工作，督促超能耗限额建筑实施节能降碳改造。逐步对大型公共建筑进行电气化改造，鼓励采用合同能源管理方式进行建筑节能改造。到2030年，累计完成不少于400万平方米的建筑节能绿色化改造。</w:t>
      </w:r>
    </w:p>
    <w:p w14:paraId="6FBBE4F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5）推进建筑废物集中处理、分级利用，到2030年建筑垃圾资源化利用率达到55%。推广应用建筑废弃物再生建材产品，完善绿色建材推广应用措施，到2030年星级绿色建筑全面推广绿色建材，其中政府投资项目应率先采用绿色建材。</w:t>
      </w:r>
    </w:p>
    <w:p w14:paraId="7A754FD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（6）工业建筑推广应用先进蓄冷技术、太阳能光伏等可再生能源以及可再循环和可再利用材料，形成具有中山特色的</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绿色工业建筑</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p>
    <w:p w14:paraId="782C575B">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2、至2035年：</w:t>
      </w:r>
    </w:p>
    <w:p w14:paraId="4F1C028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（1）全面实施绿色建筑运行效果后评估，绿色建筑品质显著提高。新建民用建筑全面执行一星级绿色建筑标准，二星级及以上绿色建筑面积比例超过45%。</w:t>
      </w:r>
    </w:p>
    <w:p w14:paraId="22D0635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（2）新建建筑普遍推广健康建筑、超低能耗建筑、近零能耗建筑、可再生能源应用，促进碳</w:t>
      </w:r>
      <w:r>
        <w:rPr>
          <w:rFonts w:hint="eastAsia" w:ascii="Times New Roman" w:hAnsi="Times New Roman" w:cs="Times New Roman"/>
          <w:sz w:val="28"/>
          <w:szCs w:val="28"/>
          <w:lang w:val="en-US" w:eastAsia="zh-CN"/>
        </w:rPr>
        <w:t>中和</w:t>
      </w:r>
      <w:r>
        <w:rPr>
          <w:rFonts w:hint="default" w:ascii="Times New Roman" w:hAnsi="Times New Roman" w:cs="Times New Roman"/>
          <w:sz w:val="28"/>
          <w:szCs w:val="28"/>
        </w:rPr>
        <w:t>。</w:t>
      </w:r>
    </w:p>
    <w:p w14:paraId="316583C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（3）普及既有建筑绿色化改造，加速能效提升。充分重视绿色改造人才素质，提升绿色改造产品性能和质量，分别从既有建筑绿色改造咨询设计、产品生产、施工、运行维护等全寿命</w:t>
      </w:r>
      <w:r>
        <w:rPr>
          <w:rFonts w:hint="default" w:ascii="Times New Roman" w:hAnsi="Times New Roman" w:cs="Times New Roman"/>
          <w:sz w:val="28"/>
          <w:szCs w:val="28"/>
          <w:lang w:val="en-US" w:eastAsia="zh-CN"/>
        </w:rPr>
        <w:t>期</w:t>
      </w:r>
      <w:r>
        <w:rPr>
          <w:rFonts w:hint="default" w:ascii="Times New Roman" w:hAnsi="Times New Roman" w:cs="Times New Roman"/>
          <w:sz w:val="28"/>
          <w:szCs w:val="28"/>
        </w:rPr>
        <w:t>的产业链角度进行引导和布局，实现既有建筑绿色化改造的稳步发展。</w:t>
      </w:r>
    </w:p>
    <w:p w14:paraId="402E315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4）装配式建筑、绿色建材广泛应用。全市装配式建筑比例大幅提高，装配式建筑设计、施工、管理等专业人才培养体系建立完备，大力发展专业作业企业，培育出职业化、专业化、技能化建筑产业工人队伍，生产企业实现从粗放的建筑业向高端制造业转变。同时，绿色建材企业快速发展，相关标准逐步完善，绿色建材应用比例进一步提高。</w:t>
      </w:r>
    </w:p>
    <w:p w14:paraId="58AA3FE2">
      <w:pPr>
        <w:pStyle w:val="6"/>
        <w:numPr>
          <w:ilvl w:val="255"/>
          <w:numId w:val="0"/>
        </w:numPr>
        <w:ind w:firstLine="561"/>
        <w:rPr>
          <w:rFonts w:hint="default" w:ascii="Times New Roman" w:hAnsi="Times New Roman" w:cs="Times New Roman"/>
        </w:rPr>
      </w:pPr>
      <w:bookmarkStart w:id="79" w:name="_Toc124352499"/>
      <w:r>
        <w:rPr>
          <w:rFonts w:hint="default" w:ascii="Times New Roman" w:hAnsi="Times New Roman" w:cs="Times New Roman"/>
        </w:rPr>
        <w:t>3.3.5 对比分析</w:t>
      </w:r>
      <w:bookmarkEnd w:id="79"/>
    </w:p>
    <w:p w14:paraId="00A7356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（1）发展基础对比分析</w:t>
      </w:r>
    </w:p>
    <w:p w14:paraId="2185EE1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将中山市</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十三五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期间的绿色建筑和建筑节能相关工作成果与广东省其它地市进行对比，对比结果如下所示。</w:t>
      </w:r>
    </w:p>
    <w:p w14:paraId="5A9583B2">
      <w:pPr>
        <w:pStyle w:val="34"/>
        <w:adjustRightInd w:val="0"/>
        <w:snapToGrid w:val="0"/>
        <w:spacing w:line="360" w:lineRule="auto"/>
        <w:ind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801870" cy="2963545"/>
            <wp:effectExtent l="4445" t="4445" r="13335" b="22860"/>
            <wp:docPr id="46"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6232313">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图3-1 广东省各地市城镇新增绿色建筑面积统计</w:t>
      </w:r>
    </w:p>
    <w:p w14:paraId="4AB71E12">
      <w:pPr>
        <w:pStyle w:val="34"/>
        <w:adjustRightInd w:val="0"/>
        <w:snapToGrid w:val="0"/>
        <w:spacing w:line="360" w:lineRule="auto"/>
        <w:ind w:firstLine="0" w:firstLineChars="0"/>
        <w:jc w:val="center"/>
        <w:rPr>
          <w:rFonts w:hint="default" w:ascii="Times New Roman" w:hAnsi="Times New Roman" w:eastAsia="黑体" w:cs="Times New Roman"/>
          <w:sz w:val="20"/>
          <w:szCs w:val="20"/>
        </w:rPr>
      </w:pPr>
    </w:p>
    <w:p w14:paraId="071D7F2E">
      <w:pPr>
        <w:pStyle w:val="34"/>
        <w:adjustRightInd w:val="0"/>
        <w:snapToGrid w:val="0"/>
        <w:spacing w:line="360" w:lineRule="auto"/>
        <w:ind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879340" cy="2688590"/>
            <wp:effectExtent l="4445" t="4445" r="12065" b="12065"/>
            <wp:docPr id="47"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072B06C">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图3-2广东省各地市城镇绿色建筑占新建建筑面积比例统计</w:t>
      </w:r>
    </w:p>
    <w:p w14:paraId="050AF38C">
      <w:pPr>
        <w:pStyle w:val="34"/>
        <w:adjustRightInd w:val="0"/>
        <w:snapToGrid w:val="0"/>
        <w:spacing w:line="360" w:lineRule="auto"/>
        <w:ind w:firstLine="0" w:firstLineChars="0"/>
        <w:jc w:val="center"/>
        <w:rPr>
          <w:rFonts w:hint="default" w:ascii="Times New Roman" w:hAnsi="Times New Roman" w:cs="Times New Roman"/>
        </w:rPr>
      </w:pPr>
    </w:p>
    <w:p w14:paraId="5C82E10A">
      <w:pPr>
        <w:pStyle w:val="34"/>
        <w:adjustRightInd w:val="0"/>
        <w:snapToGrid w:val="0"/>
        <w:spacing w:line="360" w:lineRule="auto"/>
        <w:ind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103495" cy="2350135"/>
            <wp:effectExtent l="5080" t="4445" r="15875" b="7620"/>
            <wp:docPr id="48"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3C7CF2F">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图3-3 广东省各地市建筑节能改造面积统计</w:t>
      </w:r>
    </w:p>
    <w:p w14:paraId="572CD393">
      <w:pPr>
        <w:pStyle w:val="34"/>
        <w:adjustRightInd w:val="0"/>
        <w:snapToGrid w:val="0"/>
        <w:spacing w:line="360" w:lineRule="auto"/>
        <w:ind w:firstLine="0" w:firstLineChars="0"/>
        <w:jc w:val="center"/>
        <w:rPr>
          <w:rFonts w:hint="default" w:ascii="Times New Roman" w:hAnsi="Times New Roman" w:cs="Times New Roman"/>
        </w:rPr>
      </w:pPr>
    </w:p>
    <w:p w14:paraId="287E5487">
      <w:pPr>
        <w:pStyle w:val="34"/>
        <w:adjustRightInd w:val="0"/>
        <w:snapToGrid w:val="0"/>
        <w:spacing w:line="360" w:lineRule="auto"/>
        <w:ind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321300" cy="2338705"/>
            <wp:effectExtent l="4445" t="4445" r="8255" b="19050"/>
            <wp:docPr id="50"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8A33D87">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图3-4 广东省各地市新增太阳能光电建筑应用装机容量统计</w:t>
      </w:r>
    </w:p>
    <w:p w14:paraId="52E38C0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对比分析可知：</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十三五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期间，广东省范围内，中山市城镇新增绿色建筑面积5184万平方米，位列全省各地市的第4位；城镇绿色建筑占新建建筑面积比例达到64%，位列全省各地市的第4位；建筑节能改造面积达到77万平方米，排在全省各地市的第7位；新增太阳能光电建筑应用装机容量达到130兆瓦，排在全省各地市的第5位。由此可知，中山市绿色建筑发展水平紧跟深圳、珠海和广州步伐，与东莞、佛山、惠州等城市争先向前，较江门、茂名、阳江等城市有更高的发展基础，与中山市作为珠江西岸绿色建筑高质量发展</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桥头堡</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的发展定位相契合。</w:t>
      </w:r>
    </w:p>
    <w:p w14:paraId="37E0429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（2）近期目标对比分析</w:t>
      </w:r>
    </w:p>
    <w:p w14:paraId="36FDEA2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结合广东省各地市已编和在编的绿色建筑发展专项规划成果，对比中山市与广州市、东莞市、佛山市、江门市和</w:t>
      </w:r>
      <w:r>
        <w:rPr>
          <w:rFonts w:hint="default" w:ascii="Times New Roman" w:hAnsi="Times New Roman" w:cs="Times New Roman"/>
          <w:sz w:val="28"/>
          <w:szCs w:val="28"/>
          <w:lang w:val="en-US" w:eastAsia="zh-CN"/>
        </w:rPr>
        <w:t>肇庆</w:t>
      </w:r>
      <w:r>
        <w:rPr>
          <w:rFonts w:hint="default" w:ascii="Times New Roman" w:hAnsi="Times New Roman" w:cs="Times New Roman"/>
          <w:sz w:val="28"/>
          <w:szCs w:val="28"/>
        </w:rPr>
        <w:t>市的近期目标，对比情况如下表所示。</w:t>
      </w:r>
    </w:p>
    <w:p w14:paraId="37651F2A">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表3-3 广东省各地市绿色建筑发展近期目标注</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1"/>
        <w:gridCol w:w="903"/>
        <w:gridCol w:w="1355"/>
        <w:gridCol w:w="804"/>
        <w:gridCol w:w="1703"/>
        <w:gridCol w:w="990"/>
        <w:gridCol w:w="1084"/>
      </w:tblGrid>
      <w:tr w14:paraId="077E4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0" w:hRule="atLeast"/>
          <w:tblHeader/>
          <w:jc w:val="center"/>
        </w:trPr>
        <w:tc>
          <w:tcPr>
            <w:tcW w:w="1831" w:type="dxa"/>
            <w:vMerge w:val="restart"/>
            <w:shd w:val="clear" w:color="auto" w:fill="auto"/>
            <w:vAlign w:val="center"/>
          </w:tcPr>
          <w:p w14:paraId="220E7AE4">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近期目标</w:t>
            </w:r>
          </w:p>
        </w:tc>
        <w:tc>
          <w:tcPr>
            <w:tcW w:w="903" w:type="dxa"/>
            <w:shd w:val="clear" w:color="auto" w:fill="auto"/>
            <w:vAlign w:val="center"/>
          </w:tcPr>
          <w:p w14:paraId="0B8B774D">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中山</w:t>
            </w:r>
          </w:p>
        </w:tc>
        <w:tc>
          <w:tcPr>
            <w:tcW w:w="1355" w:type="dxa"/>
            <w:shd w:val="clear" w:color="auto" w:fill="auto"/>
            <w:vAlign w:val="center"/>
          </w:tcPr>
          <w:p w14:paraId="1B22AFB6">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广州</w:t>
            </w:r>
          </w:p>
        </w:tc>
        <w:tc>
          <w:tcPr>
            <w:tcW w:w="804" w:type="dxa"/>
            <w:shd w:val="clear" w:color="auto" w:fill="auto"/>
            <w:vAlign w:val="center"/>
          </w:tcPr>
          <w:p w14:paraId="29F934BA">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东莞</w:t>
            </w:r>
          </w:p>
        </w:tc>
        <w:tc>
          <w:tcPr>
            <w:tcW w:w="1703" w:type="dxa"/>
            <w:shd w:val="clear" w:color="auto" w:fill="auto"/>
            <w:vAlign w:val="center"/>
          </w:tcPr>
          <w:p w14:paraId="57DF9DFC">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佛山</w:t>
            </w:r>
          </w:p>
        </w:tc>
        <w:tc>
          <w:tcPr>
            <w:tcW w:w="990" w:type="dxa"/>
            <w:shd w:val="clear" w:color="auto" w:fill="auto"/>
            <w:vAlign w:val="center"/>
          </w:tcPr>
          <w:p w14:paraId="0E6DC842">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江门</w:t>
            </w:r>
          </w:p>
        </w:tc>
        <w:tc>
          <w:tcPr>
            <w:tcW w:w="1084" w:type="dxa"/>
            <w:shd w:val="clear" w:color="auto" w:fill="auto"/>
            <w:vAlign w:val="center"/>
          </w:tcPr>
          <w:p w14:paraId="587EB300">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肇庆</w:t>
            </w:r>
          </w:p>
        </w:tc>
      </w:tr>
      <w:tr w14:paraId="64316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1" w:type="dxa"/>
            <w:vMerge w:val="continue"/>
            <w:shd w:val="clear" w:color="auto" w:fill="auto"/>
            <w:vAlign w:val="center"/>
          </w:tcPr>
          <w:p w14:paraId="12A3823D">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p>
        </w:tc>
        <w:tc>
          <w:tcPr>
            <w:tcW w:w="6839" w:type="dxa"/>
            <w:gridSpan w:val="6"/>
            <w:shd w:val="clear" w:color="auto" w:fill="auto"/>
            <w:vAlign w:val="center"/>
          </w:tcPr>
          <w:p w14:paraId="54610939">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至2025年</w:t>
            </w:r>
          </w:p>
        </w:tc>
      </w:tr>
      <w:tr w14:paraId="56DF0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831" w:type="dxa"/>
            <w:shd w:val="clear" w:color="auto" w:fill="auto"/>
            <w:vAlign w:val="center"/>
          </w:tcPr>
          <w:p w14:paraId="6ED1A0BE">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城镇绿色建筑占当年新建建筑比例</w:t>
            </w:r>
          </w:p>
        </w:tc>
        <w:tc>
          <w:tcPr>
            <w:tcW w:w="903" w:type="dxa"/>
            <w:shd w:val="clear" w:color="auto" w:fill="auto"/>
            <w:vAlign w:val="center"/>
          </w:tcPr>
          <w:p w14:paraId="6B46E0EF">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100%</w:t>
            </w:r>
          </w:p>
        </w:tc>
        <w:tc>
          <w:tcPr>
            <w:tcW w:w="1355" w:type="dxa"/>
            <w:vAlign w:val="center"/>
          </w:tcPr>
          <w:p w14:paraId="6CC37C77">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100%</w:t>
            </w:r>
          </w:p>
        </w:tc>
        <w:tc>
          <w:tcPr>
            <w:tcW w:w="804" w:type="dxa"/>
            <w:vAlign w:val="center"/>
          </w:tcPr>
          <w:p w14:paraId="2CC88C71">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100%</w:t>
            </w:r>
          </w:p>
        </w:tc>
        <w:tc>
          <w:tcPr>
            <w:tcW w:w="1703" w:type="dxa"/>
            <w:vAlign w:val="center"/>
          </w:tcPr>
          <w:p w14:paraId="0A157BCF">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100%</w:t>
            </w:r>
          </w:p>
        </w:tc>
        <w:tc>
          <w:tcPr>
            <w:tcW w:w="990" w:type="dxa"/>
            <w:vAlign w:val="center"/>
          </w:tcPr>
          <w:p w14:paraId="6B0514B0">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100%</w:t>
            </w:r>
          </w:p>
        </w:tc>
        <w:tc>
          <w:tcPr>
            <w:tcW w:w="1084" w:type="dxa"/>
            <w:vAlign w:val="center"/>
          </w:tcPr>
          <w:p w14:paraId="050DAA37">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100%</w:t>
            </w:r>
          </w:p>
        </w:tc>
      </w:tr>
      <w:tr w14:paraId="60433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1831" w:type="dxa"/>
            <w:shd w:val="clear" w:color="auto" w:fill="auto"/>
            <w:vAlign w:val="center"/>
          </w:tcPr>
          <w:p w14:paraId="1FDEA8CA">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一星及以上等级绿色建筑占城镇新增绿色 建筑比例</w:t>
            </w:r>
          </w:p>
        </w:tc>
        <w:tc>
          <w:tcPr>
            <w:tcW w:w="903" w:type="dxa"/>
            <w:shd w:val="clear" w:color="auto" w:fill="auto"/>
            <w:vAlign w:val="center"/>
          </w:tcPr>
          <w:p w14:paraId="54EE9819">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45%</w:t>
            </w:r>
          </w:p>
        </w:tc>
        <w:tc>
          <w:tcPr>
            <w:tcW w:w="1355" w:type="dxa"/>
            <w:vAlign w:val="center"/>
          </w:tcPr>
          <w:p w14:paraId="101AFCDC">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40%</w:t>
            </w:r>
          </w:p>
          <w:p w14:paraId="781CC39F">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（二星级）</w:t>
            </w:r>
          </w:p>
        </w:tc>
        <w:tc>
          <w:tcPr>
            <w:tcW w:w="804" w:type="dxa"/>
            <w:vAlign w:val="center"/>
          </w:tcPr>
          <w:p w14:paraId="1BD0A02E">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45%</w:t>
            </w:r>
          </w:p>
        </w:tc>
        <w:tc>
          <w:tcPr>
            <w:tcW w:w="1703" w:type="dxa"/>
            <w:vAlign w:val="center"/>
          </w:tcPr>
          <w:p w14:paraId="7FF9477F">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35%（2023年）</w:t>
            </w:r>
          </w:p>
          <w:p w14:paraId="15573B1D">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45%（2025年）</w:t>
            </w:r>
          </w:p>
        </w:tc>
        <w:tc>
          <w:tcPr>
            <w:tcW w:w="990" w:type="dxa"/>
            <w:vAlign w:val="center"/>
          </w:tcPr>
          <w:p w14:paraId="5C85B92F">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45%</w:t>
            </w:r>
          </w:p>
        </w:tc>
        <w:tc>
          <w:tcPr>
            <w:tcW w:w="1084" w:type="dxa"/>
            <w:vAlign w:val="center"/>
          </w:tcPr>
          <w:p w14:paraId="4056D05D">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30%</w:t>
            </w:r>
          </w:p>
        </w:tc>
      </w:tr>
      <w:tr w14:paraId="72814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1831" w:type="dxa"/>
            <w:shd w:val="clear" w:color="auto" w:fill="auto"/>
            <w:vAlign w:val="center"/>
          </w:tcPr>
          <w:p w14:paraId="576BCAFC">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既有建筑绿色化改造（万m</w:t>
            </w:r>
            <w:r>
              <w:rPr>
                <w:rFonts w:hint="default" w:ascii="Times New Roman" w:hAnsi="Times New Roman" w:cs="Times New Roman"/>
                <w:b w:val="0"/>
                <w:bCs w:val="0"/>
                <w:sz w:val="21"/>
                <w:szCs w:val="21"/>
                <w:vertAlign w:val="superscript"/>
              </w:rPr>
              <w:t>2</w:t>
            </w:r>
            <w:r>
              <w:rPr>
                <w:rFonts w:hint="default" w:ascii="Times New Roman" w:hAnsi="Times New Roman" w:cs="Times New Roman"/>
                <w:b w:val="0"/>
                <w:bCs w:val="0"/>
                <w:sz w:val="21"/>
                <w:szCs w:val="21"/>
              </w:rPr>
              <w:t>）</w:t>
            </w:r>
          </w:p>
        </w:tc>
        <w:tc>
          <w:tcPr>
            <w:tcW w:w="903" w:type="dxa"/>
            <w:shd w:val="clear" w:color="auto" w:fill="auto"/>
            <w:vAlign w:val="center"/>
          </w:tcPr>
          <w:p w14:paraId="06F969E8">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200</w:t>
            </w:r>
          </w:p>
        </w:tc>
        <w:tc>
          <w:tcPr>
            <w:tcW w:w="1355" w:type="dxa"/>
            <w:vAlign w:val="center"/>
          </w:tcPr>
          <w:p w14:paraId="6584844C">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700</w:t>
            </w:r>
          </w:p>
        </w:tc>
        <w:tc>
          <w:tcPr>
            <w:tcW w:w="804" w:type="dxa"/>
            <w:vAlign w:val="center"/>
          </w:tcPr>
          <w:p w14:paraId="042E2DA0">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200</w:t>
            </w:r>
          </w:p>
        </w:tc>
        <w:tc>
          <w:tcPr>
            <w:tcW w:w="1703" w:type="dxa"/>
            <w:vAlign w:val="center"/>
          </w:tcPr>
          <w:p w14:paraId="0AE0DD5B">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300</w:t>
            </w:r>
          </w:p>
        </w:tc>
        <w:tc>
          <w:tcPr>
            <w:tcW w:w="990" w:type="dxa"/>
            <w:vAlign w:val="center"/>
          </w:tcPr>
          <w:p w14:paraId="45D790CC">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150</w:t>
            </w:r>
          </w:p>
        </w:tc>
        <w:tc>
          <w:tcPr>
            <w:tcW w:w="1084" w:type="dxa"/>
            <w:vAlign w:val="center"/>
          </w:tcPr>
          <w:p w14:paraId="45C7B62E">
            <w:pPr>
              <w:pStyle w:val="47"/>
              <w:adjustRightInd w:val="0"/>
              <w:snapToGrid w:val="0"/>
              <w:spacing w:after="0" w:line="400" w:lineRule="exact"/>
              <w:ind w:left="0" w:leftChars="0"/>
              <w:jc w:val="center"/>
              <w:rPr>
                <w:rFonts w:hint="default" w:ascii="Times New Roman" w:hAnsi="Times New Roman" w:eastAsia="宋体" w:cs="Times New Roman"/>
                <w:b w:val="0"/>
                <w:bCs w:val="0"/>
                <w:sz w:val="21"/>
                <w:szCs w:val="21"/>
                <w:lang w:val="en-US" w:eastAsia="zh-CN"/>
              </w:rPr>
            </w:pPr>
            <w:r>
              <w:rPr>
                <w:rFonts w:hint="default" w:ascii="Times New Roman" w:hAnsi="Times New Roman" w:cs="Times New Roman"/>
                <w:b w:val="0"/>
                <w:bCs w:val="0"/>
                <w:sz w:val="21"/>
                <w:szCs w:val="21"/>
                <w:lang w:val="en-US" w:eastAsia="zh-CN"/>
              </w:rPr>
              <w:t>55</w:t>
            </w:r>
          </w:p>
        </w:tc>
      </w:tr>
    </w:tbl>
    <w:p w14:paraId="7A0EC6DC">
      <w:pPr>
        <w:pStyle w:val="34"/>
        <w:adjustRightInd w:val="0"/>
        <w:snapToGrid w:val="0"/>
        <w:spacing w:line="360" w:lineRule="auto"/>
        <w:ind w:firstLine="0" w:firstLineChars="0"/>
        <w:rPr>
          <w:rFonts w:hint="default" w:ascii="Times New Roman" w:hAnsi="Times New Roman" w:cs="Times New Roman"/>
          <w:sz w:val="28"/>
          <w:szCs w:val="28"/>
        </w:rPr>
      </w:pPr>
      <w:r>
        <w:rPr>
          <w:rFonts w:hint="default" w:ascii="Times New Roman" w:hAnsi="Times New Roman" w:cs="Times New Roman"/>
          <w:sz w:val="22"/>
        </w:rPr>
        <w:t>注：广州市数据来自正式发布稿，东莞市、佛山市数据来自征求意见稿，其它地市数据来自初稿</w:t>
      </w:r>
    </w:p>
    <w:p w14:paraId="447049C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对比分析可看出：目前确定近期目标关键指标中，广州市的指标要求最高，中山市与东莞、佛山、江门、肇庆等珠三角城市保持基本一致的发展目标，佛山的既有建筑绿色化改造目标稍高于中山，但中山的既有建筑绿色化改造目标高于江门的150万平方米和肇庆的55万平方米。总体来看，中山市的绿色建筑发展目标在珠三角九市中处于中上游位置，在珠江西岸的城市中排名靠前，符合珠江西岸绿色建筑高质量发展</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桥头堡</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的定位。</w:t>
      </w:r>
    </w:p>
    <w:p w14:paraId="644F76C1">
      <w:pPr>
        <w:pStyle w:val="5"/>
        <w:rPr>
          <w:rFonts w:hint="default" w:ascii="Times New Roman" w:hAnsi="Times New Roman" w:cs="Times New Roman"/>
        </w:rPr>
      </w:pPr>
      <w:bookmarkStart w:id="80" w:name="_Toc124352500"/>
      <w:r>
        <w:rPr>
          <w:rFonts w:hint="default" w:ascii="Times New Roman" w:hAnsi="Times New Roman" w:cs="Times New Roman"/>
        </w:rPr>
        <w:t>3.4 发展战略</w:t>
      </w:r>
      <w:bookmarkEnd w:id="80"/>
    </w:p>
    <w:p w14:paraId="57021EC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SWOT（Strengths Weakness Opportunity Threats）分析法，又称为态势分析法或优劣势分析法，用来确定自身的竞争优势（strength）、竞争劣势（weakness）、机会</w:t>
      </w:r>
      <w:r>
        <w:rPr>
          <w:rFonts w:hint="default" w:ascii="Times New Roman" w:hAnsi="Times New Roman" w:cs="Times New Roman"/>
          <w:sz w:val="28"/>
          <w:szCs w:val="28"/>
          <w:lang w:eastAsia="zh-CN"/>
        </w:rPr>
        <w:t>（</w:t>
      </w:r>
      <w:r>
        <w:rPr>
          <w:rFonts w:hint="default" w:ascii="Times New Roman" w:hAnsi="Times New Roman" w:cs="Times New Roman"/>
          <w:sz w:val="28"/>
          <w:szCs w:val="28"/>
        </w:rPr>
        <w:t>opportunity</w:t>
      </w:r>
      <w:r>
        <w:rPr>
          <w:rFonts w:hint="default" w:ascii="Times New Roman" w:hAnsi="Times New Roman" w:cs="Times New Roman"/>
          <w:sz w:val="28"/>
          <w:szCs w:val="28"/>
          <w:lang w:eastAsia="zh-CN"/>
        </w:rPr>
        <w:t>）</w:t>
      </w:r>
      <w:r>
        <w:rPr>
          <w:rFonts w:hint="default" w:ascii="Times New Roman" w:hAnsi="Times New Roman" w:cs="Times New Roman"/>
          <w:sz w:val="28"/>
          <w:szCs w:val="28"/>
        </w:rPr>
        <w:t>和威胁（threat），从而将自身的战略与内部资源、外部环境可以有机地结合起来。利用这种方法可以从中找出对自己有利的、值得发扬的因素，以及对自己不利的、要避开的东西，发现存在的问题，找出解决办法，并明确以后的发展方向。根据分析，可以将问题按轻重缓急分类，明确哪些是急需解决的问题，哪些是可以稍微拖后一点儿的事情，哪些属于战略目标上的障碍，哪些属于战术上的问题，并将这些研究对象列举出来，依照矩阵形式排列，然后用系统分析的所想，把各种因素相互匹配起来加以分析，从中得出一系列相应的结论</w:t>
      </w:r>
      <w:r>
        <w:rPr>
          <w:rFonts w:hint="default" w:ascii="Times New Roman" w:hAnsi="Times New Roman" w:cs="Times New Roman"/>
          <w:sz w:val="28"/>
          <w:szCs w:val="28"/>
          <w:lang w:eastAsia="zh-CN"/>
        </w:rPr>
        <w:t>，</w:t>
      </w:r>
      <w:r>
        <w:rPr>
          <w:rFonts w:hint="default" w:ascii="Times New Roman" w:hAnsi="Times New Roman" w:cs="Times New Roman"/>
          <w:sz w:val="28"/>
          <w:szCs w:val="28"/>
        </w:rPr>
        <w:t>而结论通常带有一定的决策性，有利于领导者和管理者做出较正确的决策和规划。</w:t>
      </w:r>
    </w:p>
    <w:p w14:paraId="69B86A16">
      <w:pPr>
        <w:pStyle w:val="6"/>
        <w:numPr>
          <w:ilvl w:val="255"/>
          <w:numId w:val="0"/>
        </w:numPr>
        <w:ind w:firstLine="561"/>
        <w:rPr>
          <w:rFonts w:hint="default" w:ascii="Times New Roman" w:hAnsi="Times New Roman" w:cs="Times New Roman"/>
        </w:rPr>
      </w:pPr>
      <w:bookmarkStart w:id="81" w:name="_Toc124352501"/>
      <w:r>
        <w:rPr>
          <w:rFonts w:hint="default" w:ascii="Times New Roman" w:hAnsi="Times New Roman" w:cs="Times New Roman"/>
        </w:rPr>
        <w:t>3.4.1优势分析（S）</w:t>
      </w:r>
      <w:bookmarkEnd w:id="81"/>
    </w:p>
    <w:p w14:paraId="121AFA6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（1）现有工作基础良好</w:t>
      </w:r>
    </w:p>
    <w:p w14:paraId="41C814C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中山市绿色建筑发展紧跟国家和广东省的发展战略，在近年</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双碳</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目标和广东省绿色建筑条例立法的背景下，新建建筑逐步开始全面执行绿色建筑标准，推进落实绿色建筑在立项、设计、施工、验收等建设流程内的监管，相关政策和管理机制等工作稳步推进。</w:t>
      </w:r>
    </w:p>
    <w:p w14:paraId="19417AD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（2）城市发展方向与绿色发展吻合</w:t>
      </w:r>
    </w:p>
    <w:p w14:paraId="3D45762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对于以</w:t>
      </w:r>
      <w:r>
        <w:rPr>
          <w:rFonts w:hint="eastAsia" w:ascii="Times New Roman" w:hAnsi="Times New Roman" w:cs="Times New Roman"/>
          <w:sz w:val="28"/>
          <w:szCs w:val="28"/>
          <w:lang w:eastAsia="zh-CN"/>
        </w:rPr>
        <w:t>“</w:t>
      </w:r>
      <w:r>
        <w:rPr>
          <w:rFonts w:hint="default" w:ascii="Times New Roman" w:hAnsi="Times New Roman" w:cs="Times New Roman"/>
          <w:sz w:val="28"/>
          <w:szCs w:val="28"/>
        </w:rPr>
        <w:t>重振虎威，加快高质量崛起</w:t>
      </w:r>
      <w:r>
        <w:rPr>
          <w:rFonts w:hint="eastAsia" w:ascii="Times New Roman" w:hAnsi="Times New Roman" w:cs="Times New Roman"/>
          <w:sz w:val="28"/>
          <w:szCs w:val="28"/>
          <w:lang w:eastAsia="zh-CN"/>
        </w:rPr>
        <w:t>”</w:t>
      </w:r>
      <w:r>
        <w:rPr>
          <w:rFonts w:hint="default" w:ascii="Times New Roman" w:hAnsi="Times New Roman" w:cs="Times New Roman"/>
          <w:sz w:val="28"/>
          <w:szCs w:val="28"/>
        </w:rPr>
        <w:t>为历史使命的中山来说，绿色发展理念始终贯穿经济社会发展的全过程。2017年以来，中山以中央及省级生态环境保护督察反馈问题整改为契机，倒逼全市各镇街推动补齐生态环境短板。以抓好中央环保督察反馈问题整改落实为突破口，中山在</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十三五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时期交出了一份绿色答卷：2020年空气质量六项指标全面达标，9个大气标准站和300个大气微观站组成了</w:t>
      </w:r>
      <w:r>
        <w:rPr>
          <w:rFonts w:hint="eastAsia" w:ascii="Times New Roman" w:hAnsi="Times New Roman" w:cs="Times New Roman"/>
          <w:sz w:val="28"/>
          <w:szCs w:val="28"/>
          <w:lang w:eastAsia="zh-CN"/>
        </w:rPr>
        <w:t>“</w:t>
      </w:r>
      <w:r>
        <w:rPr>
          <w:rFonts w:hint="default" w:ascii="Times New Roman" w:hAnsi="Times New Roman" w:cs="Times New Roman"/>
          <w:sz w:val="28"/>
          <w:szCs w:val="28"/>
        </w:rPr>
        <w:t>9+300</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大气污染网格化管理体系，见证了中山大气主要污染物指标进入稳定下降通道；国考断面优良率100%，饮用水源水质优良率100%；受污染耕地安全利用率达95%，受污染耕地安全利用率达94.96%。</w:t>
      </w:r>
    </w:p>
    <w:p w14:paraId="513CD42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《中山市国民经济和社会发展第十四个五年规划和2035年远景目标纲要》提出要紧抓粤港澳大湾区和深圳中国特色社会主义先行示范区建设</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双区驱动</w:t>
      </w:r>
      <w:r>
        <w:rPr>
          <w:rFonts w:hint="eastAsia" w:ascii="Times New Roman" w:hAnsi="Times New Roman" w:cs="Times New Roman"/>
          <w:sz w:val="28"/>
          <w:szCs w:val="28"/>
          <w:lang w:eastAsia="zh-CN"/>
        </w:rPr>
        <w:t>”</w:t>
      </w:r>
      <w:r>
        <w:rPr>
          <w:rFonts w:hint="default" w:ascii="Times New Roman" w:hAnsi="Times New Roman" w:cs="Times New Roman"/>
          <w:sz w:val="28"/>
          <w:szCs w:val="28"/>
        </w:rPr>
        <w:t>重大历史机遇，加快建设国际化现代化创新型城市，努力打造绿色发展标杆市。</w:t>
      </w:r>
      <w:r>
        <w:rPr>
          <w:rFonts w:hint="default" w:ascii="Times New Roman" w:hAnsi="Times New Roman" w:cs="Times New Roman"/>
          <w:color w:val="000000" w:themeColor="text1"/>
          <w:sz w:val="28"/>
          <w:szCs w:val="28"/>
          <w14:textFill>
            <w14:solidFill>
              <w14:schemeClr w14:val="tx1"/>
            </w14:solidFill>
          </w14:textFill>
        </w:rPr>
        <w:t>稳步推进绿色建筑发展，推广装配式建筑，强化公共机构、商业楼宇节能，新建民用建筑全部执行绿色建筑标准。推进废旧物资循环利用，全面推进垃圾分类和减量化、资源化、无害化，建设</w:t>
      </w:r>
      <w:r>
        <w:rPr>
          <w:rFonts w:hint="eastAsia" w:ascii="Times New Roman" w:hAnsi="Times New Roman" w:cs="Times New Roman"/>
          <w:color w:val="000000" w:themeColor="text1"/>
          <w:sz w:val="28"/>
          <w:szCs w:val="28"/>
          <w:lang w:eastAsia="zh-CN"/>
          <w14:textFill>
            <w14:solidFill>
              <w14:schemeClr w14:val="tx1"/>
            </w14:solidFill>
          </w14:textFill>
        </w:rPr>
        <w:t>“</w:t>
      </w:r>
      <w:r>
        <w:rPr>
          <w:rFonts w:hint="default" w:ascii="Times New Roman" w:hAnsi="Times New Roman" w:cs="Times New Roman"/>
          <w:color w:val="000000" w:themeColor="text1"/>
          <w:sz w:val="28"/>
          <w:szCs w:val="28"/>
          <w14:textFill>
            <w14:solidFill>
              <w14:schemeClr w14:val="tx1"/>
            </w14:solidFill>
          </w14:textFill>
        </w:rPr>
        <w:t>无废城市</w:t>
      </w:r>
      <w:r>
        <w:rPr>
          <w:rFonts w:hint="eastAsia" w:ascii="Times New Roman" w:hAnsi="Times New Roman" w:cs="Times New Roman"/>
          <w:color w:val="000000" w:themeColor="text1"/>
          <w:sz w:val="28"/>
          <w:szCs w:val="28"/>
          <w:lang w:eastAsia="zh-CN"/>
          <w14:textFill>
            <w14:solidFill>
              <w14:schemeClr w14:val="tx1"/>
            </w14:solidFill>
          </w14:textFill>
        </w:rPr>
        <w:t>”</w:t>
      </w:r>
      <w:r>
        <w:rPr>
          <w:rFonts w:hint="default" w:ascii="Times New Roman" w:hAnsi="Times New Roman" w:cs="Times New Roman"/>
          <w:color w:val="000000" w:themeColor="text1"/>
          <w:sz w:val="28"/>
          <w:szCs w:val="28"/>
          <w14:textFill>
            <w14:solidFill>
              <w14:schemeClr w14:val="tx1"/>
            </w14:solidFill>
          </w14:textFill>
        </w:rPr>
        <w:t>。营造良好绿色出行环境，鼓励以公共交通、自行车、步行等方式绿色出行。</w:t>
      </w:r>
    </w:p>
    <w:p w14:paraId="6110B8B9">
      <w:pPr>
        <w:pStyle w:val="6"/>
        <w:numPr>
          <w:ilvl w:val="255"/>
          <w:numId w:val="0"/>
        </w:numPr>
        <w:ind w:firstLine="561"/>
        <w:rPr>
          <w:rFonts w:hint="default" w:ascii="Times New Roman" w:hAnsi="Times New Roman" w:cs="Times New Roman"/>
        </w:rPr>
      </w:pPr>
      <w:bookmarkStart w:id="82" w:name="_Toc124352502"/>
      <w:r>
        <w:rPr>
          <w:rFonts w:hint="default" w:ascii="Times New Roman" w:hAnsi="Times New Roman" w:cs="Times New Roman"/>
        </w:rPr>
        <w:t>3.4.2劣势分析（W）</w:t>
      </w:r>
      <w:bookmarkEnd w:id="82"/>
    </w:p>
    <w:p w14:paraId="0637F91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（1）发展主要靠政府驱动，且各级政府管控传导不畅，绿色建筑创建主体积极性不强</w:t>
      </w:r>
    </w:p>
    <w:p w14:paraId="1A70DE0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绿色建筑发展驱动力比较单一，社会各方对绿色建筑理念认知不深，发展绿色建筑的自发性与自觉性不强，甚至有部分项目建设单位对需增加的投资费用有抵触情绪。政府在绿色建筑推广中起着其他社会组织不可替代的作用，市场机制的调节和激励不足，不利于绿色建筑的多元化推广。且中山市绿色建筑主要由市级住建部门管控，镇街相关部门管控力度不足，对绿建相关政策理解不全面，执行不到位。造成中山市各地绿色建筑发展水平层次不齐，地区差异较大。</w:t>
      </w:r>
    </w:p>
    <w:p w14:paraId="5A8AC5E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（2）激励政策可执行性不足</w:t>
      </w:r>
    </w:p>
    <w:p w14:paraId="676651E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相对于各种法规、标准和规范的不断出台，激励优惠政策配套相对滞后。尽管目前已经实行可再生能源在建筑中规模化应用的财政补贴政策，但支持建筑节能和绿色建筑发展的财政税收长效机制尚未建立，对绿色建筑缺乏补贴或税收减免等有效的激励</w:t>
      </w:r>
      <w:r>
        <w:rPr>
          <w:rFonts w:hint="default" w:ascii="Times New Roman" w:hAnsi="Times New Roman" w:cs="Times New Roman"/>
          <w:sz w:val="28"/>
          <w:szCs w:val="28"/>
          <w:lang w:eastAsia="zh-CN"/>
        </w:rPr>
        <w:t>。</w:t>
      </w:r>
      <w:r>
        <w:rPr>
          <w:rFonts w:hint="default" w:ascii="Times New Roman" w:hAnsi="Times New Roman" w:cs="Times New Roman"/>
          <w:sz w:val="28"/>
          <w:szCs w:val="28"/>
        </w:rPr>
        <w:t>即便出台了一些激励政策，</w:t>
      </w:r>
      <w:r>
        <w:rPr>
          <w:rFonts w:hint="default" w:ascii="Times New Roman" w:hAnsi="Times New Roman" w:cs="Times New Roman"/>
          <w:sz w:val="28"/>
          <w:szCs w:val="28"/>
          <w:lang w:val="en-US" w:eastAsia="zh-CN"/>
        </w:rPr>
        <w:t>但</w:t>
      </w:r>
      <w:r>
        <w:rPr>
          <w:rFonts w:hint="default" w:ascii="Times New Roman" w:hAnsi="Times New Roman" w:cs="Times New Roman"/>
          <w:sz w:val="28"/>
          <w:szCs w:val="28"/>
        </w:rPr>
        <w:t>由于缺少执行细则、申领困难、补助额度小，很难提高企业开发绿色建筑的积极性。制度与市场机制的结合度有待提高。</w:t>
      </w:r>
    </w:p>
    <w:p w14:paraId="5122E9B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（3）绿色建筑数量和质量亟待提高</w:t>
      </w:r>
    </w:p>
    <w:p w14:paraId="0F4436B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高质量发展绿色建筑缺少内在动力，目前，中山市仍以低星级项目为主（旧国标、省标），缺乏高星级绿色建筑，绿色建筑项目建造和运行使用阶段没有得到足够的重视，导致部分绿色建筑措施仅仅停留在图纸上，未得到有效落实。各种建筑共用一套标准进行评价，无法顾及不同建筑类型在使用人员情况、使用功能和设施配套等方面的差异，影响项目设计和运行的实际效果，从而影响评价效果。同时，申领绿色建筑评价标识的比例偏低，运行标识项目更是凤毛麟角，绿色建筑运行标识年新增占新增绿色建筑面积比例不足2%，实施效果不尽理想。</w:t>
      </w:r>
    </w:p>
    <w:p w14:paraId="526287BD">
      <w:pPr>
        <w:pStyle w:val="6"/>
        <w:numPr>
          <w:ilvl w:val="255"/>
          <w:numId w:val="0"/>
        </w:numPr>
        <w:ind w:firstLine="561"/>
        <w:rPr>
          <w:rFonts w:hint="default" w:ascii="Times New Roman" w:hAnsi="Times New Roman" w:cs="Times New Roman"/>
        </w:rPr>
      </w:pPr>
      <w:bookmarkStart w:id="83" w:name="_Toc124352503"/>
      <w:r>
        <w:rPr>
          <w:rFonts w:hint="default" w:ascii="Times New Roman" w:hAnsi="Times New Roman" w:cs="Times New Roman"/>
        </w:rPr>
        <w:t>3.4.3机遇分析（O）</w:t>
      </w:r>
      <w:bookmarkEnd w:id="83"/>
    </w:p>
    <w:p w14:paraId="2CB5D3A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绿色</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双碳</w:t>
      </w:r>
      <w:r>
        <w:rPr>
          <w:rFonts w:hint="eastAsia" w:ascii="Times New Roman" w:hAnsi="Times New Roman" w:cs="Times New Roman"/>
          <w:sz w:val="28"/>
          <w:szCs w:val="28"/>
          <w:lang w:eastAsia="zh-CN"/>
        </w:rPr>
        <w:t>”</w:t>
      </w:r>
      <w:r>
        <w:rPr>
          <w:rFonts w:hint="default" w:ascii="Times New Roman" w:hAnsi="Times New Roman" w:cs="Times New Roman"/>
          <w:sz w:val="28"/>
          <w:szCs w:val="28"/>
        </w:rPr>
        <w:t>上升为国家战略</w:t>
      </w:r>
    </w:p>
    <w:p w14:paraId="749203F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十八大报告中，生态文明建设上升为党的执政方针。</w:t>
      </w:r>
    </w:p>
    <w:p w14:paraId="5B460AC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《中共中央关于制定国民经济和社会发展第十三个五年规划的建议》：创新、协调、绿色、开放、共享的发展理念。</w:t>
      </w:r>
    </w:p>
    <w:p w14:paraId="09CD7EA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节能减排新阶段新要求：习近平主席在第七十五届联合国大会一般性辩论上发表重要讲话：中国将提高国家自主贡献力度，采取更加有力的政策和措施，二氧化碳排放力争于2030年前达到峰值，努力争取2060年前实现碳中和。</w:t>
      </w:r>
    </w:p>
    <w:p w14:paraId="52A85CA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国民经济和社会发展</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十四五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规划</w:t>
      </w:r>
      <w:r>
        <w:rPr>
          <w:rFonts w:hint="default" w:ascii="Times New Roman" w:hAnsi="Times New Roman" w:cs="Times New Roman"/>
          <w:sz w:val="28"/>
          <w:szCs w:val="28"/>
          <w:lang w:val="en-US" w:eastAsia="zh-CN"/>
        </w:rPr>
        <w:t>要求：</w:t>
      </w:r>
      <w:r>
        <w:rPr>
          <w:rFonts w:hint="default" w:ascii="Times New Roman" w:hAnsi="Times New Roman" w:cs="Times New Roman"/>
          <w:sz w:val="28"/>
          <w:szCs w:val="28"/>
        </w:rPr>
        <w:t>《中共中央关于制定国民经济和社会发展第十四个五年规划和二〇三五年远景目标的建议》</w:t>
      </w:r>
      <w:r>
        <w:rPr>
          <w:rFonts w:hint="default" w:ascii="Times New Roman" w:hAnsi="Times New Roman" w:cs="Times New Roman"/>
          <w:sz w:val="28"/>
          <w:szCs w:val="28"/>
          <w:lang w:val="en-US" w:eastAsia="zh-CN"/>
        </w:rPr>
        <w:t>在加快推动绿色低碳发展方面提到，强化国土空间规划和用途管控，落实生态保护、基本农田、城镇开发等空间管控边界，减少人类活动对自然空间的占用。强化绿色发展的法律和政策保障，发展绿色金融，支持绿色技术创新，推进清洁生产，发展环保产业，推进重点行业和重要领域绿色化改造。推动能源清洁低碳安全高效利用。发展绿色建筑。开展绿色生活创建活动。降低碳排放强度，支持有条件的地方率先达到碳排放峰值，制定二〇三〇年前碳排放达峰行动方案。</w:t>
      </w:r>
    </w:p>
    <w:p w14:paraId="7208CE4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（2）广东省全力推进绿色建筑发展</w:t>
      </w:r>
    </w:p>
    <w:p w14:paraId="1BE83CE9">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政策法规和技术标准不断完善：制定《广东省建筑节能与绿色建筑发展</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十四五</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规划》，印发《广东省绿色建筑创建行动实施方案（2021-2023）》，发布实施《广东省绿色建筑设计规范》（DBJ/T 15-201-2020）</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广东省建筑节能与绿色建筑工程施工质量验收规范》（DBJ15-65-2021）。</w:t>
      </w:r>
      <w:r>
        <w:rPr>
          <w:rFonts w:hint="default" w:ascii="Times New Roman" w:hAnsi="Times New Roman" w:eastAsia="宋体" w:cs="Times New Roman"/>
          <w:sz w:val="28"/>
          <w:szCs w:val="28"/>
          <w:lang w:val="en-US" w:eastAsia="zh-CN"/>
        </w:rPr>
        <w:t>发布</w:t>
      </w:r>
      <w:r>
        <w:rPr>
          <w:rFonts w:hint="default" w:ascii="Times New Roman" w:hAnsi="Times New Roman" w:eastAsia="宋体" w:cs="Times New Roman"/>
          <w:sz w:val="28"/>
          <w:szCs w:val="28"/>
        </w:rPr>
        <w:t>《广东省绿色建筑发展专项规划编制技术导则</w:t>
      </w:r>
      <w:r>
        <w:rPr>
          <w:rFonts w:hint="default" w:ascii="Times New Roman" w:hAnsi="Times New Roman" w:eastAsia="宋体" w:cs="Times New Roman"/>
          <w:sz w:val="28"/>
          <w:szCs w:val="28"/>
          <w:lang w:val="en-US" w:eastAsia="zh-CN"/>
        </w:rPr>
        <w:t>(试行)</w:t>
      </w:r>
      <w:r>
        <w:rPr>
          <w:rFonts w:hint="default" w:ascii="Times New Roman" w:hAnsi="Times New Roman" w:eastAsia="宋体" w:cs="Times New Roman"/>
          <w:sz w:val="28"/>
          <w:szCs w:val="28"/>
        </w:rPr>
        <w:t>》</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发布实施《广东省绿色建筑条例》</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这是我省推进绿色建筑高质量发展，提高人居环境质量，首次制定的地方性法规，标志着我省绿色建筑发展工作步入法治轨道。</w:t>
      </w:r>
    </w:p>
    <w:p w14:paraId="332AF184">
      <w:pPr>
        <w:pStyle w:val="34"/>
        <w:adjustRightInd w:val="0"/>
        <w:snapToGrid w:val="0"/>
        <w:spacing w:line="360" w:lineRule="auto"/>
        <w:ind w:firstLine="560"/>
        <w:rPr>
          <w:rFonts w:hint="default" w:ascii="Times New Roman" w:hAnsi="Times New Roman" w:eastAsia="宋体" w:cs="Times New Roman"/>
          <w:sz w:val="28"/>
          <w:szCs w:val="28"/>
          <w:lang w:eastAsia="zh-CN"/>
        </w:rPr>
      </w:pPr>
      <w:r>
        <w:rPr>
          <w:rFonts w:hint="default" w:ascii="Times New Roman" w:hAnsi="Times New Roman" w:cs="Times New Roman"/>
          <w:sz w:val="28"/>
          <w:szCs w:val="28"/>
        </w:rPr>
        <w:t>机制体制不断健全：绿色建筑评价工作省市分级管理，政府购买服务与第三方评价相结合。建成</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广东省绿色建筑信息平台</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实现申报、评审、发证全流程网络操作；设立省、市级专家库，定期开展绿色建筑专项培训。加强绿色建筑规划、设计、图审、施工、验收全过程监管、价标识工作质量评估。加大专项资金对高星级绿色建筑和运行项目支持和引导</w:t>
      </w:r>
      <w:r>
        <w:rPr>
          <w:rFonts w:hint="default" w:ascii="Times New Roman" w:hAnsi="Times New Roman" w:cs="Times New Roman"/>
          <w:sz w:val="28"/>
          <w:szCs w:val="28"/>
          <w:lang w:eastAsia="zh-CN"/>
        </w:rPr>
        <w:t>。</w:t>
      </w:r>
    </w:p>
    <w:p w14:paraId="11A1628D">
      <w:pPr>
        <w:pStyle w:val="6"/>
        <w:numPr>
          <w:ilvl w:val="255"/>
          <w:numId w:val="0"/>
        </w:numPr>
        <w:ind w:firstLine="561"/>
        <w:rPr>
          <w:rFonts w:hint="default" w:ascii="Times New Roman" w:hAnsi="Times New Roman" w:cs="Times New Roman"/>
        </w:rPr>
      </w:pPr>
      <w:bookmarkStart w:id="84" w:name="_Toc124352504"/>
      <w:r>
        <w:rPr>
          <w:rFonts w:hint="default" w:ascii="Times New Roman" w:hAnsi="Times New Roman" w:cs="Times New Roman"/>
        </w:rPr>
        <w:t>3.4.4挑战分析（T）</w:t>
      </w:r>
      <w:bookmarkEnd w:id="84"/>
    </w:p>
    <w:p w14:paraId="2E2883C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（1）技术层面实施仍存在误区</w:t>
      </w:r>
    </w:p>
    <w:p w14:paraId="559096D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绿色建筑的技术选择上还存在误区，认为绿色建筑需要将所有的高精尖技术与产品集中应用在建筑中，总想将所有绿色节能的新技术不加区分地堆积在一个建筑里。一些项目为绿色而绿色，堆砌一些并无实用价值的新技术，过分依赖设备与技术系统来保证生活的舒适性和高水准，建筑设计中忽视集中设计、自然通风、自然采光等措施，直接导致建筑成本上升，在市场推广上难以打开局面。且已建成的绿色建筑中有些常用的建筑技术因为存在缺陷而没有运行，降低了绿色建筑的实际运行效果，降低建设单位及运营商的积极性。</w:t>
      </w:r>
    </w:p>
    <w:p w14:paraId="47E3703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（2）对优质生活质量的不断追求，资源能源节约的紧迫</w:t>
      </w:r>
    </w:p>
    <w:p w14:paraId="175EAF3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随着收入的不断增长，生活水平的不断提高，人们的居住观念正在改变。绿色建筑的推广和应用会给居民以及公共建筑使用者带来舒适的生活质量及居住环境。绿色建筑从绿化、声、热、光等多方面严格控制室内外环境，为营造良好室内环境提供了保证；同时环保安全的室内装修材料的应用也保证了使用者的身心健康。以上特点均满足人民日益增长的对优质生活的追求。发展绿色建筑可有效促进资源能源节约、环境保护和人居环境的改善。</w:t>
      </w:r>
    </w:p>
    <w:p w14:paraId="42E0352B">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（3）对设计单位、施工单位提出更高的要求，影响开发周期</w:t>
      </w:r>
    </w:p>
    <w:p w14:paraId="1BED956B">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绿色建筑设计与施工尚属对建筑行业的新要求，部分单位依然较难单独完成相关工作。并且，部分项目立项初期对绿色建筑建设目标不明确不清晰，缺少前瞻性，后期进行突击方案修改，不仅可能影响图纸质量、工程质量，还可能会影响建造工期，进而影响开发周期。</w:t>
      </w:r>
    </w:p>
    <w:p w14:paraId="69748B2A">
      <w:pPr>
        <w:pStyle w:val="6"/>
        <w:numPr>
          <w:ilvl w:val="255"/>
          <w:numId w:val="0"/>
        </w:numPr>
        <w:ind w:firstLine="561"/>
        <w:rPr>
          <w:rFonts w:hint="default" w:ascii="Times New Roman" w:hAnsi="Times New Roman" w:cs="Times New Roman"/>
        </w:rPr>
      </w:pPr>
      <w:bookmarkStart w:id="85" w:name="_Toc124352505"/>
      <w:r>
        <w:rPr>
          <w:rFonts w:hint="default" w:ascii="Times New Roman" w:hAnsi="Times New Roman" w:cs="Times New Roman"/>
        </w:rPr>
        <w:t>3.4.5战略分析</w:t>
      </w:r>
      <w:bookmarkEnd w:id="85"/>
    </w:p>
    <w:p w14:paraId="7EB9C05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根据对中山市绿色建筑发展的分析，建立发展SO、WO、ST、WT 战略对比，得到绿色建筑发展战略应为：</w:t>
      </w:r>
    </w:p>
    <w:p w14:paraId="644FABD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在绿色建筑工作中落实绿色崛起的发展目标，充分利用政府的管控，完善优化管理流程，加强技术力量，大力发展绿色建筑，推动绿色产业发展，提升建筑人居环境。</w:t>
      </w:r>
    </w:p>
    <w:p w14:paraId="0744A182">
      <w:pPr>
        <w:rPr>
          <w:rFonts w:hint="default" w:ascii="Times New Roman" w:hAnsi="Times New Roman" w:eastAsia="宋体" w:cs="Times New Roman"/>
          <w:sz w:val="21"/>
          <w:szCs w:val="21"/>
        </w:rPr>
      </w:pPr>
      <w:r>
        <w:rPr>
          <w:rFonts w:hint="default" w:ascii="Times New Roman" w:hAnsi="Times New Roman" w:eastAsia="宋体" w:cs="Times New Roman"/>
          <w:sz w:val="21"/>
          <w:szCs w:val="21"/>
        </w:rPr>
        <w:br w:type="page"/>
      </w:r>
    </w:p>
    <w:p w14:paraId="5D9AA1CE">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表3-4 战略分析表</w:t>
      </w:r>
    </w:p>
    <w:tbl>
      <w:tblPr>
        <w:tblStyle w:val="25"/>
        <w:tblW w:w="8517" w:type="dxa"/>
        <w:tblInd w:w="8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0"/>
        <w:gridCol w:w="2767"/>
        <w:gridCol w:w="3700"/>
      </w:tblGrid>
      <w:tr w14:paraId="39819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50" w:type="dxa"/>
            <w:vMerge w:val="restart"/>
            <w:tcBorders>
              <w:left w:val="single" w:color="auto" w:sz="4" w:space="0"/>
              <w:tl2br w:val="single" w:color="auto" w:sz="4" w:space="0"/>
            </w:tcBorders>
            <w:shd w:val="clear" w:color="auto" w:fill="auto"/>
          </w:tcPr>
          <w:p w14:paraId="4359B1B1">
            <w:pPr>
              <w:adjustRightInd w:val="0"/>
              <w:snapToGrid w:val="0"/>
              <w:ind w:firstLine="1155" w:firstLineChars="550"/>
              <w:rPr>
                <w:rFonts w:hint="default" w:ascii="Times New Roman" w:hAnsi="Times New Roman" w:eastAsia="宋体" w:cs="Times New Roman"/>
                <w:b w:val="0"/>
                <w:bCs/>
                <w:kern w:val="0"/>
                <w:sz w:val="21"/>
                <w:szCs w:val="21"/>
              </w:rPr>
            </w:pPr>
          </w:p>
          <w:p w14:paraId="4F217F3E">
            <w:pPr>
              <w:adjustRightInd w:val="0"/>
              <w:snapToGrid w:val="0"/>
              <w:ind w:firstLine="1155" w:firstLineChars="550"/>
              <w:rPr>
                <w:rFonts w:hint="default" w:ascii="Times New Roman" w:hAnsi="Times New Roman" w:eastAsia="宋体" w:cs="Times New Roman"/>
                <w:b w:val="0"/>
                <w:bCs/>
                <w:kern w:val="0"/>
                <w:sz w:val="21"/>
                <w:szCs w:val="21"/>
              </w:rPr>
            </w:pPr>
          </w:p>
          <w:p w14:paraId="1D2C05A4">
            <w:pPr>
              <w:adjustRightInd w:val="0"/>
              <w:snapToGrid w:val="0"/>
              <w:ind w:firstLine="840" w:firstLineChars="40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优势</w:t>
            </w:r>
            <w:r>
              <w:rPr>
                <w:rFonts w:hint="eastAsia" w:ascii="Times New Roman" w:hAnsi="Times New Roman" w:eastAsia="宋体" w:cs="Times New Roman"/>
                <w:b w:val="0"/>
                <w:bCs/>
                <w:kern w:val="0"/>
                <w:sz w:val="21"/>
                <w:szCs w:val="21"/>
                <w:lang w:val="en-US" w:eastAsia="zh-CN"/>
              </w:rPr>
              <w:t>/</w:t>
            </w:r>
            <w:r>
              <w:rPr>
                <w:rFonts w:hint="default" w:ascii="Times New Roman" w:hAnsi="Times New Roman" w:eastAsia="宋体" w:cs="Times New Roman"/>
                <w:b w:val="0"/>
                <w:bCs/>
                <w:kern w:val="0"/>
                <w:sz w:val="21"/>
                <w:szCs w:val="21"/>
              </w:rPr>
              <w:t>劣势</w:t>
            </w:r>
          </w:p>
          <w:p w14:paraId="02CA37AE">
            <w:pPr>
              <w:adjustRightInd w:val="0"/>
              <w:snapToGrid w:val="0"/>
              <w:rPr>
                <w:rFonts w:hint="default" w:ascii="Times New Roman" w:hAnsi="Times New Roman" w:eastAsia="宋体" w:cs="Times New Roman"/>
                <w:b w:val="0"/>
                <w:bCs/>
                <w:kern w:val="0"/>
                <w:sz w:val="21"/>
                <w:szCs w:val="21"/>
              </w:rPr>
            </w:pPr>
          </w:p>
          <w:p w14:paraId="5769459B">
            <w:pPr>
              <w:adjustRightInd w:val="0"/>
              <w:snapToGrid w:val="0"/>
              <w:ind w:firstLine="0" w:firstLineChars="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lang w:val="en-US" w:eastAsia="zh-CN"/>
              </w:rPr>
              <w:t xml:space="preserve"> </w:t>
            </w:r>
            <w:r>
              <w:rPr>
                <w:rFonts w:hint="default" w:ascii="Times New Roman" w:hAnsi="Times New Roman" w:eastAsia="宋体" w:cs="Times New Roman"/>
                <w:b w:val="0"/>
                <w:bCs/>
                <w:kern w:val="0"/>
                <w:sz w:val="21"/>
                <w:szCs w:val="21"/>
              </w:rPr>
              <w:t xml:space="preserve"> 机遇/威胁</w:t>
            </w:r>
          </w:p>
          <w:p w14:paraId="50E27485">
            <w:pPr>
              <w:adjustRightInd w:val="0"/>
              <w:snapToGrid w:val="0"/>
              <w:ind w:firstLine="420" w:firstLineChars="200"/>
              <w:rPr>
                <w:rFonts w:hint="default" w:ascii="Times New Roman" w:hAnsi="Times New Roman" w:eastAsia="宋体" w:cs="Times New Roman"/>
                <w:b w:val="0"/>
                <w:bCs/>
                <w:kern w:val="0"/>
                <w:sz w:val="21"/>
                <w:szCs w:val="21"/>
              </w:rPr>
            </w:pPr>
          </w:p>
          <w:p w14:paraId="2AF2A17C">
            <w:pPr>
              <w:adjustRightInd w:val="0"/>
              <w:snapToGrid w:val="0"/>
              <w:ind w:firstLine="420" w:firstLineChars="200"/>
              <w:rPr>
                <w:rFonts w:hint="default" w:ascii="Times New Roman" w:hAnsi="Times New Roman" w:eastAsia="宋体" w:cs="Times New Roman"/>
                <w:b w:val="0"/>
                <w:bCs/>
                <w:kern w:val="0"/>
                <w:sz w:val="21"/>
                <w:szCs w:val="21"/>
              </w:rPr>
            </w:pPr>
          </w:p>
        </w:tc>
        <w:tc>
          <w:tcPr>
            <w:tcW w:w="2767" w:type="dxa"/>
            <w:shd w:val="clear" w:color="auto" w:fill="auto"/>
          </w:tcPr>
          <w:p w14:paraId="242C607C">
            <w:pPr>
              <w:adjustRightInd w:val="0"/>
              <w:snapToGrid w:val="0"/>
              <w:jc w:val="center"/>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优势S</w:t>
            </w:r>
          </w:p>
        </w:tc>
        <w:tc>
          <w:tcPr>
            <w:tcW w:w="3700" w:type="dxa"/>
            <w:tcBorders>
              <w:right w:val="single" w:color="auto" w:sz="4" w:space="0"/>
            </w:tcBorders>
            <w:shd w:val="clear" w:color="auto" w:fill="auto"/>
          </w:tcPr>
          <w:p w14:paraId="55489E41">
            <w:pPr>
              <w:adjustRightInd w:val="0"/>
              <w:snapToGrid w:val="0"/>
              <w:jc w:val="center"/>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劣势W</w:t>
            </w:r>
          </w:p>
        </w:tc>
      </w:tr>
      <w:tr w14:paraId="4509E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3" w:hRule="atLeast"/>
        </w:trPr>
        <w:tc>
          <w:tcPr>
            <w:tcW w:w="2050" w:type="dxa"/>
            <w:vMerge w:val="continue"/>
            <w:tcBorders>
              <w:left w:val="single" w:color="auto" w:sz="4" w:space="0"/>
            </w:tcBorders>
            <w:shd w:val="clear" w:color="auto" w:fill="auto"/>
          </w:tcPr>
          <w:p w14:paraId="5BFC3E73">
            <w:pPr>
              <w:adjustRightInd w:val="0"/>
              <w:snapToGrid w:val="0"/>
              <w:jc w:val="center"/>
              <w:rPr>
                <w:rFonts w:hint="default" w:ascii="Times New Roman" w:hAnsi="Times New Roman" w:eastAsia="宋体" w:cs="Times New Roman"/>
                <w:b w:val="0"/>
                <w:bCs/>
                <w:kern w:val="0"/>
                <w:sz w:val="21"/>
                <w:szCs w:val="21"/>
              </w:rPr>
            </w:pPr>
          </w:p>
        </w:tc>
        <w:tc>
          <w:tcPr>
            <w:tcW w:w="2767" w:type="dxa"/>
            <w:shd w:val="clear" w:color="auto" w:fill="auto"/>
            <w:vAlign w:val="center"/>
          </w:tcPr>
          <w:p w14:paraId="5DC53893">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①现有工作基础良好</w:t>
            </w:r>
          </w:p>
          <w:p w14:paraId="121767F1">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②规划发展方向与绿色发展吻合</w:t>
            </w:r>
          </w:p>
        </w:tc>
        <w:tc>
          <w:tcPr>
            <w:tcW w:w="3700" w:type="dxa"/>
            <w:tcBorders>
              <w:right w:val="single" w:color="auto" w:sz="4" w:space="0"/>
            </w:tcBorders>
            <w:shd w:val="clear" w:color="auto" w:fill="auto"/>
            <w:vAlign w:val="center"/>
          </w:tcPr>
          <w:p w14:paraId="4FEC57E1">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①主要靠政府驱动，绿色建筑创建主体积极性不强</w:t>
            </w:r>
          </w:p>
          <w:p w14:paraId="1BC2F817">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②激励政策可执行性不足</w:t>
            </w:r>
          </w:p>
          <w:p w14:paraId="575410DB">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③绿色建筑数量和质量亟待提高</w:t>
            </w:r>
          </w:p>
        </w:tc>
      </w:tr>
      <w:tr w14:paraId="7FC38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50" w:type="dxa"/>
            <w:tcBorders>
              <w:left w:val="single" w:color="auto" w:sz="4" w:space="0"/>
            </w:tcBorders>
            <w:shd w:val="clear" w:color="auto" w:fill="auto"/>
          </w:tcPr>
          <w:p w14:paraId="6998F5F2">
            <w:pPr>
              <w:adjustRightInd w:val="0"/>
              <w:snapToGrid w:val="0"/>
              <w:jc w:val="center"/>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机遇O</w:t>
            </w:r>
          </w:p>
        </w:tc>
        <w:tc>
          <w:tcPr>
            <w:tcW w:w="2767" w:type="dxa"/>
            <w:shd w:val="clear" w:color="auto" w:fill="auto"/>
          </w:tcPr>
          <w:p w14:paraId="3A20C14F">
            <w:pPr>
              <w:adjustRightInd w:val="0"/>
              <w:snapToGrid w:val="0"/>
              <w:jc w:val="center"/>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SO战略</w:t>
            </w:r>
          </w:p>
        </w:tc>
        <w:tc>
          <w:tcPr>
            <w:tcW w:w="3700" w:type="dxa"/>
            <w:tcBorders>
              <w:right w:val="single" w:color="auto" w:sz="4" w:space="0"/>
            </w:tcBorders>
            <w:shd w:val="clear" w:color="auto" w:fill="auto"/>
          </w:tcPr>
          <w:p w14:paraId="7426B6ED">
            <w:pPr>
              <w:adjustRightInd w:val="0"/>
              <w:snapToGrid w:val="0"/>
              <w:jc w:val="center"/>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WO战略</w:t>
            </w:r>
          </w:p>
        </w:tc>
      </w:tr>
      <w:tr w14:paraId="29F57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50" w:type="dxa"/>
            <w:tcBorders>
              <w:left w:val="single" w:color="auto" w:sz="4" w:space="0"/>
            </w:tcBorders>
            <w:shd w:val="clear" w:color="auto" w:fill="auto"/>
            <w:vAlign w:val="center"/>
          </w:tcPr>
          <w:p w14:paraId="202C3911">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①</w:t>
            </w:r>
            <w:r>
              <w:rPr>
                <w:rFonts w:hint="eastAsia" w:ascii="Times New Roman" w:hAnsi="Times New Roman" w:eastAsia="宋体" w:cs="Times New Roman"/>
                <w:b w:val="0"/>
                <w:bCs/>
                <w:kern w:val="0"/>
                <w:sz w:val="21"/>
                <w:szCs w:val="21"/>
                <w:lang w:eastAsia="zh-CN"/>
              </w:rPr>
              <w:t>“</w:t>
            </w:r>
            <w:r>
              <w:rPr>
                <w:rFonts w:hint="default" w:ascii="Times New Roman" w:hAnsi="Times New Roman" w:eastAsia="宋体" w:cs="Times New Roman"/>
                <w:b w:val="0"/>
                <w:bCs/>
                <w:kern w:val="0"/>
                <w:sz w:val="21"/>
                <w:szCs w:val="21"/>
              </w:rPr>
              <w:t>绿色</w:t>
            </w:r>
            <w:r>
              <w:rPr>
                <w:rFonts w:hint="eastAsia" w:ascii="Times New Roman" w:hAnsi="Times New Roman" w:eastAsia="宋体" w:cs="Times New Roman"/>
                <w:b w:val="0"/>
                <w:bCs/>
                <w:kern w:val="0"/>
                <w:sz w:val="21"/>
                <w:szCs w:val="21"/>
                <w:lang w:eastAsia="zh-CN"/>
              </w:rPr>
              <w:t>”</w:t>
            </w:r>
            <w:r>
              <w:rPr>
                <w:rFonts w:hint="default" w:ascii="Times New Roman" w:hAnsi="Times New Roman" w:eastAsia="宋体" w:cs="Times New Roman"/>
                <w:b w:val="0"/>
                <w:bCs/>
                <w:kern w:val="0"/>
                <w:sz w:val="21"/>
                <w:szCs w:val="21"/>
              </w:rPr>
              <w:t>、</w:t>
            </w:r>
            <w:r>
              <w:rPr>
                <w:rFonts w:hint="eastAsia" w:ascii="Times New Roman" w:hAnsi="Times New Roman" w:eastAsia="宋体" w:cs="Times New Roman"/>
                <w:b w:val="0"/>
                <w:bCs/>
                <w:kern w:val="0"/>
                <w:sz w:val="21"/>
                <w:szCs w:val="21"/>
                <w:lang w:eastAsia="zh-CN"/>
              </w:rPr>
              <w:t>“</w:t>
            </w:r>
            <w:r>
              <w:rPr>
                <w:rFonts w:hint="default" w:ascii="Times New Roman" w:hAnsi="Times New Roman" w:eastAsia="宋体" w:cs="Times New Roman"/>
                <w:b w:val="0"/>
                <w:bCs/>
                <w:kern w:val="0"/>
                <w:sz w:val="21"/>
                <w:szCs w:val="21"/>
              </w:rPr>
              <w:t>双碳</w:t>
            </w:r>
            <w:r>
              <w:rPr>
                <w:rFonts w:hint="eastAsia" w:ascii="Times New Roman" w:hAnsi="Times New Roman" w:eastAsia="宋体" w:cs="Times New Roman"/>
                <w:b w:val="0"/>
                <w:bCs/>
                <w:kern w:val="0"/>
                <w:sz w:val="21"/>
                <w:szCs w:val="21"/>
                <w:lang w:eastAsia="zh-CN"/>
              </w:rPr>
              <w:t>”</w:t>
            </w:r>
            <w:r>
              <w:rPr>
                <w:rFonts w:hint="default" w:ascii="Times New Roman" w:hAnsi="Times New Roman" w:eastAsia="宋体" w:cs="Times New Roman"/>
                <w:b w:val="0"/>
                <w:bCs/>
                <w:kern w:val="0"/>
                <w:sz w:val="21"/>
                <w:szCs w:val="21"/>
              </w:rPr>
              <w:t>上升为国家战略</w:t>
            </w:r>
          </w:p>
          <w:p w14:paraId="7EED7363">
            <w:pPr>
              <w:adjustRightInd w:val="0"/>
              <w:snapToGrid w:val="0"/>
              <w:rPr>
                <w:rFonts w:hint="default" w:ascii="Times New Roman" w:hAnsi="Times New Roman" w:eastAsia="宋体" w:cs="Times New Roman"/>
                <w:b w:val="0"/>
                <w:bCs/>
                <w:kern w:val="0"/>
                <w:sz w:val="21"/>
                <w:szCs w:val="21"/>
              </w:rPr>
            </w:pPr>
          </w:p>
          <w:p w14:paraId="1121706B">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②广东省全力推进绿色建筑发展</w:t>
            </w:r>
          </w:p>
        </w:tc>
        <w:tc>
          <w:tcPr>
            <w:tcW w:w="2767" w:type="dxa"/>
            <w:shd w:val="clear" w:color="auto" w:fill="auto"/>
            <w:vAlign w:val="center"/>
          </w:tcPr>
          <w:p w14:paraId="6CE2B502">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扩张型战略：充分发挥绿色建筑的节能减排优势，抓住新区建设以及旧房改造等带来的地产市场良好机会以及绿色建筑方面利好政策，实行适度扩张型战略，大力发展绿色建筑，提高品牌影响力。</w:t>
            </w:r>
          </w:p>
        </w:tc>
        <w:tc>
          <w:tcPr>
            <w:tcW w:w="3700" w:type="dxa"/>
            <w:tcBorders>
              <w:right w:val="single" w:color="auto" w:sz="4" w:space="0"/>
            </w:tcBorders>
            <w:shd w:val="clear" w:color="auto" w:fill="auto"/>
            <w:vAlign w:val="center"/>
          </w:tcPr>
          <w:p w14:paraId="51C078A8">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稳定型策略：抓住发展绿色建筑的良好机遇，实行稳定型战略，根据各级的要求稳定地推行绿色建筑，完善管理体系推出技术文件循序渐进的将劣势逐渐扭转，向成长型战略转化。</w:t>
            </w:r>
          </w:p>
        </w:tc>
      </w:tr>
      <w:tr w14:paraId="24A3D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50" w:type="dxa"/>
            <w:tcBorders>
              <w:left w:val="single" w:color="auto" w:sz="4" w:space="0"/>
            </w:tcBorders>
            <w:shd w:val="clear" w:color="auto" w:fill="auto"/>
          </w:tcPr>
          <w:p w14:paraId="0FA404A4">
            <w:pPr>
              <w:adjustRightInd w:val="0"/>
              <w:snapToGrid w:val="0"/>
              <w:jc w:val="center"/>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挑战T</w:t>
            </w:r>
          </w:p>
        </w:tc>
        <w:tc>
          <w:tcPr>
            <w:tcW w:w="2767" w:type="dxa"/>
            <w:shd w:val="clear" w:color="auto" w:fill="auto"/>
          </w:tcPr>
          <w:p w14:paraId="5FBEF4B6">
            <w:pPr>
              <w:adjustRightInd w:val="0"/>
              <w:snapToGrid w:val="0"/>
              <w:jc w:val="center"/>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ST战略</w:t>
            </w:r>
          </w:p>
        </w:tc>
        <w:tc>
          <w:tcPr>
            <w:tcW w:w="3700" w:type="dxa"/>
            <w:tcBorders>
              <w:right w:val="single" w:color="auto" w:sz="4" w:space="0"/>
            </w:tcBorders>
            <w:shd w:val="clear" w:color="auto" w:fill="auto"/>
          </w:tcPr>
          <w:p w14:paraId="29D08373">
            <w:pPr>
              <w:adjustRightInd w:val="0"/>
              <w:snapToGrid w:val="0"/>
              <w:jc w:val="center"/>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WT战略</w:t>
            </w:r>
          </w:p>
        </w:tc>
      </w:tr>
      <w:tr w14:paraId="4E938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50" w:type="dxa"/>
            <w:tcBorders>
              <w:left w:val="single" w:color="auto" w:sz="4" w:space="0"/>
            </w:tcBorders>
            <w:shd w:val="clear" w:color="auto" w:fill="auto"/>
            <w:vAlign w:val="center"/>
          </w:tcPr>
          <w:p w14:paraId="3558107C">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①技术层面实施仍存在误区</w:t>
            </w:r>
          </w:p>
          <w:p w14:paraId="2E781E91">
            <w:pPr>
              <w:autoSpaceDE w:val="0"/>
              <w:autoSpaceDN w:val="0"/>
              <w:adjustRightInd w:val="0"/>
              <w:jc w:val="left"/>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②对优质生活质量的不断追求，资源能源节约的紧迫</w:t>
            </w:r>
          </w:p>
          <w:p w14:paraId="2EC957DA">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③提高对设计单位、施工单位的要求，影响开发周期。</w:t>
            </w:r>
          </w:p>
        </w:tc>
        <w:tc>
          <w:tcPr>
            <w:tcW w:w="2767" w:type="dxa"/>
            <w:shd w:val="clear" w:color="auto" w:fill="auto"/>
            <w:vAlign w:val="center"/>
          </w:tcPr>
          <w:p w14:paraId="6E430FB4">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从管理制度及技术路线入手，实行多样化战略，分散市场风险，以提高从业人员水平为基础，增加交流，寻求新的机会。</w:t>
            </w:r>
          </w:p>
        </w:tc>
        <w:tc>
          <w:tcPr>
            <w:tcW w:w="3700" w:type="dxa"/>
            <w:tcBorders>
              <w:right w:val="single" w:color="auto" w:sz="4" w:space="0"/>
            </w:tcBorders>
            <w:shd w:val="clear" w:color="auto" w:fill="auto"/>
            <w:vAlign w:val="center"/>
          </w:tcPr>
          <w:p w14:paraId="4D6C9A6C">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放慢绿色建筑发展步伐，实行适度收缩型战略。但与新常态语境下的建设行业发展新要求不符。</w:t>
            </w:r>
          </w:p>
        </w:tc>
      </w:tr>
    </w:tbl>
    <w:p w14:paraId="59DDF19A">
      <w:pPr>
        <w:pStyle w:val="5"/>
        <w:rPr>
          <w:rFonts w:hint="default" w:ascii="Times New Roman" w:hAnsi="Times New Roman" w:cs="Times New Roman"/>
        </w:rPr>
      </w:pPr>
      <w:bookmarkStart w:id="86" w:name="_Toc124352506"/>
      <w:r>
        <w:rPr>
          <w:rFonts w:hint="default" w:ascii="Times New Roman" w:hAnsi="Times New Roman" w:cs="Times New Roman"/>
        </w:rPr>
        <w:t>3.5 技术路线</w:t>
      </w:r>
      <w:bookmarkEnd w:id="86"/>
    </w:p>
    <w:p w14:paraId="11C96186">
      <w:pPr>
        <w:pStyle w:val="34"/>
        <w:adjustRightInd w:val="0"/>
        <w:snapToGrid w:val="0"/>
        <w:spacing w:line="360" w:lineRule="auto"/>
        <w:ind w:firstLine="560"/>
        <w:rPr>
          <w:rFonts w:hint="default" w:ascii="Times New Roman" w:hAnsi="Times New Roman" w:cs="Times New Roman"/>
        </w:rPr>
      </w:pPr>
      <w:bookmarkStart w:id="87" w:name="_Toc959"/>
      <w:bookmarkStart w:id="88" w:name="_Toc9497"/>
      <w:r>
        <w:rPr>
          <w:rFonts w:hint="default" w:ascii="Times New Roman" w:hAnsi="Times New Roman" w:cs="Times New Roman"/>
          <w:sz w:val="28"/>
          <w:szCs w:val="28"/>
        </w:rPr>
        <w:t>结合中山市绿色建筑、建筑节能发展实际情况，对2012年以来已经获得绿色建筑标识采用技术的分析，结合中山市的自身特点和发展需求，依据发展迫切性、必要性、起步基础、投入、实施难度等原则，对中山市绿色建筑技术进行了分析，形成中山市绿色建筑技术体系。</w:t>
      </w:r>
    </w:p>
    <w:p w14:paraId="5A3FC0EB">
      <w:pPr>
        <w:pStyle w:val="6"/>
        <w:numPr>
          <w:ilvl w:val="255"/>
          <w:numId w:val="0"/>
        </w:numPr>
        <w:ind w:firstLine="561"/>
        <w:rPr>
          <w:rFonts w:hint="default" w:ascii="Times New Roman" w:hAnsi="Times New Roman" w:cs="Times New Roman"/>
        </w:rPr>
      </w:pPr>
      <w:bookmarkStart w:id="89" w:name="_Toc124352507"/>
      <w:r>
        <w:rPr>
          <w:rFonts w:hint="default" w:ascii="Times New Roman" w:hAnsi="Times New Roman" w:cs="Times New Roman"/>
        </w:rPr>
        <w:t>3.5.1新建建筑</w:t>
      </w:r>
      <w:bookmarkEnd w:id="87"/>
      <w:bookmarkEnd w:id="88"/>
      <w:bookmarkEnd w:id="89"/>
    </w:p>
    <w:p w14:paraId="6FAD952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大力提升新建建筑能效水平，进一步加强新建建筑绿色建筑及节能标准监管，严格执行不低于《建筑节能与可再生能源利用通用规范》（GB 55015-2021）确定的节能指标，将建筑节能监管措施融入绿色建筑规划、建设、交付等各环节，明确建设全过程监管要点，将绿色建筑等级及建筑节能指标纳入到房地产预售信息中。</w:t>
      </w:r>
    </w:p>
    <w:p w14:paraId="2BD71AE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规模化推广星级绿色建筑，在重点发展区域大力推动二星级、三星级绿色建筑建设，鼓励发展岭南传统建筑、超低能耗建筑、近零能耗建筑、零碳建筑试点示范项目，开展低碳园区、社区的指标体系研究，探索建筑领域碳达峰碳中和的技术研究。推广具有岭南特色、适应亚热带气候的绿色建筑技术，从自然通风采光、遮阳防潮方面提升建筑健康性能，建设健康性能提升的绿色建筑示范项目。</w:t>
      </w:r>
    </w:p>
    <w:p w14:paraId="08E7299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主要技术措施：</w:t>
      </w:r>
    </w:p>
    <w:p w14:paraId="42FD65AB">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（1）安全耐久类</w:t>
      </w:r>
    </w:p>
    <w:p w14:paraId="6D49018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①使用耐久性建材</w:t>
      </w:r>
    </w:p>
    <w:p w14:paraId="6BB005B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结合夏热冬暖地区高温高湿的气候条件，应用高耐久混凝土、耐候结构钢及耐候型防腐涂料、耐久木制品等提升建筑的耐久性能，此外，将结构与设备管线分离，提升建筑部品部件和结构材料的耐久性。</w:t>
      </w:r>
    </w:p>
    <w:p w14:paraId="7345F1F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②抗震性能设计</w:t>
      </w:r>
    </w:p>
    <w:p w14:paraId="7BFD5DC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地处东南沿海地震带中段，属国家级和省级地震重点监测防御区，地理位置特殊、地质构造复杂，是未来可能发生破坏性地震的潜在危险区。因此，在中山市未来绿色建筑发展中，应着重通过优化建筑形体，设置隔震垫、阻尼器等措施改善结构的抗震性能，鼓励在项目中采用新型抗震系统，合理提高建筑的抗震能力。</w:t>
      </w:r>
    </w:p>
    <w:p w14:paraId="01BF8E3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（2）健康舒适类</w:t>
      </w:r>
    </w:p>
    <w:p w14:paraId="3749035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①室内声光热、空气环境设计技术</w:t>
      </w:r>
    </w:p>
    <w:p w14:paraId="32C01BB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建筑设计阶段，以营造良好的室内声光热、空气环境为目标，进行合理的设计，包括：合理设置功能分区，将对环境有较高要求的房间或者对环境污染（噪声、空气）较大的房间集中布置，并做好保护措施；通过合理的开窗、优化开启面积、设置底层架空、布置遮阳构件等营造良好的室内通风、采光环境。自然通风的效果不仅与开口面积与地板面积之比有关，事实上还与通风开口之间的相对位置密切相关。在设计过程中，应考虑通风开口的位置，尽量使之能有利于形成</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穿堂风</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p>
    <w:p w14:paraId="66F8DC3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在建筑设计和构造设计中鼓励采取诱导气流、促进自然通风的主动措施，如导风墙、拔风井等等，以促进室内自然通风的效率。</w:t>
      </w:r>
    </w:p>
    <w:p w14:paraId="68D671C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②室内热舒适度营造法</w:t>
      </w:r>
    </w:p>
    <w:p w14:paraId="7422D9D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外围护结构的内表面结露会造成居民生活不便，严重时会导致霉菌的滋生，影响室内的卫生条件。绿色建筑应为居住者提供一个良好的室内环境，因此在室内温、湿度设计条件下不应产生结露现象。导致结露的因素除空气过分潮湿外，表面温度过低是直接的原因。一般说来，住宅外围护结构的内表面大面积结露的可能性不大，结露大都出现在金属窗框、窗玻璃表面、墙角、墙面上可能出现的热桥附近，作为绿色建筑在设计和建造过程中，应核算可能结露部位的内表面温度是否高于露点温度，采取措施防止在室内温、湿度设计条件下产生结露现象。</w:t>
      </w:r>
    </w:p>
    <w:p w14:paraId="74A1847B">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温湿度独立控制。公共建筑空调末端是提供室内使用者舒适性的重要保证手段。可通过个性化送风末端、干式风机盘管、地板采暖等末端等实现用户的多样化使用需求，提高使用舒适性。</w:t>
      </w:r>
    </w:p>
    <w:p w14:paraId="49C6616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③室内采光照明控制技术</w:t>
      </w:r>
    </w:p>
    <w:p w14:paraId="3DD8C6F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夏季强烈的阳光透过窗户玻璃照到室内会引起居住者的不舒适感，同时还会大幅增大空调负荷。窗户的内侧设置窗帘较为普遍，但内窗帘在遮挡直射阳光的同时常常也遮挡了散射的光线，影响室内的自然采光，而且内窗帘对减小由阳光直接进入室内而产生的空调负荷作用不大。在窗户的外面设置可调节的遮阳装置，根据需要调节遮阳装置的位置，防止夏季强烈的阳光透过窗户玻璃直接进入室内，</w:t>
      </w:r>
      <w:r>
        <w:rPr>
          <w:rFonts w:hint="default" w:ascii="Times New Roman" w:hAnsi="Times New Roman" w:cs="Times New Roman"/>
          <w:sz w:val="28"/>
          <w:szCs w:val="28"/>
          <w:lang w:val="en-US" w:eastAsia="zh-CN"/>
        </w:rPr>
        <w:t>以</w:t>
      </w:r>
      <w:r>
        <w:rPr>
          <w:rFonts w:hint="default" w:ascii="Times New Roman" w:hAnsi="Times New Roman" w:cs="Times New Roman"/>
          <w:sz w:val="28"/>
          <w:szCs w:val="28"/>
        </w:rPr>
        <w:t>提高居住者的舒适感。</w:t>
      </w:r>
    </w:p>
    <w:p w14:paraId="3F1B003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良好、舒适的照明首先要求在参考平面上具有适当的照度水平，不但要满足视觉工作要求，而且要在整个建筑空间创造出舒适、健康的光环境气氛；强烈的眩光会使室内光线不和谐，使人感到不舒适，容易增加人体疲劳，严重时会觉得昏眩，甚至短暂失明。室内照明质量的另一个重要因素是光源的显色性，人工光和天然光的光谱组成不同，因而显色效果也有差别。如果灯光的光色和空间色调不配合，就会造成很不相宜的环境气氛，而室内外光源的显色性相差过大也会引起人眼的不舒适、疲劳等，甚至会造成物体颜色判断失误等。</w:t>
      </w:r>
    </w:p>
    <w:p w14:paraId="290E1A5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④空气质量控制技术</w:t>
      </w:r>
    </w:p>
    <w:p w14:paraId="46516B3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每当春末夏初之际，空气的相对湿度上升，其值可达90%以上。当房间温度低于室内空气露点温度时，就会在墙表面上产生结露现象。湿度过高，会降低结构材料的使用质量和耐久性，有碍室内的居住卫生和人体健康，又影响了建筑物的美观。可以采用吸湿性面层材料、干燥而表面带有微孔的耐磨材料（如陶土的防潮砖）、较粗糙的素混凝土等，将潮气吸人地面面层暂存，当气温回升、气候干燥时，又逐渐蒸发而重返大气，达到</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潮而不显</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的目的。也可采用地面架空做法、防潮层等。</w:t>
      </w:r>
    </w:p>
    <w:p w14:paraId="2469EE5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室内通风换气与空气质量监控系统。通风换气是降低室内空气污染的有效措施，设置新风换气系统有利于引入室外新鲜空气，排出室内混浊气体，提升室内空气质量，满足人体的健康要求。此外，为确保引入室内的为室外新鲜空气，新风采气口的上风向不能有污染源；提倡新风直接入室，缩短新风风管的长度，减少途径污染。</w:t>
      </w:r>
    </w:p>
    <w:p w14:paraId="234C099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室内空气质量监测装置能自动监测室内空气质量，主要是测定二氧化碳浓度，具有报警提示功能。为保护人体健康，预防和控制室内空气污染，可在主要功能房间设计和安装室内污染监控系统，利用传感器对室内主要位置进行温湿度、二氧化碳、空气污染物浓度等进行数据采集和分析；也可同时检测进、排风设备的工作状态，并与室内空气污染监控系统关联，实现自动通风调节，保证室内始终处于健康的空气环境。</w:t>
      </w:r>
    </w:p>
    <w:p w14:paraId="5EE8BCF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（3）生活便利类</w:t>
      </w:r>
    </w:p>
    <w:p w14:paraId="74F77D1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①场地交通系统优化设计</w:t>
      </w:r>
    </w:p>
    <w:p w14:paraId="6613BCE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鼓励公交出行，场地主要出入口设置在距离公共交通设施 500m 范围内，交通组织实行人车分流，设置便捷、安全的人行通道、</w:t>
      </w:r>
      <w:r>
        <w:rPr>
          <w:rFonts w:hint="default" w:ascii="Times New Roman" w:hAnsi="Times New Roman" w:cs="Times New Roman"/>
          <w:sz w:val="28"/>
          <w:szCs w:val="28"/>
          <w:lang w:val="en-US" w:eastAsia="zh-CN"/>
        </w:rPr>
        <w:t>非机动车</w:t>
      </w:r>
      <w:r>
        <w:rPr>
          <w:rFonts w:hint="default" w:ascii="Times New Roman" w:hAnsi="Times New Roman" w:cs="Times New Roman"/>
          <w:sz w:val="28"/>
          <w:szCs w:val="28"/>
        </w:rPr>
        <w:t>道，方便人员出行。</w:t>
      </w:r>
    </w:p>
    <w:p w14:paraId="5E9756D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②建筑室内外公共区域全龄化设计</w:t>
      </w:r>
    </w:p>
    <w:p w14:paraId="5BA8C0B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场地内人行通道按规范进行无障碍设计，合理组织交通流线；宜在建筑入口、电梯、卫生间等主要活动空间设置无障碍设施。</w:t>
      </w:r>
    </w:p>
    <w:p w14:paraId="67FD017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③合理设置健身场地和空间</w:t>
      </w:r>
    </w:p>
    <w:p w14:paraId="17C6336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集中布置健身场地，场地面积应不小于总用地面积 0.5%，并根据运动类型设置适当的隔声措施，健身场地设施应进行全龄化设计，满足各年龄段人群的室外活动要求；设置健身慢道应避免与场地内车行道交叉，不能避免时应设置斑马线、减速坡、道闸等安全设施，步道宜采用弹性减振、防滑和环保的材料，以减少对人体关节的冲击和损伤。</w:t>
      </w:r>
    </w:p>
    <w:p w14:paraId="2EDF829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④切实落实绿色建筑的管理制度</w:t>
      </w:r>
    </w:p>
    <w:p w14:paraId="4EF24ED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 xml:space="preserve"> 绿色建筑物业管理部门应获得有关管理体系认证；完善并有效实施节能、节水、节材、绿化等相关设施的操作规程及应急预案；物业管理机构的工作考核体系中应包含能源资源管理激励机制；采用合同能源管理模式；建立绿色教育宣传机制，编制绿色设施使用手册，形成良好的绿色氛围；开展绿色物业管理试点示范工作。 </w:t>
      </w:r>
    </w:p>
    <w:p w14:paraId="681324A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⑤切实落实绿色建筑的技术管理手段</w:t>
      </w:r>
    </w:p>
    <w:p w14:paraId="6B90F53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 xml:space="preserve">定期检查、调试公共设施设备，并根据运行检测数据进行设备系统的运行优化；对空调通风系统进行定期检查和清洗，对非传统水源的水质和用水量记录完整、准确；智能化系统的运行效果应满足建筑运行与管理的需要；应用信息化手段进行物业管理。 </w:t>
      </w:r>
    </w:p>
    <w:p w14:paraId="1A6A9E3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（4）资源节约类</w:t>
      </w:r>
    </w:p>
    <w:p w14:paraId="3CAE677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①围护结构节能技术</w:t>
      </w:r>
    </w:p>
    <w:p w14:paraId="016CED5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屋面节能技术：</w:t>
      </w:r>
    </w:p>
    <w:p w14:paraId="4F6DE27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中山市属于夏热冬暖地区，夏季室外气温高，太阳辐射照度大，水平面最大太阳辐射强度可达 1000 瓦/平方米，屋面的节能技术不仅关系到建筑的节能问题，对顶层室内热环境也有很大的影响。屋面隔热形式除南方传统的通风屋面外，还可采用带保温层的隔热屋面、种植屋面或蓄水屋面。</w:t>
      </w:r>
    </w:p>
    <w:p w14:paraId="26910A9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在屋面铺装材料的选择上，应尽量选择浅色铺装，或采用反射隔热涂料，减少太阳辐射得热。</w:t>
      </w:r>
    </w:p>
    <w:p w14:paraId="04BB3C19">
      <w:pPr>
        <w:rPr>
          <w:rFonts w:hint="default" w:ascii="Times New Roman" w:hAnsi="Times New Roman" w:cs="Times New Roman"/>
        </w:rPr>
      </w:pPr>
      <w:r>
        <w:rPr>
          <w:rFonts w:hint="default" w:ascii="Times New Roman" w:hAnsi="Times New Roman" w:cs="Times New Roman"/>
        </w:rPr>
        <w:br w:type="page"/>
      </w:r>
    </w:p>
    <w:p w14:paraId="64DA6994">
      <w:pPr>
        <w:pStyle w:val="34"/>
        <w:adjustRightInd w:val="0"/>
        <w:snapToGrid w:val="0"/>
        <w:spacing w:line="360" w:lineRule="auto"/>
        <w:jc w:val="center"/>
        <w:rPr>
          <w:rFonts w:hint="default" w:ascii="Times New Roman" w:hAnsi="Times New Roman" w:cs="Times New Roman"/>
        </w:rPr>
      </w:pPr>
      <w:r>
        <w:rPr>
          <w:rFonts w:hint="default" w:ascii="Times New Roman" w:hAnsi="Times New Roman" w:cs="Times New Roman"/>
        </w:rPr>
        <w:drawing>
          <wp:inline distT="0" distB="0" distL="114935" distR="114935">
            <wp:extent cx="3400425" cy="1889125"/>
            <wp:effectExtent l="0" t="0" r="9525" b="15875"/>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26"/>
                    <a:stretch>
                      <a:fillRect/>
                    </a:stretch>
                  </pic:blipFill>
                  <pic:spPr>
                    <a:xfrm>
                      <a:off x="0" y="0"/>
                      <a:ext cx="3400425" cy="1889125"/>
                    </a:xfrm>
                    <a:prstGeom prst="rect">
                      <a:avLst/>
                    </a:prstGeom>
                    <a:noFill/>
                    <a:ln>
                      <a:noFill/>
                    </a:ln>
                  </pic:spPr>
                </pic:pic>
              </a:graphicData>
            </a:graphic>
          </wp:inline>
        </w:drawing>
      </w:r>
      <w:r>
        <w:rPr>
          <w:rFonts w:hint="default" w:ascii="Times New Roman" w:hAnsi="Times New Roman" w:cs="Times New Roman"/>
        </w:rPr>
        <w:t xml:space="preserve">  </w:t>
      </w:r>
      <w:r>
        <w:rPr>
          <w:rFonts w:hint="default" w:ascii="Times New Roman" w:hAnsi="Times New Roman" w:cs="Times New Roman"/>
        </w:rPr>
        <w:drawing>
          <wp:inline distT="0" distB="0" distL="114300" distR="114300">
            <wp:extent cx="1931035" cy="1892300"/>
            <wp:effectExtent l="0" t="0" r="0" b="0"/>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pic:cNvPicPr>
                      <a:picLocks noChangeAspect="1"/>
                    </pic:cNvPicPr>
                  </pic:nvPicPr>
                  <pic:blipFill>
                    <a:blip r:embed="rId27"/>
                    <a:stretch>
                      <a:fillRect/>
                    </a:stretch>
                  </pic:blipFill>
                  <pic:spPr>
                    <a:xfrm>
                      <a:off x="0" y="0"/>
                      <a:ext cx="1937625" cy="1898804"/>
                    </a:xfrm>
                    <a:prstGeom prst="rect">
                      <a:avLst/>
                    </a:prstGeom>
                    <a:noFill/>
                    <a:ln>
                      <a:noFill/>
                    </a:ln>
                  </pic:spPr>
                </pic:pic>
              </a:graphicData>
            </a:graphic>
          </wp:inline>
        </w:drawing>
      </w:r>
    </w:p>
    <w:p w14:paraId="2934564B">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图3-5 隔热材料屋面与隔热涂料屋面示意</w:t>
      </w:r>
    </w:p>
    <w:p w14:paraId="0EEDAF1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外墙节能技术：</w:t>
      </w:r>
    </w:p>
    <w:p w14:paraId="218C47A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外墙是建筑的主体结构，外墙的节能性能对建筑的耗能量有直接影响。目前中山市墙改工作全面禁止了实心粘土砖的生产经营和使用，并大力推广新型墙材如蒸压加气混凝土砌块、陶粒混凝土空心砌块、建筑板材和复合墙体等。</w:t>
      </w:r>
    </w:p>
    <w:p w14:paraId="59DA8FE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通过采用热工性能较好的自保温墙体材料，不另设隔热保温层，就可大幅提升墙体的隔热、节能性能，蒸压加气混凝土砌块具有优良的热工性能、加工特性，并且可使用粉煤灰、灰沙、工业废渣为原料进行资源化利用，有较大的发展潜力。建筑板材可进行预制化生产，装配式施工，墙体自重较轻，节能节土。复合墙体保温隔热性能很强，有内保温、外保温、夹心保温三种形式。</w:t>
      </w:r>
    </w:p>
    <w:p w14:paraId="220610C7">
      <w:pPr>
        <w:pStyle w:val="34"/>
        <w:adjustRightInd w:val="0"/>
        <w:snapToGrid w:val="0"/>
        <w:spacing w:line="360" w:lineRule="auto"/>
        <w:ind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195570" cy="2125980"/>
            <wp:effectExtent l="0" t="0" r="5080" b="7620"/>
            <wp:docPr id="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28"/>
                    <a:stretch>
                      <a:fillRect/>
                    </a:stretch>
                  </pic:blipFill>
                  <pic:spPr>
                    <a:xfrm>
                      <a:off x="0" y="0"/>
                      <a:ext cx="5195570" cy="2125980"/>
                    </a:xfrm>
                    <a:prstGeom prst="rect">
                      <a:avLst/>
                    </a:prstGeom>
                    <a:noFill/>
                    <a:ln>
                      <a:noFill/>
                    </a:ln>
                  </pic:spPr>
                </pic:pic>
              </a:graphicData>
            </a:graphic>
          </wp:inline>
        </w:drawing>
      </w:r>
    </w:p>
    <w:p w14:paraId="47C622B2">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图3-6 加气混凝土自保温与聚苯板保温示意</w:t>
      </w:r>
    </w:p>
    <w:p w14:paraId="231A214D">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p>
    <w:p w14:paraId="5E8144AC">
      <w:pPr>
        <w:pStyle w:val="34"/>
        <w:adjustRightInd w:val="0"/>
        <w:snapToGrid w:val="0"/>
        <w:spacing w:line="360" w:lineRule="auto"/>
        <w:ind w:firstLine="0" w:firstLineChars="0"/>
        <w:jc w:val="center"/>
        <w:rPr>
          <w:rFonts w:hint="default" w:ascii="Times New Roman" w:hAnsi="Times New Roman" w:cs="Times New Roman"/>
          <w:b/>
          <w:szCs w:val="21"/>
        </w:rPr>
      </w:pPr>
      <w:r>
        <w:rPr>
          <w:rFonts w:hint="default" w:ascii="Times New Roman" w:hAnsi="Times New Roman" w:eastAsia="宋体" w:cs="Times New Roman"/>
          <w:b/>
          <w:kern w:val="2"/>
          <w:sz w:val="21"/>
          <w:szCs w:val="21"/>
          <w:lang w:val="en-US" w:eastAsia="zh-CN" w:bidi="ar-SA"/>
        </w:rPr>
        <w:t>表3-5 常见隔热、保温材料性能参数</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7"/>
        <w:gridCol w:w="1557"/>
        <w:gridCol w:w="2146"/>
        <w:gridCol w:w="1395"/>
        <w:gridCol w:w="1073"/>
      </w:tblGrid>
      <w:tr w14:paraId="4DCF4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4" w:type="dxa"/>
            <w:vAlign w:val="center"/>
          </w:tcPr>
          <w:p w14:paraId="53B94804">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品种</w:t>
            </w:r>
          </w:p>
        </w:tc>
        <w:tc>
          <w:tcPr>
            <w:tcW w:w="1834" w:type="dxa"/>
            <w:vAlign w:val="center"/>
          </w:tcPr>
          <w:p w14:paraId="5B576CF8">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密度（kg/m3）</w:t>
            </w:r>
          </w:p>
        </w:tc>
        <w:tc>
          <w:tcPr>
            <w:tcW w:w="2526" w:type="dxa"/>
            <w:vAlign w:val="center"/>
          </w:tcPr>
          <w:p w14:paraId="6B2CF7C5">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导热系数（W/mK）</w:t>
            </w:r>
          </w:p>
        </w:tc>
        <w:tc>
          <w:tcPr>
            <w:tcW w:w="1643" w:type="dxa"/>
            <w:vAlign w:val="center"/>
          </w:tcPr>
          <w:p w14:paraId="2D79E806">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定压比热</w:t>
            </w:r>
          </w:p>
          <w:p w14:paraId="11E19891">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（J/kgK）</w:t>
            </w:r>
          </w:p>
        </w:tc>
        <w:tc>
          <w:tcPr>
            <w:tcW w:w="1264" w:type="dxa"/>
            <w:vAlign w:val="center"/>
          </w:tcPr>
          <w:p w14:paraId="132D301C">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蓄热系数</w:t>
            </w:r>
          </w:p>
        </w:tc>
      </w:tr>
      <w:tr w14:paraId="19782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4" w:type="dxa"/>
            <w:vAlign w:val="center"/>
          </w:tcPr>
          <w:p w14:paraId="25A94182">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矿棉、岩棉、玻璃棉板</w:t>
            </w:r>
          </w:p>
        </w:tc>
        <w:tc>
          <w:tcPr>
            <w:tcW w:w="1834" w:type="dxa"/>
            <w:vAlign w:val="center"/>
          </w:tcPr>
          <w:p w14:paraId="0A720EA1">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70以下</w:t>
            </w:r>
          </w:p>
        </w:tc>
        <w:tc>
          <w:tcPr>
            <w:tcW w:w="2526" w:type="dxa"/>
            <w:vAlign w:val="center"/>
          </w:tcPr>
          <w:p w14:paraId="3FC24DCF">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0.05</w:t>
            </w:r>
          </w:p>
        </w:tc>
        <w:tc>
          <w:tcPr>
            <w:tcW w:w="1643" w:type="dxa"/>
            <w:vAlign w:val="center"/>
          </w:tcPr>
          <w:p w14:paraId="79DB2FE8">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1220</w:t>
            </w:r>
          </w:p>
        </w:tc>
        <w:tc>
          <w:tcPr>
            <w:tcW w:w="1264" w:type="dxa"/>
            <w:vAlign w:val="center"/>
          </w:tcPr>
          <w:p w14:paraId="1D196555">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0.59</w:t>
            </w:r>
          </w:p>
        </w:tc>
      </w:tr>
      <w:tr w14:paraId="4DBF8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4" w:type="dxa"/>
            <w:vAlign w:val="center"/>
          </w:tcPr>
          <w:p w14:paraId="451BA26C">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矿棉、岩棉、玻璃棉板</w:t>
            </w:r>
          </w:p>
        </w:tc>
        <w:tc>
          <w:tcPr>
            <w:tcW w:w="1834" w:type="dxa"/>
            <w:vAlign w:val="center"/>
          </w:tcPr>
          <w:p w14:paraId="4CF77881">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80～200</w:t>
            </w:r>
          </w:p>
        </w:tc>
        <w:tc>
          <w:tcPr>
            <w:tcW w:w="2526" w:type="dxa"/>
            <w:vAlign w:val="center"/>
          </w:tcPr>
          <w:p w14:paraId="0CF9435B">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0.045</w:t>
            </w:r>
          </w:p>
        </w:tc>
        <w:tc>
          <w:tcPr>
            <w:tcW w:w="1643" w:type="dxa"/>
            <w:vAlign w:val="center"/>
          </w:tcPr>
          <w:p w14:paraId="7253F489">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1340</w:t>
            </w:r>
          </w:p>
        </w:tc>
        <w:tc>
          <w:tcPr>
            <w:tcW w:w="1264" w:type="dxa"/>
            <w:vAlign w:val="center"/>
          </w:tcPr>
          <w:p w14:paraId="32A0B1CC">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0.75</w:t>
            </w:r>
          </w:p>
        </w:tc>
      </w:tr>
      <w:tr w14:paraId="38E3C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4" w:type="dxa"/>
            <w:vAlign w:val="center"/>
          </w:tcPr>
          <w:p w14:paraId="2C8F5251">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聚苯乙烯泡沫塑料</w:t>
            </w:r>
          </w:p>
        </w:tc>
        <w:tc>
          <w:tcPr>
            <w:tcW w:w="1834" w:type="dxa"/>
            <w:vAlign w:val="center"/>
          </w:tcPr>
          <w:p w14:paraId="414A6B1C">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30</w:t>
            </w:r>
          </w:p>
        </w:tc>
        <w:tc>
          <w:tcPr>
            <w:tcW w:w="2526" w:type="dxa"/>
            <w:vAlign w:val="center"/>
          </w:tcPr>
          <w:p w14:paraId="5837D0FE">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0.042</w:t>
            </w:r>
          </w:p>
        </w:tc>
        <w:tc>
          <w:tcPr>
            <w:tcW w:w="1643" w:type="dxa"/>
            <w:vAlign w:val="center"/>
          </w:tcPr>
          <w:p w14:paraId="083BB379">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1380</w:t>
            </w:r>
          </w:p>
        </w:tc>
        <w:tc>
          <w:tcPr>
            <w:tcW w:w="1264" w:type="dxa"/>
            <w:vAlign w:val="center"/>
          </w:tcPr>
          <w:p w14:paraId="4336633C">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0.36</w:t>
            </w:r>
          </w:p>
        </w:tc>
      </w:tr>
      <w:tr w14:paraId="18F92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4" w:type="dxa"/>
            <w:vAlign w:val="center"/>
          </w:tcPr>
          <w:p w14:paraId="52C3F4AC">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聚乙烯泡沫塑料</w:t>
            </w:r>
          </w:p>
        </w:tc>
        <w:tc>
          <w:tcPr>
            <w:tcW w:w="1834" w:type="dxa"/>
            <w:vAlign w:val="center"/>
          </w:tcPr>
          <w:p w14:paraId="17CF5397">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100</w:t>
            </w:r>
          </w:p>
        </w:tc>
        <w:tc>
          <w:tcPr>
            <w:tcW w:w="2526" w:type="dxa"/>
            <w:vAlign w:val="center"/>
          </w:tcPr>
          <w:p w14:paraId="0DA8EFAE">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0.047</w:t>
            </w:r>
          </w:p>
        </w:tc>
        <w:tc>
          <w:tcPr>
            <w:tcW w:w="1643" w:type="dxa"/>
            <w:vAlign w:val="center"/>
          </w:tcPr>
          <w:p w14:paraId="16331AFB">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1380</w:t>
            </w:r>
          </w:p>
        </w:tc>
        <w:tc>
          <w:tcPr>
            <w:tcW w:w="1264" w:type="dxa"/>
            <w:vAlign w:val="center"/>
          </w:tcPr>
          <w:p w14:paraId="39438CD4">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0.70</w:t>
            </w:r>
          </w:p>
        </w:tc>
      </w:tr>
      <w:tr w14:paraId="3A276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4" w:type="dxa"/>
            <w:vAlign w:val="center"/>
          </w:tcPr>
          <w:p w14:paraId="24FA72BC">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聚氯乙烯硬泡沫塑料</w:t>
            </w:r>
          </w:p>
        </w:tc>
        <w:tc>
          <w:tcPr>
            <w:tcW w:w="1834" w:type="dxa"/>
            <w:vAlign w:val="center"/>
          </w:tcPr>
          <w:p w14:paraId="0CFD4447">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130</w:t>
            </w:r>
          </w:p>
        </w:tc>
        <w:tc>
          <w:tcPr>
            <w:tcW w:w="2526" w:type="dxa"/>
            <w:vAlign w:val="center"/>
          </w:tcPr>
          <w:p w14:paraId="2CB9A611">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0.048</w:t>
            </w:r>
          </w:p>
        </w:tc>
        <w:tc>
          <w:tcPr>
            <w:tcW w:w="1643" w:type="dxa"/>
            <w:vAlign w:val="center"/>
          </w:tcPr>
          <w:p w14:paraId="1F16C9F4">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1380</w:t>
            </w:r>
          </w:p>
        </w:tc>
        <w:tc>
          <w:tcPr>
            <w:tcW w:w="1264" w:type="dxa"/>
            <w:vAlign w:val="center"/>
          </w:tcPr>
          <w:p w14:paraId="41FBC3AC">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0.79</w:t>
            </w:r>
          </w:p>
        </w:tc>
      </w:tr>
    </w:tbl>
    <w:p w14:paraId="0C8962B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外窗、玻璃幕墙节能技术：</w:t>
      </w:r>
    </w:p>
    <w:p w14:paraId="1225766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外窗、玻璃幕墙是夏热冬暖地区外围护结构节能最薄弱的环节，大部分的太阳辐射热通过外窗、幕墙的透明部分传入，其性能的优劣在很大程度上决定建筑围护结构节能的性能好坏，直接影响建筑节能的效果和室内舒适性。</w:t>
      </w:r>
    </w:p>
    <w:p w14:paraId="4E7C65F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根据中山市的气候特点，外窗、幕墙节能主要采用以下节能技术措施。一是控制窗墙面积比；二是改善外窗幕墙热工性能，可使用的节能玻璃，如有镀膜玻璃、Low-E 玻璃、智能玻璃等，另外气密性优良的外窗对节能效果也有提升。三是采用外遮阳，可以设置固定的外遮阳，或采用活动式外遮阳，通过与太阳光同步的变化，更有效的隔绝太阳辐射于室外。</w:t>
      </w:r>
    </w:p>
    <w:p w14:paraId="29A7704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②暖通空调系统节能技术</w:t>
      </w:r>
    </w:p>
    <w:p w14:paraId="10921D3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选择高效率设备并制定运行策略。空调制冷系统应设群控系统，空调负荷的变化经群控系统计算后，优化开机的台数，或根据室外空气状态的变化，群控系统自动改变冷水机组的运行工况，有效节省空调运行能耗。风机、水泵可采用变流量技术，制定相应节能运行策略。</w:t>
      </w:r>
    </w:p>
    <w:p w14:paraId="141CAA7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新排风热回收技术。在分析可行性的基础上，可采用热回收装置回收排风中的能量。目前常用的热交换器有热管式热交换器、板式热交换器、转轮式热交换器和蒸发式热回收装置。</w:t>
      </w:r>
    </w:p>
    <w:p w14:paraId="501E6595">
      <w:pPr>
        <w:pStyle w:val="34"/>
        <w:adjustRightInd w:val="0"/>
        <w:snapToGrid w:val="0"/>
        <w:spacing w:line="360" w:lineRule="auto"/>
        <w:ind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276850" cy="3476625"/>
            <wp:effectExtent l="0" t="0" r="0" b="9525"/>
            <wp:docPr id="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pic:cNvPicPr>
                      <a:picLocks noChangeAspect="1"/>
                    </pic:cNvPicPr>
                  </pic:nvPicPr>
                  <pic:blipFill>
                    <a:blip r:embed="rId29"/>
                    <a:stretch>
                      <a:fillRect/>
                    </a:stretch>
                  </pic:blipFill>
                  <pic:spPr>
                    <a:xfrm>
                      <a:off x="0" y="0"/>
                      <a:ext cx="5276850" cy="3476625"/>
                    </a:xfrm>
                    <a:prstGeom prst="rect">
                      <a:avLst/>
                    </a:prstGeom>
                    <a:noFill/>
                    <a:ln>
                      <a:noFill/>
                    </a:ln>
                  </pic:spPr>
                </pic:pic>
              </a:graphicData>
            </a:graphic>
          </wp:inline>
        </w:drawing>
      </w:r>
    </w:p>
    <w:p w14:paraId="2DD73377">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图3-7 转轮吊顶新风机结构示意图</w:t>
      </w:r>
    </w:p>
    <w:p w14:paraId="085EE9B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冷凝热回收技术。宾馆、酒店、医院等建筑，设有中央空调系统和 24 小时热水供应，多数情况下冷、热源分别设置，用冷水机组提供冷源，蒸汽或热水锅炉提供热源。冷水机组在运行时要通过冷却水系统排出大量的冷凝热，在制冷工况下运行，冷凝热可达制冷量的 1.15-1.3 倍。利用高温水源热泵回收这部分冷凝热输出 65 度的热水作为生活热水，会是一条变废为宝的节能途径。</w:t>
      </w:r>
    </w:p>
    <w:p w14:paraId="2824561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全空气空调系统全新风运行或可调新风比。新风负荷约占建筑物总负荷约 30%-40％。变新风量所需的供冷量比固定的最小新风量所需的供冷量少 20%左右。新风量如果能够从最小新风量到全新风变化，在春秋季可节约近 60％的能耗。全空气空调系统可采用全新风运行和可调新风比技术，在过渡季节室外温湿度允许的条件下可全新风运行提供免费冷却，改善空调区内空气的品质及节省空气处理所需消耗的能量。</w:t>
      </w:r>
    </w:p>
    <w:p w14:paraId="2BD54F5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③照明系统节能技术</w:t>
      </w:r>
    </w:p>
    <w:p w14:paraId="1977F35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采用高效节能的电光源。在不使用白炽灯和满足照明基本需求的基础上，可根据建筑条件灵活采用普通荧光灯、三基色紧凑型荧光灯、高压钠灯、金属卤化物灯、发光二极管（LED）等高效光源。其中，LED 具有光效高、节能效果显著、光色多、安全、寿命长等优点，发展潜力巨大。中山市与广东省科技厅共建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广东省绿色照明示范城市</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，已采取多种经济和行政措施引导 LED 照明产品的推广，以路灯等公共照明为切入口，在全市推广绿色照明系统，提高节能效果。</w:t>
      </w:r>
    </w:p>
    <w:p w14:paraId="4D37662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优化照明控制。可采用分布式或集中式智能照明控制系统，自动调光、启闭，实现自动化、程序化、智能化的管理监控，使整个照明系统更加高效节能。</w:t>
      </w:r>
    </w:p>
    <w:p w14:paraId="45C9AA5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④水资源综合利用规划设计</w:t>
      </w:r>
    </w:p>
    <w:p w14:paraId="2FA8966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充分了解项目所在区域的市政给排水条件、水资源状况、气候特点等客观情况，综合分析研究各种水资源利用的可能性和潜力，制定水系统规划方案，以提高水资源综合利用率，减少市政供水量和污水排放量。非传统水源利用方案应对雨水及再生水利用的可行性、经济性和实用性进行说明，进行水量平衡计算分析，确定雨水及再生水的利用方法、规模、处理工艺流程。有市政再生水的区域应优先选用再生水。</w:t>
      </w:r>
    </w:p>
    <w:p w14:paraId="18BA86C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⑤雨水综合利用设计技术</w:t>
      </w:r>
    </w:p>
    <w:p w14:paraId="0898433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规划设计阶段，要结合住区的地形地貌特点，规划设计好雨水（包括地面雨水、建筑屋面雨水）径流的控制利用途径，减少雨水污染机率，避免雨水污染地表水体，同时采用多种措施增加雨水渗透量，减少不透水地面，采取有效的雨水入渗措施，可以达到减小雨水径流总量的目的。考虑设计雨水收集回用系统，系统可与项目人工水景结合，优先收集屋面雨水，把雨水适当收集、处理与贮存，</w:t>
      </w:r>
    </w:p>
    <w:p w14:paraId="46C897B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将雨水作为绿化、洗车、道路冲洗、垃圾间冲洗等非饮用用水。根据当地降水量、雨水水质、汇水条件、可收集雨水量、项目雨水用水点（用水量）等一系列影响雨水利用实施的因素进行分析确定雨水收集系统规模。根据原水水质、用水途径和水质要求选用适当的处理工艺。</w:t>
      </w:r>
    </w:p>
    <w:p w14:paraId="4B77448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中山市中心城区及镇区雨污分流改造的基本完成，为中山市开展雨水综合利用提供了有力的保证。开展雨水综合利用可以从雨水的原位处理、雨水收集回用、雨水的调蓄排放、雨水管理等方面开展。</w:t>
      </w:r>
    </w:p>
    <w:p w14:paraId="38D45C3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⑥建筑中水回用系统设计技术</w:t>
      </w:r>
    </w:p>
    <w:p w14:paraId="7645462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目前中山市再生水（中水）利用在规划层面提出了要求，但实施进展较为缓慢，开展中水利用可以从市政中水、建筑中水、工业水循环使用、市政中水利用示范等方面开展。</w:t>
      </w:r>
    </w:p>
    <w:p w14:paraId="3FD6396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市政中水建设。和海水淡化、跨流域调水相比，再生水具有明显的优势。从经济的角度看，再生水的成本最低，从环保的角度看，污水再生利用有助于改善生态环境，实现水生态的良性循环。限制市政中水发展的因素主要是管道问题，由于管道的限制，制约了市政中水的发展，这是国内中水回用的通病。在中山市污水处理率及达标率不断提高的前提下，可以适当进行市政中水回用，通过经济、环境评估选取合适的利用方案，围绕水厂周边用水量大的区域进行管网铺设，增加市政中水的利用，以此推动整个区域的发展，可以探索市政中水领域采用 BOT 模式建设。</w:t>
      </w:r>
    </w:p>
    <w:p w14:paraId="036972E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建筑中水建设。由中水原水的收集、储存、处理和中水供给等一系列工程设施组成的有机结合体称为建筑中水系统，根据排水收集和中水供应的范围大小，建筑中水系统又分为建筑物中水系统和小区中水系统。建筑物中水系统是指在一栋或几栋建筑物内建立的中水系统。建筑物中水系统相对具有投资少，见效快的特点。建筑小区中水系统是指在新</w:t>
      </w:r>
      <w:r>
        <w:rPr>
          <w:rFonts w:hint="default" w:ascii="Times New Roman" w:hAnsi="Times New Roman" w:cs="Times New Roman"/>
          <w:sz w:val="28"/>
          <w:szCs w:val="28"/>
          <w:lang w:eastAsia="zh-CN"/>
        </w:rPr>
        <w:t>（</w:t>
      </w:r>
      <w:r>
        <w:rPr>
          <w:rFonts w:hint="default" w:ascii="Times New Roman" w:hAnsi="Times New Roman" w:cs="Times New Roman"/>
          <w:sz w:val="28"/>
          <w:szCs w:val="28"/>
        </w:rPr>
        <w:t>改、扩</w:t>
      </w:r>
      <w:r>
        <w:rPr>
          <w:rFonts w:hint="default" w:ascii="Times New Roman" w:hAnsi="Times New Roman" w:cs="Times New Roman"/>
          <w:sz w:val="28"/>
          <w:szCs w:val="28"/>
          <w:lang w:eastAsia="zh-CN"/>
        </w:rPr>
        <w:t>）</w:t>
      </w:r>
      <w:r>
        <w:rPr>
          <w:rFonts w:hint="default" w:ascii="Times New Roman" w:hAnsi="Times New Roman" w:cs="Times New Roman"/>
          <w:sz w:val="28"/>
          <w:szCs w:val="28"/>
        </w:rPr>
        <w:t>建的校园、机关办公区、商住区、居住小区等集中建筑区内建立的中水系统，建筑小区中水系统。因供水范围大，生活用水量和环境用水量都很大，可以设计成不同形式的中水系统，易于形成规模效益，实现污废水资源化和小区生态环境的建设。建筑中水系统是建筑物或建筑小区的功能配套设施之一。根据中水原水的水质，中水原水集水系统有合流集水系统和分流集水系统两类。合流集水系统是生活污水和废水用一套管道排出的系统，即通常的排水系统。合流集水系统的集流干管可根据中水处理站位置要求设置在室内或室外。这种集水系统具有管道布置设计简单、水量充足稳定等优点，但是由于该系统是生活污废水合并为综合污水，因此原水水质差、中水处理工艺复杂、用户对中水接受程度低、处理站容易对周围环境造成污染。合流集水系统的管道设计要求和计算与建筑内部排水系统相同。中山市在进行各类建筑物和建筑小区建设时，其总体规划设计应包括污水、废水、雨水资源的综合利用和中水设施建设的内容。各种污、废水资源，应根据当地的水资源情况和经济发展水平充分利用。对适合建设中水设施的工程项目，应结合当地实际情况和有关规定配套建设。</w:t>
      </w:r>
    </w:p>
    <w:p w14:paraId="07DFC83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工业水循环使用。中山市有工业用水循环使用的先例。之前有中山三角镇 27 家电镀企业推广中水回用及某电子表面处理（中山）有限公司中水回用技改项目等，但开展工业用水循环使用的项目有限。工业水循环使用不仅能起到节约用水的作用，还能控制企业的污染物排放，对当地污染物总量控制起到积极的作用。</w:t>
      </w:r>
    </w:p>
    <w:p w14:paraId="54EFDF0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市政中水利用示范。对于新区建设，由于市政基础设施正处于建设阶段，建议开展中水回用的示范。翠亨新区位于中山东部沿海，范围包括马鞍岛、南朗街道及火炬开发区一部分。翠亨新区的战略定位包括四个方面：新一代珠西岸理想城市先行区、转变经济发展方式引领区、人水和谐智慧用海试验区、海内外华人共有精神家园建设探索区。翠亨新区规划也提到了中水回用的内容。新区内将新建 3 个污水处理厂，可以根据新区的实际情况对处理后的水厂出水进行深度处理回用，开展市政中水利用示范。</w:t>
      </w:r>
    </w:p>
    <w:p w14:paraId="0E73F23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综上所述，当项目所在地有市政中水时，优先选用市政再生水（市政中水）；无市政再生水利用时，可自设建筑中水设施，建议采用地埋式或封闭式设施，选用无污泥系统或少污泥系统并选用经济、适用成熟的处理工艺、安全可靠的消毒技术。中水系统设计满足《建筑中水设计规范》（GB50336）规范要求。</w:t>
      </w:r>
    </w:p>
    <w:p w14:paraId="5E4CCEB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⑦建筑减量化技术和减量化材料</w:t>
      </w:r>
    </w:p>
    <w:p w14:paraId="67F492F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减量化是指在生产、流通和消费等过程中减少资源消耗和废弃物产生。绿色建筑的对资源的减量化包括两个方面：一是建筑减量化，即通过优化建筑和结构设计，减少建筑自身的资源消耗和建筑垃圾产生；二是使用减量化材料，即合理的选择建筑材料，尽可能多选用生产流通过程资源、能源消耗少，环境影响小的材料。</w:t>
      </w:r>
    </w:p>
    <w:p w14:paraId="0E9A195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建筑减量化技术主要是通过结构设计采用环境友好型结构体系，建筑造型设计减少装饰性构件，建筑设计进行建筑装修一体化设计和建筑工业化设计，设计选材使用高性能材料，建筑布局室内空间采用方便拆卸和重复使用的灵活隔断材料等设计方法来减少建筑对材料的需求水平。</w:t>
      </w:r>
    </w:p>
    <w:p w14:paraId="55557AE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使用减量化材料是实现工程建设项目减量化的另一个重要方面。使用距离项目较近的本地生产的建材，可以降低生产流通过程</w:t>
      </w:r>
      <w:r>
        <w:rPr>
          <w:rFonts w:hint="default" w:ascii="Times New Roman" w:hAnsi="Times New Roman" w:cs="Times New Roman"/>
          <w:sz w:val="28"/>
          <w:szCs w:val="28"/>
          <w:lang w:val="en-US" w:eastAsia="zh-CN"/>
        </w:rPr>
        <w:t>中</w:t>
      </w:r>
      <w:r>
        <w:rPr>
          <w:rFonts w:hint="default" w:ascii="Times New Roman" w:hAnsi="Times New Roman" w:cs="Times New Roman"/>
          <w:sz w:val="28"/>
          <w:szCs w:val="28"/>
        </w:rPr>
        <w:t>资源能源的消耗。使用商品混凝土和商品砂浆，在提高建材质量稳定性的同时，能够降低生产过程的水泥消耗和建筑垃圾的产生。可再循环材料和可快速再生材料是材料全寿命期资源和能源最小的建筑材料，也是建造绿色建筑最为理想的减量化材料。</w:t>
      </w:r>
    </w:p>
    <w:p w14:paraId="6C99C93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⑧废弃物再利用技术</w:t>
      </w:r>
    </w:p>
    <w:p w14:paraId="2754326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再利用，是指将废弃物进行分类处理和回收，直接作为产品或者经修复、翻新、再制造后继续作为产品使用，或者将废弃物的全部或者部分作为其他产品的部件予以使用。绿色建筑应最大限度利用建设用地内既有建筑的结构和构件，现场拆除或其他渠道收集得到的旧建筑材料，以及建筑施工和场地清理时产生的废弃物等资源，延长材料使用周期。达到节约原材料，减少废弃物产生，并降低由于更新所需材料的生产及运输对环境的影响的目的。</w:t>
      </w:r>
    </w:p>
    <w:p w14:paraId="6149D16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建筑二次装修、改造和扩建应尽可能地对原有的结构和构造再利用，尽量保留既有外墙、楼板、屋顶以及室内非结构构件，减少对原建筑的拆除和破坏。旧建筑拆除、建筑施工和场地清理产生的建筑垃圾和建筑投入使用后产生的生活垃圾，应在现场进行分类处理，这是废弃物再利用的关键和前提。</w:t>
      </w:r>
    </w:p>
    <w:p w14:paraId="7335318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对于在不改变所回收物质形态的前提下进行材料的直接再利用，或经过再组合、再修复后再利用的建筑材料，如从旧建筑拆除的材料以及从其他场所回收的旧建筑材料，如砌块、砖石、管道、板材、木地板、木制品</w:t>
      </w:r>
      <w:r>
        <w:rPr>
          <w:rFonts w:hint="default" w:ascii="Times New Roman" w:hAnsi="Times New Roman" w:cs="Times New Roman"/>
          <w:sz w:val="28"/>
          <w:szCs w:val="28"/>
          <w:lang w:eastAsia="zh-CN"/>
        </w:rPr>
        <w:t>（</w:t>
      </w:r>
      <w:r>
        <w:rPr>
          <w:rFonts w:hint="default" w:ascii="Times New Roman" w:hAnsi="Times New Roman" w:cs="Times New Roman"/>
          <w:sz w:val="28"/>
          <w:szCs w:val="28"/>
        </w:rPr>
        <w:t>门窗</w:t>
      </w:r>
      <w:r>
        <w:rPr>
          <w:rFonts w:hint="default" w:ascii="Times New Roman" w:hAnsi="Times New Roman" w:cs="Times New Roman"/>
          <w:sz w:val="28"/>
          <w:szCs w:val="28"/>
          <w:lang w:eastAsia="zh-CN"/>
        </w:rPr>
        <w:t>）</w:t>
      </w:r>
      <w:r>
        <w:rPr>
          <w:rFonts w:hint="default" w:ascii="Times New Roman" w:hAnsi="Times New Roman" w:cs="Times New Roman"/>
          <w:sz w:val="28"/>
          <w:szCs w:val="28"/>
        </w:rPr>
        <w:t>、钢材、钢筋、部分装饰材料等，应延长其使用周期，进行重复使用，降低材料生产的资源、能源消耗和材料运输对环境造成的影响。</w:t>
      </w:r>
    </w:p>
    <w:p w14:paraId="6DE4A9B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⑨废弃物资源化技术</w:t>
      </w:r>
    </w:p>
    <w:p w14:paraId="202502E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资源化，是指将废物直接作为原料进行利用或者对废物进行再生利用。利用废弃物生产绿色建材在国内外建材行业已经成为研究和开发的</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热点</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。废弃物主要包括建筑废弃物、工业废弃物和生活垃圾，通过废弃物资源化利用，可作为再生资源用于生产</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绿色</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建材。</w:t>
      </w:r>
    </w:p>
    <w:p w14:paraId="6AE6DCE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建筑废弃物中的废混凝土、废砖瓦经处理后可制成再生骨料用于制作混凝土砌块、水泥制品和配制再生混凝土；建筑污泥可利用制造混凝土骨料；废木材可作为造纸原料，也可用来制造人造木材和保温材料。</w:t>
      </w:r>
    </w:p>
    <w:p w14:paraId="396AE3D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工业废弃物中的煤矸石、沸腾炉渣、粉煤灰、磷渣等可用来代替部分粘</w:t>
      </w:r>
      <w:r>
        <w:rPr>
          <w:rFonts w:hint="default" w:ascii="Times New Roman" w:hAnsi="Times New Roman" w:cs="Times New Roman"/>
          <w:sz w:val="28"/>
          <w:szCs w:val="28"/>
          <w:lang w:val="en-US" w:eastAsia="zh-CN"/>
        </w:rPr>
        <w:t>土</w:t>
      </w:r>
      <w:r>
        <w:rPr>
          <w:rFonts w:hint="default" w:ascii="Times New Roman" w:hAnsi="Times New Roman" w:cs="Times New Roman"/>
          <w:sz w:val="28"/>
          <w:szCs w:val="28"/>
        </w:rPr>
        <w:t>作为锻烧硅酸盐水泥熟料的原料，也可直接作为硅酸盐水泥的混合材；粉煤灰、矿渣经处理可作为活性掺合料用于配制高性能混凝土；一些工业废渣还可用来制砖和砌块，如石膏砌块、炉渣砖、灰砂砖、粉煤灰砖等，工业废渣砖和废渣砌块己是当今广泛应用的建筑材料；粉煤灰、煤矸石还可用来生产轻骨料和筑路材料。此外，国外还有利用废发泡聚苯乙烯做骨料生产轻型隔热材料；用造纸淤泥制造防火板材；用垃圾焚烧灰和下水道污泥生产特种水泥</w:t>
      </w:r>
      <w:r>
        <w:rPr>
          <w:rFonts w:hint="default" w:ascii="Times New Roman" w:hAnsi="Times New Roman" w:cs="Times New Roman"/>
          <w:sz w:val="28"/>
          <w:szCs w:val="28"/>
          <w:lang w:eastAsia="zh-CN"/>
        </w:rPr>
        <w:t>（</w:t>
      </w:r>
      <w:r>
        <w:rPr>
          <w:rFonts w:hint="default" w:ascii="Times New Roman" w:hAnsi="Times New Roman" w:cs="Times New Roman"/>
          <w:sz w:val="28"/>
          <w:szCs w:val="28"/>
        </w:rPr>
        <w:t>生态水泥</w:t>
      </w:r>
      <w:r>
        <w:rPr>
          <w:rFonts w:hint="default" w:ascii="Times New Roman" w:hAnsi="Times New Roman" w:cs="Times New Roman"/>
          <w:sz w:val="28"/>
          <w:szCs w:val="28"/>
          <w:lang w:eastAsia="zh-CN"/>
        </w:rPr>
        <w:t>）</w:t>
      </w:r>
      <w:r>
        <w:rPr>
          <w:rFonts w:hint="default" w:ascii="Times New Roman" w:hAnsi="Times New Roman" w:cs="Times New Roman"/>
          <w:sz w:val="28"/>
          <w:szCs w:val="28"/>
        </w:rPr>
        <w:t>；用废纸生产新型保温材料等方面的资源化利用。</w:t>
      </w:r>
    </w:p>
    <w:p w14:paraId="0376FA5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另外，据统计生活垃圾中 80%是潜在的资源，可以回收作为生产建筑材料的资源。废玻璃磨细后可直接作为再生骨料；废塑料纤维和其它废塑料经化学处理可制成聚合物粘结剂，用它拌制的聚合物混凝土具有高强度</w:t>
      </w:r>
      <w:r>
        <w:rPr>
          <w:rFonts w:hint="default" w:ascii="Times New Roman" w:hAnsi="Times New Roman" w:cs="Times New Roman"/>
          <w:sz w:val="28"/>
          <w:szCs w:val="28"/>
          <w:lang w:eastAsia="zh-CN"/>
        </w:rPr>
        <w:t>（</w:t>
      </w:r>
      <w:r>
        <w:rPr>
          <w:rFonts w:hint="default" w:ascii="Times New Roman" w:hAnsi="Times New Roman" w:cs="Times New Roman"/>
          <w:sz w:val="28"/>
          <w:szCs w:val="28"/>
        </w:rPr>
        <w:t>其抗压、抗拉强度为再生骨料混凝土的 3-6 倍</w:t>
      </w:r>
      <w:r>
        <w:rPr>
          <w:rFonts w:hint="default" w:ascii="Times New Roman" w:hAnsi="Times New Roman" w:cs="Times New Roman"/>
          <w:sz w:val="28"/>
          <w:szCs w:val="28"/>
          <w:lang w:eastAsia="zh-CN"/>
        </w:rPr>
        <w:t>）</w:t>
      </w:r>
      <w:r>
        <w:rPr>
          <w:rFonts w:hint="default" w:ascii="Times New Roman" w:hAnsi="Times New Roman" w:cs="Times New Roman"/>
          <w:sz w:val="28"/>
          <w:szCs w:val="28"/>
        </w:rPr>
        <w:t>、高硬度、耐久性好的特点，可用于生产预制构件、修补道路和桥梁；废塑料回收还可生产</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再生木材</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，其寿命在 50 年以上，可以取代经化学处理的木材，其不怕潮、耐腐蚀，特别适合在流水、潮湿和腐蚀性介质的地方代替木材制品。另外，如将新鲜垃圾分拣出金属材料再加入生物催化剂经杀菌、固化处理后可以制成一定强度、无毒害、较高密度的固体生活垃圾混凝土，可用于路基材料和空心砖。</w:t>
      </w:r>
    </w:p>
    <w:p w14:paraId="38AAFC7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（5）环境宜居类</w:t>
      </w:r>
    </w:p>
    <w:p w14:paraId="2084E1C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①场地景观优化设计技术</w:t>
      </w:r>
    </w:p>
    <w:p w14:paraId="5750C67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景观设计选择的重要原则是适宜性和安全性。易种植、易生长、易养护、安全的乡土植物是首选。合理进行植物配置，设置透水地面，优化水景设计，构建植物成荫景观。</w:t>
      </w:r>
    </w:p>
    <w:p w14:paraId="7E0F8D7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广泛采用立体绿化技术。这种有别于传统平面绿化以外的所有绿化，包括垂直绿化、屋顶绿化、树围绿化等。其中屋面绿化和垂直绿化对建筑而言更具有节能、生态和舒适性意义。屋顶绿化设计应满足建筑消防及安全要求，处理好建筑承载能力、防渗漏以及给排水等。栽植植物以草坪，地被植物和小灌木为主。耐旱根系稳定的佛甲草是不错的选择。垂直绿化的植物配置受墙面材料、朝向和墙面色彩等因素制约。其种植形式可以是地栽或种植槽或容器栽植。</w:t>
      </w:r>
    </w:p>
    <w:p w14:paraId="258DC311">
      <w:pPr>
        <w:pStyle w:val="34"/>
        <w:adjustRightInd w:val="0"/>
        <w:snapToGrid w:val="0"/>
        <w:spacing w:line="360" w:lineRule="auto"/>
        <w:ind w:left="0" w:leftChars="0" w:firstLine="0" w:firstLineChars="0"/>
        <w:jc w:val="both"/>
        <w:rPr>
          <w:rFonts w:hint="default" w:ascii="Times New Roman" w:hAnsi="Times New Roman" w:cs="Times New Roman"/>
        </w:rPr>
      </w:pPr>
      <w:r>
        <w:rPr>
          <w:rFonts w:hint="default" w:ascii="Times New Roman" w:hAnsi="Times New Roman" w:cs="Times New Roman"/>
        </w:rPr>
        <w:drawing>
          <wp:inline distT="0" distB="0" distL="114300" distR="114300">
            <wp:extent cx="5158740" cy="3450590"/>
            <wp:effectExtent l="0" t="0" r="3810" b="16510"/>
            <wp:docPr id="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pic:cNvPicPr>
                      <a:picLocks noChangeAspect="1"/>
                    </pic:cNvPicPr>
                  </pic:nvPicPr>
                  <pic:blipFill>
                    <a:blip r:embed="rId30"/>
                    <a:stretch>
                      <a:fillRect/>
                    </a:stretch>
                  </pic:blipFill>
                  <pic:spPr>
                    <a:xfrm>
                      <a:off x="0" y="0"/>
                      <a:ext cx="5158740" cy="3450590"/>
                    </a:xfrm>
                    <a:prstGeom prst="rect">
                      <a:avLst/>
                    </a:prstGeom>
                    <a:noFill/>
                    <a:ln>
                      <a:noFill/>
                    </a:ln>
                  </pic:spPr>
                </pic:pic>
              </a:graphicData>
            </a:graphic>
          </wp:inline>
        </w:drawing>
      </w:r>
    </w:p>
    <w:p w14:paraId="4115D42B">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图3-8 屋面绿化构造示意图</w:t>
      </w:r>
    </w:p>
    <w:p w14:paraId="596BB6FA">
      <w:pPr>
        <w:pStyle w:val="34"/>
        <w:adjustRightInd w:val="0"/>
        <w:snapToGrid w:val="0"/>
        <w:spacing w:line="360" w:lineRule="auto"/>
        <w:ind w:firstLine="560"/>
        <w:rPr>
          <w:rFonts w:hint="default" w:ascii="Times New Roman" w:hAnsi="Times New Roman" w:cs="Times New Roman"/>
          <w:sz w:val="28"/>
          <w:szCs w:val="28"/>
        </w:rPr>
      </w:pPr>
    </w:p>
    <w:p w14:paraId="2592B46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②场地声环境优化设计技术</w:t>
      </w:r>
    </w:p>
    <w:p w14:paraId="0AB86A0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场地声环境设计应符合现行国家标准《声环境质量标准》</w:t>
      </w:r>
      <w:r>
        <w:rPr>
          <w:rFonts w:hint="default" w:ascii="Times New Roman" w:hAnsi="Times New Roman" w:cs="Times New Roman"/>
          <w:sz w:val="28"/>
          <w:szCs w:val="28"/>
          <w:lang w:eastAsia="zh-CN"/>
        </w:rPr>
        <w:t>（</w:t>
      </w:r>
      <w:r>
        <w:rPr>
          <w:rFonts w:hint="default" w:ascii="Times New Roman" w:hAnsi="Times New Roman" w:cs="Times New Roman"/>
          <w:sz w:val="28"/>
          <w:szCs w:val="28"/>
        </w:rPr>
        <w:t xml:space="preserve">GB3096 </w:t>
      </w:r>
      <w:r>
        <w:rPr>
          <w:rFonts w:hint="default" w:ascii="Times New Roman" w:hAnsi="Times New Roman" w:cs="Times New Roman"/>
          <w:sz w:val="28"/>
          <w:szCs w:val="28"/>
          <w:lang w:eastAsia="zh-CN"/>
        </w:rPr>
        <w:t>）</w:t>
      </w:r>
      <w:r>
        <w:rPr>
          <w:rFonts w:hint="default" w:ascii="Times New Roman" w:hAnsi="Times New Roman" w:cs="Times New Roman"/>
          <w:sz w:val="28"/>
          <w:szCs w:val="28"/>
        </w:rPr>
        <w:t>的规定。应对场地噪声现状进行检测或者模拟分析，当存在超标的噪声源时，应采取相应措施，如采取适当的隔声和降噪措施，或设置声屏障或降噪路面等措施。</w:t>
      </w:r>
    </w:p>
    <w:p w14:paraId="719CCFC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③场地光环境优化设计技术</w:t>
      </w:r>
    </w:p>
    <w:p w14:paraId="0AAAF3B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采用日照模拟分析软件辅助计算，合理确定建筑朝向、间距及高度，减少建筑间遮挡，采用可见光透射比较大的玻璃、防眩光路灯、防眩光玻璃幕墙（反射比不大于 0.30）等，合理选择绿色照明技术。</w:t>
      </w:r>
    </w:p>
    <w:p w14:paraId="7DC5597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④场地热环境优化设计技术</w:t>
      </w:r>
    </w:p>
    <w:p w14:paraId="25C90F2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利用绿化的营造来改善建筑室外热环境，如：种植高大乔木为停车场、人行道和广场等遮荫，另外还可以通过改变建筑物表面颜色，地面材料的反射率宜为 0.3-0.5，屋面材料的反射率宜为 0.3-0.6。</w:t>
      </w:r>
    </w:p>
    <w:p w14:paraId="2BBB308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⑤场地风环境优化设计技术</w:t>
      </w:r>
    </w:p>
    <w:p w14:paraId="08BCC7F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空气流通可以改善建筑室外热环境，可以利用建筑的巧妙布局创造出一条</w:t>
      </w:r>
      <w:r>
        <w:rPr>
          <w:rFonts w:hint="eastAsia" w:ascii="Times New Roman" w:hAnsi="Times New Roman" w:cs="Times New Roman"/>
          <w:sz w:val="28"/>
          <w:szCs w:val="28"/>
          <w:lang w:eastAsia="zh-CN"/>
        </w:rPr>
        <w:t>“</w:t>
      </w:r>
      <w:r>
        <w:rPr>
          <w:rFonts w:hint="default" w:ascii="Times New Roman" w:hAnsi="Times New Roman" w:cs="Times New Roman"/>
          <w:sz w:val="28"/>
          <w:szCs w:val="28"/>
        </w:rPr>
        <w:t>风道</w:t>
      </w:r>
      <w:r>
        <w:rPr>
          <w:rFonts w:hint="eastAsia" w:ascii="Times New Roman" w:hAnsi="Times New Roman" w:cs="Times New Roman"/>
          <w:sz w:val="28"/>
          <w:szCs w:val="28"/>
          <w:lang w:eastAsia="zh-CN"/>
        </w:rPr>
        <w:t>”</w:t>
      </w:r>
      <w:r>
        <w:rPr>
          <w:rFonts w:hint="default" w:ascii="Times New Roman" w:hAnsi="Times New Roman" w:cs="Times New Roman"/>
          <w:sz w:val="28"/>
          <w:szCs w:val="28"/>
        </w:rPr>
        <w:t>，让室外的自然风向和风速的调节有目的性，使空气流通与建筑功能的要求相协调。</w:t>
      </w:r>
    </w:p>
    <w:p w14:paraId="26B4FAF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⑥废弃地污染治理和修复技术</w:t>
      </w:r>
    </w:p>
    <w:p w14:paraId="31A0302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土地面积相对不足的中山市，建筑用地可以考虑使用处理过的废弃场地。如解决砖厂、沙石场遗留下来的土壤资源已缺失，地基承载能力不足的场地。利用物理法、化学法、微生物修复法等科技手段将垃圾中对人体有害的物质清除，再利用回填土加桩基等方法提高地基承载能力，如果有害物质不易清除，也可采取换土的方法保证废弃地的利用。</w:t>
      </w:r>
    </w:p>
    <w:p w14:paraId="1335029A">
      <w:pPr>
        <w:pStyle w:val="6"/>
        <w:numPr>
          <w:ilvl w:val="255"/>
          <w:numId w:val="0"/>
        </w:numPr>
        <w:ind w:firstLine="561"/>
        <w:rPr>
          <w:rFonts w:hint="default" w:ascii="Times New Roman" w:hAnsi="Times New Roman" w:cs="Times New Roman"/>
        </w:rPr>
      </w:pPr>
      <w:bookmarkStart w:id="90" w:name="_Toc11255"/>
      <w:bookmarkStart w:id="91" w:name="_Toc16869"/>
      <w:bookmarkStart w:id="92" w:name="_Toc124352508"/>
      <w:r>
        <w:rPr>
          <w:rFonts w:hint="default" w:ascii="Times New Roman" w:hAnsi="Times New Roman" w:cs="Times New Roman"/>
        </w:rPr>
        <w:t>3.5.2可再生能源</w:t>
      </w:r>
      <w:bookmarkEnd w:id="90"/>
      <w:bookmarkEnd w:id="91"/>
      <w:bookmarkEnd w:id="92"/>
    </w:p>
    <w:p w14:paraId="2CF4BD8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中山市太阳能资源属于三类地区（中等区），太阳辐射资源较为丰富，全年约 300 天具有采用热能的条件。太阳能集热器、光伏板等还能与建筑遮阳结合到一起。中山市积极推进可再生能源在建筑中的模块化应用，目前重点发展的是太阳能技术的推广应用，包括太阳能热水系统和太阳能光伏发电系统，并建立了一系列示范性工程。</w:t>
      </w:r>
    </w:p>
    <w:p w14:paraId="3F5A7F9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主要技术措施：</w:t>
      </w:r>
    </w:p>
    <w:p w14:paraId="246C0C5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（1）太阳能光伏</w:t>
      </w:r>
    </w:p>
    <w:p w14:paraId="11B62E6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供电用能领域推广应用太阳能光伏技术，提高建筑用能设备效率，推动建设绿色电力供应系统。主要可以通过应用太阳能光伏一体化设计、施工、安装，鼓励政府投资公益性建筑优先应用太阳能光伏技术，充分利用屋顶闲置资源加装光伏系统，同时应保证其建筑或设施结构安全、防火安全、防风防雷安全等，积极探索BIPV屋顶、BIPV幕墙、BIPV遮阳等适用场景，实现可再生能源应用及节能高效融合效应。</w:t>
      </w:r>
    </w:p>
    <w:p w14:paraId="1675F7A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（2）太阳能光热</w:t>
      </w:r>
    </w:p>
    <w:p w14:paraId="20D9F3F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充分应用太阳能光热技术，有利于推动建设清洁环保供热系统。主要通过使用太阳能热水器等设备，在有稳定生活热水需求并满足安装条件的医院、学校、宾馆、酒店等公共建筑，全面推广应用太阳能热水，并实行与建筑主体同步规划设计、同步施工安装、同步验收交用。</w:t>
      </w:r>
    </w:p>
    <w:p w14:paraId="5A4569C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（3）空气源热泵</w:t>
      </w:r>
    </w:p>
    <w:p w14:paraId="5CE9B47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空气源热泵是一种利用高位能使热量从低位热源空气流向高位热源的节能装置，具有加热和冷却功能的双发电机组。在制冷方面，空气源热泵的制冷性能优于中央空调，鼓励新改建办公楼、酒店等大型建筑采用空气源热泵空调系统用作集中制冷设备。在供热方面，空气源热泵具备全年智能</w:t>
      </w:r>
      <w:r>
        <w:rPr>
          <w:rFonts w:hint="default" w:ascii="Times New Roman" w:hAnsi="Times New Roman" w:cs="Times New Roman"/>
          <w:sz w:val="28"/>
          <w:szCs w:val="28"/>
          <w:lang w:val="en-US" w:eastAsia="zh-CN"/>
        </w:rPr>
        <w:t>AMD</w:t>
      </w:r>
      <w:r>
        <w:rPr>
          <w:rFonts w:hint="default" w:ascii="Times New Roman" w:hAnsi="Times New Roman" w:cs="Times New Roman"/>
          <w:sz w:val="28"/>
          <w:szCs w:val="28"/>
        </w:rPr>
        <w:t>自动系统管理，且无压力容器等高风险设备，安全性能较高，鼓励医院、学校宿舍、工厂宿舍、酒店等具有热水集中使用需求的新改建建筑采用空气源热泵热水系统，有效降低能耗，提高使用和管理便利。</w:t>
      </w:r>
    </w:p>
    <w:p w14:paraId="35882267">
      <w:pPr>
        <w:pStyle w:val="6"/>
        <w:numPr>
          <w:ilvl w:val="255"/>
          <w:numId w:val="0"/>
        </w:numPr>
        <w:ind w:firstLine="561"/>
        <w:rPr>
          <w:rFonts w:hint="default" w:ascii="Times New Roman" w:hAnsi="Times New Roman" w:cs="Times New Roman"/>
        </w:rPr>
      </w:pPr>
      <w:bookmarkStart w:id="93" w:name="_Toc25406"/>
      <w:bookmarkStart w:id="94" w:name="_Toc124352509"/>
      <w:bookmarkStart w:id="95" w:name="_Toc7031"/>
      <w:r>
        <w:rPr>
          <w:rFonts w:hint="default" w:ascii="Times New Roman" w:hAnsi="Times New Roman" w:cs="Times New Roman"/>
        </w:rPr>
        <w:t>3.5.3节能与绿色化改造</w:t>
      </w:r>
      <w:bookmarkEnd w:id="93"/>
      <w:bookmarkEnd w:id="94"/>
      <w:bookmarkEnd w:id="95"/>
    </w:p>
    <w:p w14:paraId="0DC904D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持续推进建筑能耗监测、能源审计制度落实工作，积极申报公共建筑能效提升重点城市称号，根据国家、省相关标准及中山市实际情况制定更高要求的公共建筑能耗限额标准，联合发改部门，建立健全公共建筑能耗奖惩机制，逐步推行公共建筑超限额通报制度。对超过能耗限额的国家机关办公建筑、大型公共建筑和以政府投资为主的其他公共建筑纳入重点关注清单并考虑实施节能改造。</w:t>
      </w:r>
    </w:p>
    <w:p w14:paraId="7A7E48F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结合城镇老旧小区改造工作同步推进，形成既有建筑绿色化改造合力，积极开展老旧小区基础类改造与绿色化改造相结合的技术研究；同时结合海绵城市建设、城市更新、绿色社区创建等工作，全面推进既有建筑的升级改造。</w:t>
      </w:r>
    </w:p>
    <w:p w14:paraId="4F894AA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主要技术措施：</w:t>
      </w:r>
    </w:p>
    <w:p w14:paraId="7B367FC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（1）公共建筑节能与绿色化改造技术</w:t>
      </w:r>
    </w:p>
    <w:p w14:paraId="50B4A26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 xml:space="preserve">①围护结构节能改造：在节能改造中，外窗改造是实施难度较低、节能效果较好的改造方式，在中山市建筑节能改造中，应充分利用自然采光通风，建议采取外窗贴膜或涂透明隔热涂料的方式；建筑的围护结构中，外墙所占的比例最大，建筑能耗大部分来自外墙，在室内外温差的驱动下，得热量透过墙体源源不断进入室内，造成空调负荷升高，可利用外墙绿化技术减少围护结构的日射得热，改善建筑周边热湿环境。屋面节能改造技术主要通过加设隔热层、改造成多孔材料蓄水屋面、绿化屋顶等方式实现。 </w:t>
      </w:r>
    </w:p>
    <w:p w14:paraId="40BF5CB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建筑空间优化措施：当建筑空间布局不利于建筑节能时，可根据建筑使用情况对空间进行优化。使用中央空调的建筑可结合空调分区对室内空间进行合理布局，降低空调能耗；结合建筑空间布局设置采光通风中庭，或结合已有的中庭空间进行采光通风优化。室内功能空间改造方面适宜采用室内装饰装修与土建改造一体化设计，建筑装修宜选用工业化内装部品，房间隔断宜采用轻质、可拆卸或可循环利用的工业化预制和加工的隔断</w:t>
      </w:r>
      <w:r>
        <w:rPr>
          <w:rFonts w:hint="default" w:ascii="Times New Roman" w:hAnsi="Times New Roman" w:cs="Times New Roman"/>
          <w:sz w:val="28"/>
          <w:szCs w:val="28"/>
          <w:lang w:eastAsia="zh-CN"/>
        </w:rPr>
        <w:t>（</w:t>
      </w:r>
      <w:r>
        <w:rPr>
          <w:rFonts w:hint="default" w:ascii="Times New Roman" w:hAnsi="Times New Roman" w:cs="Times New Roman"/>
          <w:sz w:val="28"/>
          <w:szCs w:val="28"/>
        </w:rPr>
        <w:t>墙</w:t>
      </w:r>
      <w:r>
        <w:rPr>
          <w:rFonts w:hint="default" w:ascii="Times New Roman" w:hAnsi="Times New Roman" w:cs="Times New Roman"/>
          <w:sz w:val="28"/>
          <w:szCs w:val="28"/>
          <w:lang w:eastAsia="zh-CN"/>
        </w:rPr>
        <w:t>）</w:t>
      </w:r>
      <w:r>
        <w:rPr>
          <w:rFonts w:hint="default" w:ascii="Times New Roman" w:hAnsi="Times New Roman" w:cs="Times New Roman"/>
          <w:sz w:val="28"/>
          <w:szCs w:val="28"/>
        </w:rPr>
        <w:t>，实现建筑空间灵活分隔和转换。</w:t>
      </w:r>
    </w:p>
    <w:p w14:paraId="25AD2F8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场地绿化与景观改善措施：注重保护建筑周边生态环境，通过增加绿地面积、复层绿化、屋顶绿化等方式提高景观绿化率，同时降低热岛效应；进行绿色雨水基础设施改造，宜利用下凹式绿地、雨水花园、树池、雨水塘、景观水体调蓄雨水；因地制宜合理设置室外健身场地和空间、交流与活动场地。</w:t>
      </w:r>
    </w:p>
    <w:p w14:paraId="37018DB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④节能型冷热源机组、空调系统优化设计：冷、热源机组能效均优于现行国家标准《公共建筑节能设计标准》</w:t>
      </w:r>
      <w:r>
        <w:rPr>
          <w:rFonts w:hint="default" w:ascii="Times New Roman" w:hAnsi="Times New Roman" w:cs="Times New Roman"/>
          <w:sz w:val="28"/>
          <w:szCs w:val="28"/>
          <w:lang w:eastAsia="zh-CN"/>
        </w:rPr>
        <w:t>（</w:t>
      </w:r>
      <w:r>
        <w:rPr>
          <w:rFonts w:hint="default" w:ascii="Times New Roman" w:hAnsi="Times New Roman" w:cs="Times New Roman"/>
          <w:sz w:val="28"/>
          <w:szCs w:val="28"/>
        </w:rPr>
        <w:t>GB50189</w:t>
      </w:r>
      <w:r>
        <w:rPr>
          <w:rFonts w:hint="default" w:ascii="Times New Roman" w:hAnsi="Times New Roman" w:cs="Times New Roman"/>
          <w:sz w:val="28"/>
          <w:szCs w:val="28"/>
          <w:lang w:eastAsia="zh-CN"/>
        </w:rPr>
        <w:t>）</w:t>
      </w:r>
      <w:r>
        <w:rPr>
          <w:rFonts w:hint="default" w:ascii="Times New Roman" w:hAnsi="Times New Roman" w:cs="Times New Roman"/>
          <w:sz w:val="28"/>
          <w:szCs w:val="28"/>
        </w:rPr>
        <w:t>的规定以及现行有关国家标准能效限定值的要求。合理选择和优化通风与空调系统，鼓励采取新技术、新措施有效降低春秋过渡季节以及部分负荷、部分空间使用下的系统能耗。推广变频技术，加快智能化技术运用，不断提高控制精度；有稳定热水需求的建筑宜考虑空调冷凝热回收利用，宜采用空气源热泵热水供应系统。</w:t>
      </w:r>
    </w:p>
    <w:p w14:paraId="5E9F77D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⑤节能型电气设备及节能控制措施：进一步优化用电负荷计算，设置合理的供配电系统。公共空间照明系统应采取分区、定时、感应等节能控制措施，合理设置照明标准与照明方式，选用适宜的灯具采光，推广采用LED灯，同时鼓励综合利用自然光源，有效减少照明系统用电。合理选用节能型电气设备，选用技术先进、成熟可靠、绿色节能、经济合理、寿命长的产品，降低运行、维护费用。</w:t>
      </w:r>
    </w:p>
    <w:p w14:paraId="3ED243F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（2）居住建筑节能与绿色化改造技术</w:t>
      </w:r>
    </w:p>
    <w:p w14:paraId="62CEEBA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结合城镇老旧小区改造工作推进，探索既有老旧小区绿色化宜居节能改造措施，主要可以从既有建筑性能检测、外墙隔热改造、立体绿化、加装电梯、加装外遮阳、LED照明改造等方面技术入手，在有适宜条件的小区应用加装太阳能屋顶、建立立体停车库、海绵社区整体设计改造以及引进绿色物业管理等方面技术，按照群众需求迫切程度以及宜居节能技术可行性论证统筹改造内容，具体提出以下技术。</w:t>
      </w:r>
    </w:p>
    <w:p w14:paraId="2AECFBE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建筑性能检测和加固：现有二三十年以上的建筑大多因时代背景等原因存在建筑质量监控和产业化水平低的问题，造成了既有二三十年的居住建筑出现阳台塌落、墙体开裂剥落、配套设施落后或不全等状况。因此，对既有居住建筑进行性能检测，对建筑机构的可靠性进行鉴定，并对改造后的建筑结构安全性及后续使用安全性进行评定，根据检测及评定结果制定适宜的加固措施，充分保障人民群众的生命财产安全。</w:t>
      </w:r>
    </w:p>
    <w:p w14:paraId="20E04B4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围护结构节能改造：结合中山市夏热冬暖地区气候特征，全年室内外温差相对较小，极端天气一般也不超过15℃，可以采用简单、低成本的技术解决节能改造问题。主要可以采取外墙绿化、反射隔热涂料、浅色饰面、遮阳等隔热技术措施；结合现场条件维护和增设外窗遮阳措施，或采用窗扇进行外窗节能改造；采用平屋面更新、增设隔热系统，并与屋面防水、建筑防雷等进行一体化设计。</w:t>
      </w:r>
    </w:p>
    <w:p w14:paraId="7AE71C1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③节能型灯具照明改造：公共区域照明及建筑物夜景照明所用灯具更换为节能型灯具，光色宜选用暖色调。室内照明采用LED灯，室外照明可采用太阳能灯具，充分降低能耗。</w:t>
      </w:r>
    </w:p>
    <w:p w14:paraId="5064832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④可再生能源与建筑一体化：统一将热水器与太阳能光伏混合安装、整体设计，替代传统坡屋顶改造。这种整体设计可以考虑引入</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合同能源</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模式，减少初期投资，共享节能收益。</w:t>
      </w:r>
    </w:p>
    <w:p w14:paraId="0A2367D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⑤建筑雨水收集：中山建筑密度较高，在老旧小区改造中进行雨水收集改造可减少地表径流量。通过在建筑屋顶、地下停车场、地面安装雨水收集装置，用于日常绿化和消防用水，节约水资源。</w:t>
      </w:r>
    </w:p>
    <w:p w14:paraId="2AAC709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⑥海绵社区整体设计改造：有条件的小区宜因地制宜进行海绵社区整体设计改造，并参考有关指引、标准的相关规定实行。如：结合实际情况实施雨污分流改造，在雨水立管接小区雨水系统时将雨水立管断接接至高位花坛、植草沟、线型排水沟等设施；采取屋顶绿化加太阳能装置，在小区道路改造中优先采用透水铺装，对原有绿地通过不移栽树木的情况改造成下凹式渗水绿地等，加强地下水与地表水沟通连接，起到节约用水、美化环境等作用。</w:t>
      </w:r>
    </w:p>
    <w:p w14:paraId="27942BE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⑦基于节能减排的绿色物业管理和智慧社区：推广用水、用电、用气远程抄表系统或预付费系统，实施节水节能可视化和奖励机制，设置用水远传计量系统和水质在线监测系统；通过物联网、智能化设施设备加强养老服务；具有接入智慧城市（城区、社区）的功能等。通过一系列手段和措施达到节能减排、便利人民生活的双赢效果。</w:t>
      </w:r>
    </w:p>
    <w:p w14:paraId="6DC38C9B">
      <w:pPr>
        <w:pStyle w:val="6"/>
        <w:numPr>
          <w:ilvl w:val="255"/>
          <w:numId w:val="0"/>
        </w:numPr>
        <w:adjustRightInd w:val="0"/>
        <w:snapToGrid w:val="0"/>
        <w:ind w:firstLine="561"/>
        <w:rPr>
          <w:rFonts w:hint="default" w:ascii="Times New Roman" w:hAnsi="Times New Roman" w:cs="Times New Roman"/>
        </w:rPr>
      </w:pPr>
      <w:bookmarkStart w:id="96" w:name="_Toc124352510"/>
      <w:r>
        <w:rPr>
          <w:rFonts w:hint="default" w:ascii="Times New Roman" w:hAnsi="Times New Roman" w:cs="Times New Roman"/>
        </w:rPr>
        <w:t>3.5.4 改善城市人居环境</w:t>
      </w:r>
      <w:bookmarkEnd w:id="96"/>
    </w:p>
    <w:p w14:paraId="7E68661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w:t>
      </w:r>
      <w:r>
        <w:rPr>
          <w:rFonts w:hint="eastAsia" w:ascii="Times New Roman" w:hAnsi="Times New Roman" w:cs="Times New Roman"/>
          <w:sz w:val="28"/>
          <w:szCs w:val="28"/>
          <w:lang w:val="en-US" w:eastAsia="zh-CN"/>
        </w:rPr>
        <w:t>打造</w:t>
      </w:r>
      <w:r>
        <w:rPr>
          <w:rFonts w:hint="default" w:ascii="Times New Roman" w:hAnsi="Times New Roman" w:cs="Times New Roman"/>
          <w:sz w:val="28"/>
          <w:szCs w:val="28"/>
        </w:rPr>
        <w:t>城市通风廊道</w:t>
      </w:r>
    </w:p>
    <w:p w14:paraId="7E9BF78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1）背景</w:t>
      </w:r>
    </w:p>
    <w:p w14:paraId="3F4E205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随着中山快速城镇化建设的进行，城市气候环境变化已成为中山发展必须面对的问题和挑战，空气质量优良的中山市也出现了城市热岛效应，且大气污染防治工作也引起了越来越高的关注。由于城市高层建筑不断增多，城内空气流程十分困难，加强对城市通风廊道规划具有重要意义。进行城市廊道规划，不仅可以有效改善城市空气环境，降低城市的热岛效应，营造良好的室外热环境，同时对于城市传染病的传播也具有明显的阻碍作用，提高城市居民的生活质量。</w:t>
      </w:r>
    </w:p>
    <w:p w14:paraId="16A20A7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2）策略</w:t>
      </w:r>
    </w:p>
    <w:p w14:paraId="62E07A4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根据空气流动原理，可将城市的不同结构进行通风系统划分，城市通风系统大致由三部分，即作用空间、补偿空间和空气引导通道（即</w:t>
      </w:r>
      <w:r>
        <w:rPr>
          <w:rFonts w:hint="eastAsia" w:ascii="Times New Roman" w:hAnsi="Times New Roman" w:cs="Times New Roman"/>
          <w:sz w:val="28"/>
          <w:szCs w:val="28"/>
          <w:lang w:eastAsia="zh-CN"/>
        </w:rPr>
        <w:t>“</w:t>
      </w:r>
      <w:r>
        <w:rPr>
          <w:rFonts w:hint="default" w:ascii="Times New Roman" w:hAnsi="Times New Roman" w:cs="Times New Roman"/>
          <w:sz w:val="28"/>
          <w:szCs w:val="28"/>
        </w:rPr>
        <w:t>通风廊道</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组成。作用空间是以城市中心为主，逐渐向其四周扩展的区域，该区域由于建筑物密集，各种社会活动较多，加之空气难以实现流通，因此空气环境污染较为严重，需及时提高该区域空气接纳能力，缓解城市自身的热压差和风压差等，提高空气流通；补偿空间。顾名思义，补偿空间主要对城市空气加以补偿，该系统与作用空间直接毗邻，为作用空间提供较为新鲜的空气；空气引导通道。由于该系统结构比较开阔，对空气流通产生的阻力较小，特别是针对静风天气而言，其不会对气流产生阻碍作用，能引导补偿气团在作用空间与补偿空间之间进行交换。</w:t>
      </w:r>
    </w:p>
    <w:p w14:paraId="799A9B8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在中山市风道系统总体布局规划时，应主要从以下三个方面开展工作：</w:t>
      </w:r>
    </w:p>
    <w:p w14:paraId="57CE274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①保护冷空气生成区域。明确划定通风系统中的补偿空间，确定气候防护保护区与优先区域，保护与发展具备适宜性气候功能的空间与功能，严禁再开发，并通过规划法律进行保障。</w:t>
      </w:r>
    </w:p>
    <w:p w14:paraId="06D828C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②降低高密度区热岛效应。明确规定通风系统中的作用空间，严格控制开发强度，促进高密度地区的空气流通，缓解热岛效应并控制其蔓延。</w:t>
      </w:r>
    </w:p>
    <w:p w14:paraId="19C57AD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③保护或构建空气引导通道。明确划定通风系统中的通风廊道，严格控制空气引导通道宽度及下垫面粗糙度，降低对空气流通的阻碍作用，提高补偿气团效率。</w:t>
      </w:r>
    </w:p>
    <w:p w14:paraId="1732883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3）中山城市通风系统规划控制指引</w:t>
      </w:r>
    </w:p>
    <w:p w14:paraId="6B48C74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结合中山城市规划管控要素，提炼出重点地区控制指标主要分为建筑密度、建筑高度、建筑布局形式、建筑形态、植物种植、道路宽度、道路贴线率、建筑退让、场地间口率十大指标。</w:t>
      </w:r>
    </w:p>
    <w:p w14:paraId="782DEDE0">
      <w:pPr>
        <w:pStyle w:val="34"/>
        <w:adjustRightInd w:val="0"/>
        <w:snapToGrid w:val="0"/>
        <w:spacing w:line="360" w:lineRule="auto"/>
        <w:ind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052570" cy="4336415"/>
            <wp:effectExtent l="0" t="0" r="5080" b="6985"/>
            <wp:docPr id="8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0"/>
                    <pic:cNvPicPr>
                      <a:picLocks noChangeAspect="1"/>
                    </pic:cNvPicPr>
                  </pic:nvPicPr>
                  <pic:blipFill>
                    <a:blip r:embed="rId31"/>
                    <a:stretch>
                      <a:fillRect/>
                    </a:stretch>
                  </pic:blipFill>
                  <pic:spPr>
                    <a:xfrm>
                      <a:off x="0" y="0"/>
                      <a:ext cx="4052570" cy="4336415"/>
                    </a:xfrm>
                    <a:prstGeom prst="rect">
                      <a:avLst/>
                    </a:prstGeom>
                    <a:noFill/>
                    <a:ln>
                      <a:noFill/>
                    </a:ln>
                  </pic:spPr>
                </pic:pic>
              </a:graphicData>
            </a:graphic>
          </wp:inline>
        </w:drawing>
      </w:r>
    </w:p>
    <w:p w14:paraId="058908F2">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图3-9 市域通风廊道规划图</w:t>
      </w:r>
    </w:p>
    <w:p w14:paraId="570CFA0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①补偿地区规划控制指引</w:t>
      </w:r>
    </w:p>
    <w:p w14:paraId="27BB026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补偿地区以生态保育和生态修复为主，不宜进行开发建设；重点在于控制区域内的开发项目，尽量保持原生态的环境。控制指标主要是用地类型、植被种植等。</w:t>
      </w:r>
    </w:p>
    <w:p w14:paraId="07B95A5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根据中山地区实际情况，整个地区的补偿地区主要对应中山市的基本生态控制线，其管控要求与现行的基本生态控制管控体系相对接。在该补偿地区内除准入项目外，不宜进行其他开发。其风道规划控制要求如下：</w:t>
      </w:r>
    </w:p>
    <w:p w14:paraId="5C7E6694">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保留并扩展水体、滩涂湿地，以及耕地、园地、山坡上的林地。避免改变上述用地的用地类型，如造林或建设城区，且避免上述用地面积缩小幅度超过 5%。</w:t>
      </w:r>
    </w:p>
    <w:p w14:paraId="3539A5BA">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在植物配置方面，乔灌草种植比例宜为 3：3：4。</w:t>
      </w:r>
    </w:p>
    <w:p w14:paraId="5539C6A7">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在夏季主导风向上，布局力求开敞、通透。减少高大乔木以及乔木树冠密度，乔木下部应适当通风，降低林间地表粗糙度，形成平行于风向或与风向大约成 45°倾斜角的乔木带。同时提倡混合种植阔叶树与针叶树，以保证各季节林地的空气卫生调节功能。</w:t>
      </w:r>
    </w:p>
    <w:p w14:paraId="74FC504C">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基本生态控制线内准入的项目，须遵循以下建议：必须审慎地处理城市规划和建筑设计，道路和建筑排列应顺应盛行风的风向，建筑采取开放式的布局方式，避免在山坡建设平行等高线的条形建筑群或在城郊建设垂直于气流方向的带型建筑群，同时应避免过大的建筑体积。</w:t>
      </w:r>
    </w:p>
    <w:p w14:paraId="13464789">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②作用地区控制指引</w:t>
      </w:r>
    </w:p>
    <w:p w14:paraId="38243117">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作用地区重点应严格控制地块开发强度，引导形成错列式建筑布局形态，优化街道走向，促进高密度地区的空气流通，缓解热岛效应并抑制其蔓延。控制指标主要包括地块布局、建筑布局、建筑高度、建筑密度、街道走向等。</w:t>
      </w:r>
    </w:p>
    <w:p w14:paraId="2DB48DFF">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作用地区总体控制指引如下：</w:t>
      </w:r>
    </w:p>
    <w:p w14:paraId="7121229B">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地块布局。地块的划分应避免既长且直的形状，且应让地块较长的一面与风向平行，并适当地预留非建筑用地及建筑线后移地带，促进空气流通。</w:t>
      </w:r>
    </w:p>
    <w:p w14:paraId="5B63D857">
      <w:pPr>
        <w:pStyle w:val="34"/>
        <w:numPr>
          <w:ilvl w:val="255"/>
          <w:numId w:val="0"/>
        </w:numPr>
        <w:adjustRightInd w:val="0"/>
        <w:snapToGrid w:val="0"/>
        <w:spacing w:line="360" w:lineRule="auto"/>
        <w:rPr>
          <w:rFonts w:hint="default" w:ascii="Times New Roman" w:hAnsi="Times New Roman" w:cs="Times New Roman"/>
        </w:rPr>
      </w:pPr>
      <w:r>
        <w:rPr>
          <w:rFonts w:hint="default" w:ascii="Times New Roman" w:hAnsi="Times New Roman" w:cs="Times New Roman"/>
        </w:rPr>
        <w:drawing>
          <wp:inline distT="0" distB="0" distL="114300" distR="114300">
            <wp:extent cx="5274945" cy="2837180"/>
            <wp:effectExtent l="0" t="0" r="1905" b="1270"/>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pic:cNvPicPr>
                      <a:picLocks noChangeAspect="1"/>
                    </pic:cNvPicPr>
                  </pic:nvPicPr>
                  <pic:blipFill>
                    <a:blip r:embed="rId32"/>
                    <a:stretch>
                      <a:fillRect/>
                    </a:stretch>
                  </pic:blipFill>
                  <pic:spPr>
                    <a:xfrm>
                      <a:off x="0" y="0"/>
                      <a:ext cx="5274945" cy="2837180"/>
                    </a:xfrm>
                    <a:prstGeom prst="rect">
                      <a:avLst/>
                    </a:prstGeom>
                    <a:noFill/>
                    <a:ln>
                      <a:noFill/>
                    </a:ln>
                  </pic:spPr>
                </pic:pic>
              </a:graphicData>
            </a:graphic>
          </wp:inline>
        </w:drawing>
      </w: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340"/>
      </w:tblGrid>
      <w:tr w14:paraId="6B5983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8340" w:type="dxa"/>
          </w:tcPr>
          <w:p w14:paraId="1A6797CA">
            <w:pPr>
              <w:pStyle w:val="34"/>
              <w:adjustRightInd w:val="0"/>
              <w:snapToGrid w:val="0"/>
              <w:spacing w:line="360" w:lineRule="auto"/>
              <w:ind w:firstLine="0" w:firstLineChars="0"/>
              <w:jc w:val="center"/>
              <w:rPr>
                <w:rFonts w:hint="default" w:ascii="Times New Roman" w:hAnsi="Times New Roman" w:cs="Times New Roman"/>
                <w:sz w:val="28"/>
                <w:szCs w:val="28"/>
              </w:rPr>
            </w:pPr>
            <w:r>
              <w:rPr>
                <w:rFonts w:hint="default" w:ascii="Times New Roman" w:hAnsi="Times New Roman" w:eastAsia="宋体" w:cs="Times New Roman"/>
                <w:b w:val="0"/>
                <w:bCs w:val="0"/>
                <w:kern w:val="2"/>
                <w:sz w:val="21"/>
                <w:szCs w:val="21"/>
                <w:lang w:val="en-US" w:eastAsia="zh-CN" w:bidi="ar-SA"/>
              </w:rPr>
              <w:t>图3-10 地块布局示意图</w:t>
            </w:r>
          </w:p>
        </w:tc>
      </w:tr>
    </w:tbl>
    <w:p w14:paraId="37C7A7C1">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建筑布局。风道两侧建筑宜采取斜列式、错列式和并列式相结合建筑布局； 相同建筑密度和容积率条件下，采取错列式布局有利于自然通风。当塔楼底层裙房长度超过 100 米时，宜通过架空或设置通廊等方式形成地块内的贯通风道。</w:t>
      </w:r>
    </w:p>
    <w:p w14:paraId="6A31FB71">
      <w:pPr>
        <w:pStyle w:val="34"/>
        <w:numPr>
          <w:ilvl w:val="255"/>
          <w:numId w:val="0"/>
        </w:numPr>
        <w:adjustRightInd w:val="0"/>
        <w:snapToGrid w:val="0"/>
        <w:spacing w:line="360" w:lineRule="auto"/>
        <w:rPr>
          <w:rFonts w:hint="default" w:ascii="Times New Roman" w:hAnsi="Times New Roman" w:cs="Times New Roman"/>
        </w:rPr>
      </w:pPr>
      <w:r>
        <w:rPr>
          <w:rFonts w:hint="default" w:ascii="Times New Roman" w:hAnsi="Times New Roman" w:cs="Times New Roman"/>
        </w:rPr>
        <w:drawing>
          <wp:inline distT="0" distB="0" distL="114300" distR="114300">
            <wp:extent cx="5307330" cy="1470660"/>
            <wp:effectExtent l="0" t="0" r="7620" b="15240"/>
            <wp:docPr id="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
                    <pic:cNvPicPr>
                      <a:picLocks noChangeAspect="1"/>
                    </pic:cNvPicPr>
                  </pic:nvPicPr>
                  <pic:blipFill>
                    <a:blip r:embed="rId33"/>
                    <a:stretch>
                      <a:fillRect/>
                    </a:stretch>
                  </pic:blipFill>
                  <pic:spPr>
                    <a:xfrm>
                      <a:off x="0" y="0"/>
                      <a:ext cx="5307330" cy="1470660"/>
                    </a:xfrm>
                    <a:prstGeom prst="rect">
                      <a:avLst/>
                    </a:prstGeom>
                    <a:noFill/>
                    <a:ln>
                      <a:noFill/>
                    </a:ln>
                  </pic:spPr>
                </pic:pic>
              </a:graphicData>
            </a:graphic>
          </wp:inline>
        </w:drawing>
      </w: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400"/>
      </w:tblGrid>
      <w:tr w14:paraId="23F7EB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1" w:hRule="atLeast"/>
        </w:trPr>
        <w:tc>
          <w:tcPr>
            <w:tcW w:w="8400" w:type="dxa"/>
          </w:tcPr>
          <w:p w14:paraId="1253A891">
            <w:pPr>
              <w:pStyle w:val="34"/>
              <w:adjustRightInd w:val="0"/>
              <w:snapToGrid w:val="0"/>
              <w:spacing w:line="360" w:lineRule="auto"/>
              <w:ind w:firstLine="0" w:firstLineChars="0"/>
              <w:jc w:val="center"/>
              <w:rPr>
                <w:rFonts w:hint="default" w:ascii="Times New Roman" w:hAnsi="Times New Roman" w:cs="Times New Roman"/>
                <w:sz w:val="28"/>
                <w:szCs w:val="28"/>
              </w:rPr>
            </w:pPr>
            <w:r>
              <w:rPr>
                <w:rFonts w:hint="default" w:ascii="Times New Roman" w:hAnsi="Times New Roman" w:eastAsia="宋体" w:cs="Times New Roman"/>
                <w:b w:val="0"/>
                <w:bCs w:val="0"/>
                <w:kern w:val="2"/>
                <w:sz w:val="21"/>
                <w:szCs w:val="21"/>
                <w:lang w:val="en-US" w:eastAsia="zh-CN" w:bidi="ar-SA"/>
              </w:rPr>
              <w:t>图3-11 建筑布局示意图</w:t>
            </w:r>
          </w:p>
        </w:tc>
      </w:tr>
    </w:tbl>
    <w:p w14:paraId="3A967922">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建筑高度。宜采取阶梯状的高度错落建筑布局形态，越接近主导来风方向的建筑物高度应越低。如基地内常年无明确主导风，宜采取外低内高的空间布局。</w:t>
      </w:r>
    </w:p>
    <w:p w14:paraId="14F42752">
      <w:pPr>
        <w:pStyle w:val="34"/>
        <w:numPr>
          <w:ilvl w:val="255"/>
          <w:numId w:val="0"/>
        </w:numPr>
        <w:adjustRightInd w:val="0"/>
        <w:snapToGrid w:val="0"/>
        <w:spacing w:line="360" w:lineRule="auto"/>
        <w:rPr>
          <w:rFonts w:hint="default" w:ascii="Times New Roman" w:hAnsi="Times New Roman" w:cs="Times New Roman"/>
          <w:sz w:val="28"/>
          <w:szCs w:val="28"/>
        </w:rPr>
      </w:pPr>
      <w:r>
        <w:rPr>
          <w:rFonts w:hint="default" w:ascii="Times New Roman" w:hAnsi="Times New Roman" w:cs="Times New Roman"/>
        </w:rPr>
        <w:drawing>
          <wp:inline distT="0" distB="0" distL="114300" distR="114300">
            <wp:extent cx="5305425" cy="1583055"/>
            <wp:effectExtent l="0" t="0" r="9525" b="17145"/>
            <wp:docPr id="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
                    <pic:cNvPicPr>
                      <a:picLocks noChangeAspect="1"/>
                    </pic:cNvPicPr>
                  </pic:nvPicPr>
                  <pic:blipFill>
                    <a:blip r:embed="rId34"/>
                    <a:stretch>
                      <a:fillRect/>
                    </a:stretch>
                  </pic:blipFill>
                  <pic:spPr>
                    <a:xfrm>
                      <a:off x="0" y="0"/>
                      <a:ext cx="5305425" cy="1583055"/>
                    </a:xfrm>
                    <a:prstGeom prst="rect">
                      <a:avLst/>
                    </a:prstGeom>
                    <a:noFill/>
                    <a:ln>
                      <a:noFill/>
                    </a:ln>
                  </pic:spPr>
                </pic:pic>
              </a:graphicData>
            </a:graphic>
          </wp:inline>
        </w:drawing>
      </w: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500"/>
      </w:tblGrid>
      <w:tr w14:paraId="07175B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00" w:type="dxa"/>
          </w:tcPr>
          <w:p w14:paraId="51A5B370">
            <w:pPr>
              <w:pStyle w:val="34"/>
              <w:adjustRightInd w:val="0"/>
              <w:snapToGrid w:val="0"/>
              <w:spacing w:line="360" w:lineRule="auto"/>
              <w:ind w:firstLine="0" w:firstLineChars="0"/>
              <w:jc w:val="center"/>
              <w:rPr>
                <w:rFonts w:hint="default" w:ascii="Times New Roman" w:hAnsi="Times New Roman" w:cs="Times New Roman"/>
                <w:sz w:val="28"/>
                <w:szCs w:val="28"/>
              </w:rPr>
            </w:pPr>
            <w:r>
              <w:rPr>
                <w:rFonts w:hint="default" w:ascii="Times New Roman" w:hAnsi="Times New Roman" w:eastAsia="宋体" w:cs="Times New Roman"/>
                <w:b w:val="0"/>
                <w:bCs w:val="0"/>
                <w:kern w:val="2"/>
                <w:sz w:val="21"/>
                <w:szCs w:val="21"/>
                <w:lang w:val="en-US" w:eastAsia="zh-CN" w:bidi="ar-SA"/>
              </w:rPr>
              <w:t>图3-12 建筑布局示意图</w:t>
            </w:r>
          </w:p>
        </w:tc>
      </w:tr>
    </w:tbl>
    <w:p w14:paraId="172EB19F">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建筑密度。城市空间中的通风环境敏感区域，建筑密度宜保持在 30%左右。当必须采用较高密度的建筑布局时，应平行于主导风向增加风道，弥补密度过高的不利影响。</w:t>
      </w:r>
    </w:p>
    <w:p w14:paraId="0EC9E7ED">
      <w:pPr>
        <w:pStyle w:val="34"/>
        <w:numPr>
          <w:ilvl w:val="255"/>
          <w:numId w:val="0"/>
        </w:numPr>
        <w:adjustRightInd w:val="0"/>
        <w:snapToGrid w:val="0"/>
        <w:spacing w:line="360" w:lineRule="auto"/>
        <w:rPr>
          <w:rFonts w:hint="default" w:ascii="Times New Roman" w:hAnsi="Times New Roman" w:cs="Times New Roman"/>
          <w:sz w:val="28"/>
          <w:szCs w:val="28"/>
        </w:rPr>
      </w:pPr>
      <w:r>
        <w:rPr>
          <w:rFonts w:hint="default" w:ascii="Times New Roman" w:hAnsi="Times New Roman" w:cs="Times New Roman"/>
        </w:rPr>
        <w:drawing>
          <wp:inline distT="0" distB="0" distL="114300" distR="114300">
            <wp:extent cx="5272405" cy="1983740"/>
            <wp:effectExtent l="0" t="0" r="4445" b="16510"/>
            <wp:docPr id="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
                    <pic:cNvPicPr>
                      <a:picLocks noChangeAspect="1"/>
                    </pic:cNvPicPr>
                  </pic:nvPicPr>
                  <pic:blipFill>
                    <a:blip r:embed="rId35"/>
                    <a:stretch>
                      <a:fillRect/>
                    </a:stretch>
                  </pic:blipFill>
                  <pic:spPr>
                    <a:xfrm>
                      <a:off x="0" y="0"/>
                      <a:ext cx="5272405" cy="1983740"/>
                    </a:xfrm>
                    <a:prstGeom prst="rect">
                      <a:avLst/>
                    </a:prstGeom>
                    <a:noFill/>
                    <a:ln>
                      <a:noFill/>
                    </a:ln>
                  </pic:spPr>
                </pic:pic>
              </a:graphicData>
            </a:graphic>
          </wp:inline>
        </w:drawing>
      </w:r>
    </w:p>
    <w:tbl>
      <w:tblPr>
        <w:tblStyle w:val="26"/>
        <w:tblW w:w="860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600"/>
      </w:tblGrid>
      <w:tr w14:paraId="20B408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 w:hRule="atLeast"/>
        </w:trPr>
        <w:tc>
          <w:tcPr>
            <w:tcW w:w="8600" w:type="dxa"/>
          </w:tcPr>
          <w:p w14:paraId="7DA778AE">
            <w:pPr>
              <w:pStyle w:val="34"/>
              <w:adjustRightInd w:val="0"/>
              <w:snapToGrid w:val="0"/>
              <w:spacing w:line="360" w:lineRule="auto"/>
              <w:ind w:firstLine="0" w:firstLineChars="0"/>
              <w:jc w:val="center"/>
              <w:rPr>
                <w:rFonts w:hint="default" w:ascii="Times New Roman" w:hAnsi="Times New Roman" w:cs="Times New Roman"/>
                <w:sz w:val="28"/>
                <w:szCs w:val="28"/>
              </w:rPr>
            </w:pPr>
            <w:r>
              <w:rPr>
                <w:rFonts w:hint="default" w:ascii="Times New Roman" w:hAnsi="Times New Roman" w:eastAsia="宋体" w:cs="Times New Roman"/>
                <w:b w:val="0"/>
                <w:bCs w:val="0"/>
                <w:kern w:val="2"/>
                <w:sz w:val="21"/>
                <w:szCs w:val="21"/>
                <w:lang w:val="en-US" w:eastAsia="zh-CN" w:bidi="ar-SA"/>
              </w:rPr>
              <w:t>图3-13 建筑密度示意图</w:t>
            </w:r>
          </w:p>
        </w:tc>
      </w:tr>
    </w:tbl>
    <w:p w14:paraId="0EFA3B95">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街道走向。城市高密度发展区域或地块尺度超过 100 米的区域，宜使主要道路方向与夏季主导风向成约 30°~60°的夹角。</w:t>
      </w:r>
    </w:p>
    <w:p w14:paraId="344BCAF2">
      <w:pPr>
        <w:pStyle w:val="34"/>
        <w:numPr>
          <w:ilvl w:val="255"/>
          <w:numId w:val="0"/>
        </w:numPr>
        <w:adjustRightInd w:val="0"/>
        <w:snapToGrid w:val="0"/>
        <w:spacing w:line="360" w:lineRule="auto"/>
        <w:jc w:val="center"/>
        <w:rPr>
          <w:rFonts w:hint="default" w:ascii="Times New Roman" w:hAnsi="Times New Roman" w:cs="Times New Roman"/>
          <w:sz w:val="28"/>
          <w:szCs w:val="28"/>
        </w:rPr>
      </w:pPr>
      <w:r>
        <w:rPr>
          <w:rFonts w:hint="default" w:ascii="Times New Roman" w:hAnsi="Times New Roman" w:cs="Times New Roman"/>
        </w:rPr>
        <w:drawing>
          <wp:inline distT="0" distB="0" distL="114300" distR="114300">
            <wp:extent cx="5369560" cy="3531235"/>
            <wp:effectExtent l="0" t="0" r="2540" b="12065"/>
            <wp:docPr id="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
                    <pic:cNvPicPr>
                      <a:picLocks noChangeAspect="1"/>
                    </pic:cNvPicPr>
                  </pic:nvPicPr>
                  <pic:blipFill>
                    <a:blip r:embed="rId36"/>
                    <a:stretch>
                      <a:fillRect/>
                    </a:stretch>
                  </pic:blipFill>
                  <pic:spPr>
                    <a:xfrm>
                      <a:off x="0" y="0"/>
                      <a:ext cx="5369560" cy="3531235"/>
                    </a:xfrm>
                    <a:prstGeom prst="rect">
                      <a:avLst/>
                    </a:prstGeom>
                    <a:noFill/>
                    <a:ln>
                      <a:noFill/>
                    </a:ln>
                  </pic:spPr>
                </pic:pic>
              </a:graphicData>
            </a:graphic>
          </wp:inline>
        </w:drawing>
      </w: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420"/>
      </w:tblGrid>
      <w:tr w14:paraId="17482C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392" w:hRule="atLeast"/>
        </w:trPr>
        <w:tc>
          <w:tcPr>
            <w:tcW w:w="8420" w:type="dxa"/>
          </w:tcPr>
          <w:p w14:paraId="351EF6F4">
            <w:pPr>
              <w:pStyle w:val="34"/>
              <w:adjustRightInd w:val="0"/>
              <w:snapToGrid w:val="0"/>
              <w:spacing w:line="360" w:lineRule="auto"/>
              <w:ind w:firstLine="0" w:firstLineChars="0"/>
              <w:jc w:val="center"/>
              <w:rPr>
                <w:rFonts w:hint="default" w:ascii="Times New Roman" w:hAnsi="Times New Roman" w:cs="Times New Roman"/>
                <w:sz w:val="28"/>
                <w:szCs w:val="28"/>
              </w:rPr>
            </w:pPr>
            <w:r>
              <w:rPr>
                <w:rFonts w:hint="default" w:ascii="Times New Roman" w:hAnsi="Times New Roman" w:eastAsia="宋体" w:cs="Times New Roman"/>
                <w:b w:val="0"/>
                <w:bCs w:val="0"/>
                <w:kern w:val="2"/>
                <w:sz w:val="21"/>
                <w:szCs w:val="21"/>
                <w:lang w:val="en-US" w:eastAsia="zh-CN" w:bidi="ar-SA"/>
              </w:rPr>
              <w:t>图3-14 街道走向示意图</w:t>
            </w:r>
          </w:p>
        </w:tc>
      </w:tr>
    </w:tbl>
    <w:p w14:paraId="58B84414">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场地内间口率。应限制场地内建筑面宽和间距， 减小对风的遮蔽，尤其是沿江、沿河等地区，场地间口率应控制在 60%~70%。间口率=建筑面宽/基地面宽。</w:t>
      </w:r>
    </w:p>
    <w:p w14:paraId="01A3B438">
      <w:pPr>
        <w:pStyle w:val="34"/>
        <w:numPr>
          <w:ilvl w:val="255"/>
          <w:numId w:val="0"/>
        </w:numPr>
        <w:adjustRightInd w:val="0"/>
        <w:snapToGrid w:val="0"/>
        <w:spacing w:line="360" w:lineRule="auto"/>
        <w:rPr>
          <w:rFonts w:hint="default" w:ascii="Times New Roman" w:hAnsi="Times New Roman" w:cs="Times New Roman"/>
          <w:sz w:val="28"/>
          <w:szCs w:val="28"/>
        </w:rPr>
      </w:pPr>
      <w:r>
        <w:rPr>
          <w:rFonts w:hint="default" w:ascii="Times New Roman" w:hAnsi="Times New Roman" w:cs="Times New Roman"/>
        </w:rPr>
        <w:drawing>
          <wp:inline distT="0" distB="0" distL="114300" distR="114300">
            <wp:extent cx="5351145" cy="1782445"/>
            <wp:effectExtent l="0" t="0" r="1905" b="8255"/>
            <wp:docPr id="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
                    <pic:cNvPicPr>
                      <a:picLocks noChangeAspect="1"/>
                    </pic:cNvPicPr>
                  </pic:nvPicPr>
                  <pic:blipFill>
                    <a:blip r:embed="rId37"/>
                    <a:stretch>
                      <a:fillRect/>
                    </a:stretch>
                  </pic:blipFill>
                  <pic:spPr>
                    <a:xfrm>
                      <a:off x="0" y="0"/>
                      <a:ext cx="5351145" cy="1782445"/>
                    </a:xfrm>
                    <a:prstGeom prst="rect">
                      <a:avLst/>
                    </a:prstGeom>
                    <a:noFill/>
                    <a:ln>
                      <a:noFill/>
                    </a:ln>
                  </pic:spPr>
                </pic:pic>
              </a:graphicData>
            </a:graphic>
          </wp:inline>
        </w:drawing>
      </w: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400"/>
      </w:tblGrid>
      <w:tr w14:paraId="63CD1E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1" w:hRule="atLeast"/>
        </w:trPr>
        <w:tc>
          <w:tcPr>
            <w:tcW w:w="8400" w:type="dxa"/>
          </w:tcPr>
          <w:p w14:paraId="0E1C75A5">
            <w:pPr>
              <w:pStyle w:val="34"/>
              <w:adjustRightInd w:val="0"/>
              <w:snapToGrid w:val="0"/>
              <w:spacing w:line="360" w:lineRule="auto"/>
              <w:ind w:firstLine="0" w:firstLineChars="0"/>
              <w:jc w:val="center"/>
              <w:rPr>
                <w:rFonts w:hint="default" w:ascii="Times New Roman" w:hAnsi="Times New Roman" w:cs="Times New Roman"/>
                <w:sz w:val="28"/>
                <w:szCs w:val="28"/>
              </w:rPr>
            </w:pPr>
            <w:r>
              <w:rPr>
                <w:rFonts w:hint="default" w:ascii="Times New Roman" w:hAnsi="Times New Roman" w:eastAsia="宋体" w:cs="Times New Roman"/>
                <w:b w:val="0"/>
                <w:bCs w:val="0"/>
                <w:kern w:val="2"/>
                <w:sz w:val="21"/>
                <w:szCs w:val="21"/>
                <w:lang w:val="en-US" w:eastAsia="zh-CN" w:bidi="ar-SA"/>
              </w:rPr>
              <w:t>图3-15 场地内间口率示意图</w:t>
            </w:r>
          </w:p>
        </w:tc>
      </w:tr>
    </w:tbl>
    <w:p w14:paraId="5B36E8A3">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宜减少停车场与道路设施的非透水性地面，采取种植大树冠树木、立面绿化、建设草坪、去除非渗透性水面等措施提高街道空间与周边建筑群的环境质量。</w:t>
      </w:r>
    </w:p>
    <w:p w14:paraId="3FD9A812">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③风道地区控制指引</w:t>
      </w:r>
    </w:p>
    <w:p w14:paraId="6B50DFE4">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风道主要明确通风廊道宽度、两侧建筑布局形式、两侧场地间口率、植物种植和通风口工业类型选择及控制等控制要求。</w:t>
      </w:r>
    </w:p>
    <w:p w14:paraId="36E8DEF0">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主要风道（即一级风道）规划控制指引：</w:t>
      </w:r>
    </w:p>
    <w:p w14:paraId="63652279">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风道宽度。大型风道的宽度选取城市范围内的主要河流、主要湖泊、主要大型绿地、峡谷的宽度作为控制参照。风道宽度为 D≥500~1000 米。</w:t>
      </w:r>
    </w:p>
    <w:p w14:paraId="1A0B2495">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风道两侧建筑布局形式。大型风道两侧 200 米范围内的建筑宜采用斜列式和并列式相结合的布局形式。</w:t>
      </w:r>
    </w:p>
    <w:p w14:paraId="40164493">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风道两侧场地间口率。应限制风道两侧场地内的建筑面宽和间距，减小对风的遮蔽，尤其对面向水面的城市来源风方向的开发项目更应严格控制，间口率不宜超过 60%。</w:t>
      </w:r>
    </w:p>
    <w:p w14:paraId="07CC65ED">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风道内建筑高度和密度。控制风道所经过的河流湖水周边建筑高度一般不宜超过 9 米，建筑密度不宜超过 20%。</w:t>
      </w:r>
    </w:p>
    <w:p w14:paraId="58360B60">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风道口工业类型选择及控制。严格控制风道口的城市用地性质，禁止布置有污染工业用地，对于已经形成的工业用地，若大气污染严重，应该考虑将其迁出，布置到城市下风向地区。同时严格控制工业类型，禁止发展化学工业、煤炭工业等大气污染严重的工业。</w:t>
      </w:r>
    </w:p>
    <w:p w14:paraId="4A352415">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二级风道规划控制指引：</w:t>
      </w:r>
    </w:p>
    <w:p w14:paraId="32172B2C">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风道宽度。风道上较大规模的大型公园绿地的宽度作为控制参照风道宽度为 D≥300m；区域性的公园绿地宽度作为参照风道宽度为 60m≤D＜300m；社区性的公园绿地的宽度为 30m≤D＜60m。</w:t>
      </w:r>
    </w:p>
    <w:p w14:paraId="5FEB6C46">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风道上的植物种植形式。植物种植形式宜选用草地为主，灌木为辅。</w:t>
      </w:r>
    </w:p>
    <w:p w14:paraId="32A979A9">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风道内建筑。风道覆盖范围内不建议新建建筑，若新建，则建筑高度不宜超过 9 米，其他控制要素则对应该风道两侧的控制要素及其指标进行控制。</w:t>
      </w:r>
    </w:p>
    <w:p w14:paraId="3917773B">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（2）控制城市噪声</w:t>
      </w:r>
    </w:p>
    <w:p w14:paraId="4B026E73">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1）背景</w:t>
      </w:r>
    </w:p>
    <w:p w14:paraId="2BE332A0">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随着城市扩张和交通基础设施建设的加强，噪声污染已成为困扰城市环境质量改善的主要问题之一。据统计，全国噪声治理工程投资已占整个环保投资的 15%~20%，主要城市中噪声污染投诉已占到全部环境投诉的 80%以上。城市噪声污染来源复杂、突发性强，且与城市功能区规划和交通基础设施布局密切相关。开展城市噪声污染控制达标规划是协调城市建设与声环境保护，确保噪声污染得到快速、全面控制的有效手段。开展这项规划的最终目的是加强城市声环境管理，全面提高城市声环境质量，使各类声环境功能区在规划时限内达到相应的标准要求，为广大城市居民创造一个安静、和谐的生活环境。</w:t>
      </w:r>
    </w:p>
    <w:p w14:paraId="4FF82220">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近年来，中山市经济迅速发展、商业区成片连通，客流量、车流量明显加大，交通环境噪声也随之大幅升高，各声环境功能区也存在不同程度的超标现象。因此，开展中山市噪声污染控制达标规划势在必行。</w:t>
      </w:r>
    </w:p>
    <w:p w14:paraId="1E404351">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 策略</w:t>
      </w:r>
    </w:p>
    <w:p w14:paraId="69F18802">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根据对珠三角其他城市的交通噪声监测发现：比较繁忙或重型车较多的交通道路，其两侧的交通噪声声压级在 75dB(A)以上，一般的交通道路两侧的声压级都达到 70dB(A)，另外，几个昼夜监测的交通噪声数据表明，繁忙的交通道路夜间的交通噪声也较高，在 70dB(A)以上。随着今后交通车流的持续发展，交通噪声问题只会更严重。城市声环境质量的下降主要源自两方面的原因：首先是快速城市化过程中的噪声源的增加，包括交通车流量的持续增大和道路密度和强度的加大；其次是城市相关规划的滞后或缺失，导致城市居民周边与噪声源之间的缓冲不够。因此，中山城市噪声的控制主要是对交通噪声进行控制治理。</w:t>
      </w:r>
    </w:p>
    <w:p w14:paraId="06A8C9FA">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3）交通噪声控制指引</w:t>
      </w:r>
    </w:p>
    <w:p w14:paraId="06AAB797">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交通噪声通常分为飞机噪声、轨道交通（火车、轻轨等）噪声、道路交通噪声，针对不同类型的交通噪声应采用不同的控制方式以减少交通噪声的影响。</w:t>
      </w:r>
    </w:p>
    <w:p w14:paraId="599CEEB0">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①轨道交通（火车、轻轨等）噪声控制指引</w:t>
      </w:r>
    </w:p>
    <w:p w14:paraId="43DC2692">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轨道交通作为城市交通的重要组成部分，在中山地区的交通系统中也占据了重要地位。轨道交通建设加强了城市之间的联系，但对轨道交通周边用地和建筑的规划不容忽视，必须对轨道交通产生的噪声加以控制，以避免其对轨道交通穿过区域产生较大的影响。</w:t>
      </w:r>
    </w:p>
    <w:p w14:paraId="3A73964A">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轨道交通噪声的特点见表 3-6。</w:t>
      </w:r>
    </w:p>
    <w:p w14:paraId="760241D1">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表3-6 轨道交通噪声的特点</w:t>
      </w:r>
    </w:p>
    <w:tbl>
      <w:tblPr>
        <w:tblStyle w:val="26"/>
        <w:tblW w:w="84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34"/>
        <w:gridCol w:w="2267"/>
        <w:gridCol w:w="3283"/>
      </w:tblGrid>
      <w:tr w14:paraId="140DB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34" w:type="dxa"/>
            <w:vAlign w:val="center"/>
          </w:tcPr>
          <w:p w14:paraId="471EA214">
            <w:pPr>
              <w:pStyle w:val="34"/>
              <w:numPr>
                <w:ilvl w:val="255"/>
                <w:numId w:val="0"/>
              </w:num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列车噪声的特点</w:t>
            </w:r>
          </w:p>
        </w:tc>
        <w:tc>
          <w:tcPr>
            <w:tcW w:w="5550" w:type="dxa"/>
            <w:gridSpan w:val="2"/>
            <w:vAlign w:val="center"/>
          </w:tcPr>
          <w:p w14:paraId="351D744A">
            <w:pPr>
              <w:pStyle w:val="34"/>
              <w:numPr>
                <w:ilvl w:val="255"/>
                <w:numId w:val="0"/>
              </w:num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线声源、其声强度随着离开轨道的距离增加而减小</w:t>
            </w:r>
          </w:p>
        </w:tc>
      </w:tr>
      <w:tr w14:paraId="40871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34" w:type="dxa"/>
            <w:vMerge w:val="restart"/>
            <w:vAlign w:val="center"/>
          </w:tcPr>
          <w:p w14:paraId="4E82BB96">
            <w:pPr>
              <w:pStyle w:val="34"/>
              <w:numPr>
                <w:ilvl w:val="255"/>
                <w:numId w:val="0"/>
              </w:num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列车噪声的声压级（离轨道 10~20m</w:t>
            </w:r>
          </w:p>
        </w:tc>
        <w:tc>
          <w:tcPr>
            <w:tcW w:w="2267" w:type="dxa"/>
            <w:vAlign w:val="center"/>
          </w:tcPr>
          <w:p w14:paraId="0C5E9FF5">
            <w:pPr>
              <w:pStyle w:val="34"/>
              <w:numPr>
                <w:ilvl w:val="255"/>
                <w:numId w:val="0"/>
              </w:num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 xml:space="preserve">普通列车 </w:t>
            </w:r>
          </w:p>
        </w:tc>
        <w:tc>
          <w:tcPr>
            <w:tcW w:w="3283" w:type="dxa"/>
            <w:vAlign w:val="center"/>
          </w:tcPr>
          <w:p w14:paraId="771724DE">
            <w:pPr>
              <w:pStyle w:val="34"/>
              <w:numPr>
                <w:ilvl w:val="255"/>
                <w:numId w:val="0"/>
              </w:num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平均 82dB，峰值 90dB，鸣笛噪声 100dB</w:t>
            </w:r>
          </w:p>
        </w:tc>
      </w:tr>
      <w:tr w14:paraId="06161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34" w:type="dxa"/>
            <w:vMerge w:val="continue"/>
            <w:vAlign w:val="center"/>
          </w:tcPr>
          <w:p w14:paraId="69BE28C8">
            <w:pPr>
              <w:pStyle w:val="34"/>
              <w:numPr>
                <w:ilvl w:val="255"/>
                <w:numId w:val="0"/>
              </w:numPr>
              <w:adjustRightInd w:val="0"/>
              <w:snapToGrid w:val="0"/>
              <w:jc w:val="center"/>
              <w:rPr>
                <w:rFonts w:hint="default" w:ascii="Times New Roman" w:hAnsi="Times New Roman" w:cs="Times New Roman"/>
                <w:sz w:val="21"/>
                <w:szCs w:val="21"/>
              </w:rPr>
            </w:pPr>
          </w:p>
        </w:tc>
        <w:tc>
          <w:tcPr>
            <w:tcW w:w="2267" w:type="dxa"/>
            <w:vAlign w:val="center"/>
          </w:tcPr>
          <w:p w14:paraId="431B5464">
            <w:pPr>
              <w:pStyle w:val="34"/>
              <w:numPr>
                <w:ilvl w:val="255"/>
                <w:numId w:val="0"/>
              </w:num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高铁</w:t>
            </w:r>
          </w:p>
        </w:tc>
        <w:tc>
          <w:tcPr>
            <w:tcW w:w="3283" w:type="dxa"/>
            <w:vAlign w:val="center"/>
          </w:tcPr>
          <w:p w14:paraId="1E4E1842">
            <w:pPr>
              <w:pStyle w:val="34"/>
              <w:numPr>
                <w:ilvl w:val="255"/>
                <w:numId w:val="0"/>
              </w:num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平均 85dB</w:t>
            </w:r>
          </w:p>
        </w:tc>
      </w:tr>
    </w:tbl>
    <w:p w14:paraId="227C3254">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在不采取任何措施的情况下，建筑离轨道距离每增加一倍（见图 3-1</w:t>
      </w:r>
      <w:r>
        <w:rPr>
          <w:rFonts w:hint="default" w:ascii="Times New Roman" w:hAnsi="Times New Roman" w:cs="Times New Roman"/>
          <w:sz w:val="28"/>
          <w:szCs w:val="28"/>
          <w:lang w:val="en-US" w:eastAsia="zh-CN"/>
        </w:rPr>
        <w:t>6</w:t>
      </w:r>
      <w:r>
        <w:rPr>
          <w:rFonts w:hint="default" w:ascii="Times New Roman" w:hAnsi="Times New Roman" w:cs="Times New Roman"/>
          <w:sz w:val="28"/>
          <w:szCs w:val="28"/>
        </w:rPr>
        <w:t>），列车噪声降低约5~10dB。离列车轨道外约 200m 处，列车噪声将降至 60dB 以下，为 2 类声环境功能区。</w:t>
      </w:r>
    </w:p>
    <w:p w14:paraId="71ADFABD">
      <w:pPr>
        <w:pStyle w:val="34"/>
        <w:numPr>
          <w:ilvl w:val="255"/>
          <w:numId w:val="0"/>
        </w:numPr>
        <w:adjustRightInd w:val="0"/>
        <w:snapToGrid w:val="0"/>
        <w:spacing w:line="360" w:lineRule="auto"/>
        <w:rPr>
          <w:rFonts w:hint="default" w:ascii="Times New Roman" w:hAnsi="Times New Roman" w:cs="Times New Roman"/>
          <w:sz w:val="28"/>
          <w:szCs w:val="28"/>
        </w:rPr>
      </w:pPr>
      <w:r>
        <w:rPr>
          <w:rFonts w:hint="default" w:ascii="Times New Roman" w:hAnsi="Times New Roman" w:cs="Times New Roman"/>
        </w:rPr>
        <w:drawing>
          <wp:inline distT="0" distB="0" distL="114300" distR="114300">
            <wp:extent cx="5472430" cy="1640205"/>
            <wp:effectExtent l="0" t="0" r="13970" b="17145"/>
            <wp:docPr id="7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8"/>
                    <pic:cNvPicPr>
                      <a:picLocks noChangeAspect="1"/>
                    </pic:cNvPicPr>
                  </pic:nvPicPr>
                  <pic:blipFill>
                    <a:blip r:embed="rId38"/>
                    <a:srcRect t="5488"/>
                    <a:stretch>
                      <a:fillRect/>
                    </a:stretch>
                  </pic:blipFill>
                  <pic:spPr>
                    <a:xfrm>
                      <a:off x="0" y="0"/>
                      <a:ext cx="5472430" cy="1640205"/>
                    </a:xfrm>
                    <a:prstGeom prst="rect">
                      <a:avLst/>
                    </a:prstGeom>
                    <a:noFill/>
                    <a:ln>
                      <a:noFill/>
                    </a:ln>
                  </pic:spPr>
                </pic:pic>
              </a:graphicData>
            </a:graphic>
          </wp:inline>
        </w:drawing>
      </w: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360"/>
      </w:tblGrid>
      <w:tr w14:paraId="3C1DC4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9" w:hRule="atLeast"/>
        </w:trPr>
        <w:tc>
          <w:tcPr>
            <w:tcW w:w="8360" w:type="dxa"/>
          </w:tcPr>
          <w:p w14:paraId="435EE895">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图3-16 某轨道交通周边列车噪声声压级分布图</w:t>
            </w:r>
          </w:p>
          <w:p w14:paraId="33077F59">
            <w:pPr>
              <w:pStyle w:val="34"/>
              <w:adjustRightInd w:val="0"/>
              <w:snapToGrid w:val="0"/>
              <w:spacing w:line="360" w:lineRule="auto"/>
              <w:ind w:firstLine="0" w:firstLineChars="0"/>
              <w:rPr>
                <w:rFonts w:hint="default" w:ascii="Times New Roman" w:hAnsi="Times New Roman" w:eastAsia="黑体" w:cs="Times New Roman"/>
                <w:sz w:val="20"/>
                <w:szCs w:val="20"/>
              </w:rPr>
            </w:pPr>
            <w:r>
              <w:rPr>
                <w:rFonts w:hint="default" w:ascii="Times New Roman" w:hAnsi="Times New Roman" w:eastAsia="黑体" w:cs="Times New Roman"/>
                <w:sz w:val="20"/>
                <w:szCs w:val="20"/>
              </w:rPr>
              <w:t>注：上图为轨道周边列车声压级分布情况（无障碍物的平地），在列车车速 70~90km/h，6~10 节车厢通过时的最大值。</w:t>
            </w:r>
          </w:p>
        </w:tc>
      </w:tr>
    </w:tbl>
    <w:p w14:paraId="14B9262C">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轨道交通噪声防治措施。在有条件的地区，宜采取以下措施。一是加强管理。列车通过城区段实行限速，夜间降低行车次数，降低行车速度；二是设置声屏障。在市区铁路两侧住宅密集区、医疗卫生、学校等噪声敏感区设置高标准的隔声屏障，路基段声屏障的降噪效果为 6~8dB，桥梁段声屏障的降噪效果为 7~9dB，声屏障的高度以受保护区处于声影区为宜，声屏障高度越高，降噪效果越好。</w:t>
      </w:r>
    </w:p>
    <w:p w14:paraId="71555F79">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②道路交通噪声控制指引</w:t>
      </w:r>
    </w:p>
    <w:p w14:paraId="08B8251E">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密集的道路规划加强了城市与城市、城市去城镇以及各城区之间的联系，在规划道路时，道路交通噪声也是不可回避的问题，必须加以控制。</w:t>
      </w:r>
    </w:p>
    <w:p w14:paraId="09DA5A39">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道路噪声的特点与控制策略如下：</w:t>
      </w:r>
    </w:p>
    <w:p w14:paraId="3FA385C5">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汽车行驶速度每增加一倍，噪声增加约 6dB；车流量每增加一倍，噪声增加约 3dB。</w:t>
      </w:r>
    </w:p>
    <w:p w14:paraId="49EAE1E5">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车辆行驶鸣笛时噪声级在 90~100dB（A）之间。</w:t>
      </w:r>
    </w:p>
    <w:p w14:paraId="4CF6B7B7">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临街十~二十层高的建筑，因道路各车道间车辆之间的遮挡和地面声反射等原因，高楼层区域接受到的交通噪声比低楼层区域接收到的交通噪声的声压级大。</w:t>
      </w:r>
    </w:p>
    <w:p w14:paraId="717E4B4C">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城市主干道周边交通噪声声压级分布情况如图 3-17所示。</w:t>
      </w:r>
    </w:p>
    <w:p w14:paraId="76CC5F35">
      <w:pPr>
        <w:pStyle w:val="34"/>
        <w:numPr>
          <w:ilvl w:val="255"/>
          <w:numId w:val="0"/>
        </w:numPr>
        <w:adjustRightInd w:val="0"/>
        <w:snapToGrid w:val="0"/>
        <w:spacing w:line="360" w:lineRule="auto"/>
        <w:ind w:firstLine="420"/>
        <w:rPr>
          <w:rFonts w:hint="default" w:ascii="Times New Roman" w:hAnsi="Times New Roman" w:cs="Times New Roman"/>
          <w:sz w:val="28"/>
          <w:szCs w:val="28"/>
        </w:rPr>
      </w:pPr>
      <w:r>
        <w:rPr>
          <w:rFonts w:hint="default" w:ascii="Times New Roman" w:hAnsi="Times New Roman" w:cs="Times New Roman"/>
        </w:rPr>
        <w:drawing>
          <wp:inline distT="0" distB="0" distL="114300" distR="114300">
            <wp:extent cx="4858385" cy="1546225"/>
            <wp:effectExtent l="0" t="0" r="18415" b="15875"/>
            <wp:docPr id="7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9"/>
                    <pic:cNvPicPr>
                      <a:picLocks noChangeAspect="1"/>
                    </pic:cNvPicPr>
                  </pic:nvPicPr>
                  <pic:blipFill>
                    <a:blip r:embed="rId39"/>
                    <a:stretch>
                      <a:fillRect/>
                    </a:stretch>
                  </pic:blipFill>
                  <pic:spPr>
                    <a:xfrm>
                      <a:off x="0" y="0"/>
                      <a:ext cx="4858385" cy="1546225"/>
                    </a:xfrm>
                    <a:prstGeom prst="rect">
                      <a:avLst/>
                    </a:prstGeom>
                    <a:noFill/>
                    <a:ln>
                      <a:noFill/>
                    </a:ln>
                  </pic:spPr>
                </pic:pic>
              </a:graphicData>
            </a:graphic>
          </wp:inline>
        </w:drawing>
      </w:r>
    </w:p>
    <w:p w14:paraId="3703324F">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图3-17 城市主干道周边交通噪声声压级分布图</w:t>
      </w:r>
    </w:p>
    <w:p w14:paraId="1646FAB7">
      <w:pPr>
        <w:pStyle w:val="34"/>
        <w:adjustRightInd w:val="0"/>
        <w:snapToGrid w:val="0"/>
        <w:spacing w:line="360" w:lineRule="auto"/>
        <w:ind w:firstLine="0" w:firstLineChars="0"/>
        <w:rPr>
          <w:rFonts w:hint="default" w:ascii="Times New Roman" w:hAnsi="Times New Roman" w:eastAsia="黑体" w:cs="Times New Roman"/>
          <w:sz w:val="20"/>
          <w:szCs w:val="20"/>
        </w:rPr>
      </w:pPr>
      <w:r>
        <w:rPr>
          <w:rFonts w:hint="default" w:ascii="Times New Roman" w:hAnsi="Times New Roman" w:eastAsia="黑体" w:cs="Times New Roman"/>
          <w:sz w:val="20"/>
          <w:szCs w:val="20"/>
        </w:rPr>
        <w:t>注：上图数据在道路两边为无障碍物的平地，白天车流量为 6000 辆/h，车速为 60km/h，其中大型车占车流总量的 1/5 时测得的数据，在夜间车流量为 800 辆/h，车速为 80km/h，大型车占车流总量的 1/2，可在上图数据基础上降低 3~5dB。</w:t>
      </w:r>
    </w:p>
    <w:p w14:paraId="08109091">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道路交通噪声防治措施。在有条件的地区，宜采取以下措施：一是道路规划控制。开展路网和城市建设规划环境评价，提出规划控制距离及道路房屋规划要求；严格控制规划干道两侧的用地性质，城市快速路两侧防噪声距离不宜小于 50m，城市次干道两侧防噪声距离不宜小于 30m，城市支路两侧防噪声距离不宜小于 10m，并在防噪区设置大面积的绿化带。临街受到噪声污染严重的房屋规划为商铺等对噪声相对不敏感的房屋；二是对高架部分城市道路，安装一定高度的声屏障；三是加强受噪声影响建筑的外墙、外窗等外围护结构的隔声性能。</w:t>
      </w:r>
    </w:p>
    <w:p w14:paraId="4FF84B50">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4）声景设计</w:t>
      </w:r>
    </w:p>
    <w:p w14:paraId="45E774EF">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中山地区自然景观资源丰富，故应利用自然声营造细闻风声的良好舒适的声环境，引导人们亲近自然声，利用自然声的掩蔽效应降低不利噪声的影响。</w:t>
      </w:r>
    </w:p>
    <w:p w14:paraId="5D7E594B">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依据城市整体空间结构，建设游憩功能完善、景观优美的开放绿地声景区，形成城市绿色生态文化景观轴。并在道路红线内及两侧一定用地范围加强绿化建设，形成贯穿城市的带状绿化空间（即道路降噪带）。并以景观道路衔接不同类型的绿地景观和重要景观节点，在空间形态与功能上将散布的点状、面状的声景空间有机衔接，构筑城市绿化声景廊道。</w:t>
      </w:r>
    </w:p>
    <w:p w14:paraId="30161ED2">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（3）打造低碳交通</w:t>
      </w:r>
    </w:p>
    <w:p w14:paraId="65F14946">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1）实施背景</w:t>
      </w:r>
    </w:p>
    <w:p w14:paraId="5B941181">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低碳指相对少量的温室气体排放，低碳交通应是包含低能耗与较少的环境污染的交通体系。建筑项目应有良好的低碳交通组织设计，包括周边便捷的公共交通，绿色通道，绿色环保交通配套等。具体实施要点如下：</w:t>
      </w:r>
    </w:p>
    <w:p w14:paraId="196CE1AA">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①与公共交通的便捷联系</w:t>
      </w:r>
    </w:p>
    <w:p w14:paraId="2DB64559">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优先发展公共交通是解决城市交通问题的重要对策。为便于居民选择公共交通工具出行，在场地规划中应重视住区主要出入口的设置方位及与城市交通网络的有机联系。倡导以步行、公交为主的出行模式，应重视住区主要出入口的设置位置，住区出入口的设置应接近公交站点，方便居民充分利用公共交通网络。</w:t>
      </w:r>
    </w:p>
    <w:p w14:paraId="425C260D">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②合理设置停车场</w:t>
      </w:r>
    </w:p>
    <w:p w14:paraId="57C8E949">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采用机械式停车库、地下车库或停车楼等方式节约集约用地，不挤占步行空间及活动场所；同时为提高停车库使用效率，错时停车方式向社会开放。</w:t>
      </w:r>
    </w:p>
    <w:p w14:paraId="501FC428">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③绿道和慢行系统设置</w:t>
      </w:r>
    </w:p>
    <w:p w14:paraId="00C7674D">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绿道是一种线形绿色开敞空间，通常沿着河滨、溪谷、山脊、风景道路等自然和人工廊道建立，内设可供行人和骑车者进入的景观游憩线路。</w:t>
      </w:r>
    </w:p>
    <w:p w14:paraId="54FCFB8A">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慢行交通指步行或自行车等以人力为空间移动动力的交通。城市慢行交通系统由步行系统与非机动车系统两大部分构成。慢行交通引导人们选择更加合理、健康、环保的出行方式。中山市慢行系统规划是建立在城市已有交通网结构之上的完善系统，是生态城市建设不可或缺的重要组成部分。</w:t>
      </w:r>
    </w:p>
    <w:p w14:paraId="6BA94139">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2）空间规划</w:t>
      </w:r>
    </w:p>
    <w:p w14:paraId="759C56CF">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①构建现代公共交通体系</w:t>
      </w:r>
    </w:p>
    <w:p w14:paraId="37664B30">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结合轨道交通线网建设进程及覆盖情况，加密公交线网。依托现有国道和省道基础，打造联系各大组团之间的公交线路，建设城乡客运一体化的公共交通网络。</w:t>
      </w:r>
    </w:p>
    <w:p w14:paraId="54AFB5B6">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针对客流需求旺盛的产业园区和居住组团与各街道、镇生态休闲资源，开辟特色公共交通模式。</w:t>
      </w:r>
    </w:p>
    <w:p w14:paraId="0EA1E431">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②绿道和慢行系统建设</w:t>
      </w:r>
    </w:p>
    <w:p w14:paraId="2D884038">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通过优先发展公共交通、提倡和引导慢行交通，不断完善</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公交+慢行</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的一体化交通出行结构体系。</w:t>
      </w:r>
    </w:p>
    <w:p w14:paraId="276B0245">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3）实施策略</w:t>
      </w:r>
    </w:p>
    <w:p w14:paraId="30F47DB2">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慢行系统规划指引：</w:t>
      </w:r>
    </w:p>
    <w:p w14:paraId="4EAE4D0E">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①规划先行</w:t>
      </w:r>
    </w:p>
    <w:p w14:paraId="0B934242">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根据步行适宜尺度以及城市功能分区不同，将中山市划分为不同步行单元，如中心区、居住区、混合功能区、交通枢纽区、历史街区、旅游风景区、工业仓储区等，根据各个步行单元的特点进行相应的步行系统规划。</w:t>
      </w:r>
    </w:p>
    <w:p w14:paraId="144E2976">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②功能复合</w:t>
      </w:r>
    </w:p>
    <w:p w14:paraId="40030085">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以城市道路为依托，建立与城市土地利用相协调的非机动车廊道。城市公园、绿地以及郊区区域，慢行交通的建设与城乡绿道网的建设相结合，将绿道网作为城市慢行交通的重要组成部分。</w:t>
      </w:r>
    </w:p>
    <w:p w14:paraId="3600B75B">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③机动车和非机动车分离</w:t>
      </w:r>
    </w:p>
    <w:p w14:paraId="1A8B94C9">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在城市主干道条件允许的情况下，采用分隔带分离机非交通流；在没有条件设置分隔带的路段，采用不同铺面材料或彩色路面，或者利用断面的高差将机动车道与非机动车道清晰分开。</w:t>
      </w:r>
    </w:p>
    <w:p w14:paraId="1F7501FD">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④完善配套的各种设施</w:t>
      </w:r>
    </w:p>
    <w:p w14:paraId="7FCC3F76">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以优先、大力发展公共交通为基础，促进非机动车与城市公共交通系统的衔接，保证良好的换乘环境。合理的规划机动车停车位和非机动车停车。建立、完善自行车租赁系统。根据功能需要、流量需要、商业需要修建人行立交。</w:t>
      </w:r>
    </w:p>
    <w:p w14:paraId="2E7286D2">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⑤加强居民的慢行观念</w:t>
      </w:r>
    </w:p>
    <w:p w14:paraId="3612827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积极引导居民的绿色出行观念，加强宣传，制定政策鼓励居民绿色出行，低碳生活。</w:t>
      </w:r>
    </w:p>
    <w:p w14:paraId="6F00E4FE">
      <w:pPr>
        <w:pStyle w:val="6"/>
        <w:numPr>
          <w:ilvl w:val="255"/>
          <w:numId w:val="0"/>
        </w:numPr>
        <w:ind w:firstLine="561"/>
        <w:rPr>
          <w:rFonts w:hint="default" w:ascii="Times New Roman" w:hAnsi="Times New Roman" w:cs="Times New Roman"/>
        </w:rPr>
      </w:pPr>
      <w:bookmarkStart w:id="97" w:name="_Toc124352511"/>
      <w:bookmarkStart w:id="98" w:name="_Toc23669"/>
      <w:bookmarkStart w:id="99" w:name="_Toc5862"/>
      <w:r>
        <w:rPr>
          <w:rFonts w:hint="default" w:ascii="Times New Roman" w:hAnsi="Times New Roman" w:cs="Times New Roman"/>
        </w:rPr>
        <w:t>3.5.5新型建造</w:t>
      </w:r>
      <w:bookmarkEnd w:id="97"/>
      <w:bookmarkEnd w:id="98"/>
      <w:bookmarkEnd w:id="99"/>
    </w:p>
    <w:p w14:paraId="4BDF615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大力推广装配式建造、绿色建造技术，加强装配式建筑技术体系的实践和应用发展，推进建筑、结构、机电等多专业绿色协同设计，实现建造全过程一体化绿色统筹，鼓励新建房屋建筑和市政基础设施工程推广绿色化、工业化、信息化、集约化和产业化新型建造方式。研究推广建造过程碳排放准确监测与核查关键技术，推进碳排放数据公开透明化。</w:t>
      </w:r>
    </w:p>
    <w:p w14:paraId="74600A2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加快发展智能建造，推动智能建造与新型建筑工业化协同发展，探索建立涵盖科研、设计、生产加工、施工装配、运营等全产业链融合一体的智能建造产业体系，充分利用互联网、物联网、大数据、人工智能等新技术加快构建工程建造信息模型平台、研究并推广使用建造机器人，着重培养智能建造专业技术人才。</w:t>
      </w:r>
    </w:p>
    <w:p w14:paraId="40779AB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主要技术措施：</w:t>
      </w:r>
    </w:p>
    <w:p w14:paraId="3622D71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（1）装配式建造技术</w:t>
      </w:r>
    </w:p>
    <w:p w14:paraId="4AAEF80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因地制宜进行装配式建筑适用技术的推广，根据项目的建筑类型、体量、功能等相关特征，采用可行性高、可靠性强的装配式建筑结构体系。主要可以通过应用高性能混凝土、高强钢筋和消能减震等材料技术，预应力、叠合剪力墙、全装配框架等结构技术，以及结构节点连接技术和外围护技术等，推广应用生产体系已较成熟的预制内隔墙、预制楼梯板、预制楼板、预制构件，打造绿色建造完整产业链，实现人力、物力、财力成本节约。</w:t>
      </w:r>
    </w:p>
    <w:p w14:paraId="6154374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（2）智能建造技术</w:t>
      </w:r>
    </w:p>
    <w:p w14:paraId="6180996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中山市重点建造项目探索应用人工智能技术、智能工地构建方法、施工机械智能传感设备等新型智能建造技术，主要可以通过使用新材料、信息通讯技术和生物技术等通用技术，传感器、3D打印、建造机器人等智能建造装备技术，推动建筑建造领域智能化发展。</w:t>
      </w:r>
    </w:p>
    <w:p w14:paraId="018B0BC5">
      <w:pPr>
        <w:pStyle w:val="6"/>
        <w:numPr>
          <w:ilvl w:val="255"/>
          <w:numId w:val="0"/>
        </w:numPr>
        <w:ind w:firstLine="561"/>
        <w:rPr>
          <w:rFonts w:hint="default" w:ascii="Times New Roman" w:hAnsi="Times New Roman" w:cs="Times New Roman"/>
        </w:rPr>
      </w:pPr>
      <w:bookmarkStart w:id="100" w:name="_Toc32662"/>
      <w:bookmarkStart w:id="101" w:name="_Toc124352512"/>
      <w:bookmarkStart w:id="102" w:name="_Toc19353"/>
      <w:r>
        <w:rPr>
          <w:rFonts w:hint="default" w:ascii="Times New Roman" w:hAnsi="Times New Roman" w:cs="Times New Roman"/>
        </w:rPr>
        <w:t>3.5.6绿色建材</w:t>
      </w:r>
      <w:bookmarkEnd w:id="100"/>
      <w:bookmarkEnd w:id="101"/>
      <w:bookmarkEnd w:id="102"/>
    </w:p>
    <w:p w14:paraId="29C75E8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加大力度推广绿色建材应用，开展绿色建材产业化示范，要求政府投资和使用财政性资金的新建工程率先采用绿色建材，鼓励市场投资项目积极使用绿色建材，提升城镇新建建筑中绿色建材应用比例。</w:t>
      </w:r>
    </w:p>
    <w:p w14:paraId="60F88D2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落实绿色建材标识管理办法，实施绿色建材认证制度，建立健全绿色建材采信机制，利用大数据技术建立大宗建材集采服务平台，构建绿色建材选用、监督管理和质量追溯机制，研究制定绿色建材碳足迹指标要求，提倡就近原则选用建材，减少建材运输过程中的碳排放。</w:t>
      </w:r>
    </w:p>
    <w:p w14:paraId="3BCC4A3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主要技术措施：</w:t>
      </w:r>
    </w:p>
    <w:p w14:paraId="364B050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（1）固体废弃物资源化应用</w:t>
      </w:r>
    </w:p>
    <w:p w14:paraId="5CB82E8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加强建筑固体废弃物资源化应用，从提高建筑固废的分选水平、处理能力、再生骨料的品质和质量稳定性以及资源化生产技术和产品工艺研究等环节入手，提高产业技术水平。可以通过钢筋头、碎块、废弃有机物等固体废弃物再生利用技术，废弃地坪水泥浆填布技术、废弃建筑配件改造利用技术等实现节材与材料资源化利用。建立专门的固体废弃物集中处理基地，建立动态供需信息平台，健全信息化监管模式体系，鼓励政府投资建设项目优先使用固体废弃物资源化利用的产品。</w:t>
      </w:r>
    </w:p>
    <w:p w14:paraId="54F9568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（2）绿色新型墙材研发应用</w:t>
      </w:r>
    </w:p>
    <w:p w14:paraId="4260A33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积极推动装配式建筑保温隔热装饰一体化墙板应用，加大节能环保、轻质高强的绿色新型墙材研发生产，推广绿色多功能复合材料，发展环保型木质复合材料、优质化学建材及新型建筑陶瓷，开展提升建筑使用功能、健康性能的绿色建材产品关键技术研发，优先选用绿色建材提升建筑健康性能。进一步推广应用高性能混凝土和特殊材料新型混凝土，发展生态修复混凝土制品，研究推进机制砂混凝土生产施工方法，大力推广应用机制砂。</w:t>
      </w:r>
    </w:p>
    <w:p w14:paraId="72F56702">
      <w:pPr>
        <w:pStyle w:val="6"/>
        <w:numPr>
          <w:ilvl w:val="255"/>
          <w:numId w:val="0"/>
        </w:numPr>
        <w:ind w:firstLine="561"/>
        <w:rPr>
          <w:rFonts w:hint="default" w:ascii="Times New Roman" w:hAnsi="Times New Roman" w:cs="Times New Roman"/>
        </w:rPr>
      </w:pPr>
      <w:bookmarkStart w:id="103" w:name="_Toc6718"/>
      <w:bookmarkStart w:id="104" w:name="_Toc124352513"/>
      <w:bookmarkStart w:id="105" w:name="_Toc1539"/>
      <w:r>
        <w:rPr>
          <w:rFonts w:hint="default" w:ascii="Times New Roman" w:hAnsi="Times New Roman" w:cs="Times New Roman"/>
        </w:rPr>
        <w:t>3.5.7建筑信息化</w:t>
      </w:r>
      <w:bookmarkEnd w:id="103"/>
      <w:bookmarkEnd w:id="104"/>
      <w:bookmarkEnd w:id="105"/>
    </w:p>
    <w:p w14:paraId="6D266A7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重点推动绿色建设信息技术管理和应用，积极探索建筑信息模型（BIM）等技术与城市信息模型（CIM）基础平台的融通联动，打造绿色建筑信息化管理和应用平台，实现绿色建筑领域的</w:t>
      </w:r>
      <w:r>
        <w:rPr>
          <w:rFonts w:hint="eastAsia" w:ascii="Times New Roman" w:hAnsi="Times New Roman" w:cs="Times New Roman"/>
          <w:sz w:val="28"/>
          <w:szCs w:val="28"/>
          <w:lang w:eastAsia="zh-CN"/>
        </w:rPr>
        <w:t>“</w:t>
      </w:r>
      <w:r>
        <w:rPr>
          <w:rFonts w:hint="default" w:ascii="Times New Roman" w:hAnsi="Times New Roman" w:cs="Times New Roman"/>
          <w:sz w:val="28"/>
          <w:szCs w:val="28"/>
        </w:rPr>
        <w:t>规建管</w:t>
      </w:r>
      <w:r>
        <w:rPr>
          <w:rFonts w:hint="eastAsia" w:ascii="Times New Roman" w:hAnsi="Times New Roman" w:cs="Times New Roman"/>
          <w:sz w:val="28"/>
          <w:szCs w:val="28"/>
          <w:lang w:eastAsia="zh-CN"/>
        </w:rPr>
        <w:t>”</w:t>
      </w:r>
      <w:r>
        <w:rPr>
          <w:rFonts w:hint="default" w:ascii="Times New Roman" w:hAnsi="Times New Roman" w:cs="Times New Roman"/>
          <w:sz w:val="28"/>
          <w:szCs w:val="28"/>
        </w:rPr>
        <w:t>一体化模式建设。加强推</w:t>
      </w:r>
      <w:r>
        <w:rPr>
          <w:rFonts w:hint="default" w:ascii="Times New Roman" w:hAnsi="Times New Roman" w:cs="Times New Roman"/>
          <w:sz w:val="28"/>
          <w:szCs w:val="28"/>
          <w:lang w:val="en-US" w:eastAsia="zh-CN"/>
        </w:rPr>
        <w:t>进</w:t>
      </w:r>
      <w:r>
        <w:rPr>
          <w:rFonts w:hint="default" w:ascii="Times New Roman" w:hAnsi="Times New Roman" w:cs="Times New Roman"/>
          <w:sz w:val="28"/>
          <w:szCs w:val="28"/>
        </w:rPr>
        <w:t>物联网、大数据、智能建造等信息技术在绿色建筑中的集成应用，开展</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智慧工地</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、智能光伏等试点示范，提升建造绿色化、信息化、智能化融合发展水平。</w:t>
      </w:r>
    </w:p>
    <w:p w14:paraId="4F9DB95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完善建筑能耗监测平台体系建设，逐步扩大既有建筑监测范围，利用建筑能耗计量监测和节能潜力信息，不断增强建筑节能信息化监管的针对性和有效性，促使绿色建筑从重建造向重运营转变。</w:t>
      </w:r>
    </w:p>
    <w:p w14:paraId="15F70A5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主要技术措施：</w:t>
      </w:r>
    </w:p>
    <w:p w14:paraId="12B4E66B">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（1）BIM与CIM融通联动</w:t>
      </w:r>
    </w:p>
    <w:p w14:paraId="46F1A6D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积极探索建筑信息模型（BIM）、地理信息系统（GIS）等技术与城市信息模型（CIM）基础平台的融通联动，加快云上城市建设，为建筑领域信息化、高效化发展提供可行性技术路线和应用。主要可以通过</w:t>
      </w:r>
      <w:r>
        <w:rPr>
          <w:rFonts w:hint="eastAsia" w:ascii="Times New Roman" w:hAnsi="Times New Roman" w:cs="Times New Roman"/>
          <w:sz w:val="28"/>
          <w:szCs w:val="28"/>
          <w:lang w:eastAsia="zh-CN"/>
        </w:rPr>
        <w:t>“</w:t>
      </w:r>
      <w:r>
        <w:rPr>
          <w:rFonts w:hint="default" w:ascii="Times New Roman" w:hAnsi="Times New Roman" w:cs="Times New Roman"/>
          <w:sz w:val="28"/>
          <w:szCs w:val="28"/>
        </w:rPr>
        <w:t>BIM+GIS+CIM</w:t>
      </w:r>
      <w:r>
        <w:rPr>
          <w:rFonts w:hint="eastAsia" w:ascii="Times New Roman" w:hAnsi="Times New Roman" w:cs="Times New Roman"/>
          <w:sz w:val="28"/>
          <w:szCs w:val="28"/>
          <w:lang w:eastAsia="zh-CN"/>
        </w:rPr>
        <w:t>”</w:t>
      </w:r>
      <w:r>
        <w:rPr>
          <w:rFonts w:hint="default" w:ascii="Times New Roman" w:hAnsi="Times New Roman" w:cs="Times New Roman"/>
          <w:sz w:val="28"/>
          <w:szCs w:val="28"/>
        </w:rPr>
        <w:t>融合应用，将整个城市中不同尺度的建筑对象可视化，更好把控建筑全寿命期，结合基于现实环境的CIM平台应用，实现各管理方并联式审批和监管等业务功能，全面提升城市管理水平和空间利用价值。</w:t>
      </w:r>
    </w:p>
    <w:p w14:paraId="3ABA622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（2）BIM技术全过程应用</w:t>
      </w:r>
    </w:p>
    <w:p w14:paraId="4FB771D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通过BIM等技术在新建建筑建设全过程的数据共享和协同应用，推进BIM报建审批、施工图审查、竣工验收、运行维护模式，提高工程质量和建设效率。加快制定建筑全寿命期碳排放统计与管理制度，充分利用BIM手段在建筑设计初期进行设计方案碳排放测算，并在设计阶段通过BIM等技术进行绿色建筑的节能减排设计和布局，助力节能降碳。</w:t>
      </w:r>
    </w:p>
    <w:p w14:paraId="2E4C4ED8">
      <w:pPr>
        <w:pStyle w:val="6"/>
        <w:numPr>
          <w:ilvl w:val="255"/>
          <w:numId w:val="0"/>
        </w:numPr>
        <w:ind w:firstLine="561"/>
        <w:rPr>
          <w:rFonts w:hint="default" w:ascii="Times New Roman" w:hAnsi="Times New Roman" w:cs="Times New Roman"/>
        </w:rPr>
      </w:pPr>
      <w:bookmarkStart w:id="106" w:name="_Toc124352514"/>
      <w:r>
        <w:rPr>
          <w:rFonts w:hint="default" w:ascii="Times New Roman" w:hAnsi="Times New Roman" w:cs="Times New Roman"/>
        </w:rPr>
        <w:t>3.5.8 工业建筑绿色化</w:t>
      </w:r>
      <w:bookmarkEnd w:id="106"/>
    </w:p>
    <w:p w14:paraId="5934E3D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当前，中山正在全面推进村镇工业集聚区升级改造，加快破解低效用地问题，促进产业转型升级。结合</w:t>
      </w:r>
      <w:r>
        <w:rPr>
          <w:rFonts w:hint="eastAsia" w:ascii="Times New Roman" w:hAnsi="Times New Roman" w:cs="Times New Roman"/>
          <w:sz w:val="28"/>
          <w:szCs w:val="28"/>
          <w:lang w:eastAsia="zh-CN"/>
        </w:rPr>
        <w:t>中山市人民政府“</w:t>
      </w:r>
      <w:r>
        <w:rPr>
          <w:rFonts w:hint="default" w:ascii="Times New Roman" w:hAnsi="Times New Roman" w:cs="Times New Roman"/>
          <w:sz w:val="28"/>
          <w:szCs w:val="28"/>
        </w:rPr>
        <w:t>工改</w:t>
      </w:r>
      <w:r>
        <w:rPr>
          <w:rFonts w:hint="eastAsia" w:ascii="Times New Roman" w:hAnsi="Times New Roman" w:cs="Times New Roman"/>
          <w:sz w:val="28"/>
          <w:szCs w:val="28"/>
          <w:lang w:eastAsia="zh-CN"/>
        </w:rPr>
        <w:t>”</w:t>
      </w:r>
      <w:r>
        <w:rPr>
          <w:rFonts w:hint="default" w:ascii="Times New Roman" w:hAnsi="Times New Roman" w:cs="Times New Roman"/>
          <w:sz w:val="28"/>
          <w:szCs w:val="28"/>
        </w:rPr>
        <w:t>重点项目建设，提高工业建筑绿色低碳水平，推动工业建筑绿色化转型升级对城市可持续发展具有重要意义。本规划提及的工业建筑是指新建或改扩建的工业建筑和既有工业建筑的各行业工厂或工业建筑群中的主要生产厂房、各类辅助生产建筑。与民用建筑相比，工业建筑一般空间环境和体量较大，工艺设备、配套设施的能耗也较大，生产过程中噪声、废水、废气以及工业废弃物对环境的影响尤为突出。</w:t>
      </w:r>
    </w:p>
    <w:p w14:paraId="0807332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结合中山市夏热冬暖地区气候特征以及经济发展情况，探索工业建筑绿色发展适宜技术，根据不同行业工业建筑实际情况，因地制宜选用以下技术内容：用地布局优化措施，如土地集约利用和公共服务设施优化措施；能源资源利用措施，如可再生能源技术应用、建筑节能设计、节水技术、绿色建材应用以及装配式建造技术；生态环境优化措施，如绿化及海绵城市设计、污染物控制措施、振动和噪声控制措施；旧工业建筑空间改造措施等。</w:t>
      </w:r>
    </w:p>
    <w:p w14:paraId="0510C33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（1）用地布局优化措施</w:t>
      </w:r>
    </w:p>
    <w:p w14:paraId="204D596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土地集约利用措施：结合工业项目功能定位进行合理选址，减少对生态环境的影响，保留和利用场地现有自然资源，在此基础上加以利用改造。从节能和环保两个角度入手，在选址时应考虑到对周围可再生资源的利用，降低能源消耗；同时利用周边环境中的绿化，使工业建设与自然密不可分。在工业建筑设计中综合协调生产工艺需求，合理提高建设场地利用效率，在条件允许的情况下充分利用废弃、腾退的工业厂房、仓库、闲置土地进行建设。</w:t>
      </w:r>
    </w:p>
    <w:p w14:paraId="47F7F76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公共服务设施优化措施：完善工业建筑周边公共服务设施，为工业企业职工提供便利的餐饮、休闲、健康医疗等相关服务，制定相关措施引导运动健身、会议场所等配套设施较为完善的工业企业提供对外开放共享机制。</w:t>
      </w:r>
    </w:p>
    <w:p w14:paraId="2AE611B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（2）能源资源利用措施</w:t>
      </w:r>
    </w:p>
    <w:p w14:paraId="4AC887E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可再生能源技术应用：鼓励新建工业建筑项目至少采用一项可再生能源利用措施。因地制宜利用太阳能、风能等可再生能源，充分发挥可再生能源在采暖、制冷、供电等方面的利用价值，有效缓解能源压力。工业建筑一般体量大，占地面积大，可以在工业园区、中大型生产企业等工业建筑中重点推广建筑一体化太阳能光伏系统，加强分布式太阳能光伏系统应用，力争实现工业建筑屋顶光伏覆盖率至少达到50%。具备条件的工业建筑项目应设置能量回收系统，有效利用工艺过程和设备产生的余（废）热。</w:t>
      </w:r>
    </w:p>
    <w:p w14:paraId="77C566E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建筑节能设计：对工业建筑进行设计时，在满足生产工艺的外部环境需求的前提下，应控制建筑的体形系数，选用合理的采光形式和供热通风方式，选用高效的保温隔热外墙及屋面体系降低围护结构的耗热量，减少建筑能耗。采用节能型照明设备和空调系统，鼓励在供冷需求大、空调负荷集中的工业建筑聚集区推广应用先进蓄冷技术，缓解电网高峰负荷，同时提高能源使用效率。</w:t>
      </w:r>
    </w:p>
    <w:p w14:paraId="6F367F8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节水技术：水是工业建筑中不可或缺的资源，在生产过程中尤其需要注重节水。一方面可以通过提高工艺水平来减少水资源的用量，另一方面可以加强对水资源的二次利用，减少工业建筑的整体用水量。在建筑设计时应使各排水系统合理、安全、完善，采用节水器具和节水灌溉方式。工业园区可通过大量雨水收集以及冷却用水收集，使用现代技术进行处理后，用于园区绿化、景观用水以及其他适应中水水质的用水，提高水资源的利用效率。</w:t>
      </w:r>
    </w:p>
    <w:p w14:paraId="37B1F68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绿色建材应用：工业建筑的立面设计和体型设计一般应使造型要素简约，且无大量装饰性构件。在工业建筑中应用具有绿色特征的传统建材，如钢铁、清水混凝土等，提高建材回用率；同时可采用建筑废弃物再生建材产品以及其他适宜工业建筑的新型绿色建材，提高绿色建材在工业建筑中的应用，达到节材降碳。</w:t>
      </w:r>
    </w:p>
    <w:p w14:paraId="6BB51D2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装配式建造技术：因地制宜推广装配式建筑适用技术，加大其在工业建筑中的应用，实现工业建筑工业化发展。在大跨度工业厂房中推荐采用装配式钢结构，适量采用装配式混凝土结构，在小型厂房建设中推广轻钢结构。积极鼓励使用生产体系已较为成熟的产品，包括装配式模板、预制构件、部品部件，如钢筋桁架楼承板、外挂墙板、内墙板、楼梯、叠合楼板等。</w:t>
      </w:r>
    </w:p>
    <w:p w14:paraId="65532F3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（3）生态环境优化措施</w:t>
      </w:r>
    </w:p>
    <w:p w14:paraId="6730F20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绿化及海绵城市设计：鼓励工业建筑项目采用屋顶绿化和立体绿化，合理增加绿化面积，提高建设场地的绿地率。项目内的绿化带可选用乔木、灌木和草皮等组合成的复合绿地，可以保持水土防止流失，同时起到涵养水源的效用。鼓励工业建筑项目场地内合理设置下凹式绿地、雨水花园、植草沟、透水地面等绿色雨水设施，实施雨污分流，设置雨水收集装置，为实现中水回用提供便利。</w:t>
      </w:r>
    </w:p>
    <w:p w14:paraId="6BE60F2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污染物控制措施：工业建筑一般会产生一定的污染物，包括废水、废气等，采取有效措施降低污染物排放对室外环境的污染程度尤为重要。工业废气方面，应当使用专业设备将污染性气体净化，净化完毕后方能排出；工业废水应进行中和与净化处理，避免污染地下水，工业废气、废水的排放均应符合国家现行有关污染物排放标准的规定。</w:t>
      </w:r>
    </w:p>
    <w:p w14:paraId="2B8AE4F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振动和噪声控制措施：工业建筑合理布局，推广安装隔声门窗，做好隔声处理，避免高噪声源设备靠近敏感区域或建筑；选用环保低噪型设备，并对设备作基础减震和密封隔声等措施。针对工业企业设备噪声以固定噪声源为主的特点，阻止噪声传播的主要包括隔声、消声、吸声、隔振等技术。其中，减振处理可以采用如大型设备的减振基础及基础减振器、设备外壳减振的阻尼涂层、管道减振的管道包扎、弹性吊钩等。</w:t>
      </w:r>
    </w:p>
    <w:p w14:paraId="1215ED5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（4）旧工业建筑空间改造措施</w:t>
      </w:r>
    </w:p>
    <w:p w14:paraId="5EEB486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工业建筑空间改造适宜技术：通过建筑形体空间改造和功能腔体植入两种方式实现旧工业建筑空间改造，体现为在整个旧工业园区改造中采用连廊、天桥等构筑物将部分单体建筑连接成为整体，形成相互贯通的建筑空间，达到室外景引入室内、丰富建筑空间层次以及加强建筑间人员交流互动的效果；在建筑内部或外部植入中庭、边庭、采光井等建筑腔体，达到改善室内热、风、光与声环境的作用。</w:t>
      </w:r>
    </w:p>
    <w:p w14:paraId="64372E5D">
      <w:pPr>
        <w:pStyle w:val="6"/>
        <w:numPr>
          <w:ilvl w:val="255"/>
          <w:numId w:val="0"/>
        </w:numPr>
        <w:ind w:firstLine="561"/>
        <w:rPr>
          <w:rFonts w:hint="default" w:ascii="Times New Roman" w:hAnsi="Times New Roman" w:cs="Times New Roman"/>
        </w:rPr>
      </w:pPr>
      <w:bookmarkStart w:id="107" w:name="_Toc124352515"/>
      <w:r>
        <w:rPr>
          <w:rFonts w:hint="default" w:ascii="Times New Roman" w:hAnsi="Times New Roman" w:cs="Times New Roman"/>
        </w:rPr>
        <w:t>3.5.9 绿色建筑技术推荐清单</w:t>
      </w:r>
      <w:bookmarkEnd w:id="107"/>
    </w:p>
    <w:p w14:paraId="4D39237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综上所述，中山市位于夏热冬暖地区，在发展绿色建筑过程中应当遵循</w:t>
      </w:r>
      <w:r>
        <w:rPr>
          <w:rFonts w:hint="eastAsia" w:ascii="Times New Roman" w:hAnsi="Times New Roman" w:cs="Times New Roman"/>
          <w:sz w:val="28"/>
          <w:szCs w:val="28"/>
          <w:lang w:eastAsia="zh-CN"/>
        </w:rPr>
        <w:t>“</w:t>
      </w:r>
      <w:r>
        <w:rPr>
          <w:rFonts w:hint="default" w:ascii="Times New Roman" w:hAnsi="Times New Roman" w:cs="Times New Roman"/>
          <w:sz w:val="28"/>
          <w:szCs w:val="28"/>
        </w:rPr>
        <w:t>被动优先、主动优化</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原则，根据岭南地区气候条件，因地制宜发展自然通风、遮阳、隔热等适应亚热带气候的绿色建筑技术，构建完整的技术体系。</w:t>
      </w:r>
    </w:p>
    <w:p w14:paraId="449F733E">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表3-7 中山市绿色建筑技术清单</w:t>
      </w:r>
    </w:p>
    <w:tbl>
      <w:tblPr>
        <w:tblStyle w:val="26"/>
        <w:tblW w:w="84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1477"/>
        <w:gridCol w:w="5883"/>
      </w:tblGrid>
      <w:tr w14:paraId="66976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blHeader/>
        </w:trPr>
        <w:tc>
          <w:tcPr>
            <w:tcW w:w="1124" w:type="dxa"/>
            <w:vAlign w:val="center"/>
          </w:tcPr>
          <w:p w14:paraId="65513B0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类型</w:t>
            </w:r>
          </w:p>
        </w:tc>
        <w:tc>
          <w:tcPr>
            <w:tcW w:w="1477" w:type="dxa"/>
            <w:vAlign w:val="center"/>
          </w:tcPr>
          <w:p w14:paraId="7C46D9F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技术措施</w:t>
            </w:r>
          </w:p>
        </w:tc>
        <w:tc>
          <w:tcPr>
            <w:tcW w:w="5883" w:type="dxa"/>
            <w:vAlign w:val="center"/>
          </w:tcPr>
          <w:p w14:paraId="56EE07D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具体内容</w:t>
            </w:r>
          </w:p>
        </w:tc>
      </w:tr>
      <w:tr w14:paraId="7D34A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restart"/>
            <w:vAlign w:val="center"/>
          </w:tcPr>
          <w:p w14:paraId="74EECC2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安全耐久</w:t>
            </w:r>
          </w:p>
        </w:tc>
        <w:tc>
          <w:tcPr>
            <w:tcW w:w="1477" w:type="dxa"/>
            <w:vAlign w:val="center"/>
          </w:tcPr>
          <w:p w14:paraId="208AE4B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使用耐久性建材</w:t>
            </w:r>
          </w:p>
        </w:tc>
        <w:tc>
          <w:tcPr>
            <w:tcW w:w="5883" w:type="dxa"/>
            <w:vAlign w:val="center"/>
          </w:tcPr>
          <w:p w14:paraId="5C75697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结构与设备管线分离，提升建筑部品部件和结构材料的耐久性。</w:t>
            </w:r>
          </w:p>
        </w:tc>
      </w:tr>
      <w:tr w14:paraId="28978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77DD190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75851DB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抗震性能设计</w:t>
            </w:r>
          </w:p>
        </w:tc>
        <w:tc>
          <w:tcPr>
            <w:tcW w:w="5883" w:type="dxa"/>
            <w:vAlign w:val="center"/>
          </w:tcPr>
          <w:p w14:paraId="15E8C2E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优化建筑形体，通过设置隔震垫、阻尼器等改善结构的抗震性能，鼓励在合适项目中尝试创新的抗震系统，合理提高建筑的抗震能力。</w:t>
            </w:r>
          </w:p>
        </w:tc>
      </w:tr>
      <w:tr w14:paraId="452AD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restart"/>
            <w:vAlign w:val="center"/>
          </w:tcPr>
          <w:p w14:paraId="13DB0F6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健康舒适</w:t>
            </w:r>
          </w:p>
        </w:tc>
        <w:tc>
          <w:tcPr>
            <w:tcW w:w="1477" w:type="dxa"/>
            <w:vAlign w:val="center"/>
          </w:tcPr>
          <w:p w14:paraId="4CF6250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室内声光热、空气环境设计技术</w:t>
            </w:r>
          </w:p>
        </w:tc>
        <w:tc>
          <w:tcPr>
            <w:tcW w:w="5883" w:type="dxa"/>
            <w:vAlign w:val="center"/>
          </w:tcPr>
          <w:p w14:paraId="225BEEC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合理的功能分区，进行合理的开窗、开启面积、底层架空、遮阳构件</w:t>
            </w:r>
            <w:r>
              <w:rPr>
                <w:rFonts w:hint="eastAsia" w:ascii="Times New Roman" w:hAnsi="Times New Roman" w:eastAsia="宋体" w:cs="Times New Roman"/>
                <w:b w:val="0"/>
                <w:bCs w:val="0"/>
                <w:sz w:val="21"/>
                <w:szCs w:val="21"/>
                <w:lang w:val="en-US" w:eastAsia="zh-CN"/>
              </w:rPr>
              <w:t>实现</w:t>
            </w:r>
            <w:r>
              <w:rPr>
                <w:rFonts w:hint="default" w:ascii="Times New Roman" w:hAnsi="Times New Roman" w:eastAsia="宋体" w:cs="Times New Roman"/>
                <w:b w:val="0"/>
                <w:bCs w:val="0"/>
                <w:sz w:val="21"/>
                <w:szCs w:val="21"/>
              </w:rPr>
              <w:t>营造良好的室内通风、采光环境。</w:t>
            </w:r>
          </w:p>
        </w:tc>
      </w:tr>
      <w:tr w14:paraId="1220C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5CED9DA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7634573C">
            <w:pPr>
              <w:tabs>
                <w:tab w:val="left" w:pos="1680"/>
              </w:tabs>
              <w:adjustRightInd w:val="0"/>
              <w:snapToGrid w:val="0"/>
              <w:spacing w:before="93" w:beforeLines="30" w:after="93" w:afterLines="30"/>
              <w:jc w:val="center"/>
              <w:rPr>
                <w:rFonts w:hint="eastAsia"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rPr>
              <w:t>室内热舒适度营造</w:t>
            </w:r>
            <w:r>
              <w:rPr>
                <w:rFonts w:hint="eastAsia" w:ascii="Times New Roman" w:hAnsi="Times New Roman" w:eastAsia="宋体" w:cs="Times New Roman"/>
                <w:b w:val="0"/>
                <w:bCs w:val="0"/>
                <w:sz w:val="21"/>
                <w:szCs w:val="21"/>
                <w:lang w:val="en-US" w:eastAsia="zh-CN"/>
              </w:rPr>
              <w:t>技术</w:t>
            </w:r>
          </w:p>
        </w:tc>
        <w:tc>
          <w:tcPr>
            <w:tcW w:w="5883" w:type="dxa"/>
            <w:vAlign w:val="center"/>
          </w:tcPr>
          <w:p w14:paraId="40C8728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通过加强建筑自然通风或复合通风、温湿度独立控制等技术营造良好的热湿环境。</w:t>
            </w:r>
          </w:p>
        </w:tc>
      </w:tr>
      <w:tr w14:paraId="75930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4532EBD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4C7FD04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室内采光照明控制技术</w:t>
            </w:r>
          </w:p>
        </w:tc>
        <w:tc>
          <w:tcPr>
            <w:tcW w:w="5883" w:type="dxa"/>
            <w:vAlign w:val="center"/>
          </w:tcPr>
          <w:p w14:paraId="5FCE0BD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设置可调节的外遮阳装置，光源的显色性设计与控制。</w:t>
            </w:r>
          </w:p>
        </w:tc>
      </w:tr>
      <w:tr w14:paraId="58C92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atLeast"/>
        </w:trPr>
        <w:tc>
          <w:tcPr>
            <w:tcW w:w="1124" w:type="dxa"/>
            <w:vMerge w:val="continue"/>
            <w:vAlign w:val="center"/>
          </w:tcPr>
          <w:p w14:paraId="5DC80AB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15B08C6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空气质量控制技术</w:t>
            </w:r>
          </w:p>
        </w:tc>
        <w:tc>
          <w:tcPr>
            <w:tcW w:w="5883" w:type="dxa"/>
            <w:vAlign w:val="center"/>
          </w:tcPr>
          <w:p w14:paraId="675B3B9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通过设置吸湿性面层材料、地面架空等进行防霉设置。设置室内通风换气与空气质量监控系统。</w:t>
            </w:r>
          </w:p>
        </w:tc>
      </w:tr>
      <w:tr w14:paraId="77C19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restart"/>
            <w:vAlign w:val="center"/>
          </w:tcPr>
          <w:p w14:paraId="499AE63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生活便利</w:t>
            </w:r>
          </w:p>
        </w:tc>
        <w:tc>
          <w:tcPr>
            <w:tcW w:w="1477" w:type="dxa"/>
            <w:vAlign w:val="center"/>
          </w:tcPr>
          <w:p w14:paraId="4AFF716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场地交通系统优化设计</w:t>
            </w:r>
          </w:p>
        </w:tc>
        <w:tc>
          <w:tcPr>
            <w:tcW w:w="5883" w:type="dxa"/>
            <w:vAlign w:val="center"/>
          </w:tcPr>
          <w:p w14:paraId="491BEFA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交通组织实行人车分行，设置便捷、安全的人行通道、自行车道，方便人员出行。</w:t>
            </w:r>
          </w:p>
        </w:tc>
      </w:tr>
      <w:tr w14:paraId="1E60D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1AB89CC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76746C5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建筑室内外公共区域全龄化设计</w:t>
            </w:r>
          </w:p>
        </w:tc>
        <w:tc>
          <w:tcPr>
            <w:tcW w:w="5883" w:type="dxa"/>
            <w:vAlign w:val="center"/>
          </w:tcPr>
          <w:p w14:paraId="004B0A5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场地内人行通道按规范进行无障碍设计，合理组织交通流线；宜在建筑入口、电梯、卫生间等主要活动空间设置无障碍设施。</w:t>
            </w:r>
          </w:p>
        </w:tc>
      </w:tr>
      <w:tr w14:paraId="7854E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07DA14E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1D2C464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合理设置健身场地和空间</w:t>
            </w:r>
          </w:p>
        </w:tc>
        <w:tc>
          <w:tcPr>
            <w:tcW w:w="5883" w:type="dxa"/>
            <w:vAlign w:val="center"/>
          </w:tcPr>
          <w:p w14:paraId="3152E44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集中布置健身场地，场地面积应不小于总用地面积 0.5%，并根据运动类型设置适当的隔声措施，健身场地设施应进行全龄化设计，满足各年龄段人群的室外活动要求；设置健身慢道应避免与场地内车行道交叉，不能避免时应设置斑马线、减速坡、道闸等安全设施，步道宜采用弹性减振、防滑和环保的材料，以减少对人体关节的冲击和损伤。</w:t>
            </w:r>
          </w:p>
        </w:tc>
      </w:tr>
      <w:tr w14:paraId="06E45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5938412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65AD344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lang w:val="en-US" w:eastAsia="zh-CN"/>
              </w:rPr>
              <w:t>贯彻落实</w:t>
            </w:r>
            <w:r>
              <w:rPr>
                <w:rFonts w:hint="default" w:ascii="Times New Roman" w:hAnsi="Times New Roman" w:eastAsia="宋体" w:cs="Times New Roman"/>
                <w:b w:val="0"/>
                <w:bCs w:val="0"/>
                <w:sz w:val="21"/>
                <w:szCs w:val="21"/>
              </w:rPr>
              <w:t>绿色建筑的管理制度</w:t>
            </w:r>
          </w:p>
        </w:tc>
        <w:tc>
          <w:tcPr>
            <w:tcW w:w="5883" w:type="dxa"/>
            <w:vAlign w:val="center"/>
          </w:tcPr>
          <w:p w14:paraId="1A7DC7B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 xml:space="preserve">绿色建筑物业管理部门应获得有关管理体系认证；完善并有效实施节能、节水、节材、绿化等相关设施的操作规程及应急预案；物业管理机构的工作考核体系中应包含能源资源管理激励机制；采用合同能源管理模式；建立绿色教育宣传机制，编制绿色设施使用手册，形成良好的绿色氛围；开展绿色物业管理试点示范工作。 </w:t>
            </w:r>
          </w:p>
        </w:tc>
      </w:tr>
      <w:tr w14:paraId="6DA6A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6" w:hRule="atLeast"/>
        </w:trPr>
        <w:tc>
          <w:tcPr>
            <w:tcW w:w="1124" w:type="dxa"/>
            <w:vMerge w:val="continue"/>
            <w:vAlign w:val="center"/>
          </w:tcPr>
          <w:p w14:paraId="5FF6E58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0E1DDB0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科学运用绿色建筑的技术管理手段</w:t>
            </w:r>
          </w:p>
        </w:tc>
        <w:tc>
          <w:tcPr>
            <w:tcW w:w="5883" w:type="dxa"/>
            <w:vAlign w:val="center"/>
          </w:tcPr>
          <w:p w14:paraId="6395864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 xml:space="preserve">定期检查、调试公共设施设备，并根据运行检测数据进行设备系统的运行优化；对空调通风系统进行定期检查和清洗，对非传统水源的水质和用水量记录完整、准确；智能化系统的运行效果应满足建筑运行与管理的需要；应用信息化手段进行物业管理。 </w:t>
            </w:r>
          </w:p>
        </w:tc>
      </w:tr>
      <w:tr w14:paraId="27971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restart"/>
            <w:vAlign w:val="center"/>
          </w:tcPr>
          <w:p w14:paraId="0A0FA7D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资源节约</w:t>
            </w:r>
          </w:p>
        </w:tc>
        <w:tc>
          <w:tcPr>
            <w:tcW w:w="1477" w:type="dxa"/>
            <w:vAlign w:val="center"/>
          </w:tcPr>
          <w:p w14:paraId="5D65684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围护结构节能技术</w:t>
            </w:r>
          </w:p>
        </w:tc>
        <w:tc>
          <w:tcPr>
            <w:tcW w:w="5883" w:type="dxa"/>
            <w:vAlign w:val="center"/>
          </w:tcPr>
          <w:p w14:paraId="52C63C2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注重不透明围护结构隔热防晒和透明围护结构遮阳系数的降低；鼓励通过采用新技术、新工艺和新材料等手段，大力提高围护结构热工性能的指标。</w:t>
            </w:r>
          </w:p>
        </w:tc>
      </w:tr>
      <w:tr w14:paraId="2DB3A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554A751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4D581BB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暖通空调系统节能技术</w:t>
            </w:r>
          </w:p>
        </w:tc>
        <w:tc>
          <w:tcPr>
            <w:tcW w:w="5883" w:type="dxa"/>
            <w:vAlign w:val="center"/>
          </w:tcPr>
          <w:p w14:paraId="6AEEAF1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选择高效率设备并制定运行策略，在分析可行性的基础上，可采用热回收装置回收排风中的能量。</w:t>
            </w:r>
          </w:p>
        </w:tc>
      </w:tr>
      <w:tr w14:paraId="2B518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1D8579D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6CA7EBE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照明系统节能技术</w:t>
            </w:r>
          </w:p>
        </w:tc>
        <w:tc>
          <w:tcPr>
            <w:tcW w:w="5883" w:type="dxa"/>
            <w:vAlign w:val="center"/>
          </w:tcPr>
          <w:p w14:paraId="4AA888A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采用LED灯等高效节能的电光源，可采用分布式或集中式智能照明控制系统，自动调光、启闭，实现自动化、程序化、智能化的管理监控，使整个照明系统更加高效节能。</w:t>
            </w:r>
          </w:p>
        </w:tc>
      </w:tr>
      <w:tr w14:paraId="76458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53E52CF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3473935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可再生能源应用技术</w:t>
            </w:r>
          </w:p>
        </w:tc>
        <w:tc>
          <w:tcPr>
            <w:tcW w:w="5883" w:type="dxa"/>
            <w:vAlign w:val="center"/>
          </w:tcPr>
          <w:p w14:paraId="1533E72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积极推进可再生能源在建筑中的模块化应用，重点</w:t>
            </w:r>
            <w:r>
              <w:rPr>
                <w:rFonts w:hint="eastAsia" w:ascii="Times New Roman" w:hAnsi="Times New Roman" w:eastAsia="宋体" w:cs="Times New Roman"/>
                <w:b w:val="0"/>
                <w:bCs w:val="0"/>
                <w:sz w:val="21"/>
                <w:szCs w:val="21"/>
                <w:lang w:val="en-US" w:eastAsia="zh-CN"/>
              </w:rPr>
              <w:t>包</w:t>
            </w:r>
            <w:r>
              <w:rPr>
                <w:rFonts w:hint="default" w:ascii="Times New Roman" w:hAnsi="Times New Roman" w:eastAsia="宋体" w:cs="Times New Roman"/>
                <w:b w:val="0"/>
                <w:bCs w:val="0"/>
                <w:sz w:val="21"/>
                <w:szCs w:val="21"/>
              </w:rPr>
              <w:t>括太阳能光伏发电系统和太阳能热水系统应用。</w:t>
            </w:r>
          </w:p>
        </w:tc>
      </w:tr>
      <w:tr w14:paraId="3F45E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4F2817F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4A1C333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水资源综合利用规划设计技术</w:t>
            </w:r>
          </w:p>
        </w:tc>
        <w:tc>
          <w:tcPr>
            <w:tcW w:w="5883" w:type="dxa"/>
            <w:vAlign w:val="center"/>
          </w:tcPr>
          <w:p w14:paraId="2D8DDE5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综合分析研究各种水资源利用的可能性和潜力，制定水系统规划方案，以提高水资源综合利用率，减少市政供水量和污水排放量。</w:t>
            </w:r>
          </w:p>
        </w:tc>
      </w:tr>
      <w:tr w14:paraId="10B44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4380E14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7349BCA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雨水综合利用设计技术</w:t>
            </w:r>
          </w:p>
        </w:tc>
        <w:tc>
          <w:tcPr>
            <w:tcW w:w="5883" w:type="dxa"/>
            <w:vAlign w:val="center"/>
          </w:tcPr>
          <w:p w14:paraId="17C10B2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根据当地降水量、雨水水质、汇水条件、可收集雨水量、项目雨水用水点（用水量）等一系列影响雨水利用实施的因素进行分析确定雨水收集系统规模。根据原水水质、用水途径和水质要求选用适当的处理工艺。</w:t>
            </w:r>
          </w:p>
        </w:tc>
      </w:tr>
      <w:tr w14:paraId="44B44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7BC8ECB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00449C3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建筑中水回用系统设计技术</w:t>
            </w:r>
          </w:p>
        </w:tc>
        <w:tc>
          <w:tcPr>
            <w:tcW w:w="5883" w:type="dxa"/>
            <w:vAlign w:val="center"/>
          </w:tcPr>
          <w:p w14:paraId="453E3D7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当项目所在地有市政中水时，优先选用市政中水（市政再生水）；无市政</w:t>
            </w:r>
            <w:r>
              <w:rPr>
                <w:rFonts w:hint="eastAsia" w:ascii="Times New Roman" w:hAnsi="Times New Roman" w:eastAsia="宋体" w:cs="Times New Roman"/>
                <w:b w:val="0"/>
                <w:bCs w:val="0"/>
                <w:sz w:val="21"/>
                <w:szCs w:val="21"/>
                <w:lang w:val="en-US" w:eastAsia="zh-CN"/>
              </w:rPr>
              <w:t>中水</w:t>
            </w:r>
            <w:r>
              <w:rPr>
                <w:rFonts w:hint="default" w:ascii="Times New Roman" w:hAnsi="Times New Roman" w:eastAsia="宋体" w:cs="Times New Roman"/>
                <w:b w:val="0"/>
                <w:bCs w:val="0"/>
                <w:sz w:val="21"/>
                <w:szCs w:val="21"/>
              </w:rPr>
              <w:t>利用时，可自设建筑中水设施，建议采用地埋式或封闭式设施，选用无污泥系统或少污泥系统并选用经济、适用成熟的处理工艺、安全可靠的消毒技术。</w:t>
            </w:r>
          </w:p>
        </w:tc>
      </w:tr>
      <w:tr w14:paraId="68A50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24ECC7C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2EB3DD0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建筑减量化技术和减量化材料</w:t>
            </w:r>
          </w:p>
        </w:tc>
        <w:tc>
          <w:tcPr>
            <w:tcW w:w="5883" w:type="dxa"/>
            <w:vAlign w:val="center"/>
          </w:tcPr>
          <w:p w14:paraId="712F233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采用环境友好型结构体系，建筑造型设计减少</w:t>
            </w:r>
            <w:r>
              <w:rPr>
                <w:rFonts w:hint="eastAsia" w:ascii="Times New Roman" w:hAnsi="Times New Roman" w:eastAsia="宋体" w:cs="Times New Roman"/>
                <w:b w:val="0"/>
                <w:bCs w:val="0"/>
                <w:sz w:val="21"/>
                <w:szCs w:val="21"/>
                <w:lang w:val="en-US" w:eastAsia="zh-CN"/>
              </w:rPr>
              <w:t>纯</w:t>
            </w:r>
            <w:r>
              <w:rPr>
                <w:rFonts w:hint="default" w:ascii="Times New Roman" w:hAnsi="Times New Roman" w:eastAsia="宋体" w:cs="Times New Roman"/>
                <w:b w:val="0"/>
                <w:bCs w:val="0"/>
                <w:sz w:val="21"/>
                <w:szCs w:val="21"/>
              </w:rPr>
              <w:t>装饰性构件，建筑设计进行建筑装修一体化设计和建筑工业化设计，设计选材使用高性能材料，建筑布局室内空间采用方便拆卸和重复使用的灵活隔断材料等设计方法来减少建筑对材料的需求水平。使用距离项目较近的本地生产的建材、使用可再循环材料和可快速再生材料等减量化材料。</w:t>
            </w:r>
          </w:p>
        </w:tc>
      </w:tr>
      <w:tr w14:paraId="048F9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305B0E9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2C673C8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废弃物再利用技术</w:t>
            </w:r>
          </w:p>
        </w:tc>
        <w:tc>
          <w:tcPr>
            <w:tcW w:w="5883" w:type="dxa"/>
            <w:vAlign w:val="center"/>
          </w:tcPr>
          <w:p w14:paraId="01D2D12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对于在不改变所回收物质形态的前提下进行材料的直接再利用，或经过再组合、再修复后再利用的建筑材料，应延长其使用周期，进行重复使用，降低材料生产的资源、能源消耗和材料运输对环境造成的影响。</w:t>
            </w:r>
          </w:p>
        </w:tc>
      </w:tr>
      <w:tr w14:paraId="774F1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43E6FA5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7D34E5B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废弃物资源化技术</w:t>
            </w:r>
          </w:p>
        </w:tc>
        <w:tc>
          <w:tcPr>
            <w:tcW w:w="5883" w:type="dxa"/>
            <w:vAlign w:val="center"/>
          </w:tcPr>
          <w:p w14:paraId="69D9D79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通过废弃物资源化利用，将建筑废弃物、工业废弃物和生活垃圾作为再</w:t>
            </w:r>
          </w:p>
          <w:p w14:paraId="264B5BA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生资源，用于生产</w:t>
            </w:r>
            <w:r>
              <w:rPr>
                <w:rFonts w:hint="eastAsia" w:ascii="Times New Roman" w:hAnsi="Times New Roman" w:eastAsia="宋体" w:cs="Times New Roman"/>
                <w:b w:val="0"/>
                <w:bCs w:val="0"/>
                <w:sz w:val="21"/>
                <w:szCs w:val="21"/>
                <w:lang w:eastAsia="zh-CN"/>
              </w:rPr>
              <w:t>“</w:t>
            </w:r>
            <w:r>
              <w:rPr>
                <w:rFonts w:hint="default" w:ascii="Times New Roman" w:hAnsi="Times New Roman" w:eastAsia="宋体" w:cs="Times New Roman"/>
                <w:b w:val="0"/>
                <w:bCs w:val="0"/>
                <w:sz w:val="21"/>
                <w:szCs w:val="21"/>
              </w:rPr>
              <w:t>绿色</w:t>
            </w:r>
            <w:r>
              <w:rPr>
                <w:rFonts w:hint="eastAsia" w:ascii="Times New Roman" w:hAnsi="Times New Roman" w:eastAsia="宋体" w:cs="Times New Roman"/>
                <w:b w:val="0"/>
                <w:bCs w:val="0"/>
                <w:sz w:val="21"/>
                <w:szCs w:val="21"/>
                <w:lang w:eastAsia="zh-CN"/>
              </w:rPr>
              <w:t>”</w:t>
            </w:r>
            <w:r>
              <w:rPr>
                <w:rFonts w:hint="default" w:ascii="Times New Roman" w:hAnsi="Times New Roman" w:eastAsia="宋体" w:cs="Times New Roman"/>
                <w:b w:val="0"/>
                <w:bCs w:val="0"/>
                <w:sz w:val="21"/>
                <w:szCs w:val="21"/>
              </w:rPr>
              <w:t>建材。</w:t>
            </w:r>
          </w:p>
        </w:tc>
      </w:tr>
      <w:tr w14:paraId="3774D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restart"/>
            <w:vAlign w:val="center"/>
          </w:tcPr>
          <w:p w14:paraId="286D6CB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环境宜居</w:t>
            </w:r>
          </w:p>
        </w:tc>
        <w:tc>
          <w:tcPr>
            <w:tcW w:w="1477" w:type="dxa"/>
            <w:vAlign w:val="center"/>
          </w:tcPr>
          <w:p w14:paraId="47B9DAF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场地景观优化设计技术</w:t>
            </w:r>
          </w:p>
        </w:tc>
        <w:tc>
          <w:tcPr>
            <w:tcW w:w="5883" w:type="dxa"/>
            <w:vAlign w:val="center"/>
          </w:tcPr>
          <w:p w14:paraId="0514F6E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合理进行植物配置，优先选择易种植、易生长、易养护、安全的乡土植物。设置透水地面，优化水景设计，构建植物成荫景观。广泛采用立体绿化技术。</w:t>
            </w:r>
          </w:p>
        </w:tc>
      </w:tr>
      <w:tr w14:paraId="33B52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1091B1D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4090145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场地声环境优化设计技术</w:t>
            </w:r>
          </w:p>
        </w:tc>
        <w:tc>
          <w:tcPr>
            <w:tcW w:w="5883" w:type="dxa"/>
            <w:vAlign w:val="center"/>
          </w:tcPr>
          <w:p w14:paraId="3D06AA6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场地声环境设计应符合现行国家标准《声环境质量标准》GB3096 的规定。应对场地噪声现状进行检测或者模拟分析，当存在超标的噪声源时，应采取相应措施，如采取适当的隔声和降噪措施，或设置声屏障或降噪路面等措施。</w:t>
            </w:r>
          </w:p>
        </w:tc>
      </w:tr>
      <w:tr w14:paraId="280DE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4BB2CF8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01F9E01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场地光环境优化设计技术</w:t>
            </w:r>
          </w:p>
        </w:tc>
        <w:tc>
          <w:tcPr>
            <w:tcW w:w="5883" w:type="dxa"/>
            <w:vAlign w:val="center"/>
          </w:tcPr>
          <w:p w14:paraId="3EB3332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采用日照模拟分析软件辅助计算，合理确定建筑朝向、间距及高度，减少建筑间遮挡，采用可见光透射比较大的玻璃、防眩光路灯、防眩光玻璃幕墙（反射比不大于 0.30）等，合理选择绿色照明技术。</w:t>
            </w:r>
          </w:p>
        </w:tc>
      </w:tr>
      <w:tr w14:paraId="4F9A8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71CB132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0D1A38E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场地热环境优化设计技术</w:t>
            </w:r>
          </w:p>
        </w:tc>
        <w:tc>
          <w:tcPr>
            <w:tcW w:w="5883" w:type="dxa"/>
            <w:vAlign w:val="center"/>
          </w:tcPr>
          <w:p w14:paraId="7931EE2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宜种植高大乔木为停车场、人行道和广场等遮荫，另外还可以通过改变建筑物表面颜色，地面材料的反射率宜为 0.3-0.5，屋面材料的反射率宜为0.3-0.6。</w:t>
            </w:r>
          </w:p>
        </w:tc>
      </w:tr>
      <w:tr w14:paraId="77B42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191AF7F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6396C70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场地风环境优化设计</w:t>
            </w:r>
          </w:p>
        </w:tc>
        <w:tc>
          <w:tcPr>
            <w:tcW w:w="5883" w:type="dxa"/>
            <w:vAlign w:val="center"/>
          </w:tcPr>
          <w:p w14:paraId="0E27E4A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有目的性的调节室外的自然风向和风速，使空气流通与建筑功能的要求相协调。</w:t>
            </w:r>
          </w:p>
        </w:tc>
      </w:tr>
      <w:tr w14:paraId="33D0E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6210C7B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2D70D7D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废弃地污染治理和修复技术</w:t>
            </w:r>
          </w:p>
        </w:tc>
        <w:tc>
          <w:tcPr>
            <w:tcW w:w="5883" w:type="dxa"/>
            <w:vAlign w:val="center"/>
          </w:tcPr>
          <w:p w14:paraId="6008C6A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用地可以考虑使用处理过的废弃场地。利用物理法、化学法、微生物修复法等科技手段将垃圾中对人体有害的物质清除，再利用回填土加桩基等方法提高地基承载能力，如果有害物质不易清除，也可采取换土的方法保证废弃地的利用。</w:t>
            </w:r>
          </w:p>
        </w:tc>
      </w:tr>
    </w:tbl>
    <w:p w14:paraId="2E0BD593">
      <w:pPr>
        <w:pStyle w:val="34"/>
        <w:adjustRightInd w:val="0"/>
        <w:snapToGrid w:val="0"/>
        <w:spacing w:line="360" w:lineRule="auto"/>
        <w:ind w:firstLine="560"/>
        <w:rPr>
          <w:rFonts w:hint="default" w:ascii="Times New Roman" w:hAnsi="Times New Roman" w:cs="Times New Roman"/>
          <w:sz w:val="28"/>
          <w:szCs w:val="28"/>
        </w:rPr>
      </w:pPr>
    </w:p>
    <w:p w14:paraId="6BDB4D0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从经济性、宜居性、可操作性等三个指标对各项绿色建筑技术进行评价，分别对每项技术进行打分推荐。每个指标的评价结果分为很好（★★★）、好（★★）、一般（★）三个等级。</w:t>
      </w:r>
    </w:p>
    <w:p w14:paraId="5646AFF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经济性评价指标取决于该项技术实施所需投入的成本高低。例如，建筑减量化技术和减量化材料主要从设计角度实现材料节约，不对建筑工程造价产生任何增量，因此该项技术经济性评价指标结果为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；照明系统节能技术中照明系统采用分区、定时、感应等节能控制措施的实施相比常规无节能控制措施照明系统需增加一定成本投资，但成本增量不大，因此该项技术经济性评价指标结果为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；太阳能光伏光热利用技术、热回收技术目前投入成本价较大，因此该项技术经济性评价指标结果为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p>
    <w:p w14:paraId="464B56C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宜居性评价指标取决于该项技术的实施对于改善建筑使用者使用体验的效果。例如，围护结构节能技术有利于减少围护结构的太阳辐射得热，改善室内热环境，提高室内热舒适度，因此该项技术宜居性评价指标结果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；水资源综合利用技术能较少传统人工浇灌带来的跑水现象，对周边环境感观有一定改善作用，因此该项技术宜居性评价指标结果为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；建筑减量化技术对于改善建筑使用者使用体验并无效果，因此该项技术宜居性评价指标结果为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p>
    <w:p w14:paraId="1E42942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可操作性评价指标取决于该项技术目前使用成熟度和实施难度。例如，照明系统节能技术中LED灯安装方便，目前广泛应用于建筑中，因此该项技术可操作性评价指标结果为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；场地设置声屏障，虽然目前已有多种措施达到要求，但目前建筑项目实施成熟度还不够，因此该项技术可操作性评价指标结果为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；废弃物再利用技术采用以废弃物为原料的建筑材料技术目前成熟度还不够，市面上可选产品较少，因此该项技术可操作性评价指标结果为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p>
    <w:p w14:paraId="78D22275">
      <w:pPr>
        <w:pStyle w:val="34"/>
        <w:adjustRightInd w:val="0"/>
        <w:snapToGrid w:val="0"/>
        <w:spacing w:line="360" w:lineRule="auto"/>
        <w:ind w:firstLine="560"/>
        <w:rPr>
          <w:rFonts w:hint="default" w:ascii="Times New Roman" w:hAnsi="Times New Roman" w:cs="Times New Roman"/>
          <w:szCs w:val="21"/>
        </w:rPr>
      </w:pPr>
      <w:r>
        <w:rPr>
          <w:rFonts w:hint="default" w:ascii="Times New Roman" w:hAnsi="Times New Roman" w:cs="Times New Roman"/>
          <w:sz w:val="28"/>
          <w:szCs w:val="28"/>
        </w:rPr>
        <w:t>结合中山市经济社会发展水平及建筑建设现状，从安全耐久、健康舒适、生活便利、资源节约、环境宜居方面提出适宜中山市的绿色建筑技术路线，并基于经济性、宜居性、可操作性对各项技术措施进行评价，以供技术选择时进行参考。评价结果如表3-8所示。</w:t>
      </w:r>
    </w:p>
    <w:p w14:paraId="69A76A9D">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表3-8 中山市绿色建筑技术措施评价表</w:t>
      </w:r>
    </w:p>
    <w:tbl>
      <w:tblPr>
        <w:tblStyle w:val="26"/>
        <w:tblW w:w="496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5"/>
        <w:gridCol w:w="3821"/>
        <w:gridCol w:w="1246"/>
        <w:gridCol w:w="1246"/>
        <w:gridCol w:w="1178"/>
      </w:tblGrid>
      <w:tr w14:paraId="09751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blHeader/>
        </w:trPr>
        <w:tc>
          <w:tcPr>
            <w:tcW w:w="965" w:type="dxa"/>
            <w:vAlign w:val="center"/>
          </w:tcPr>
          <w:p w14:paraId="7AB5AE2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类型</w:t>
            </w:r>
          </w:p>
        </w:tc>
        <w:tc>
          <w:tcPr>
            <w:tcW w:w="3821" w:type="dxa"/>
            <w:vAlign w:val="center"/>
          </w:tcPr>
          <w:p w14:paraId="3C1EF67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技术措施</w:t>
            </w:r>
          </w:p>
        </w:tc>
        <w:tc>
          <w:tcPr>
            <w:tcW w:w="1246" w:type="dxa"/>
            <w:vAlign w:val="center"/>
          </w:tcPr>
          <w:p w14:paraId="0981F5B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经济性</w:t>
            </w:r>
          </w:p>
        </w:tc>
        <w:tc>
          <w:tcPr>
            <w:tcW w:w="1246" w:type="dxa"/>
            <w:vAlign w:val="center"/>
          </w:tcPr>
          <w:p w14:paraId="2FC75C1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宜居性</w:t>
            </w:r>
          </w:p>
        </w:tc>
        <w:tc>
          <w:tcPr>
            <w:tcW w:w="1178" w:type="dxa"/>
            <w:vAlign w:val="center"/>
          </w:tcPr>
          <w:p w14:paraId="6299B0A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可操作性</w:t>
            </w:r>
          </w:p>
        </w:tc>
      </w:tr>
      <w:tr w14:paraId="431DC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restart"/>
            <w:vAlign w:val="center"/>
          </w:tcPr>
          <w:p w14:paraId="5BC84AF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安全耐久</w:t>
            </w:r>
          </w:p>
        </w:tc>
        <w:tc>
          <w:tcPr>
            <w:tcW w:w="3821" w:type="dxa"/>
            <w:vAlign w:val="center"/>
          </w:tcPr>
          <w:p w14:paraId="276C34B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使用耐久性建材</w:t>
            </w:r>
          </w:p>
        </w:tc>
        <w:tc>
          <w:tcPr>
            <w:tcW w:w="1246" w:type="dxa"/>
            <w:vAlign w:val="center"/>
          </w:tcPr>
          <w:p w14:paraId="6E7AB44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1EE0C38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637AB6D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4E776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4447757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2A6E071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抗震性能设计</w:t>
            </w:r>
          </w:p>
        </w:tc>
        <w:tc>
          <w:tcPr>
            <w:tcW w:w="1246" w:type="dxa"/>
            <w:vAlign w:val="center"/>
          </w:tcPr>
          <w:p w14:paraId="01A7077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1E89F1B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402B706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29F69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restart"/>
            <w:vAlign w:val="center"/>
          </w:tcPr>
          <w:p w14:paraId="25C45E0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健康舒适</w:t>
            </w:r>
          </w:p>
        </w:tc>
        <w:tc>
          <w:tcPr>
            <w:tcW w:w="3821" w:type="dxa"/>
            <w:vAlign w:val="center"/>
          </w:tcPr>
          <w:p w14:paraId="1E24E55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室内声光热、空气环境设计技术</w:t>
            </w:r>
          </w:p>
        </w:tc>
        <w:tc>
          <w:tcPr>
            <w:tcW w:w="1246" w:type="dxa"/>
            <w:vAlign w:val="center"/>
          </w:tcPr>
          <w:p w14:paraId="083B409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16E6F38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2E9EC75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4E55E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4B5C6E1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6C592D1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室内热舒适度营造法</w:t>
            </w:r>
          </w:p>
        </w:tc>
        <w:tc>
          <w:tcPr>
            <w:tcW w:w="1246" w:type="dxa"/>
            <w:vAlign w:val="center"/>
          </w:tcPr>
          <w:p w14:paraId="5541D71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37CA091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6294375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86A5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1C91BB4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291F534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室内采光照明控制技术</w:t>
            </w:r>
          </w:p>
        </w:tc>
        <w:tc>
          <w:tcPr>
            <w:tcW w:w="1246" w:type="dxa"/>
            <w:vAlign w:val="center"/>
          </w:tcPr>
          <w:p w14:paraId="00C5756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76D1631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04555FD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7A909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112EFC2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4A11DB3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空气质量控制技术</w:t>
            </w:r>
          </w:p>
        </w:tc>
        <w:tc>
          <w:tcPr>
            <w:tcW w:w="1246" w:type="dxa"/>
            <w:vAlign w:val="center"/>
          </w:tcPr>
          <w:p w14:paraId="288DEE7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08D7F1D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1C109EF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5758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restart"/>
            <w:vAlign w:val="center"/>
          </w:tcPr>
          <w:p w14:paraId="51FEEC7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生活便利</w:t>
            </w:r>
          </w:p>
        </w:tc>
        <w:tc>
          <w:tcPr>
            <w:tcW w:w="3821" w:type="dxa"/>
            <w:vAlign w:val="center"/>
          </w:tcPr>
          <w:p w14:paraId="08F0DAB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场地交通系统优化设计</w:t>
            </w:r>
          </w:p>
        </w:tc>
        <w:tc>
          <w:tcPr>
            <w:tcW w:w="1246" w:type="dxa"/>
            <w:vAlign w:val="center"/>
          </w:tcPr>
          <w:p w14:paraId="7989DC3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0B18DB6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4DDC5E8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70C75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4755372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43E085B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建筑室内外公共区域全龄化设计</w:t>
            </w:r>
          </w:p>
        </w:tc>
        <w:tc>
          <w:tcPr>
            <w:tcW w:w="1246" w:type="dxa"/>
            <w:vAlign w:val="center"/>
          </w:tcPr>
          <w:p w14:paraId="55214E2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49D2C8F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64D2702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59640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1D42484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71CB3D2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合理设置健身场地和空间</w:t>
            </w:r>
          </w:p>
        </w:tc>
        <w:tc>
          <w:tcPr>
            <w:tcW w:w="1246" w:type="dxa"/>
            <w:vAlign w:val="center"/>
          </w:tcPr>
          <w:p w14:paraId="5B9CD80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0AED15A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686FB39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6ADAE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429E5A6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7C618AA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切实落实绿色建筑的管理制度</w:t>
            </w:r>
          </w:p>
        </w:tc>
        <w:tc>
          <w:tcPr>
            <w:tcW w:w="1246" w:type="dxa"/>
            <w:vAlign w:val="center"/>
          </w:tcPr>
          <w:p w14:paraId="44C4C00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5DACD4E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0326C65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5AC53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7472DBF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6C06D6D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切实落实绿色建筑的技术管理手段</w:t>
            </w:r>
          </w:p>
        </w:tc>
        <w:tc>
          <w:tcPr>
            <w:tcW w:w="1246" w:type="dxa"/>
            <w:vAlign w:val="center"/>
          </w:tcPr>
          <w:p w14:paraId="68E0470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2ED9DD6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70D678B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7BEAA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restart"/>
            <w:vAlign w:val="center"/>
          </w:tcPr>
          <w:p w14:paraId="4A6E196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资源节约</w:t>
            </w:r>
          </w:p>
        </w:tc>
        <w:tc>
          <w:tcPr>
            <w:tcW w:w="3821" w:type="dxa"/>
            <w:vAlign w:val="center"/>
          </w:tcPr>
          <w:p w14:paraId="644F8B0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围护结构节能技术</w:t>
            </w:r>
          </w:p>
        </w:tc>
        <w:tc>
          <w:tcPr>
            <w:tcW w:w="1246" w:type="dxa"/>
            <w:vAlign w:val="center"/>
          </w:tcPr>
          <w:p w14:paraId="12C5480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44CEEBD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3870BB5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1A501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51F957E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0E84865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暖通空调系统节能技术</w:t>
            </w:r>
          </w:p>
        </w:tc>
        <w:tc>
          <w:tcPr>
            <w:tcW w:w="1246" w:type="dxa"/>
            <w:vAlign w:val="center"/>
          </w:tcPr>
          <w:p w14:paraId="1406D76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3688171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19F1CB6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1822E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7BCF5AE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7B3036F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照明系统节能技术</w:t>
            </w:r>
          </w:p>
        </w:tc>
        <w:tc>
          <w:tcPr>
            <w:tcW w:w="1246" w:type="dxa"/>
            <w:vAlign w:val="center"/>
          </w:tcPr>
          <w:p w14:paraId="1591240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077D4A1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77D099D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7FAEE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35AF8F3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698DBEE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可再生能源应用技术</w:t>
            </w:r>
          </w:p>
        </w:tc>
        <w:tc>
          <w:tcPr>
            <w:tcW w:w="1246" w:type="dxa"/>
            <w:vAlign w:val="center"/>
          </w:tcPr>
          <w:p w14:paraId="1BB193C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6FC4592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5A9F9A6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1E7D1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1CCD63E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24543D6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水资源综合利用规划设计技术</w:t>
            </w:r>
          </w:p>
        </w:tc>
        <w:tc>
          <w:tcPr>
            <w:tcW w:w="1246" w:type="dxa"/>
            <w:vAlign w:val="center"/>
          </w:tcPr>
          <w:p w14:paraId="4ED94A3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35068DB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3C5FB71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4AD3E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6A1A376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26360A0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雨水综合利用设计技术</w:t>
            </w:r>
          </w:p>
        </w:tc>
        <w:tc>
          <w:tcPr>
            <w:tcW w:w="1246" w:type="dxa"/>
            <w:vAlign w:val="center"/>
          </w:tcPr>
          <w:p w14:paraId="701F9BD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7A498B9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56786CA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554FF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27E1306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2BF47D1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建筑中水回用系统设计技术</w:t>
            </w:r>
          </w:p>
        </w:tc>
        <w:tc>
          <w:tcPr>
            <w:tcW w:w="1246" w:type="dxa"/>
            <w:vAlign w:val="center"/>
          </w:tcPr>
          <w:p w14:paraId="1F649C4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2BB668C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4DAB9F8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6FC7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0960CAF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3D6541A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建筑减量化技术和减量化材料</w:t>
            </w:r>
          </w:p>
        </w:tc>
        <w:tc>
          <w:tcPr>
            <w:tcW w:w="1246" w:type="dxa"/>
            <w:vAlign w:val="center"/>
          </w:tcPr>
          <w:p w14:paraId="243588E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3BFFB18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07B705F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5FAF7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71AB795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6E0D3F4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废弃物再利用技术</w:t>
            </w:r>
          </w:p>
        </w:tc>
        <w:tc>
          <w:tcPr>
            <w:tcW w:w="1246" w:type="dxa"/>
            <w:vAlign w:val="center"/>
          </w:tcPr>
          <w:p w14:paraId="6C77FC3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75EBBEF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350C05F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12C7C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33F1A75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400DE41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废弃物资源化技术</w:t>
            </w:r>
          </w:p>
        </w:tc>
        <w:tc>
          <w:tcPr>
            <w:tcW w:w="1246" w:type="dxa"/>
            <w:vAlign w:val="center"/>
          </w:tcPr>
          <w:p w14:paraId="2A6AD99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2CB9712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1ACA91A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4CA1A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restart"/>
            <w:vAlign w:val="center"/>
          </w:tcPr>
          <w:p w14:paraId="3C081BB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环境宜居</w:t>
            </w:r>
          </w:p>
        </w:tc>
        <w:tc>
          <w:tcPr>
            <w:tcW w:w="3821" w:type="dxa"/>
            <w:vAlign w:val="center"/>
          </w:tcPr>
          <w:p w14:paraId="0078D6F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场地景观优化设计技术</w:t>
            </w:r>
          </w:p>
        </w:tc>
        <w:tc>
          <w:tcPr>
            <w:tcW w:w="1246" w:type="dxa"/>
            <w:vAlign w:val="center"/>
          </w:tcPr>
          <w:p w14:paraId="3530A0D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14786D6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72AC6B6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6A722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5AA0D45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75FBCDE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场地声环境优化设计技术</w:t>
            </w:r>
          </w:p>
        </w:tc>
        <w:tc>
          <w:tcPr>
            <w:tcW w:w="1246" w:type="dxa"/>
            <w:vAlign w:val="center"/>
          </w:tcPr>
          <w:p w14:paraId="626893C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421CFDE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5D6F532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7345B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707D554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3DA8C8A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场地光环境优化设计技术</w:t>
            </w:r>
          </w:p>
        </w:tc>
        <w:tc>
          <w:tcPr>
            <w:tcW w:w="1246" w:type="dxa"/>
            <w:vAlign w:val="center"/>
          </w:tcPr>
          <w:p w14:paraId="54FEA43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79D0B63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2473061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3314D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37BF155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252CBA5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场地热环境优化设计技术</w:t>
            </w:r>
          </w:p>
        </w:tc>
        <w:tc>
          <w:tcPr>
            <w:tcW w:w="1246" w:type="dxa"/>
            <w:vAlign w:val="center"/>
          </w:tcPr>
          <w:p w14:paraId="6799456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3806838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4200D6D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1B09D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3B184D1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0553C40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场地风环境优化设计</w:t>
            </w:r>
          </w:p>
        </w:tc>
        <w:tc>
          <w:tcPr>
            <w:tcW w:w="1246" w:type="dxa"/>
            <w:vAlign w:val="center"/>
          </w:tcPr>
          <w:p w14:paraId="16ED151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23E778E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335ABCA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75FB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0E67087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4FDFF11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废弃地污染治理和修复技术</w:t>
            </w:r>
          </w:p>
        </w:tc>
        <w:tc>
          <w:tcPr>
            <w:tcW w:w="1246" w:type="dxa"/>
            <w:vAlign w:val="center"/>
          </w:tcPr>
          <w:p w14:paraId="4880BD6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41DA34F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5362F5B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bl>
    <w:p w14:paraId="7CA27C79">
      <w:pPr>
        <w:pStyle w:val="34"/>
        <w:adjustRightInd w:val="0"/>
        <w:snapToGrid w:val="0"/>
        <w:spacing w:line="360" w:lineRule="auto"/>
        <w:ind w:firstLine="560"/>
        <w:rPr>
          <w:rFonts w:hint="default" w:ascii="Times New Roman" w:hAnsi="Times New Roman" w:cs="Times New Roman"/>
          <w:sz w:val="28"/>
          <w:szCs w:val="28"/>
        </w:rPr>
      </w:pPr>
    </w:p>
    <w:p w14:paraId="331DB28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针对不同建筑类型，从各种建筑类型的使用功能、应用要求等特点出发，结合表3-7</w:t>
      </w:r>
      <w:r>
        <w:rPr>
          <w:rFonts w:hint="default" w:ascii="Times New Roman" w:hAnsi="Times New Roman" w:cs="Times New Roman"/>
          <w:sz w:val="28"/>
          <w:szCs w:val="28"/>
          <w:lang w:eastAsia="zh-CN"/>
        </w:rPr>
        <w:t>、</w:t>
      </w:r>
      <w:r>
        <w:rPr>
          <w:rFonts w:hint="default" w:ascii="Times New Roman" w:hAnsi="Times New Roman" w:cs="Times New Roman"/>
          <w:sz w:val="28"/>
          <w:szCs w:val="28"/>
          <w:lang w:val="en-US" w:eastAsia="zh-CN"/>
        </w:rPr>
        <w:t>表3-8</w:t>
      </w:r>
      <w:r>
        <w:rPr>
          <w:rFonts w:hint="default" w:ascii="Times New Roman" w:hAnsi="Times New Roman" w:cs="Times New Roman"/>
          <w:sz w:val="28"/>
          <w:szCs w:val="28"/>
        </w:rPr>
        <w:t>的绿色建筑技术措施，按不同建筑类型对各技术措施进行推荐打分，每个指标的评价结果分为非常推荐（★★★）、可使用（★★）、酌情使用（★）三个等级。各建筑类型绿色建筑技术推荐评价表如表3-9所示。</w:t>
      </w:r>
    </w:p>
    <w:p w14:paraId="7753B306">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表3-9 各建筑类型绿色建筑技术推荐评价表</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6"/>
        <w:gridCol w:w="3006"/>
        <w:gridCol w:w="758"/>
        <w:gridCol w:w="758"/>
        <w:gridCol w:w="758"/>
        <w:gridCol w:w="758"/>
        <w:gridCol w:w="758"/>
        <w:gridCol w:w="758"/>
      </w:tblGrid>
      <w:tr w14:paraId="2529B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blHeader/>
        </w:trPr>
        <w:tc>
          <w:tcPr>
            <w:tcW w:w="966" w:type="dxa"/>
            <w:vAlign w:val="center"/>
          </w:tcPr>
          <w:p w14:paraId="2B1317F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类型</w:t>
            </w:r>
          </w:p>
        </w:tc>
        <w:tc>
          <w:tcPr>
            <w:tcW w:w="3006" w:type="dxa"/>
            <w:vAlign w:val="center"/>
          </w:tcPr>
          <w:p w14:paraId="496DD33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技术措施</w:t>
            </w:r>
          </w:p>
        </w:tc>
        <w:tc>
          <w:tcPr>
            <w:tcW w:w="758" w:type="dxa"/>
            <w:vAlign w:val="center"/>
          </w:tcPr>
          <w:p w14:paraId="7FD6BBD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居住</w:t>
            </w:r>
          </w:p>
          <w:p w14:paraId="7B9E78F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w:t>
            </w:r>
          </w:p>
        </w:tc>
        <w:tc>
          <w:tcPr>
            <w:tcW w:w="758" w:type="dxa"/>
            <w:vAlign w:val="center"/>
          </w:tcPr>
          <w:p w14:paraId="5EEBE67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办公</w:t>
            </w:r>
          </w:p>
          <w:p w14:paraId="0BCC428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w:t>
            </w:r>
          </w:p>
        </w:tc>
        <w:tc>
          <w:tcPr>
            <w:tcW w:w="758" w:type="dxa"/>
            <w:vAlign w:val="center"/>
          </w:tcPr>
          <w:p w14:paraId="14ACD2C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学校</w:t>
            </w:r>
          </w:p>
          <w:p w14:paraId="09416DB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w:t>
            </w:r>
          </w:p>
        </w:tc>
        <w:tc>
          <w:tcPr>
            <w:tcW w:w="758" w:type="dxa"/>
            <w:vAlign w:val="center"/>
          </w:tcPr>
          <w:p w14:paraId="706BACC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医院</w:t>
            </w:r>
          </w:p>
          <w:p w14:paraId="184A73C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w:t>
            </w:r>
          </w:p>
        </w:tc>
        <w:tc>
          <w:tcPr>
            <w:tcW w:w="758" w:type="dxa"/>
            <w:vAlign w:val="center"/>
          </w:tcPr>
          <w:p w14:paraId="1D62736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商业</w:t>
            </w:r>
          </w:p>
          <w:p w14:paraId="630BAC9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w:t>
            </w:r>
          </w:p>
        </w:tc>
        <w:tc>
          <w:tcPr>
            <w:tcW w:w="758" w:type="dxa"/>
            <w:vAlign w:val="center"/>
          </w:tcPr>
          <w:p w14:paraId="65B00F7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旅馆</w:t>
            </w:r>
          </w:p>
          <w:p w14:paraId="42EF9CA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w:t>
            </w:r>
          </w:p>
        </w:tc>
      </w:tr>
      <w:tr w14:paraId="183C3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restart"/>
            <w:vAlign w:val="center"/>
          </w:tcPr>
          <w:p w14:paraId="41E9F78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安全耐久</w:t>
            </w:r>
          </w:p>
        </w:tc>
        <w:tc>
          <w:tcPr>
            <w:tcW w:w="3006" w:type="dxa"/>
            <w:vAlign w:val="center"/>
          </w:tcPr>
          <w:p w14:paraId="4ED7405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使用耐久性建材</w:t>
            </w:r>
          </w:p>
        </w:tc>
        <w:tc>
          <w:tcPr>
            <w:tcW w:w="758" w:type="dxa"/>
            <w:vAlign w:val="center"/>
          </w:tcPr>
          <w:p w14:paraId="480AC90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C52724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E03E8D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73CBEE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11A70D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06324E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36523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214A5F2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0079826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抗震性能设计</w:t>
            </w:r>
          </w:p>
        </w:tc>
        <w:tc>
          <w:tcPr>
            <w:tcW w:w="758" w:type="dxa"/>
            <w:vAlign w:val="center"/>
          </w:tcPr>
          <w:p w14:paraId="686312B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C37D70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2D425F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4CAC7A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6A421D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D755B4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1C2A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restart"/>
            <w:vAlign w:val="center"/>
          </w:tcPr>
          <w:p w14:paraId="0618ED4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健康舒适</w:t>
            </w:r>
          </w:p>
        </w:tc>
        <w:tc>
          <w:tcPr>
            <w:tcW w:w="3006" w:type="dxa"/>
            <w:vAlign w:val="center"/>
          </w:tcPr>
          <w:p w14:paraId="06A852F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室内声光热、空气环境设计技术</w:t>
            </w:r>
          </w:p>
        </w:tc>
        <w:tc>
          <w:tcPr>
            <w:tcW w:w="758" w:type="dxa"/>
            <w:vAlign w:val="center"/>
          </w:tcPr>
          <w:p w14:paraId="6DB1FC4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F3AEE6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C81FDD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675B1C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43D284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7132EE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730C2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6674C47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2746D54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室内热舒适度营造法</w:t>
            </w:r>
          </w:p>
        </w:tc>
        <w:tc>
          <w:tcPr>
            <w:tcW w:w="758" w:type="dxa"/>
            <w:vAlign w:val="center"/>
          </w:tcPr>
          <w:p w14:paraId="6038C50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093ED9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7A382B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B29B9E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3A5FF9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25B6EE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4BB69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2E123BE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2FD14DE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室内采光照明控制技术</w:t>
            </w:r>
          </w:p>
        </w:tc>
        <w:tc>
          <w:tcPr>
            <w:tcW w:w="758" w:type="dxa"/>
            <w:vAlign w:val="center"/>
          </w:tcPr>
          <w:p w14:paraId="5AA68B4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618013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5E34D6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B8DA54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06FEF8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50D49B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74C32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1245162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4816DBB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空气质量控制技术</w:t>
            </w:r>
          </w:p>
        </w:tc>
        <w:tc>
          <w:tcPr>
            <w:tcW w:w="758" w:type="dxa"/>
            <w:vAlign w:val="center"/>
          </w:tcPr>
          <w:p w14:paraId="5E1205F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6E66D3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06C2DE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64135E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7677B9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4DABA6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6F56B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restart"/>
            <w:vAlign w:val="center"/>
          </w:tcPr>
          <w:p w14:paraId="6BB869E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生活便利</w:t>
            </w:r>
          </w:p>
        </w:tc>
        <w:tc>
          <w:tcPr>
            <w:tcW w:w="3006" w:type="dxa"/>
            <w:vAlign w:val="center"/>
          </w:tcPr>
          <w:p w14:paraId="525F2D4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场地交通系统优化设计</w:t>
            </w:r>
          </w:p>
        </w:tc>
        <w:tc>
          <w:tcPr>
            <w:tcW w:w="758" w:type="dxa"/>
            <w:vAlign w:val="center"/>
          </w:tcPr>
          <w:p w14:paraId="301F1E2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3639BD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3C4B1C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3D00F5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003212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5D0183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5DB3F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18CA645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256F979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建筑室内外公共区域全龄化设计</w:t>
            </w:r>
          </w:p>
        </w:tc>
        <w:tc>
          <w:tcPr>
            <w:tcW w:w="758" w:type="dxa"/>
            <w:vAlign w:val="center"/>
          </w:tcPr>
          <w:p w14:paraId="6C802D3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D8C95F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53AE7D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B88ACE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E93C6E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9391CE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3649A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68672C1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33BCF2D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合理设置健身场地和空间</w:t>
            </w:r>
          </w:p>
        </w:tc>
        <w:tc>
          <w:tcPr>
            <w:tcW w:w="758" w:type="dxa"/>
            <w:vAlign w:val="center"/>
          </w:tcPr>
          <w:p w14:paraId="534E9A6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41239C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1D68FA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EA706A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533557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A2D0A9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723A2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3B3215A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3D46D92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切实落实绿色建筑的管理制度</w:t>
            </w:r>
          </w:p>
        </w:tc>
        <w:tc>
          <w:tcPr>
            <w:tcW w:w="758" w:type="dxa"/>
            <w:vAlign w:val="center"/>
          </w:tcPr>
          <w:p w14:paraId="1F7AAA0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47765B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AB76B6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DF4450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8A8DA7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A9EDA9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32E54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395C251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3BBA5BE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切实落实绿色建筑的技术管理手段</w:t>
            </w:r>
          </w:p>
        </w:tc>
        <w:tc>
          <w:tcPr>
            <w:tcW w:w="758" w:type="dxa"/>
            <w:vAlign w:val="center"/>
          </w:tcPr>
          <w:p w14:paraId="2409261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19C2F8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15B470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B288FF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904777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6F9A6E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58CF2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restart"/>
            <w:vAlign w:val="center"/>
          </w:tcPr>
          <w:p w14:paraId="390653D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资源节约</w:t>
            </w:r>
          </w:p>
        </w:tc>
        <w:tc>
          <w:tcPr>
            <w:tcW w:w="3006" w:type="dxa"/>
            <w:vAlign w:val="center"/>
          </w:tcPr>
          <w:p w14:paraId="4B1DEEF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围护结构节能技术</w:t>
            </w:r>
          </w:p>
        </w:tc>
        <w:tc>
          <w:tcPr>
            <w:tcW w:w="758" w:type="dxa"/>
            <w:vAlign w:val="center"/>
          </w:tcPr>
          <w:p w14:paraId="7A3A793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2A55D7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3AD4D6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7D49AE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18F51F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85C9A4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DE6B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74DCEB2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251F7FA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暖通空调系统节能技术</w:t>
            </w:r>
          </w:p>
        </w:tc>
        <w:tc>
          <w:tcPr>
            <w:tcW w:w="758" w:type="dxa"/>
            <w:vAlign w:val="center"/>
          </w:tcPr>
          <w:p w14:paraId="012ED36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86F6E3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DD9634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EF30C1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5A3987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E358C6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3B55A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2AA040F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17ADBAA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照明系统节能技术</w:t>
            </w:r>
          </w:p>
        </w:tc>
        <w:tc>
          <w:tcPr>
            <w:tcW w:w="758" w:type="dxa"/>
            <w:vAlign w:val="center"/>
          </w:tcPr>
          <w:p w14:paraId="139AA8E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373D37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AFB8E5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F3C9FF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11C4C4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E84EB7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1CB2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3D953FF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5490229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可再生能源应用技术</w:t>
            </w:r>
          </w:p>
        </w:tc>
        <w:tc>
          <w:tcPr>
            <w:tcW w:w="758" w:type="dxa"/>
            <w:vAlign w:val="center"/>
          </w:tcPr>
          <w:p w14:paraId="06F93D2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FA28BC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2B54CE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942E21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9AF30C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FACDDA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C66C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575FDBD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5B66416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水资源综合利用规划设计技术</w:t>
            </w:r>
          </w:p>
        </w:tc>
        <w:tc>
          <w:tcPr>
            <w:tcW w:w="758" w:type="dxa"/>
            <w:vAlign w:val="center"/>
          </w:tcPr>
          <w:p w14:paraId="5EBC085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A123D9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C56129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A48D39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C27B4F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C2A87A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47F73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234075B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1509A01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雨水综合利用设计技术</w:t>
            </w:r>
          </w:p>
        </w:tc>
        <w:tc>
          <w:tcPr>
            <w:tcW w:w="758" w:type="dxa"/>
            <w:vAlign w:val="center"/>
          </w:tcPr>
          <w:p w14:paraId="31DCE89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EA01BD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705B7C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1B0442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206E56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15027F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6AE05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385E733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764E4BE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建筑中水回用系统设计技术</w:t>
            </w:r>
          </w:p>
        </w:tc>
        <w:tc>
          <w:tcPr>
            <w:tcW w:w="758" w:type="dxa"/>
            <w:vAlign w:val="center"/>
          </w:tcPr>
          <w:p w14:paraId="2E5E498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D3ACD6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289B5B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51F588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63A106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D66106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4B5BB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5C7CFAE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6C1406A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建筑减量化技术和减量化材料</w:t>
            </w:r>
          </w:p>
        </w:tc>
        <w:tc>
          <w:tcPr>
            <w:tcW w:w="758" w:type="dxa"/>
            <w:vAlign w:val="center"/>
          </w:tcPr>
          <w:p w14:paraId="7DA0A53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EEEDAB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6A27EB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68E164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F81ACC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A1F834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509A9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13EF75C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36CF26B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废弃物再利用技术</w:t>
            </w:r>
          </w:p>
        </w:tc>
        <w:tc>
          <w:tcPr>
            <w:tcW w:w="758" w:type="dxa"/>
            <w:vAlign w:val="center"/>
          </w:tcPr>
          <w:p w14:paraId="1EC765F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2B0A9E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79D36A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BA25B7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B94A66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D0C323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4BE6A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620E67B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4898C3D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废弃物资源化技术</w:t>
            </w:r>
          </w:p>
        </w:tc>
        <w:tc>
          <w:tcPr>
            <w:tcW w:w="758" w:type="dxa"/>
            <w:vAlign w:val="center"/>
          </w:tcPr>
          <w:p w14:paraId="2EB006E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C09D48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6F6978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E30180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DE92BD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98E571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6B16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restart"/>
            <w:vAlign w:val="center"/>
          </w:tcPr>
          <w:p w14:paraId="07C9D79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环境宜居</w:t>
            </w:r>
          </w:p>
        </w:tc>
        <w:tc>
          <w:tcPr>
            <w:tcW w:w="3006" w:type="dxa"/>
            <w:vAlign w:val="center"/>
          </w:tcPr>
          <w:p w14:paraId="73DE724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场地景观优化设计技术</w:t>
            </w:r>
          </w:p>
        </w:tc>
        <w:tc>
          <w:tcPr>
            <w:tcW w:w="758" w:type="dxa"/>
            <w:vAlign w:val="center"/>
          </w:tcPr>
          <w:p w14:paraId="273B6E9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E70123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51E002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7CB414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29F960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916FD2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79BAF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451BF8D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1950B77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场地声环境优化设计技术</w:t>
            </w:r>
          </w:p>
        </w:tc>
        <w:tc>
          <w:tcPr>
            <w:tcW w:w="758" w:type="dxa"/>
            <w:vAlign w:val="center"/>
          </w:tcPr>
          <w:p w14:paraId="4FB93C5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3ED62A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8DE1E2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3C2088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C574D7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F66D6B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C72E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609A980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44242BF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场地光环境优化设计技术</w:t>
            </w:r>
          </w:p>
        </w:tc>
        <w:tc>
          <w:tcPr>
            <w:tcW w:w="758" w:type="dxa"/>
            <w:vAlign w:val="center"/>
          </w:tcPr>
          <w:p w14:paraId="4E9E6E9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601557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3B9721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C866F9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895864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262253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184B4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2EB1310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5BEAB59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场地热环境优化设计技术</w:t>
            </w:r>
          </w:p>
        </w:tc>
        <w:tc>
          <w:tcPr>
            <w:tcW w:w="758" w:type="dxa"/>
            <w:vAlign w:val="center"/>
          </w:tcPr>
          <w:p w14:paraId="3AC4181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0554FA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700C9F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8B7A46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76BF60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1AE30D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15AFB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23EEA2B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584072E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场地风环境优化设计</w:t>
            </w:r>
          </w:p>
        </w:tc>
        <w:tc>
          <w:tcPr>
            <w:tcW w:w="758" w:type="dxa"/>
            <w:vAlign w:val="center"/>
          </w:tcPr>
          <w:p w14:paraId="532266C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81AFDF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3AD4C8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5CDEEC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E3CEEC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4C2821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CC89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0D1D6E5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51ED7D8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废弃地污染治理和修复技术</w:t>
            </w:r>
          </w:p>
        </w:tc>
        <w:tc>
          <w:tcPr>
            <w:tcW w:w="758" w:type="dxa"/>
            <w:vAlign w:val="center"/>
          </w:tcPr>
          <w:p w14:paraId="25B24AB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732DF7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E5ADD0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C82C39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3D7C52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C49318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bl>
    <w:p w14:paraId="48784060">
      <w:pPr>
        <w:rPr>
          <w:rFonts w:hint="default" w:ascii="Times New Roman" w:hAnsi="Times New Roman" w:eastAsia="宋体" w:cs="Times New Roman"/>
          <w:sz w:val="28"/>
          <w:szCs w:val="28"/>
        </w:rPr>
      </w:pPr>
      <w:r>
        <w:rPr>
          <w:rFonts w:hint="default" w:ascii="Times New Roman" w:hAnsi="Times New Roman" w:eastAsia="宋体" w:cs="Times New Roman"/>
          <w:sz w:val="28"/>
          <w:szCs w:val="28"/>
        </w:rPr>
        <w:br w:type="page"/>
      </w:r>
    </w:p>
    <w:p w14:paraId="75A45FD8">
      <w:pPr>
        <w:pStyle w:val="4"/>
        <w:rPr>
          <w:rFonts w:hint="default" w:ascii="Times New Roman" w:hAnsi="Times New Roman" w:cs="Times New Roman"/>
        </w:rPr>
      </w:pPr>
      <w:bookmarkStart w:id="108" w:name="_Toc124352516"/>
      <w:r>
        <w:rPr>
          <w:rFonts w:hint="default" w:ascii="Times New Roman" w:hAnsi="Times New Roman" w:cs="Times New Roman"/>
        </w:rPr>
        <w:t>四、发展组团与目标单元划分</w:t>
      </w:r>
      <w:bookmarkEnd w:id="108"/>
    </w:p>
    <w:p w14:paraId="20CFD69F">
      <w:pPr>
        <w:pStyle w:val="5"/>
        <w:rPr>
          <w:rFonts w:hint="default" w:ascii="Times New Roman" w:hAnsi="Times New Roman" w:cs="Times New Roman"/>
        </w:rPr>
      </w:pPr>
      <w:bookmarkStart w:id="109" w:name="_Toc124352517"/>
      <w:r>
        <w:rPr>
          <w:rFonts w:hint="default" w:ascii="Times New Roman" w:hAnsi="Times New Roman" w:cs="Times New Roman"/>
        </w:rPr>
        <w:t>4.1 划分依据</w:t>
      </w:r>
      <w:bookmarkEnd w:id="109"/>
    </w:p>
    <w:p w14:paraId="3F036AB2">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（1）发展组团：参照上位规划、产业空间布局、城市特定重点发展区域进行划分。</w:t>
      </w:r>
    </w:p>
    <w:p w14:paraId="02D6A628">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（2）目标单元：参照建设主管部门的行政边界，以中山市各镇街作为目标单元。针对各目标单元发展潜力，可进一步划分核心目标单元和基础目标单元，前者指标要求高于后者。</w:t>
      </w:r>
    </w:p>
    <w:p w14:paraId="6CF1D923">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重点区域：对接中山市国土空间规划内容以及中山市绿色建筑建设的发展现状和潜力分析结果，并结合中山市绿色建筑发展专项规划的要求，选择翠亨新区、火炬开发区、岐江新城作为中山市绿色建筑的重点发展区域。</w:t>
      </w:r>
    </w:p>
    <w:p w14:paraId="280389A9">
      <w:pPr>
        <w:pStyle w:val="5"/>
        <w:rPr>
          <w:rFonts w:hint="default" w:ascii="Times New Roman" w:hAnsi="Times New Roman" w:cs="Times New Roman"/>
        </w:rPr>
      </w:pPr>
      <w:bookmarkStart w:id="110" w:name="_Toc124352518"/>
      <w:r>
        <w:rPr>
          <w:rFonts w:hint="default" w:ascii="Times New Roman" w:hAnsi="Times New Roman" w:cs="Times New Roman"/>
        </w:rPr>
        <w:t>4.2 发展组团和目标单元列表</w:t>
      </w:r>
      <w:bookmarkEnd w:id="110"/>
    </w:p>
    <w:p w14:paraId="70BA5342">
      <w:pPr>
        <w:pStyle w:val="6"/>
        <w:numPr>
          <w:ilvl w:val="255"/>
          <w:numId w:val="0"/>
        </w:numPr>
        <w:ind w:firstLine="561"/>
        <w:rPr>
          <w:rFonts w:hint="default" w:ascii="Times New Roman" w:hAnsi="Times New Roman" w:cs="Times New Roman"/>
        </w:rPr>
      </w:pPr>
      <w:bookmarkStart w:id="111" w:name="_Toc124352519"/>
      <w:r>
        <w:rPr>
          <w:rFonts w:hint="default" w:ascii="Times New Roman" w:hAnsi="Times New Roman" w:cs="Times New Roman"/>
        </w:rPr>
        <w:t>4.2.1 发展组团</w:t>
      </w:r>
      <w:bookmarkEnd w:id="111"/>
    </w:p>
    <w:p w14:paraId="307B0898">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12" w:name="_Hlk101463758"/>
      <w:r>
        <w:rPr>
          <w:rFonts w:hint="default" w:ascii="Times New Roman" w:hAnsi="Times New Roman" w:eastAsia="宋体" w:cs="Times New Roman"/>
          <w:sz w:val="28"/>
          <w:szCs w:val="28"/>
        </w:rPr>
        <w:t>本规划参照国土空间总体规划对中山市市域组团的划分，将中山市划分为六大发展组团，分别为中心城区发展组团、翠亨新区发展组团、火炬区发展组团、西部发展组团、南部发展组团和北部发展组团。</w:t>
      </w:r>
    </w:p>
    <w:p w14:paraId="0528CFA2">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表4-1 中山市发展组团划分表</w:t>
      </w:r>
    </w:p>
    <w:tbl>
      <w:tblPr>
        <w:tblStyle w:val="25"/>
        <w:tblW w:w="5000" w:type="pct"/>
        <w:jc w:val="center"/>
        <w:tblLayout w:type="fixed"/>
        <w:tblCellMar>
          <w:top w:w="0" w:type="dxa"/>
          <w:left w:w="0" w:type="dxa"/>
          <w:bottom w:w="0" w:type="dxa"/>
          <w:right w:w="0" w:type="dxa"/>
        </w:tblCellMar>
      </w:tblPr>
      <w:tblGrid>
        <w:gridCol w:w="1404"/>
        <w:gridCol w:w="4556"/>
        <w:gridCol w:w="2562"/>
      </w:tblGrid>
      <w:tr w14:paraId="1FA642A0">
        <w:tblPrEx>
          <w:tblCellMar>
            <w:top w:w="0" w:type="dxa"/>
            <w:left w:w="0" w:type="dxa"/>
            <w:bottom w:w="0" w:type="dxa"/>
            <w:right w:w="0" w:type="dxa"/>
          </w:tblCellMar>
        </w:tblPrEx>
        <w:trPr>
          <w:trHeight w:val="340" w:hRule="atLeast"/>
          <w:jc w:val="center"/>
        </w:trPr>
        <w:tc>
          <w:tcPr>
            <w:tcW w:w="1652"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27BE4F5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序号</w:t>
            </w:r>
          </w:p>
        </w:tc>
        <w:tc>
          <w:tcPr>
            <w:tcW w:w="5359"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555A347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发展组团名称</w:t>
            </w:r>
          </w:p>
        </w:tc>
        <w:tc>
          <w:tcPr>
            <w:tcW w:w="3014"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779F4C2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分区编号</w:t>
            </w:r>
          </w:p>
        </w:tc>
      </w:tr>
      <w:tr w14:paraId="0D36F3EC">
        <w:tblPrEx>
          <w:tblCellMar>
            <w:top w:w="0" w:type="dxa"/>
            <w:left w:w="0" w:type="dxa"/>
            <w:bottom w:w="0" w:type="dxa"/>
            <w:right w:w="0" w:type="dxa"/>
          </w:tblCellMar>
        </w:tblPrEx>
        <w:trPr>
          <w:trHeight w:val="90" w:hRule="atLeast"/>
          <w:jc w:val="center"/>
        </w:trPr>
        <w:tc>
          <w:tcPr>
            <w:tcW w:w="1652"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2C56A658">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1</w:t>
            </w:r>
          </w:p>
        </w:tc>
        <w:tc>
          <w:tcPr>
            <w:tcW w:w="5359"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0D789CEB">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中心城区</w:t>
            </w:r>
            <w:bookmarkStart w:id="113" w:name="_Hlk124253801"/>
            <w:r>
              <w:rPr>
                <w:rFonts w:hint="default" w:ascii="Times New Roman" w:hAnsi="Times New Roman" w:eastAsia="宋体" w:cs="Times New Roman"/>
                <w:b w:val="0"/>
                <w:bCs/>
                <w:color w:val="000000"/>
                <w:kern w:val="0"/>
                <w:sz w:val="21"/>
                <w:szCs w:val="21"/>
              </w:rPr>
              <w:t>发展组团</w:t>
            </w:r>
            <w:bookmarkEnd w:id="113"/>
          </w:p>
        </w:tc>
        <w:tc>
          <w:tcPr>
            <w:tcW w:w="3014"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0CEDCC3B">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ZXCQ</w:t>
            </w:r>
          </w:p>
        </w:tc>
      </w:tr>
      <w:tr w14:paraId="7D5EBCE9">
        <w:tblPrEx>
          <w:tblCellMar>
            <w:top w:w="0" w:type="dxa"/>
            <w:left w:w="0" w:type="dxa"/>
            <w:bottom w:w="0" w:type="dxa"/>
            <w:right w:w="0" w:type="dxa"/>
          </w:tblCellMar>
        </w:tblPrEx>
        <w:trPr>
          <w:trHeight w:val="340" w:hRule="atLeast"/>
          <w:jc w:val="center"/>
        </w:trPr>
        <w:tc>
          <w:tcPr>
            <w:tcW w:w="1652"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4422C93D">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2</w:t>
            </w:r>
          </w:p>
        </w:tc>
        <w:tc>
          <w:tcPr>
            <w:tcW w:w="5359"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1DC717BF">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翠亨新区发展组团</w:t>
            </w:r>
          </w:p>
        </w:tc>
        <w:tc>
          <w:tcPr>
            <w:tcW w:w="3014"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1440447D">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CHXQ</w:t>
            </w:r>
          </w:p>
        </w:tc>
      </w:tr>
      <w:tr w14:paraId="13A30F90">
        <w:tblPrEx>
          <w:tblCellMar>
            <w:top w:w="0" w:type="dxa"/>
            <w:left w:w="0" w:type="dxa"/>
            <w:bottom w:w="0" w:type="dxa"/>
            <w:right w:w="0" w:type="dxa"/>
          </w:tblCellMar>
        </w:tblPrEx>
        <w:trPr>
          <w:trHeight w:val="340" w:hRule="atLeast"/>
          <w:jc w:val="center"/>
        </w:trPr>
        <w:tc>
          <w:tcPr>
            <w:tcW w:w="1652"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7C1FE2C9">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3</w:t>
            </w:r>
          </w:p>
        </w:tc>
        <w:tc>
          <w:tcPr>
            <w:tcW w:w="5359"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174D9D80">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火炬区发展组团</w:t>
            </w:r>
          </w:p>
        </w:tc>
        <w:tc>
          <w:tcPr>
            <w:tcW w:w="3014"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051340F9">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HJQ</w:t>
            </w:r>
          </w:p>
        </w:tc>
      </w:tr>
      <w:tr w14:paraId="21E02DA8">
        <w:tblPrEx>
          <w:tblCellMar>
            <w:top w:w="0" w:type="dxa"/>
            <w:left w:w="0" w:type="dxa"/>
            <w:bottom w:w="0" w:type="dxa"/>
            <w:right w:w="0" w:type="dxa"/>
          </w:tblCellMar>
        </w:tblPrEx>
        <w:trPr>
          <w:trHeight w:val="340" w:hRule="atLeast"/>
          <w:jc w:val="center"/>
        </w:trPr>
        <w:tc>
          <w:tcPr>
            <w:tcW w:w="1652"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62671F6F">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4</w:t>
            </w:r>
          </w:p>
        </w:tc>
        <w:tc>
          <w:tcPr>
            <w:tcW w:w="5359"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68BB43DB">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西部发展组团</w:t>
            </w:r>
          </w:p>
        </w:tc>
        <w:tc>
          <w:tcPr>
            <w:tcW w:w="3014"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41DA8C3D">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XBZT</w:t>
            </w:r>
          </w:p>
        </w:tc>
      </w:tr>
      <w:tr w14:paraId="4E15BF17">
        <w:tblPrEx>
          <w:tblCellMar>
            <w:top w:w="0" w:type="dxa"/>
            <w:left w:w="0" w:type="dxa"/>
            <w:bottom w:w="0" w:type="dxa"/>
            <w:right w:w="0" w:type="dxa"/>
          </w:tblCellMar>
        </w:tblPrEx>
        <w:trPr>
          <w:trHeight w:val="340" w:hRule="atLeast"/>
          <w:jc w:val="center"/>
        </w:trPr>
        <w:tc>
          <w:tcPr>
            <w:tcW w:w="1652"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4E1C787A">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5</w:t>
            </w:r>
          </w:p>
        </w:tc>
        <w:tc>
          <w:tcPr>
            <w:tcW w:w="5359"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5B9CDE95">
            <w:pPr>
              <w:widowControl/>
              <w:jc w:val="center"/>
              <w:rPr>
                <w:rFonts w:hint="default" w:ascii="Times New Roman" w:hAnsi="Times New Roman" w:eastAsia="宋体" w:cs="Times New Roman"/>
                <w:b w:val="0"/>
                <w:bCs/>
                <w:color w:val="000000"/>
                <w:kern w:val="0"/>
                <w:sz w:val="21"/>
                <w:szCs w:val="21"/>
              </w:rPr>
            </w:pPr>
            <w:bookmarkStart w:id="114" w:name="_Hlk124172801"/>
            <w:r>
              <w:rPr>
                <w:rFonts w:hint="default" w:ascii="Times New Roman" w:hAnsi="Times New Roman" w:eastAsia="宋体" w:cs="Times New Roman"/>
                <w:b w:val="0"/>
                <w:bCs/>
                <w:color w:val="000000"/>
                <w:kern w:val="0"/>
                <w:sz w:val="21"/>
                <w:szCs w:val="21"/>
              </w:rPr>
              <w:t>南部发展组团</w:t>
            </w:r>
            <w:bookmarkEnd w:id="114"/>
          </w:p>
        </w:tc>
        <w:tc>
          <w:tcPr>
            <w:tcW w:w="3014"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2685999A">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NBZT</w:t>
            </w:r>
          </w:p>
        </w:tc>
      </w:tr>
      <w:tr w14:paraId="302A5497">
        <w:tblPrEx>
          <w:tblCellMar>
            <w:top w:w="0" w:type="dxa"/>
            <w:left w:w="0" w:type="dxa"/>
            <w:bottom w:w="0" w:type="dxa"/>
            <w:right w:w="0" w:type="dxa"/>
          </w:tblCellMar>
        </w:tblPrEx>
        <w:trPr>
          <w:trHeight w:val="340" w:hRule="atLeast"/>
          <w:jc w:val="center"/>
        </w:trPr>
        <w:tc>
          <w:tcPr>
            <w:tcW w:w="1652"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31C90318">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6</w:t>
            </w:r>
          </w:p>
        </w:tc>
        <w:tc>
          <w:tcPr>
            <w:tcW w:w="5359"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7C3F4227">
            <w:pPr>
              <w:widowControl/>
              <w:jc w:val="center"/>
              <w:rPr>
                <w:rFonts w:hint="default" w:ascii="Times New Roman" w:hAnsi="Times New Roman" w:eastAsia="宋体" w:cs="Times New Roman"/>
                <w:b w:val="0"/>
                <w:bCs/>
                <w:color w:val="000000"/>
                <w:kern w:val="0"/>
                <w:sz w:val="21"/>
                <w:szCs w:val="21"/>
              </w:rPr>
            </w:pPr>
            <w:bookmarkStart w:id="115" w:name="_Hlk124172835"/>
            <w:r>
              <w:rPr>
                <w:rFonts w:hint="default" w:ascii="Times New Roman" w:hAnsi="Times New Roman" w:eastAsia="宋体" w:cs="Times New Roman"/>
                <w:b w:val="0"/>
                <w:bCs/>
                <w:color w:val="000000"/>
                <w:kern w:val="0"/>
                <w:sz w:val="21"/>
                <w:szCs w:val="21"/>
              </w:rPr>
              <w:t>北部发展组团</w:t>
            </w:r>
            <w:bookmarkEnd w:id="115"/>
          </w:p>
        </w:tc>
        <w:tc>
          <w:tcPr>
            <w:tcW w:w="3014"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63D716A2">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BBZT</w:t>
            </w:r>
          </w:p>
        </w:tc>
      </w:tr>
    </w:tbl>
    <w:p w14:paraId="7B3B808C">
      <w:pPr>
        <w:pStyle w:val="48"/>
        <w:rPr>
          <w:rFonts w:hint="default" w:ascii="Times New Roman" w:hAnsi="Times New Roman" w:cs="Times New Roman"/>
          <w:sz w:val="21"/>
          <w:szCs w:val="21"/>
        </w:rPr>
      </w:pPr>
    </w:p>
    <w:p w14:paraId="28F31E94">
      <w:pPr>
        <w:pStyle w:val="48"/>
        <w:rPr>
          <w:rFonts w:hint="default" w:ascii="Times New Roman" w:hAnsi="Times New Roman" w:cs="Times New Roman"/>
          <w:sz w:val="21"/>
          <w:szCs w:val="21"/>
        </w:rPr>
      </w:pPr>
    </w:p>
    <w:p w14:paraId="6893C7DC">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drawing>
          <wp:inline distT="0" distB="0" distL="0" distR="0">
            <wp:extent cx="5934075" cy="775906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0"/>
                    <a:srcRect t="3822"/>
                    <a:stretch>
                      <a:fillRect/>
                    </a:stretch>
                  </pic:blipFill>
                  <pic:spPr>
                    <a:xfrm>
                      <a:off x="0" y="0"/>
                      <a:ext cx="5934075" cy="7759330"/>
                    </a:xfrm>
                    <a:prstGeom prst="rect">
                      <a:avLst/>
                    </a:prstGeom>
                    <a:ln>
                      <a:noFill/>
                    </a:ln>
                  </pic:spPr>
                </pic:pic>
              </a:graphicData>
            </a:graphic>
          </wp:inline>
        </w:drawing>
      </w:r>
    </w:p>
    <w:p w14:paraId="0B97A3C1">
      <w:pPr>
        <w:pStyle w:val="34"/>
        <w:adjustRightInd w:val="0"/>
        <w:snapToGrid w:val="0"/>
        <w:spacing w:line="360" w:lineRule="auto"/>
        <w:ind w:firstLine="0" w:firstLineChars="0"/>
        <w:jc w:val="center"/>
        <w:rPr>
          <w:rFonts w:hint="default" w:ascii="Times New Roman" w:hAnsi="Times New Roman" w:cs="Times New Roman"/>
        </w:rPr>
      </w:pPr>
      <w:r>
        <w:rPr>
          <w:rFonts w:hint="default" w:ascii="Times New Roman" w:hAnsi="Times New Roman" w:eastAsia="宋体" w:cs="Times New Roman"/>
          <w:b w:val="0"/>
          <w:bCs w:val="0"/>
          <w:kern w:val="2"/>
          <w:sz w:val="21"/>
          <w:szCs w:val="21"/>
          <w:lang w:val="en-US" w:eastAsia="zh-CN" w:bidi="ar-SA"/>
        </w:rPr>
        <w:t>图4-1 发展组团划分图</w:t>
      </w:r>
      <w:bookmarkEnd w:id="112"/>
      <w:r>
        <w:rPr>
          <w:rFonts w:hint="default" w:ascii="Times New Roman" w:hAnsi="Times New Roman" w:cs="Times New Roman"/>
        </w:rPr>
        <w:br w:type="page"/>
      </w:r>
    </w:p>
    <w:p w14:paraId="5DB033C7">
      <w:pPr>
        <w:pStyle w:val="6"/>
        <w:numPr>
          <w:ilvl w:val="255"/>
          <w:numId w:val="0"/>
        </w:numPr>
        <w:ind w:firstLine="561"/>
        <w:rPr>
          <w:rFonts w:hint="default" w:ascii="Times New Roman" w:hAnsi="Times New Roman" w:cs="Times New Roman"/>
        </w:rPr>
      </w:pPr>
      <w:bookmarkStart w:id="116" w:name="_Toc110096408"/>
      <w:bookmarkStart w:id="117" w:name="_Toc124352520"/>
      <w:r>
        <w:rPr>
          <w:rFonts w:hint="default" w:ascii="Times New Roman" w:hAnsi="Times New Roman" w:cs="Times New Roman"/>
        </w:rPr>
        <w:t>4.2.2 目标单元</w:t>
      </w:r>
      <w:bookmarkEnd w:id="116"/>
      <w:bookmarkEnd w:id="117"/>
    </w:p>
    <w:p w14:paraId="52A42947">
      <w:pPr>
        <w:widowControl/>
        <w:adjustRightInd w:val="0"/>
        <w:snapToGrid w:val="0"/>
        <w:spacing w:line="360" w:lineRule="auto"/>
        <w:ind w:firstLine="560" w:firstLineChars="200"/>
        <w:rPr>
          <w:rFonts w:hint="default" w:ascii="Times New Roman" w:hAnsi="Times New Roman" w:eastAsia="宋体" w:cs="Times New Roman"/>
          <w:color w:val="FF0000"/>
          <w:sz w:val="28"/>
          <w:szCs w:val="28"/>
        </w:rPr>
      </w:pPr>
      <w:r>
        <w:rPr>
          <w:rFonts w:hint="default" w:ascii="Times New Roman" w:hAnsi="Times New Roman" w:eastAsia="宋体" w:cs="Times New Roman"/>
          <w:sz w:val="28"/>
          <w:szCs w:val="28"/>
        </w:rPr>
        <w:t>（1）中心城区发展组团目标单元</w:t>
      </w:r>
    </w:p>
    <w:p w14:paraId="7F385200">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根据中心城区发展组团的镇街划分，</w:t>
      </w:r>
      <w:r>
        <w:rPr>
          <w:rFonts w:hint="default" w:ascii="Times New Roman" w:hAnsi="Times New Roman" w:eastAsia="宋体" w:cs="Times New Roman"/>
          <w:color w:val="000000" w:themeColor="text1"/>
          <w:sz w:val="28"/>
          <w:szCs w:val="28"/>
          <w:lang w:val="en-US" w:eastAsia="zh-CN"/>
          <w14:textFill>
            <w14:solidFill>
              <w14:schemeClr w14:val="tx1"/>
            </w14:solidFill>
          </w14:textFill>
        </w:rPr>
        <w:t>先</w:t>
      </w:r>
      <w:r>
        <w:rPr>
          <w:rFonts w:hint="default" w:ascii="Times New Roman" w:hAnsi="Times New Roman" w:eastAsia="宋体" w:cs="Times New Roman"/>
          <w:color w:val="000000" w:themeColor="text1"/>
          <w:sz w:val="28"/>
          <w:szCs w:val="28"/>
          <w14:textFill>
            <w14:solidFill>
              <w14:schemeClr w14:val="tx1"/>
            </w14:solidFill>
          </w14:textFill>
        </w:rPr>
        <w:t>将中心城区发展组团划分为6个目标单元。</w:t>
      </w:r>
    </w:p>
    <w:p w14:paraId="6EC0ED91">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表4-2 中心城区发展组团目标单元列表</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5"/>
        <w:gridCol w:w="2341"/>
        <w:gridCol w:w="2341"/>
        <w:gridCol w:w="2341"/>
      </w:tblGrid>
      <w:tr w14:paraId="51E28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495" w:type="dxa"/>
            <w:shd w:val="clear" w:color="auto" w:fill="auto"/>
            <w:vAlign w:val="center"/>
          </w:tcPr>
          <w:p w14:paraId="3D9111EC">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2341" w:type="dxa"/>
            <w:shd w:val="clear" w:color="auto" w:fill="auto"/>
            <w:vAlign w:val="center"/>
          </w:tcPr>
          <w:p w14:paraId="2ABC8AB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发展组团</w:t>
            </w:r>
          </w:p>
        </w:tc>
        <w:tc>
          <w:tcPr>
            <w:tcW w:w="2341" w:type="dxa"/>
            <w:shd w:val="clear" w:color="auto" w:fill="auto"/>
            <w:vAlign w:val="center"/>
          </w:tcPr>
          <w:p w14:paraId="1BB70818">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341" w:type="dxa"/>
            <w:shd w:val="clear" w:color="auto" w:fill="auto"/>
            <w:vAlign w:val="center"/>
          </w:tcPr>
          <w:p w14:paraId="0B160A55">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目标单元代码</w:t>
            </w:r>
          </w:p>
        </w:tc>
      </w:tr>
      <w:tr w14:paraId="51AF8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495" w:type="dxa"/>
            <w:shd w:val="clear" w:color="auto" w:fill="auto"/>
            <w:vAlign w:val="center"/>
          </w:tcPr>
          <w:p w14:paraId="292721AC">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2341" w:type="dxa"/>
            <w:vMerge w:val="restart"/>
            <w:shd w:val="clear" w:color="auto" w:fill="auto"/>
            <w:vAlign w:val="center"/>
          </w:tcPr>
          <w:p w14:paraId="1540E461">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中心城区发展组团</w:t>
            </w:r>
          </w:p>
        </w:tc>
        <w:tc>
          <w:tcPr>
            <w:tcW w:w="2341" w:type="dxa"/>
            <w:shd w:val="clear" w:color="auto" w:fill="auto"/>
            <w:vAlign w:val="center"/>
          </w:tcPr>
          <w:p w14:paraId="3A055D84">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石岐街道</w:t>
            </w:r>
          </w:p>
        </w:tc>
        <w:tc>
          <w:tcPr>
            <w:tcW w:w="2341" w:type="dxa"/>
            <w:shd w:val="clear" w:color="auto" w:fill="auto"/>
            <w:vAlign w:val="center"/>
          </w:tcPr>
          <w:p w14:paraId="6D37892E">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ZXCQ-SQ</w:t>
            </w:r>
          </w:p>
        </w:tc>
      </w:tr>
      <w:tr w14:paraId="0499C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495" w:type="dxa"/>
            <w:shd w:val="clear" w:color="auto" w:fill="auto"/>
            <w:vAlign w:val="center"/>
          </w:tcPr>
          <w:p w14:paraId="5296C82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2341" w:type="dxa"/>
            <w:vMerge w:val="continue"/>
            <w:shd w:val="clear" w:color="auto" w:fill="auto"/>
            <w:vAlign w:val="center"/>
          </w:tcPr>
          <w:p w14:paraId="236AEAA8">
            <w:pPr>
              <w:widowControl/>
              <w:jc w:val="center"/>
              <w:rPr>
                <w:rFonts w:hint="default" w:ascii="Times New Roman" w:hAnsi="Times New Roman" w:eastAsia="宋体" w:cs="Times New Roman"/>
                <w:b w:val="0"/>
                <w:bCs w:val="0"/>
                <w:color w:val="000000"/>
                <w:kern w:val="0"/>
                <w:sz w:val="21"/>
                <w:szCs w:val="21"/>
              </w:rPr>
            </w:pPr>
          </w:p>
        </w:tc>
        <w:tc>
          <w:tcPr>
            <w:tcW w:w="2341" w:type="dxa"/>
            <w:shd w:val="clear" w:color="auto" w:fill="auto"/>
            <w:vAlign w:val="center"/>
          </w:tcPr>
          <w:p w14:paraId="33C156E4">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东区街道</w:t>
            </w:r>
          </w:p>
        </w:tc>
        <w:tc>
          <w:tcPr>
            <w:tcW w:w="2341" w:type="dxa"/>
            <w:shd w:val="clear" w:color="auto" w:fill="auto"/>
            <w:vAlign w:val="center"/>
          </w:tcPr>
          <w:p w14:paraId="027282BC">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ZXCQ-DQ</w:t>
            </w:r>
          </w:p>
        </w:tc>
      </w:tr>
      <w:tr w14:paraId="06F20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495" w:type="dxa"/>
            <w:shd w:val="clear" w:color="auto" w:fill="auto"/>
            <w:vAlign w:val="center"/>
          </w:tcPr>
          <w:p w14:paraId="41ABF666">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w:t>
            </w:r>
          </w:p>
        </w:tc>
        <w:tc>
          <w:tcPr>
            <w:tcW w:w="2341" w:type="dxa"/>
            <w:vMerge w:val="continue"/>
            <w:shd w:val="clear" w:color="auto" w:fill="auto"/>
            <w:vAlign w:val="center"/>
          </w:tcPr>
          <w:p w14:paraId="2D9902EA">
            <w:pPr>
              <w:widowControl/>
              <w:jc w:val="center"/>
              <w:rPr>
                <w:rFonts w:hint="default" w:ascii="Times New Roman" w:hAnsi="Times New Roman" w:eastAsia="宋体" w:cs="Times New Roman"/>
                <w:b w:val="0"/>
                <w:bCs w:val="0"/>
                <w:color w:val="000000"/>
                <w:kern w:val="0"/>
                <w:sz w:val="21"/>
                <w:szCs w:val="21"/>
              </w:rPr>
            </w:pPr>
          </w:p>
        </w:tc>
        <w:tc>
          <w:tcPr>
            <w:tcW w:w="2341" w:type="dxa"/>
            <w:shd w:val="clear" w:color="auto" w:fill="auto"/>
            <w:vAlign w:val="center"/>
          </w:tcPr>
          <w:p w14:paraId="09936D2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西区街道</w:t>
            </w:r>
          </w:p>
        </w:tc>
        <w:tc>
          <w:tcPr>
            <w:tcW w:w="2341" w:type="dxa"/>
            <w:shd w:val="clear" w:color="auto" w:fill="auto"/>
            <w:vAlign w:val="center"/>
          </w:tcPr>
          <w:p w14:paraId="74504FAF">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ZXCQ-XQ</w:t>
            </w:r>
          </w:p>
        </w:tc>
      </w:tr>
      <w:tr w14:paraId="3A166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495" w:type="dxa"/>
            <w:shd w:val="clear" w:color="auto" w:fill="auto"/>
            <w:vAlign w:val="center"/>
          </w:tcPr>
          <w:p w14:paraId="534BC856">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4</w:t>
            </w:r>
          </w:p>
        </w:tc>
        <w:tc>
          <w:tcPr>
            <w:tcW w:w="2341" w:type="dxa"/>
            <w:vMerge w:val="continue"/>
            <w:shd w:val="clear" w:color="auto" w:fill="auto"/>
            <w:vAlign w:val="center"/>
          </w:tcPr>
          <w:p w14:paraId="6DCD5912">
            <w:pPr>
              <w:widowControl/>
              <w:jc w:val="center"/>
              <w:rPr>
                <w:rFonts w:hint="default" w:ascii="Times New Roman" w:hAnsi="Times New Roman" w:eastAsia="宋体" w:cs="Times New Roman"/>
                <w:b w:val="0"/>
                <w:bCs w:val="0"/>
                <w:color w:val="000000"/>
                <w:kern w:val="0"/>
                <w:sz w:val="21"/>
                <w:szCs w:val="21"/>
              </w:rPr>
            </w:pPr>
          </w:p>
        </w:tc>
        <w:tc>
          <w:tcPr>
            <w:tcW w:w="2341" w:type="dxa"/>
            <w:shd w:val="clear" w:color="auto" w:fill="auto"/>
            <w:vAlign w:val="center"/>
          </w:tcPr>
          <w:p w14:paraId="1BD9D34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南区街道</w:t>
            </w:r>
          </w:p>
        </w:tc>
        <w:tc>
          <w:tcPr>
            <w:tcW w:w="2341" w:type="dxa"/>
            <w:shd w:val="clear" w:color="auto" w:fill="auto"/>
            <w:vAlign w:val="center"/>
          </w:tcPr>
          <w:p w14:paraId="45C06531">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ZXCQ-NQ</w:t>
            </w:r>
          </w:p>
        </w:tc>
      </w:tr>
      <w:tr w14:paraId="5D5AF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495" w:type="dxa"/>
            <w:shd w:val="clear" w:color="auto" w:fill="auto"/>
            <w:vAlign w:val="center"/>
          </w:tcPr>
          <w:p w14:paraId="5A56D519">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5</w:t>
            </w:r>
          </w:p>
        </w:tc>
        <w:tc>
          <w:tcPr>
            <w:tcW w:w="2341" w:type="dxa"/>
            <w:vMerge w:val="continue"/>
            <w:shd w:val="clear" w:color="auto" w:fill="auto"/>
            <w:vAlign w:val="center"/>
          </w:tcPr>
          <w:p w14:paraId="5BB7FC35">
            <w:pPr>
              <w:widowControl/>
              <w:jc w:val="center"/>
              <w:rPr>
                <w:rFonts w:hint="default" w:ascii="Times New Roman" w:hAnsi="Times New Roman" w:eastAsia="宋体" w:cs="Times New Roman"/>
                <w:b w:val="0"/>
                <w:bCs w:val="0"/>
                <w:color w:val="000000"/>
                <w:kern w:val="0"/>
                <w:sz w:val="21"/>
                <w:szCs w:val="21"/>
              </w:rPr>
            </w:pPr>
          </w:p>
        </w:tc>
        <w:tc>
          <w:tcPr>
            <w:tcW w:w="2341" w:type="dxa"/>
            <w:shd w:val="clear" w:color="auto" w:fill="auto"/>
            <w:vAlign w:val="center"/>
          </w:tcPr>
          <w:p w14:paraId="06D975A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五桂山街道</w:t>
            </w:r>
          </w:p>
        </w:tc>
        <w:tc>
          <w:tcPr>
            <w:tcW w:w="2341" w:type="dxa"/>
            <w:shd w:val="clear" w:color="auto" w:fill="auto"/>
            <w:vAlign w:val="center"/>
          </w:tcPr>
          <w:p w14:paraId="1EB5CFA4">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ZXCQ-WGS</w:t>
            </w:r>
          </w:p>
        </w:tc>
      </w:tr>
      <w:tr w14:paraId="34BD9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495" w:type="dxa"/>
            <w:shd w:val="clear" w:color="auto" w:fill="auto"/>
            <w:vAlign w:val="center"/>
          </w:tcPr>
          <w:p w14:paraId="14FD13C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6</w:t>
            </w:r>
          </w:p>
        </w:tc>
        <w:tc>
          <w:tcPr>
            <w:tcW w:w="2341" w:type="dxa"/>
            <w:vMerge w:val="continue"/>
            <w:shd w:val="clear" w:color="auto" w:fill="auto"/>
            <w:vAlign w:val="center"/>
          </w:tcPr>
          <w:p w14:paraId="31D1C27E">
            <w:pPr>
              <w:widowControl/>
              <w:jc w:val="center"/>
              <w:rPr>
                <w:rFonts w:hint="default" w:ascii="Times New Roman" w:hAnsi="Times New Roman" w:eastAsia="宋体" w:cs="Times New Roman"/>
                <w:b w:val="0"/>
                <w:bCs w:val="0"/>
                <w:color w:val="000000"/>
                <w:kern w:val="0"/>
                <w:sz w:val="21"/>
                <w:szCs w:val="21"/>
              </w:rPr>
            </w:pPr>
          </w:p>
        </w:tc>
        <w:tc>
          <w:tcPr>
            <w:tcW w:w="2341" w:type="dxa"/>
            <w:shd w:val="clear" w:color="auto" w:fill="auto"/>
            <w:vAlign w:val="center"/>
          </w:tcPr>
          <w:p w14:paraId="34CB079C">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港口镇</w:t>
            </w:r>
          </w:p>
        </w:tc>
        <w:tc>
          <w:tcPr>
            <w:tcW w:w="2341" w:type="dxa"/>
            <w:shd w:val="clear" w:color="auto" w:fill="auto"/>
            <w:vAlign w:val="center"/>
          </w:tcPr>
          <w:p w14:paraId="21A1EFE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ZXCQ-GK</w:t>
            </w:r>
          </w:p>
        </w:tc>
      </w:tr>
    </w:tbl>
    <w:p w14:paraId="64596A44">
      <w:pPr>
        <w:pStyle w:val="48"/>
        <w:rPr>
          <w:rFonts w:hint="default" w:ascii="Times New Roman" w:hAnsi="Times New Roman" w:cs="Times New Roman"/>
        </w:rPr>
      </w:pPr>
    </w:p>
    <w:p w14:paraId="69C6ABB1">
      <w:pPr>
        <w:pStyle w:val="48"/>
        <w:rPr>
          <w:rFonts w:hint="default" w:ascii="Times New Roman" w:hAnsi="Times New Roman" w:cs="Times New Roman"/>
        </w:rPr>
      </w:pPr>
      <w:r>
        <w:rPr>
          <w:rFonts w:hint="default" w:ascii="Times New Roman" w:hAnsi="Times New Roman" w:cs="Times New Roman"/>
        </w:rPr>
        <w:drawing>
          <wp:inline distT="0" distB="0" distL="114300" distR="114300">
            <wp:extent cx="3661410" cy="5021580"/>
            <wp:effectExtent l="0" t="0" r="15240" b="762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41"/>
                    <a:stretch>
                      <a:fillRect/>
                    </a:stretch>
                  </pic:blipFill>
                  <pic:spPr>
                    <a:xfrm>
                      <a:off x="0" y="0"/>
                      <a:ext cx="3661410" cy="5021580"/>
                    </a:xfrm>
                    <a:prstGeom prst="rect">
                      <a:avLst/>
                    </a:prstGeom>
                    <a:noFill/>
                    <a:ln>
                      <a:noFill/>
                    </a:ln>
                  </pic:spPr>
                </pic:pic>
              </a:graphicData>
            </a:graphic>
          </wp:inline>
        </w:drawing>
      </w:r>
    </w:p>
    <w:p w14:paraId="5320114C">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图4-2 中心城区发展组团目标单元划分图</w:t>
      </w:r>
    </w:p>
    <w:p w14:paraId="0EAEE1B6">
      <w:pPr>
        <w:rPr>
          <w:rFonts w:hint="default" w:ascii="Times New Roman" w:hAnsi="Times New Roman" w:eastAsia="宋体" w:cs="Times New Roman"/>
          <w:sz w:val="28"/>
          <w:szCs w:val="28"/>
        </w:rPr>
      </w:pPr>
      <w:r>
        <w:rPr>
          <w:rFonts w:hint="default" w:ascii="Times New Roman" w:hAnsi="Times New Roman" w:eastAsia="宋体" w:cs="Times New Roman"/>
          <w:sz w:val="28"/>
          <w:szCs w:val="28"/>
        </w:rPr>
        <w:br w:type="page"/>
      </w:r>
    </w:p>
    <w:p w14:paraId="0154A7F8">
      <w:pPr>
        <w:widowControl/>
        <w:adjustRightInd w:val="0"/>
        <w:snapToGrid w:val="0"/>
        <w:spacing w:line="360" w:lineRule="auto"/>
        <w:ind w:firstLine="560" w:firstLineChars="200"/>
        <w:rPr>
          <w:rFonts w:hint="default" w:ascii="Times New Roman" w:hAnsi="Times New Roman" w:eastAsia="宋体" w:cs="Times New Roman"/>
          <w:color w:val="FF0000"/>
          <w:sz w:val="28"/>
          <w:szCs w:val="28"/>
        </w:rPr>
      </w:pPr>
      <w:r>
        <w:rPr>
          <w:rFonts w:hint="default" w:ascii="Times New Roman" w:hAnsi="Times New Roman" w:eastAsia="宋体" w:cs="Times New Roman"/>
          <w:sz w:val="28"/>
          <w:szCs w:val="28"/>
        </w:rPr>
        <w:t>（2）翠亨新区发展组团目标单元</w:t>
      </w:r>
    </w:p>
    <w:p w14:paraId="31F48A5F">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根据</w:t>
      </w:r>
      <w:r>
        <w:rPr>
          <w:rFonts w:hint="default" w:ascii="Times New Roman" w:hAnsi="Times New Roman" w:eastAsia="宋体" w:cs="Times New Roman"/>
          <w:sz w:val="28"/>
          <w:szCs w:val="28"/>
        </w:rPr>
        <w:t>翠亨新区发展组团</w:t>
      </w:r>
      <w:r>
        <w:rPr>
          <w:rFonts w:hint="default" w:ascii="Times New Roman" w:hAnsi="Times New Roman" w:eastAsia="宋体" w:cs="Times New Roman"/>
          <w:color w:val="000000" w:themeColor="text1"/>
          <w:sz w:val="28"/>
          <w:szCs w:val="28"/>
          <w14:textFill>
            <w14:solidFill>
              <w14:schemeClr w14:val="tx1"/>
            </w14:solidFill>
          </w14:textFill>
        </w:rPr>
        <w:t>镇街划分，</w:t>
      </w:r>
      <w:r>
        <w:rPr>
          <w:rFonts w:hint="default" w:ascii="Times New Roman" w:hAnsi="Times New Roman" w:eastAsia="宋体" w:cs="Times New Roman"/>
          <w:color w:val="000000" w:themeColor="text1"/>
          <w:sz w:val="28"/>
          <w:szCs w:val="28"/>
          <w:lang w:val="en-US" w:eastAsia="zh-CN"/>
          <w14:textFill>
            <w14:solidFill>
              <w14:schemeClr w14:val="tx1"/>
            </w14:solidFill>
          </w14:textFill>
        </w:rPr>
        <w:t>先</w:t>
      </w:r>
      <w:r>
        <w:rPr>
          <w:rFonts w:hint="default" w:ascii="Times New Roman" w:hAnsi="Times New Roman" w:eastAsia="宋体" w:cs="Times New Roman"/>
          <w:color w:val="000000" w:themeColor="text1"/>
          <w:sz w:val="28"/>
          <w:szCs w:val="28"/>
          <w14:textFill>
            <w14:solidFill>
              <w14:schemeClr w14:val="tx1"/>
            </w14:solidFill>
          </w14:textFill>
        </w:rPr>
        <w:t>将</w:t>
      </w:r>
      <w:r>
        <w:rPr>
          <w:rFonts w:hint="default" w:ascii="Times New Roman" w:hAnsi="Times New Roman" w:eastAsia="宋体" w:cs="Times New Roman"/>
          <w:sz w:val="28"/>
          <w:szCs w:val="28"/>
        </w:rPr>
        <w:t>翠亨新区发展组团</w:t>
      </w:r>
      <w:r>
        <w:rPr>
          <w:rFonts w:hint="default" w:ascii="Times New Roman" w:hAnsi="Times New Roman" w:eastAsia="宋体" w:cs="Times New Roman"/>
          <w:color w:val="000000" w:themeColor="text1"/>
          <w:sz w:val="28"/>
          <w:szCs w:val="28"/>
          <w14:textFill>
            <w14:solidFill>
              <w14:schemeClr w14:val="tx1"/>
            </w14:solidFill>
          </w14:textFill>
        </w:rPr>
        <w:t>划分为2个目标单元。</w:t>
      </w:r>
    </w:p>
    <w:p w14:paraId="4998090F">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表4-3 翠亨新区发展组团目标单元列表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5"/>
        <w:gridCol w:w="2341"/>
        <w:gridCol w:w="2341"/>
        <w:gridCol w:w="2341"/>
      </w:tblGrid>
      <w:tr w14:paraId="002BB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0" w:type="dxa"/>
            <w:shd w:val="clear" w:color="auto" w:fill="auto"/>
            <w:vAlign w:val="center"/>
          </w:tcPr>
          <w:p w14:paraId="7067AE04">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2757" w:type="dxa"/>
            <w:shd w:val="clear" w:color="auto" w:fill="auto"/>
            <w:vAlign w:val="center"/>
          </w:tcPr>
          <w:p w14:paraId="3BFF0665">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发展组团</w:t>
            </w:r>
          </w:p>
        </w:tc>
        <w:tc>
          <w:tcPr>
            <w:tcW w:w="2757" w:type="dxa"/>
            <w:shd w:val="clear" w:color="auto" w:fill="auto"/>
            <w:vAlign w:val="center"/>
          </w:tcPr>
          <w:p w14:paraId="28CCB6D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757" w:type="dxa"/>
            <w:shd w:val="clear" w:color="auto" w:fill="auto"/>
            <w:vAlign w:val="center"/>
          </w:tcPr>
          <w:p w14:paraId="2C41517A">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目标单元代码</w:t>
            </w:r>
          </w:p>
        </w:tc>
      </w:tr>
      <w:tr w14:paraId="1931F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0" w:type="dxa"/>
            <w:shd w:val="clear" w:color="auto" w:fill="auto"/>
            <w:vAlign w:val="center"/>
          </w:tcPr>
          <w:p w14:paraId="42A25991">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2757" w:type="dxa"/>
            <w:vMerge w:val="restart"/>
            <w:shd w:val="clear" w:color="auto" w:fill="auto"/>
            <w:vAlign w:val="center"/>
          </w:tcPr>
          <w:p w14:paraId="0DDC872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翠亨新区发展组团</w:t>
            </w:r>
          </w:p>
        </w:tc>
        <w:tc>
          <w:tcPr>
            <w:tcW w:w="2757" w:type="dxa"/>
            <w:shd w:val="clear" w:color="auto" w:fill="auto"/>
            <w:vAlign w:val="center"/>
          </w:tcPr>
          <w:p w14:paraId="480D27C6">
            <w:pPr>
              <w:widowControl/>
              <w:jc w:val="center"/>
              <w:textAlignment w:val="center"/>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kern w:val="0"/>
                <w:sz w:val="21"/>
                <w:szCs w:val="21"/>
                <w:lang w:bidi="ar"/>
              </w:rPr>
              <w:t>南朗街道</w:t>
            </w:r>
          </w:p>
        </w:tc>
        <w:tc>
          <w:tcPr>
            <w:tcW w:w="2757" w:type="dxa"/>
            <w:shd w:val="clear" w:color="auto" w:fill="auto"/>
            <w:vAlign w:val="center"/>
          </w:tcPr>
          <w:p w14:paraId="1F3D35DD">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CHXQ-NL</w:t>
            </w:r>
          </w:p>
        </w:tc>
      </w:tr>
      <w:tr w14:paraId="5ADD9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0" w:type="dxa"/>
            <w:shd w:val="clear" w:color="auto" w:fill="auto"/>
            <w:vAlign w:val="center"/>
          </w:tcPr>
          <w:p w14:paraId="1EAFB13E">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2757" w:type="dxa"/>
            <w:vMerge w:val="continue"/>
            <w:shd w:val="clear" w:color="auto" w:fill="auto"/>
            <w:vAlign w:val="center"/>
          </w:tcPr>
          <w:p w14:paraId="0B43E1B2">
            <w:pPr>
              <w:widowControl/>
              <w:jc w:val="center"/>
              <w:rPr>
                <w:rFonts w:hint="default" w:ascii="Times New Roman" w:hAnsi="Times New Roman" w:eastAsia="宋体" w:cs="Times New Roman"/>
                <w:b w:val="0"/>
                <w:bCs w:val="0"/>
                <w:color w:val="000000"/>
                <w:kern w:val="0"/>
                <w:sz w:val="21"/>
                <w:szCs w:val="21"/>
              </w:rPr>
            </w:pPr>
          </w:p>
        </w:tc>
        <w:tc>
          <w:tcPr>
            <w:tcW w:w="2757" w:type="dxa"/>
            <w:shd w:val="clear" w:color="auto" w:fill="auto"/>
            <w:vAlign w:val="center"/>
          </w:tcPr>
          <w:p w14:paraId="250C241C">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翠亨新区</w:t>
            </w:r>
          </w:p>
        </w:tc>
        <w:tc>
          <w:tcPr>
            <w:tcW w:w="2757" w:type="dxa"/>
            <w:shd w:val="clear" w:color="auto" w:fill="auto"/>
            <w:vAlign w:val="center"/>
          </w:tcPr>
          <w:p w14:paraId="153BA1E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CHXQ-CH</w:t>
            </w:r>
          </w:p>
        </w:tc>
      </w:tr>
    </w:tbl>
    <w:p w14:paraId="13C4DF1F">
      <w:pPr>
        <w:widowControl/>
        <w:adjustRightInd w:val="0"/>
        <w:snapToGrid w:val="0"/>
        <w:spacing w:line="360" w:lineRule="auto"/>
        <w:rPr>
          <w:rFonts w:hint="default" w:ascii="Times New Roman" w:hAnsi="Times New Roman" w:eastAsia="宋体" w:cs="Times New Roman"/>
          <w:sz w:val="28"/>
          <w:szCs w:val="28"/>
        </w:rPr>
      </w:pPr>
    </w:p>
    <w:p w14:paraId="353A15A9">
      <w:pPr>
        <w:pStyle w:val="48"/>
        <w:rPr>
          <w:rFonts w:hint="default" w:ascii="Times New Roman" w:hAnsi="Times New Roman" w:cs="Times New Roman"/>
        </w:rPr>
      </w:pPr>
      <w:r>
        <w:rPr>
          <w:rFonts w:hint="default" w:ascii="Times New Roman" w:hAnsi="Times New Roman" w:cs="Times New Roman"/>
        </w:rPr>
        <w:drawing>
          <wp:inline distT="0" distB="0" distL="114300" distR="114300">
            <wp:extent cx="4517390" cy="5921375"/>
            <wp:effectExtent l="0" t="0" r="16510" b="317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42"/>
                    <a:stretch>
                      <a:fillRect/>
                    </a:stretch>
                  </pic:blipFill>
                  <pic:spPr>
                    <a:xfrm>
                      <a:off x="0" y="0"/>
                      <a:ext cx="4517390" cy="5921375"/>
                    </a:xfrm>
                    <a:prstGeom prst="rect">
                      <a:avLst/>
                    </a:prstGeom>
                    <a:noFill/>
                    <a:ln>
                      <a:noFill/>
                    </a:ln>
                  </pic:spPr>
                </pic:pic>
              </a:graphicData>
            </a:graphic>
          </wp:inline>
        </w:drawing>
      </w:r>
    </w:p>
    <w:p w14:paraId="1A1604D2">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图4-3 翠亨新区发展组团目标单元划分图</w:t>
      </w:r>
    </w:p>
    <w:p w14:paraId="5D8DFA0D">
      <w:pPr>
        <w:widowControl/>
        <w:adjustRightInd w:val="0"/>
        <w:snapToGrid w:val="0"/>
        <w:spacing w:line="360" w:lineRule="auto"/>
        <w:ind w:firstLine="420" w:firstLineChars="200"/>
        <w:rPr>
          <w:rFonts w:hint="default" w:ascii="Times New Roman" w:hAnsi="Times New Roman" w:eastAsia="宋体" w:cs="Times New Roman"/>
          <w:sz w:val="28"/>
          <w:szCs w:val="28"/>
        </w:rPr>
      </w:pPr>
      <w:r>
        <w:rPr>
          <w:rFonts w:hint="default" w:ascii="Times New Roman" w:hAnsi="Times New Roman" w:cs="Times New Roman"/>
        </w:rPr>
        <w:br w:type="page"/>
      </w:r>
      <w:r>
        <w:rPr>
          <w:rFonts w:hint="default" w:ascii="Times New Roman" w:hAnsi="Times New Roman" w:eastAsia="宋体" w:cs="Times New Roman"/>
          <w:sz w:val="28"/>
          <w:szCs w:val="28"/>
        </w:rPr>
        <w:t>（3）火炬区发展组团目标单元</w:t>
      </w:r>
    </w:p>
    <w:p w14:paraId="46F4643D">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根据火炬区发展组团镇街划分</w:t>
      </w:r>
      <w:r>
        <w:rPr>
          <w:rFonts w:hint="default" w:ascii="Times New Roman" w:hAnsi="Times New Roman" w:eastAsia="宋体" w:cs="Times New Roman"/>
          <w:color w:val="000000" w:themeColor="text1"/>
          <w:sz w:val="28"/>
          <w:szCs w:val="28"/>
          <w14:textFill>
            <w14:solidFill>
              <w14:schemeClr w14:val="tx1"/>
            </w14:solidFill>
          </w14:textFill>
        </w:rPr>
        <w:t>，先</w:t>
      </w:r>
      <w:r>
        <w:rPr>
          <w:rFonts w:hint="default" w:ascii="Times New Roman" w:hAnsi="Times New Roman" w:eastAsia="宋体" w:cs="Times New Roman"/>
          <w:sz w:val="28"/>
          <w:szCs w:val="28"/>
        </w:rPr>
        <w:t>将火炬区发展组团划分为2个目标单元。</w:t>
      </w:r>
    </w:p>
    <w:p w14:paraId="6561B5E7">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表4-4 火炬区发展组团目标单元列表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6"/>
        <w:gridCol w:w="2313"/>
        <w:gridCol w:w="2425"/>
        <w:gridCol w:w="2314"/>
      </w:tblGrid>
      <w:tr w14:paraId="1FB94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26" w:type="dxa"/>
            <w:shd w:val="clear" w:color="auto" w:fill="auto"/>
            <w:vAlign w:val="center"/>
          </w:tcPr>
          <w:p w14:paraId="293DEDCA">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2724" w:type="dxa"/>
            <w:shd w:val="clear" w:color="auto" w:fill="auto"/>
            <w:vAlign w:val="center"/>
          </w:tcPr>
          <w:p w14:paraId="264DC6A5">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发展组团</w:t>
            </w:r>
          </w:p>
        </w:tc>
        <w:tc>
          <w:tcPr>
            <w:tcW w:w="2856" w:type="dxa"/>
            <w:shd w:val="clear" w:color="auto" w:fill="auto"/>
            <w:vAlign w:val="center"/>
          </w:tcPr>
          <w:p w14:paraId="455467DD">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725" w:type="dxa"/>
            <w:shd w:val="clear" w:color="auto" w:fill="auto"/>
            <w:vAlign w:val="center"/>
          </w:tcPr>
          <w:p w14:paraId="31CB1204">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目标单元代码</w:t>
            </w:r>
          </w:p>
        </w:tc>
      </w:tr>
      <w:tr w14:paraId="1D402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26" w:type="dxa"/>
            <w:shd w:val="clear" w:color="auto" w:fill="auto"/>
            <w:vAlign w:val="center"/>
          </w:tcPr>
          <w:p w14:paraId="0215A84C">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2724" w:type="dxa"/>
            <w:vMerge w:val="restart"/>
            <w:shd w:val="clear" w:color="auto" w:fill="auto"/>
            <w:vAlign w:val="center"/>
          </w:tcPr>
          <w:p w14:paraId="4787A520">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cs="Times New Roman"/>
                <w:b w:val="0"/>
                <w:bCs w:val="0"/>
                <w:sz w:val="21"/>
                <w:szCs w:val="21"/>
              </w:rPr>
              <w:t>火炬区发展组团</w:t>
            </w:r>
          </w:p>
        </w:tc>
        <w:tc>
          <w:tcPr>
            <w:tcW w:w="2856" w:type="dxa"/>
            <w:shd w:val="clear" w:color="auto" w:fill="auto"/>
            <w:vAlign w:val="center"/>
          </w:tcPr>
          <w:p w14:paraId="18565AF1">
            <w:pPr>
              <w:widowControl/>
              <w:jc w:val="center"/>
              <w:textAlignment w:val="center"/>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kern w:val="0"/>
                <w:sz w:val="21"/>
                <w:szCs w:val="21"/>
                <w:lang w:bidi="ar"/>
              </w:rPr>
              <w:t>中山港街道（火炬开发区）</w:t>
            </w:r>
          </w:p>
        </w:tc>
        <w:tc>
          <w:tcPr>
            <w:tcW w:w="2725" w:type="dxa"/>
            <w:shd w:val="clear" w:color="auto" w:fill="auto"/>
            <w:vAlign w:val="center"/>
          </w:tcPr>
          <w:p w14:paraId="4D4DA16A">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HJQ-ZSG</w:t>
            </w:r>
          </w:p>
        </w:tc>
      </w:tr>
      <w:tr w14:paraId="0F84A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26" w:type="dxa"/>
            <w:shd w:val="clear" w:color="auto" w:fill="auto"/>
            <w:vAlign w:val="center"/>
          </w:tcPr>
          <w:p w14:paraId="52442D19">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2724" w:type="dxa"/>
            <w:vMerge w:val="continue"/>
            <w:shd w:val="clear" w:color="auto" w:fill="auto"/>
            <w:vAlign w:val="center"/>
          </w:tcPr>
          <w:p w14:paraId="29ADD2B7">
            <w:pPr>
              <w:widowControl/>
              <w:jc w:val="center"/>
              <w:rPr>
                <w:rFonts w:hint="default" w:ascii="Times New Roman" w:hAnsi="Times New Roman" w:eastAsia="宋体" w:cs="Times New Roman"/>
                <w:b w:val="0"/>
                <w:bCs w:val="0"/>
                <w:color w:val="000000"/>
                <w:kern w:val="0"/>
                <w:sz w:val="21"/>
                <w:szCs w:val="21"/>
              </w:rPr>
            </w:pPr>
          </w:p>
        </w:tc>
        <w:tc>
          <w:tcPr>
            <w:tcW w:w="2856" w:type="dxa"/>
            <w:shd w:val="clear" w:color="auto" w:fill="auto"/>
            <w:vAlign w:val="center"/>
          </w:tcPr>
          <w:p w14:paraId="5FD77F79">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民众街道</w:t>
            </w:r>
          </w:p>
        </w:tc>
        <w:tc>
          <w:tcPr>
            <w:tcW w:w="2725" w:type="dxa"/>
            <w:shd w:val="clear" w:color="auto" w:fill="auto"/>
            <w:vAlign w:val="center"/>
          </w:tcPr>
          <w:p w14:paraId="4A8589EE">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HJQ-MZ</w:t>
            </w:r>
          </w:p>
        </w:tc>
      </w:tr>
    </w:tbl>
    <w:p w14:paraId="0828FD67">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686ECB16">
      <w:pPr>
        <w:pStyle w:val="48"/>
        <w:rPr>
          <w:rFonts w:hint="default" w:ascii="Times New Roman" w:hAnsi="Times New Roman" w:cs="Times New Roman"/>
        </w:rPr>
      </w:pPr>
      <w:r>
        <w:rPr>
          <w:rFonts w:hint="default" w:ascii="Times New Roman" w:hAnsi="Times New Roman" w:cs="Times New Roman"/>
        </w:rPr>
        <w:drawing>
          <wp:inline distT="0" distB="0" distL="114300" distR="114300">
            <wp:extent cx="4265295" cy="5833745"/>
            <wp:effectExtent l="0" t="0" r="1905" b="1460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43"/>
                    <a:stretch>
                      <a:fillRect/>
                    </a:stretch>
                  </pic:blipFill>
                  <pic:spPr>
                    <a:xfrm>
                      <a:off x="0" y="0"/>
                      <a:ext cx="4265295" cy="5833745"/>
                    </a:xfrm>
                    <a:prstGeom prst="rect">
                      <a:avLst/>
                    </a:prstGeom>
                    <a:noFill/>
                    <a:ln>
                      <a:noFill/>
                    </a:ln>
                  </pic:spPr>
                </pic:pic>
              </a:graphicData>
            </a:graphic>
          </wp:inline>
        </w:drawing>
      </w:r>
    </w:p>
    <w:p w14:paraId="0E90BB17">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图4-4 火炬区发展组团目标单元划分图</w:t>
      </w:r>
    </w:p>
    <w:p w14:paraId="50B27758">
      <w:pPr>
        <w:rPr>
          <w:rFonts w:hint="default" w:ascii="Times New Roman" w:hAnsi="Times New Roman" w:eastAsia="宋体" w:cs="Times New Roman"/>
          <w:sz w:val="28"/>
          <w:szCs w:val="28"/>
        </w:rPr>
      </w:pPr>
      <w:r>
        <w:rPr>
          <w:rFonts w:hint="default" w:ascii="Times New Roman" w:hAnsi="Times New Roman" w:eastAsia="宋体" w:cs="Times New Roman"/>
          <w:sz w:val="28"/>
          <w:szCs w:val="28"/>
        </w:rPr>
        <w:br w:type="page"/>
      </w:r>
    </w:p>
    <w:p w14:paraId="6E6B4396">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（4）北部发展组团目标单元</w:t>
      </w:r>
    </w:p>
    <w:p w14:paraId="78BC93B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根据北部发展组团镇街划分</w:t>
      </w:r>
      <w:r>
        <w:rPr>
          <w:rFonts w:hint="default" w:ascii="Times New Roman" w:hAnsi="Times New Roman" w:eastAsia="宋体" w:cs="Times New Roman"/>
          <w:color w:val="000000" w:themeColor="text1"/>
          <w:sz w:val="28"/>
          <w:szCs w:val="28"/>
          <w14:textFill>
            <w14:solidFill>
              <w14:schemeClr w14:val="tx1"/>
            </w14:solidFill>
          </w14:textFill>
        </w:rPr>
        <w:t>，先</w:t>
      </w:r>
      <w:r>
        <w:rPr>
          <w:rFonts w:hint="default" w:ascii="Times New Roman" w:hAnsi="Times New Roman" w:eastAsia="宋体" w:cs="Times New Roman"/>
          <w:sz w:val="28"/>
          <w:szCs w:val="28"/>
        </w:rPr>
        <w:t>将北部发展组团划分为5个目标单元。</w:t>
      </w:r>
    </w:p>
    <w:p w14:paraId="73AE9350">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表4-5 北部发展组团目标单元列表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6"/>
        <w:gridCol w:w="2342"/>
        <w:gridCol w:w="2342"/>
        <w:gridCol w:w="2342"/>
      </w:tblGrid>
      <w:tr w14:paraId="4E3AA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7ECE7452">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2758" w:type="dxa"/>
            <w:shd w:val="clear" w:color="auto" w:fill="auto"/>
            <w:vAlign w:val="center"/>
          </w:tcPr>
          <w:p w14:paraId="1F078C9F">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发展组团</w:t>
            </w:r>
          </w:p>
        </w:tc>
        <w:tc>
          <w:tcPr>
            <w:tcW w:w="2758" w:type="dxa"/>
            <w:shd w:val="clear" w:color="auto" w:fill="auto"/>
            <w:vAlign w:val="center"/>
          </w:tcPr>
          <w:p w14:paraId="668B9C56">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758" w:type="dxa"/>
            <w:shd w:val="clear" w:color="auto" w:fill="auto"/>
            <w:vAlign w:val="center"/>
          </w:tcPr>
          <w:p w14:paraId="4833DD20">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目标单元代码</w:t>
            </w:r>
          </w:p>
        </w:tc>
      </w:tr>
      <w:tr w14:paraId="06015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73DDAD05">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2758" w:type="dxa"/>
            <w:vMerge w:val="restart"/>
            <w:shd w:val="clear" w:color="auto" w:fill="auto"/>
            <w:vAlign w:val="center"/>
          </w:tcPr>
          <w:p w14:paraId="5C65BA93">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北部发展组团</w:t>
            </w:r>
          </w:p>
        </w:tc>
        <w:tc>
          <w:tcPr>
            <w:tcW w:w="2758" w:type="dxa"/>
            <w:shd w:val="clear" w:color="auto" w:fill="auto"/>
            <w:vAlign w:val="center"/>
          </w:tcPr>
          <w:p w14:paraId="4FD1D84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三角镇</w:t>
            </w:r>
          </w:p>
        </w:tc>
        <w:tc>
          <w:tcPr>
            <w:tcW w:w="2758" w:type="dxa"/>
            <w:shd w:val="clear" w:color="auto" w:fill="auto"/>
            <w:vAlign w:val="center"/>
          </w:tcPr>
          <w:p w14:paraId="14D38AA6">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BBZT-SJ</w:t>
            </w:r>
          </w:p>
        </w:tc>
      </w:tr>
      <w:tr w14:paraId="37B22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4F6B0592">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2758" w:type="dxa"/>
            <w:vMerge w:val="continue"/>
            <w:shd w:val="clear" w:color="auto" w:fill="auto"/>
            <w:vAlign w:val="center"/>
          </w:tcPr>
          <w:p w14:paraId="493F8AA2">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7DE2B037">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阜沙镇</w:t>
            </w:r>
          </w:p>
        </w:tc>
        <w:tc>
          <w:tcPr>
            <w:tcW w:w="2758" w:type="dxa"/>
            <w:shd w:val="clear" w:color="auto" w:fill="auto"/>
            <w:vAlign w:val="center"/>
          </w:tcPr>
          <w:p w14:paraId="2FFB9710">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BBZT-FS</w:t>
            </w:r>
          </w:p>
        </w:tc>
      </w:tr>
      <w:tr w14:paraId="664A0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2A8F7CD3">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w:t>
            </w:r>
          </w:p>
        </w:tc>
        <w:tc>
          <w:tcPr>
            <w:tcW w:w="2758" w:type="dxa"/>
            <w:vMerge w:val="continue"/>
            <w:shd w:val="clear" w:color="auto" w:fill="auto"/>
            <w:vAlign w:val="center"/>
          </w:tcPr>
          <w:p w14:paraId="41C6E1A0">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50BFBCC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黄圃镇</w:t>
            </w:r>
          </w:p>
        </w:tc>
        <w:tc>
          <w:tcPr>
            <w:tcW w:w="2758" w:type="dxa"/>
            <w:shd w:val="clear" w:color="auto" w:fill="auto"/>
            <w:vAlign w:val="center"/>
          </w:tcPr>
          <w:p w14:paraId="631CF9A0">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BBZT-HP</w:t>
            </w:r>
          </w:p>
        </w:tc>
      </w:tr>
      <w:tr w14:paraId="1233E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1F19A2E0">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4</w:t>
            </w:r>
          </w:p>
        </w:tc>
        <w:tc>
          <w:tcPr>
            <w:tcW w:w="2758" w:type="dxa"/>
            <w:vMerge w:val="continue"/>
            <w:shd w:val="clear" w:color="auto" w:fill="auto"/>
            <w:vAlign w:val="center"/>
          </w:tcPr>
          <w:p w14:paraId="03C816A5">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2AEB4BE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南头镇</w:t>
            </w:r>
          </w:p>
        </w:tc>
        <w:tc>
          <w:tcPr>
            <w:tcW w:w="2758" w:type="dxa"/>
            <w:shd w:val="clear" w:color="auto" w:fill="auto"/>
            <w:vAlign w:val="center"/>
          </w:tcPr>
          <w:p w14:paraId="1E7AB08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BBZT-NT</w:t>
            </w:r>
          </w:p>
        </w:tc>
      </w:tr>
      <w:tr w14:paraId="16A20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114E537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5</w:t>
            </w:r>
          </w:p>
        </w:tc>
        <w:tc>
          <w:tcPr>
            <w:tcW w:w="2758" w:type="dxa"/>
            <w:vMerge w:val="continue"/>
            <w:shd w:val="clear" w:color="auto" w:fill="auto"/>
            <w:vAlign w:val="center"/>
          </w:tcPr>
          <w:p w14:paraId="23A3C258">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0EE4377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东凤镇</w:t>
            </w:r>
          </w:p>
        </w:tc>
        <w:tc>
          <w:tcPr>
            <w:tcW w:w="2758" w:type="dxa"/>
            <w:shd w:val="clear" w:color="auto" w:fill="auto"/>
            <w:vAlign w:val="center"/>
          </w:tcPr>
          <w:p w14:paraId="46352D86">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BBZT-DF</w:t>
            </w:r>
          </w:p>
        </w:tc>
      </w:tr>
    </w:tbl>
    <w:p w14:paraId="05832C11">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6C34A237">
      <w:pPr>
        <w:pStyle w:val="48"/>
        <w:rPr>
          <w:rFonts w:hint="default" w:ascii="Times New Roman" w:hAnsi="Times New Roman" w:cs="Times New Roman"/>
        </w:rPr>
      </w:pPr>
      <w:r>
        <w:rPr>
          <w:rFonts w:hint="default" w:ascii="Times New Roman" w:hAnsi="Times New Roman" w:cs="Times New Roman"/>
        </w:rPr>
        <w:drawing>
          <wp:inline distT="0" distB="0" distL="114300" distR="114300">
            <wp:extent cx="4171315" cy="5705475"/>
            <wp:effectExtent l="0" t="0" r="635" b="952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44"/>
                    <a:stretch>
                      <a:fillRect/>
                    </a:stretch>
                  </pic:blipFill>
                  <pic:spPr>
                    <a:xfrm>
                      <a:off x="0" y="0"/>
                      <a:ext cx="4171315" cy="5705475"/>
                    </a:xfrm>
                    <a:prstGeom prst="rect">
                      <a:avLst/>
                    </a:prstGeom>
                    <a:noFill/>
                    <a:ln>
                      <a:noFill/>
                    </a:ln>
                  </pic:spPr>
                </pic:pic>
              </a:graphicData>
            </a:graphic>
          </wp:inline>
        </w:drawing>
      </w:r>
    </w:p>
    <w:p w14:paraId="7BBF1298">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图4-5 北部发展组团目标单元</w:t>
      </w:r>
    </w:p>
    <w:p w14:paraId="1359B345">
      <w:pPr>
        <w:widowControl/>
        <w:adjustRightInd w:val="0"/>
        <w:snapToGrid w:val="0"/>
        <w:spacing w:line="360" w:lineRule="auto"/>
        <w:ind w:firstLine="560" w:firstLineChars="200"/>
        <w:rPr>
          <w:rFonts w:hint="default" w:ascii="Times New Roman" w:hAnsi="Times New Roman" w:eastAsia="宋体" w:cs="Times New Roman"/>
          <w:color w:val="FF0000"/>
          <w:sz w:val="28"/>
          <w:szCs w:val="28"/>
        </w:rPr>
      </w:pPr>
      <w:r>
        <w:rPr>
          <w:rFonts w:hint="default" w:ascii="Times New Roman" w:hAnsi="Times New Roman" w:eastAsia="宋体" w:cs="Times New Roman"/>
          <w:sz w:val="28"/>
          <w:szCs w:val="28"/>
        </w:rPr>
        <w:t>（5）</w:t>
      </w:r>
      <w:r>
        <w:rPr>
          <w:rFonts w:hint="default" w:ascii="Times New Roman" w:hAnsi="Times New Roman" w:eastAsia="宋体" w:cs="Times New Roman"/>
          <w:color w:val="000000" w:themeColor="text1"/>
          <w:sz w:val="28"/>
          <w:szCs w:val="28"/>
          <w14:textFill>
            <w14:solidFill>
              <w14:schemeClr w14:val="tx1"/>
            </w14:solidFill>
          </w14:textFill>
        </w:rPr>
        <w:t>西部发展组团</w:t>
      </w:r>
      <w:r>
        <w:rPr>
          <w:rFonts w:hint="default" w:ascii="Times New Roman" w:hAnsi="Times New Roman" w:eastAsia="宋体" w:cs="Times New Roman"/>
          <w:sz w:val="28"/>
          <w:szCs w:val="28"/>
        </w:rPr>
        <w:t>目标单元</w:t>
      </w:r>
    </w:p>
    <w:p w14:paraId="4EF78889">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根据西部发展组团镇街划分，先将西部发展组团划分为5个目标单元。</w:t>
      </w:r>
    </w:p>
    <w:p w14:paraId="538307F5">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表4-6 西部发展组团目标单元列表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6"/>
        <w:gridCol w:w="2342"/>
        <w:gridCol w:w="2342"/>
        <w:gridCol w:w="2342"/>
      </w:tblGrid>
      <w:tr w14:paraId="0ECAC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361BCDA9">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2758" w:type="dxa"/>
            <w:shd w:val="clear" w:color="auto" w:fill="auto"/>
            <w:vAlign w:val="center"/>
          </w:tcPr>
          <w:p w14:paraId="5C5E8934">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发展组团</w:t>
            </w:r>
          </w:p>
        </w:tc>
        <w:tc>
          <w:tcPr>
            <w:tcW w:w="2758" w:type="dxa"/>
            <w:shd w:val="clear" w:color="auto" w:fill="auto"/>
            <w:vAlign w:val="center"/>
          </w:tcPr>
          <w:p w14:paraId="592A9714">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758" w:type="dxa"/>
            <w:shd w:val="clear" w:color="auto" w:fill="auto"/>
            <w:vAlign w:val="center"/>
          </w:tcPr>
          <w:p w14:paraId="061BFB96">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目标单元代码</w:t>
            </w:r>
          </w:p>
        </w:tc>
      </w:tr>
      <w:tr w14:paraId="7EF98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4684E2D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2758" w:type="dxa"/>
            <w:vMerge w:val="restart"/>
            <w:shd w:val="clear" w:color="auto" w:fill="auto"/>
            <w:vAlign w:val="center"/>
          </w:tcPr>
          <w:p w14:paraId="609643DC">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西部发展组团</w:t>
            </w:r>
          </w:p>
        </w:tc>
        <w:tc>
          <w:tcPr>
            <w:tcW w:w="2758" w:type="dxa"/>
            <w:shd w:val="clear" w:color="auto" w:fill="auto"/>
            <w:vAlign w:val="center"/>
          </w:tcPr>
          <w:p w14:paraId="5D9ED32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小榄镇</w:t>
            </w:r>
          </w:p>
        </w:tc>
        <w:tc>
          <w:tcPr>
            <w:tcW w:w="2758" w:type="dxa"/>
            <w:shd w:val="clear" w:color="auto" w:fill="auto"/>
            <w:vAlign w:val="center"/>
          </w:tcPr>
          <w:p w14:paraId="06A10716">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XBZT-XL</w:t>
            </w:r>
          </w:p>
        </w:tc>
      </w:tr>
      <w:tr w14:paraId="04AF2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42D70131">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2758" w:type="dxa"/>
            <w:vMerge w:val="continue"/>
            <w:shd w:val="clear" w:color="auto" w:fill="auto"/>
            <w:vAlign w:val="center"/>
          </w:tcPr>
          <w:p w14:paraId="66255E4D">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7183945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古镇镇</w:t>
            </w:r>
          </w:p>
        </w:tc>
        <w:tc>
          <w:tcPr>
            <w:tcW w:w="2758" w:type="dxa"/>
            <w:shd w:val="clear" w:color="auto" w:fill="auto"/>
            <w:vAlign w:val="center"/>
          </w:tcPr>
          <w:p w14:paraId="5419ACC0">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XBZT-GZ</w:t>
            </w:r>
          </w:p>
        </w:tc>
      </w:tr>
      <w:tr w14:paraId="63851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0EBFB0F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w:t>
            </w:r>
          </w:p>
        </w:tc>
        <w:tc>
          <w:tcPr>
            <w:tcW w:w="2758" w:type="dxa"/>
            <w:vMerge w:val="continue"/>
            <w:shd w:val="clear" w:color="auto" w:fill="auto"/>
            <w:vAlign w:val="center"/>
          </w:tcPr>
          <w:p w14:paraId="22389B44">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368008A9">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横栏镇</w:t>
            </w:r>
          </w:p>
        </w:tc>
        <w:tc>
          <w:tcPr>
            <w:tcW w:w="2758" w:type="dxa"/>
            <w:shd w:val="clear" w:color="auto" w:fill="auto"/>
            <w:vAlign w:val="center"/>
          </w:tcPr>
          <w:p w14:paraId="46798931">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XBZT-HL</w:t>
            </w:r>
          </w:p>
        </w:tc>
      </w:tr>
      <w:tr w14:paraId="3EFB9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7D959F4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4</w:t>
            </w:r>
          </w:p>
        </w:tc>
        <w:tc>
          <w:tcPr>
            <w:tcW w:w="2758" w:type="dxa"/>
            <w:vMerge w:val="continue"/>
            <w:shd w:val="clear" w:color="auto" w:fill="auto"/>
            <w:vAlign w:val="center"/>
          </w:tcPr>
          <w:p w14:paraId="25B41DBB">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5122F72E">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沙溪镇</w:t>
            </w:r>
          </w:p>
        </w:tc>
        <w:tc>
          <w:tcPr>
            <w:tcW w:w="2758" w:type="dxa"/>
            <w:shd w:val="clear" w:color="auto" w:fill="auto"/>
            <w:vAlign w:val="center"/>
          </w:tcPr>
          <w:p w14:paraId="1E296F48">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XBZT-SX</w:t>
            </w:r>
          </w:p>
        </w:tc>
      </w:tr>
      <w:tr w14:paraId="59374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69D1098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5</w:t>
            </w:r>
          </w:p>
        </w:tc>
        <w:tc>
          <w:tcPr>
            <w:tcW w:w="2758" w:type="dxa"/>
            <w:vMerge w:val="continue"/>
            <w:shd w:val="clear" w:color="auto" w:fill="auto"/>
            <w:vAlign w:val="center"/>
          </w:tcPr>
          <w:p w14:paraId="3664A168">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1F03287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大涌镇</w:t>
            </w:r>
          </w:p>
        </w:tc>
        <w:tc>
          <w:tcPr>
            <w:tcW w:w="2758" w:type="dxa"/>
            <w:shd w:val="clear" w:color="auto" w:fill="auto"/>
            <w:vAlign w:val="center"/>
          </w:tcPr>
          <w:p w14:paraId="4780A523">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XBZT-DC</w:t>
            </w:r>
          </w:p>
        </w:tc>
      </w:tr>
    </w:tbl>
    <w:p w14:paraId="42AEDA93">
      <w:pPr>
        <w:widowControl/>
        <w:adjustRightInd w:val="0"/>
        <w:snapToGrid w:val="0"/>
        <w:spacing w:line="360" w:lineRule="auto"/>
        <w:rPr>
          <w:rFonts w:hint="default" w:ascii="Times New Roman" w:hAnsi="Times New Roman" w:eastAsia="宋体" w:cs="Times New Roman"/>
          <w:sz w:val="28"/>
          <w:szCs w:val="28"/>
        </w:rPr>
      </w:pPr>
    </w:p>
    <w:p w14:paraId="42E1AD11">
      <w:pPr>
        <w:pStyle w:val="48"/>
        <w:rPr>
          <w:rFonts w:hint="default" w:ascii="Times New Roman" w:hAnsi="Times New Roman" w:cs="Times New Roman"/>
        </w:rPr>
      </w:pPr>
      <w:r>
        <w:rPr>
          <w:rFonts w:hint="default" w:ascii="Times New Roman" w:hAnsi="Times New Roman" w:cs="Times New Roman"/>
        </w:rPr>
        <w:drawing>
          <wp:inline distT="0" distB="0" distL="114300" distR="114300">
            <wp:extent cx="4150995" cy="5685790"/>
            <wp:effectExtent l="0" t="0" r="1905" b="10160"/>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45"/>
                    <a:stretch>
                      <a:fillRect/>
                    </a:stretch>
                  </pic:blipFill>
                  <pic:spPr>
                    <a:xfrm>
                      <a:off x="0" y="0"/>
                      <a:ext cx="4150995" cy="5685790"/>
                    </a:xfrm>
                    <a:prstGeom prst="rect">
                      <a:avLst/>
                    </a:prstGeom>
                    <a:noFill/>
                    <a:ln>
                      <a:noFill/>
                    </a:ln>
                  </pic:spPr>
                </pic:pic>
              </a:graphicData>
            </a:graphic>
          </wp:inline>
        </w:drawing>
      </w:r>
    </w:p>
    <w:p w14:paraId="2097684D">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图4-6 西部发展组团目标单元划分图</w:t>
      </w:r>
    </w:p>
    <w:p w14:paraId="4C770D97">
      <w:pPr>
        <w:widowControl/>
        <w:adjustRightInd w:val="0"/>
        <w:snapToGrid w:val="0"/>
        <w:spacing w:line="360" w:lineRule="auto"/>
        <w:ind w:firstLine="560" w:firstLineChars="200"/>
        <w:rPr>
          <w:rFonts w:hint="default" w:ascii="Times New Roman" w:hAnsi="Times New Roman" w:eastAsia="宋体" w:cs="Times New Roman"/>
          <w:color w:val="FF0000"/>
          <w:sz w:val="28"/>
          <w:szCs w:val="28"/>
        </w:rPr>
      </w:pPr>
      <w:r>
        <w:rPr>
          <w:rFonts w:hint="default" w:ascii="Times New Roman" w:hAnsi="Times New Roman" w:eastAsia="宋体" w:cs="Times New Roman"/>
          <w:sz w:val="28"/>
          <w:szCs w:val="28"/>
        </w:rPr>
        <w:t>（6）南部发展组团目标单元</w:t>
      </w:r>
    </w:p>
    <w:p w14:paraId="47F14D61">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根据</w:t>
      </w:r>
      <w:r>
        <w:rPr>
          <w:rFonts w:hint="default" w:ascii="Times New Roman" w:hAnsi="Times New Roman" w:eastAsia="宋体" w:cs="Times New Roman"/>
          <w:sz w:val="28"/>
          <w:szCs w:val="28"/>
        </w:rPr>
        <w:t>南部发展组团</w:t>
      </w:r>
      <w:r>
        <w:rPr>
          <w:rFonts w:hint="default" w:ascii="Times New Roman" w:hAnsi="Times New Roman" w:eastAsia="宋体" w:cs="Times New Roman"/>
          <w:color w:val="000000" w:themeColor="text1"/>
          <w:sz w:val="28"/>
          <w:szCs w:val="28"/>
          <w14:textFill>
            <w14:solidFill>
              <w14:schemeClr w14:val="tx1"/>
            </w14:solidFill>
          </w14:textFill>
        </w:rPr>
        <w:t>镇街划分，先将</w:t>
      </w:r>
      <w:r>
        <w:rPr>
          <w:rFonts w:hint="default" w:ascii="Times New Roman" w:hAnsi="Times New Roman" w:eastAsia="宋体" w:cs="Times New Roman"/>
          <w:sz w:val="28"/>
          <w:szCs w:val="28"/>
        </w:rPr>
        <w:t>南部发展组团</w:t>
      </w:r>
      <w:r>
        <w:rPr>
          <w:rFonts w:hint="default" w:ascii="Times New Roman" w:hAnsi="Times New Roman" w:eastAsia="宋体" w:cs="Times New Roman"/>
          <w:color w:val="000000" w:themeColor="text1"/>
          <w:sz w:val="28"/>
          <w:szCs w:val="28"/>
          <w14:textFill>
            <w14:solidFill>
              <w14:schemeClr w14:val="tx1"/>
            </w14:solidFill>
          </w14:textFill>
        </w:rPr>
        <w:t>划分为4个目标单元。</w:t>
      </w:r>
    </w:p>
    <w:p w14:paraId="1794F5D3">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表4-7 南部发展组团目标单元列表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6"/>
        <w:gridCol w:w="2342"/>
        <w:gridCol w:w="2342"/>
        <w:gridCol w:w="2342"/>
      </w:tblGrid>
      <w:tr w14:paraId="1C81D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42BFF93D">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2758" w:type="dxa"/>
            <w:shd w:val="clear" w:color="auto" w:fill="auto"/>
            <w:vAlign w:val="center"/>
          </w:tcPr>
          <w:p w14:paraId="2A00B5D2">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发展组团</w:t>
            </w:r>
          </w:p>
        </w:tc>
        <w:tc>
          <w:tcPr>
            <w:tcW w:w="2758" w:type="dxa"/>
            <w:shd w:val="clear" w:color="auto" w:fill="auto"/>
            <w:vAlign w:val="center"/>
          </w:tcPr>
          <w:p w14:paraId="2687C323">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758" w:type="dxa"/>
            <w:shd w:val="clear" w:color="auto" w:fill="auto"/>
            <w:vAlign w:val="center"/>
          </w:tcPr>
          <w:p w14:paraId="34AD20D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目标单元代码</w:t>
            </w:r>
          </w:p>
        </w:tc>
      </w:tr>
      <w:tr w14:paraId="2E474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4EF4D65F">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2758" w:type="dxa"/>
            <w:vMerge w:val="restart"/>
            <w:shd w:val="clear" w:color="auto" w:fill="auto"/>
            <w:vAlign w:val="center"/>
          </w:tcPr>
          <w:p w14:paraId="7B220E6D">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南部发展组团</w:t>
            </w:r>
          </w:p>
        </w:tc>
        <w:tc>
          <w:tcPr>
            <w:tcW w:w="2758" w:type="dxa"/>
            <w:shd w:val="clear" w:color="auto" w:fill="auto"/>
            <w:vAlign w:val="center"/>
          </w:tcPr>
          <w:p w14:paraId="05FAAEB9">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板芙镇</w:t>
            </w:r>
          </w:p>
        </w:tc>
        <w:tc>
          <w:tcPr>
            <w:tcW w:w="2758" w:type="dxa"/>
            <w:shd w:val="clear" w:color="auto" w:fill="auto"/>
            <w:vAlign w:val="center"/>
          </w:tcPr>
          <w:p w14:paraId="787E67C8">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NBZT-BF</w:t>
            </w:r>
          </w:p>
        </w:tc>
      </w:tr>
      <w:tr w14:paraId="7C6D4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72304720">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2758" w:type="dxa"/>
            <w:vMerge w:val="continue"/>
            <w:shd w:val="clear" w:color="auto" w:fill="auto"/>
            <w:vAlign w:val="center"/>
          </w:tcPr>
          <w:p w14:paraId="720C4E8F">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3385D73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神湾镇</w:t>
            </w:r>
          </w:p>
        </w:tc>
        <w:tc>
          <w:tcPr>
            <w:tcW w:w="2758" w:type="dxa"/>
            <w:shd w:val="clear" w:color="auto" w:fill="auto"/>
            <w:vAlign w:val="center"/>
          </w:tcPr>
          <w:p w14:paraId="7360AFDA">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NBZT-SW</w:t>
            </w:r>
          </w:p>
        </w:tc>
      </w:tr>
      <w:tr w14:paraId="06011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5F01974F">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w:t>
            </w:r>
          </w:p>
        </w:tc>
        <w:tc>
          <w:tcPr>
            <w:tcW w:w="2758" w:type="dxa"/>
            <w:vMerge w:val="continue"/>
            <w:shd w:val="clear" w:color="auto" w:fill="auto"/>
            <w:vAlign w:val="center"/>
          </w:tcPr>
          <w:p w14:paraId="37E755A6">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792B373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三乡镇</w:t>
            </w:r>
          </w:p>
        </w:tc>
        <w:tc>
          <w:tcPr>
            <w:tcW w:w="2758" w:type="dxa"/>
            <w:shd w:val="clear" w:color="auto" w:fill="auto"/>
            <w:vAlign w:val="center"/>
          </w:tcPr>
          <w:p w14:paraId="349800A8">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NBZT-SX</w:t>
            </w:r>
          </w:p>
        </w:tc>
      </w:tr>
      <w:tr w14:paraId="2D915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5F8EBD4F">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4</w:t>
            </w:r>
          </w:p>
        </w:tc>
        <w:tc>
          <w:tcPr>
            <w:tcW w:w="2758" w:type="dxa"/>
            <w:vMerge w:val="continue"/>
            <w:shd w:val="clear" w:color="auto" w:fill="auto"/>
            <w:vAlign w:val="center"/>
          </w:tcPr>
          <w:p w14:paraId="3C28D5B8">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414EC5A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坦洲镇</w:t>
            </w:r>
          </w:p>
        </w:tc>
        <w:tc>
          <w:tcPr>
            <w:tcW w:w="2758" w:type="dxa"/>
            <w:shd w:val="clear" w:color="auto" w:fill="auto"/>
            <w:vAlign w:val="center"/>
          </w:tcPr>
          <w:p w14:paraId="51C5B199">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NBZT-TZ</w:t>
            </w:r>
          </w:p>
        </w:tc>
      </w:tr>
    </w:tbl>
    <w:p w14:paraId="67C29808">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28FE2932">
      <w:pPr>
        <w:pStyle w:val="48"/>
        <w:rPr>
          <w:rFonts w:hint="default" w:ascii="Times New Roman" w:hAnsi="Times New Roman" w:cs="Times New Roman"/>
        </w:rPr>
      </w:pPr>
      <w:r>
        <w:rPr>
          <w:rFonts w:hint="default" w:ascii="Times New Roman" w:hAnsi="Times New Roman" w:cs="Times New Roman"/>
        </w:rPr>
        <w:drawing>
          <wp:inline distT="0" distB="0" distL="114300" distR="114300">
            <wp:extent cx="4307840" cy="5897245"/>
            <wp:effectExtent l="0" t="0" r="16510" b="8255"/>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46"/>
                    <a:stretch>
                      <a:fillRect/>
                    </a:stretch>
                  </pic:blipFill>
                  <pic:spPr>
                    <a:xfrm>
                      <a:off x="0" y="0"/>
                      <a:ext cx="4307840" cy="5897245"/>
                    </a:xfrm>
                    <a:prstGeom prst="rect">
                      <a:avLst/>
                    </a:prstGeom>
                    <a:noFill/>
                    <a:ln>
                      <a:noFill/>
                    </a:ln>
                  </pic:spPr>
                </pic:pic>
              </a:graphicData>
            </a:graphic>
          </wp:inline>
        </w:drawing>
      </w:r>
    </w:p>
    <w:p w14:paraId="607AC31B">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图4-7 南部发展组团目标单元划分图</w:t>
      </w:r>
    </w:p>
    <w:p w14:paraId="2DFD8C60">
      <w:pPr>
        <w:pStyle w:val="6"/>
        <w:numPr>
          <w:ilvl w:val="255"/>
          <w:numId w:val="0"/>
        </w:numPr>
        <w:ind w:firstLine="561"/>
        <w:rPr>
          <w:rFonts w:hint="default" w:ascii="Times New Roman" w:hAnsi="Times New Roman" w:cs="Times New Roman"/>
        </w:rPr>
      </w:pPr>
      <w:bookmarkStart w:id="118" w:name="_Toc124352521"/>
      <w:r>
        <w:rPr>
          <w:rFonts w:hint="default" w:ascii="Times New Roman" w:hAnsi="Times New Roman" w:cs="Times New Roman"/>
        </w:rPr>
        <w:t>4.2.3 重点区域</w:t>
      </w:r>
      <w:bookmarkEnd w:id="118"/>
    </w:p>
    <w:p w14:paraId="233A2B41">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bookmarkStart w:id="119" w:name="_Hlk124291725"/>
      <w:r>
        <w:rPr>
          <w:rFonts w:hint="default" w:ascii="Times New Roman" w:hAnsi="Times New Roman" w:eastAsia="宋体" w:cs="Times New Roman"/>
          <w:color w:val="000000" w:themeColor="text1"/>
          <w:sz w:val="28"/>
          <w:szCs w:val="28"/>
          <w14:textFill>
            <w14:solidFill>
              <w14:schemeClr w14:val="tx1"/>
            </w14:solidFill>
          </w14:textFill>
        </w:rPr>
        <w:t>对接中山市国土空间规划内容以及绿色建筑发展潜力分析结果，并结合中山市绿色建筑发展专项规划的要求，选择翠亨新区、火炬开发区和岐江新城作为中山市绿色建筑的重点发展区域。绿色建筑发展重点发展区域内新建建筑项目应按照二星级绿色建筑标准或以上进行建设。</w:t>
      </w:r>
      <w:bookmarkEnd w:id="119"/>
    </w:p>
    <w:p w14:paraId="70FDD148">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表4-</w:t>
      </w:r>
      <w:r>
        <w:rPr>
          <w:rFonts w:hint="default" w:ascii="Times New Roman" w:hAnsi="Times New Roman" w:eastAsia="宋体" w:cs="Times New Roman"/>
          <w:sz w:val="21"/>
          <w:szCs w:val="21"/>
          <w:lang w:val="en-US" w:eastAsia="zh-CN"/>
        </w:rPr>
        <w:t>8</w:t>
      </w:r>
      <w:r>
        <w:rPr>
          <w:rFonts w:hint="default" w:ascii="Times New Roman" w:hAnsi="Times New Roman" w:eastAsia="宋体" w:cs="Times New Roman"/>
          <w:sz w:val="21"/>
          <w:szCs w:val="21"/>
        </w:rPr>
        <w:t>中山市重点发展区域绿色建筑发展目标表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94"/>
        <w:gridCol w:w="1402"/>
        <w:gridCol w:w="2218"/>
        <w:gridCol w:w="2329"/>
        <w:gridCol w:w="1935"/>
      </w:tblGrid>
      <w:tr w14:paraId="3AF6C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6" w:hRule="atLeast"/>
          <w:tblHeader/>
          <w:jc w:val="center"/>
        </w:trPr>
        <w:tc>
          <w:tcPr>
            <w:tcW w:w="715" w:type="dxa"/>
            <w:shd w:val="clear" w:color="auto" w:fill="auto"/>
            <w:tcMar>
              <w:top w:w="15" w:type="dxa"/>
              <w:left w:w="86" w:type="dxa"/>
              <w:bottom w:w="0" w:type="dxa"/>
              <w:right w:w="86" w:type="dxa"/>
            </w:tcMar>
            <w:vAlign w:val="center"/>
          </w:tcPr>
          <w:p w14:paraId="7EEA134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1690" w:type="dxa"/>
            <w:shd w:val="clear" w:color="auto" w:fill="auto"/>
            <w:tcMar>
              <w:top w:w="15" w:type="dxa"/>
              <w:left w:w="86" w:type="dxa"/>
              <w:bottom w:w="0" w:type="dxa"/>
              <w:right w:w="86" w:type="dxa"/>
            </w:tcMar>
            <w:vAlign w:val="center"/>
          </w:tcPr>
          <w:p w14:paraId="0509C949">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重点区域名称</w:t>
            </w:r>
          </w:p>
        </w:tc>
        <w:tc>
          <w:tcPr>
            <w:tcW w:w="2673" w:type="dxa"/>
            <w:vAlign w:val="center"/>
          </w:tcPr>
          <w:p w14:paraId="02E0A99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目标单元编号</w:t>
            </w:r>
          </w:p>
        </w:tc>
        <w:tc>
          <w:tcPr>
            <w:tcW w:w="2808" w:type="dxa"/>
            <w:shd w:val="clear" w:color="auto" w:fill="auto"/>
            <w:tcMar>
              <w:top w:w="15" w:type="dxa"/>
              <w:left w:w="86" w:type="dxa"/>
              <w:bottom w:w="0" w:type="dxa"/>
              <w:right w:w="86" w:type="dxa"/>
            </w:tcMar>
            <w:vAlign w:val="center"/>
          </w:tcPr>
          <w:p w14:paraId="40CEBBCC">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二星级及以上绿色建筑占比</w:t>
            </w:r>
          </w:p>
        </w:tc>
        <w:tc>
          <w:tcPr>
            <w:tcW w:w="2332" w:type="dxa"/>
            <w:shd w:val="clear" w:color="auto" w:fill="auto"/>
            <w:tcMar>
              <w:top w:w="15" w:type="dxa"/>
              <w:left w:w="86" w:type="dxa"/>
              <w:bottom w:w="0" w:type="dxa"/>
              <w:right w:w="86" w:type="dxa"/>
            </w:tcMar>
            <w:vAlign w:val="center"/>
          </w:tcPr>
          <w:p w14:paraId="6D93AFFF">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备注</w:t>
            </w:r>
          </w:p>
        </w:tc>
      </w:tr>
      <w:tr w14:paraId="1A257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9" w:hRule="atLeast"/>
          <w:tblHeader/>
          <w:jc w:val="center"/>
        </w:trPr>
        <w:tc>
          <w:tcPr>
            <w:tcW w:w="715" w:type="dxa"/>
            <w:vMerge w:val="restart"/>
            <w:shd w:val="clear" w:color="auto" w:fill="auto"/>
            <w:tcMar>
              <w:top w:w="15" w:type="dxa"/>
              <w:left w:w="86" w:type="dxa"/>
              <w:bottom w:w="0" w:type="dxa"/>
              <w:right w:w="86" w:type="dxa"/>
            </w:tcMar>
            <w:vAlign w:val="center"/>
          </w:tcPr>
          <w:p w14:paraId="3449467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1690" w:type="dxa"/>
            <w:vMerge w:val="restart"/>
            <w:shd w:val="clear" w:color="auto" w:fill="auto"/>
            <w:tcMar>
              <w:top w:w="15" w:type="dxa"/>
              <w:left w:w="86" w:type="dxa"/>
              <w:bottom w:w="0" w:type="dxa"/>
              <w:right w:w="86" w:type="dxa"/>
            </w:tcMar>
            <w:vAlign w:val="center"/>
          </w:tcPr>
          <w:p w14:paraId="5D4DF887">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翠亨新区</w:t>
            </w:r>
          </w:p>
        </w:tc>
        <w:tc>
          <w:tcPr>
            <w:tcW w:w="2673" w:type="dxa"/>
            <w:vAlign w:val="center"/>
          </w:tcPr>
          <w:p w14:paraId="6BD053CC">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CHXQ-NL</w:t>
            </w:r>
          </w:p>
        </w:tc>
        <w:tc>
          <w:tcPr>
            <w:tcW w:w="2808" w:type="dxa"/>
            <w:vMerge w:val="restart"/>
            <w:shd w:val="clear" w:color="auto" w:fill="auto"/>
            <w:tcMar>
              <w:top w:w="15" w:type="dxa"/>
              <w:left w:w="86" w:type="dxa"/>
              <w:bottom w:w="0" w:type="dxa"/>
              <w:right w:w="86" w:type="dxa"/>
            </w:tcMar>
            <w:vAlign w:val="center"/>
          </w:tcPr>
          <w:p w14:paraId="4A7BDDB2">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100%</w:t>
            </w:r>
          </w:p>
        </w:tc>
        <w:tc>
          <w:tcPr>
            <w:tcW w:w="2332" w:type="dxa"/>
            <w:vMerge w:val="restart"/>
            <w:shd w:val="clear" w:color="auto" w:fill="auto"/>
            <w:tcMar>
              <w:top w:w="15" w:type="dxa"/>
              <w:left w:w="86" w:type="dxa"/>
              <w:bottom w:w="0" w:type="dxa"/>
              <w:right w:w="86" w:type="dxa"/>
            </w:tcMar>
            <w:vAlign w:val="center"/>
          </w:tcPr>
          <w:p w14:paraId="6A56359B">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限民用建筑，包括工业用地范围内用于办公、居住等民用建筑功能的建筑。</w:t>
            </w:r>
          </w:p>
        </w:tc>
      </w:tr>
      <w:tr w14:paraId="5859B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9" w:hRule="atLeast"/>
          <w:tblHeader/>
          <w:jc w:val="center"/>
        </w:trPr>
        <w:tc>
          <w:tcPr>
            <w:tcW w:w="715" w:type="dxa"/>
            <w:vMerge w:val="continue"/>
            <w:shd w:val="clear" w:color="auto" w:fill="auto"/>
            <w:tcMar>
              <w:top w:w="15" w:type="dxa"/>
              <w:left w:w="86" w:type="dxa"/>
              <w:bottom w:w="0" w:type="dxa"/>
              <w:right w:w="86" w:type="dxa"/>
            </w:tcMar>
            <w:vAlign w:val="center"/>
          </w:tcPr>
          <w:p w14:paraId="41A5E24D">
            <w:pPr>
              <w:widowControl/>
              <w:jc w:val="center"/>
              <w:rPr>
                <w:rFonts w:hint="default" w:ascii="Times New Roman" w:hAnsi="Times New Roman" w:eastAsia="宋体" w:cs="Times New Roman"/>
                <w:b w:val="0"/>
                <w:bCs w:val="0"/>
                <w:color w:val="000000"/>
                <w:kern w:val="0"/>
                <w:sz w:val="21"/>
                <w:szCs w:val="21"/>
              </w:rPr>
            </w:pPr>
          </w:p>
        </w:tc>
        <w:tc>
          <w:tcPr>
            <w:tcW w:w="1690" w:type="dxa"/>
            <w:vMerge w:val="continue"/>
            <w:shd w:val="clear" w:color="auto" w:fill="auto"/>
            <w:tcMar>
              <w:top w:w="15" w:type="dxa"/>
              <w:left w:w="86" w:type="dxa"/>
              <w:bottom w:w="0" w:type="dxa"/>
              <w:right w:w="86" w:type="dxa"/>
            </w:tcMar>
            <w:vAlign w:val="center"/>
          </w:tcPr>
          <w:p w14:paraId="2FDDFFEE">
            <w:pPr>
              <w:widowControl/>
              <w:jc w:val="center"/>
              <w:textAlignment w:val="center"/>
              <w:rPr>
                <w:rFonts w:hint="default" w:ascii="Times New Roman" w:hAnsi="Times New Roman" w:eastAsia="宋体" w:cs="Times New Roman"/>
                <w:b w:val="0"/>
                <w:bCs w:val="0"/>
                <w:color w:val="000000"/>
                <w:kern w:val="0"/>
                <w:sz w:val="21"/>
                <w:szCs w:val="21"/>
                <w:lang w:bidi="ar"/>
              </w:rPr>
            </w:pPr>
          </w:p>
        </w:tc>
        <w:tc>
          <w:tcPr>
            <w:tcW w:w="2673" w:type="dxa"/>
            <w:vAlign w:val="center"/>
          </w:tcPr>
          <w:p w14:paraId="5DAB836D">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CHXQ-CH</w:t>
            </w:r>
          </w:p>
        </w:tc>
        <w:tc>
          <w:tcPr>
            <w:tcW w:w="2808" w:type="dxa"/>
            <w:vMerge w:val="continue"/>
            <w:shd w:val="clear" w:color="auto" w:fill="auto"/>
            <w:tcMar>
              <w:top w:w="15" w:type="dxa"/>
              <w:left w:w="86" w:type="dxa"/>
              <w:bottom w:w="0" w:type="dxa"/>
              <w:right w:w="86" w:type="dxa"/>
            </w:tcMar>
            <w:vAlign w:val="center"/>
          </w:tcPr>
          <w:p w14:paraId="1CC08EA6">
            <w:pPr>
              <w:widowControl/>
              <w:jc w:val="center"/>
              <w:textAlignment w:val="center"/>
              <w:rPr>
                <w:rFonts w:hint="default" w:ascii="Times New Roman" w:hAnsi="Times New Roman" w:eastAsia="宋体" w:cs="Times New Roman"/>
                <w:b w:val="0"/>
                <w:bCs w:val="0"/>
                <w:color w:val="000000"/>
                <w:kern w:val="0"/>
                <w:sz w:val="21"/>
                <w:szCs w:val="21"/>
                <w:lang w:bidi="ar"/>
              </w:rPr>
            </w:pPr>
          </w:p>
        </w:tc>
        <w:tc>
          <w:tcPr>
            <w:tcW w:w="2332" w:type="dxa"/>
            <w:vMerge w:val="continue"/>
            <w:shd w:val="clear" w:color="auto" w:fill="auto"/>
            <w:tcMar>
              <w:top w:w="15" w:type="dxa"/>
              <w:left w:w="86" w:type="dxa"/>
              <w:bottom w:w="0" w:type="dxa"/>
              <w:right w:w="86" w:type="dxa"/>
            </w:tcMar>
            <w:vAlign w:val="center"/>
          </w:tcPr>
          <w:p w14:paraId="1372D7A0">
            <w:pPr>
              <w:widowControl/>
              <w:jc w:val="center"/>
              <w:textAlignment w:val="center"/>
              <w:rPr>
                <w:rFonts w:hint="default" w:ascii="Times New Roman" w:hAnsi="Times New Roman" w:eastAsia="仿宋" w:cs="Times New Roman"/>
                <w:b w:val="0"/>
                <w:bCs w:val="0"/>
                <w:color w:val="000000"/>
                <w:kern w:val="0"/>
                <w:sz w:val="21"/>
                <w:szCs w:val="21"/>
              </w:rPr>
            </w:pPr>
          </w:p>
        </w:tc>
      </w:tr>
      <w:tr w14:paraId="75795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9" w:hRule="atLeast"/>
          <w:tblHeader/>
          <w:jc w:val="center"/>
        </w:trPr>
        <w:tc>
          <w:tcPr>
            <w:tcW w:w="715" w:type="dxa"/>
            <w:vMerge w:val="restart"/>
            <w:shd w:val="clear" w:color="auto" w:fill="auto"/>
            <w:tcMar>
              <w:top w:w="15" w:type="dxa"/>
              <w:left w:w="86" w:type="dxa"/>
              <w:bottom w:w="0" w:type="dxa"/>
              <w:right w:w="86" w:type="dxa"/>
            </w:tcMar>
            <w:vAlign w:val="center"/>
          </w:tcPr>
          <w:p w14:paraId="5EFFF74E">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1690" w:type="dxa"/>
            <w:vMerge w:val="restart"/>
            <w:shd w:val="clear" w:color="auto" w:fill="auto"/>
            <w:tcMar>
              <w:top w:w="15" w:type="dxa"/>
              <w:left w:w="86" w:type="dxa"/>
              <w:bottom w:w="0" w:type="dxa"/>
              <w:right w:w="86" w:type="dxa"/>
            </w:tcMar>
            <w:vAlign w:val="center"/>
          </w:tcPr>
          <w:p w14:paraId="515D0E87">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火炬开发区</w:t>
            </w:r>
          </w:p>
        </w:tc>
        <w:tc>
          <w:tcPr>
            <w:tcW w:w="2673" w:type="dxa"/>
            <w:vAlign w:val="center"/>
          </w:tcPr>
          <w:p w14:paraId="6606D813">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HJQ-MZ</w:t>
            </w:r>
          </w:p>
        </w:tc>
        <w:tc>
          <w:tcPr>
            <w:tcW w:w="2808" w:type="dxa"/>
            <w:vMerge w:val="restart"/>
            <w:shd w:val="clear" w:color="auto" w:fill="auto"/>
            <w:tcMar>
              <w:top w:w="15" w:type="dxa"/>
              <w:left w:w="86" w:type="dxa"/>
              <w:bottom w:w="0" w:type="dxa"/>
              <w:right w:w="86" w:type="dxa"/>
            </w:tcMar>
            <w:vAlign w:val="center"/>
          </w:tcPr>
          <w:p w14:paraId="5F068AF4">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100%</w:t>
            </w:r>
          </w:p>
        </w:tc>
        <w:tc>
          <w:tcPr>
            <w:tcW w:w="2332" w:type="dxa"/>
            <w:vMerge w:val="continue"/>
            <w:shd w:val="clear" w:color="auto" w:fill="auto"/>
            <w:tcMar>
              <w:top w:w="15" w:type="dxa"/>
              <w:left w:w="86" w:type="dxa"/>
              <w:bottom w:w="0" w:type="dxa"/>
              <w:right w:w="86" w:type="dxa"/>
            </w:tcMar>
            <w:vAlign w:val="center"/>
          </w:tcPr>
          <w:p w14:paraId="43EDD0B9">
            <w:pPr>
              <w:widowControl/>
              <w:jc w:val="center"/>
              <w:textAlignment w:val="center"/>
              <w:rPr>
                <w:rFonts w:hint="default" w:ascii="Times New Roman" w:hAnsi="Times New Roman" w:eastAsia="宋体" w:cs="Times New Roman"/>
                <w:b w:val="0"/>
                <w:bCs w:val="0"/>
                <w:color w:val="000000"/>
                <w:kern w:val="0"/>
                <w:sz w:val="21"/>
                <w:szCs w:val="21"/>
                <w:lang w:bidi="ar"/>
              </w:rPr>
            </w:pPr>
          </w:p>
        </w:tc>
      </w:tr>
      <w:tr w14:paraId="3538E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9" w:hRule="atLeast"/>
          <w:tblHeader/>
          <w:jc w:val="center"/>
        </w:trPr>
        <w:tc>
          <w:tcPr>
            <w:tcW w:w="715" w:type="dxa"/>
            <w:vMerge w:val="continue"/>
            <w:shd w:val="clear" w:color="auto" w:fill="auto"/>
            <w:tcMar>
              <w:top w:w="15" w:type="dxa"/>
              <w:left w:w="86" w:type="dxa"/>
              <w:bottom w:w="0" w:type="dxa"/>
              <w:right w:w="86" w:type="dxa"/>
            </w:tcMar>
            <w:vAlign w:val="center"/>
          </w:tcPr>
          <w:p w14:paraId="4D2358CF">
            <w:pPr>
              <w:widowControl/>
              <w:jc w:val="center"/>
              <w:rPr>
                <w:rFonts w:hint="default" w:ascii="Times New Roman" w:hAnsi="Times New Roman" w:eastAsia="宋体" w:cs="Times New Roman"/>
                <w:b w:val="0"/>
                <w:bCs w:val="0"/>
                <w:color w:val="000000"/>
                <w:kern w:val="0"/>
                <w:sz w:val="21"/>
                <w:szCs w:val="21"/>
              </w:rPr>
            </w:pPr>
          </w:p>
        </w:tc>
        <w:tc>
          <w:tcPr>
            <w:tcW w:w="1690" w:type="dxa"/>
            <w:vMerge w:val="continue"/>
            <w:shd w:val="clear" w:color="auto" w:fill="auto"/>
            <w:tcMar>
              <w:top w:w="15" w:type="dxa"/>
              <w:left w:w="86" w:type="dxa"/>
              <w:bottom w:w="0" w:type="dxa"/>
              <w:right w:w="86" w:type="dxa"/>
            </w:tcMar>
            <w:vAlign w:val="center"/>
          </w:tcPr>
          <w:p w14:paraId="59AF8A57">
            <w:pPr>
              <w:widowControl/>
              <w:jc w:val="center"/>
              <w:textAlignment w:val="center"/>
              <w:rPr>
                <w:rFonts w:hint="default" w:ascii="Times New Roman" w:hAnsi="Times New Roman" w:eastAsia="宋体" w:cs="Times New Roman"/>
                <w:b w:val="0"/>
                <w:bCs w:val="0"/>
                <w:color w:val="000000"/>
                <w:kern w:val="0"/>
                <w:sz w:val="21"/>
                <w:szCs w:val="21"/>
                <w:lang w:bidi="ar"/>
              </w:rPr>
            </w:pPr>
          </w:p>
        </w:tc>
        <w:tc>
          <w:tcPr>
            <w:tcW w:w="2673" w:type="dxa"/>
            <w:vAlign w:val="center"/>
          </w:tcPr>
          <w:p w14:paraId="39556B23">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HJQ-ZSG</w:t>
            </w:r>
          </w:p>
        </w:tc>
        <w:tc>
          <w:tcPr>
            <w:tcW w:w="2808" w:type="dxa"/>
            <w:vMerge w:val="continue"/>
            <w:shd w:val="clear" w:color="auto" w:fill="auto"/>
            <w:tcMar>
              <w:top w:w="15" w:type="dxa"/>
              <w:left w:w="86" w:type="dxa"/>
              <w:bottom w:w="0" w:type="dxa"/>
              <w:right w:w="86" w:type="dxa"/>
            </w:tcMar>
            <w:vAlign w:val="center"/>
          </w:tcPr>
          <w:p w14:paraId="6262D817">
            <w:pPr>
              <w:widowControl/>
              <w:jc w:val="center"/>
              <w:textAlignment w:val="center"/>
              <w:rPr>
                <w:rFonts w:hint="default" w:ascii="Times New Roman" w:hAnsi="Times New Roman" w:eastAsia="宋体" w:cs="Times New Roman"/>
                <w:b w:val="0"/>
                <w:bCs w:val="0"/>
                <w:color w:val="000000"/>
                <w:kern w:val="0"/>
                <w:sz w:val="21"/>
                <w:szCs w:val="21"/>
                <w:lang w:bidi="ar"/>
              </w:rPr>
            </w:pPr>
          </w:p>
        </w:tc>
        <w:tc>
          <w:tcPr>
            <w:tcW w:w="2332" w:type="dxa"/>
            <w:vMerge w:val="continue"/>
            <w:shd w:val="clear" w:color="auto" w:fill="auto"/>
            <w:tcMar>
              <w:top w:w="15" w:type="dxa"/>
              <w:left w:w="86" w:type="dxa"/>
              <w:bottom w:w="0" w:type="dxa"/>
              <w:right w:w="86" w:type="dxa"/>
            </w:tcMar>
            <w:vAlign w:val="center"/>
          </w:tcPr>
          <w:p w14:paraId="18494B15">
            <w:pPr>
              <w:widowControl/>
              <w:jc w:val="center"/>
              <w:textAlignment w:val="center"/>
              <w:rPr>
                <w:rFonts w:hint="default" w:ascii="Times New Roman" w:hAnsi="Times New Roman" w:eastAsia="宋体" w:cs="Times New Roman"/>
                <w:b w:val="0"/>
                <w:bCs w:val="0"/>
                <w:color w:val="000000"/>
                <w:kern w:val="0"/>
                <w:sz w:val="21"/>
                <w:szCs w:val="21"/>
                <w:lang w:bidi="ar"/>
              </w:rPr>
            </w:pPr>
          </w:p>
        </w:tc>
      </w:tr>
      <w:tr w14:paraId="4B841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tblHeader/>
          <w:jc w:val="center"/>
        </w:trPr>
        <w:tc>
          <w:tcPr>
            <w:tcW w:w="715" w:type="dxa"/>
            <w:vMerge w:val="restart"/>
            <w:shd w:val="clear" w:color="auto" w:fill="auto"/>
            <w:tcMar>
              <w:top w:w="15" w:type="dxa"/>
              <w:left w:w="86" w:type="dxa"/>
              <w:bottom w:w="0" w:type="dxa"/>
              <w:right w:w="86" w:type="dxa"/>
            </w:tcMar>
            <w:vAlign w:val="center"/>
          </w:tcPr>
          <w:p w14:paraId="089914B2">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w:t>
            </w:r>
          </w:p>
        </w:tc>
        <w:tc>
          <w:tcPr>
            <w:tcW w:w="1690" w:type="dxa"/>
            <w:vMerge w:val="restart"/>
            <w:shd w:val="clear" w:color="auto" w:fill="auto"/>
            <w:tcMar>
              <w:top w:w="15" w:type="dxa"/>
              <w:left w:w="86" w:type="dxa"/>
              <w:bottom w:w="0" w:type="dxa"/>
              <w:right w:w="86" w:type="dxa"/>
            </w:tcMar>
            <w:vAlign w:val="center"/>
          </w:tcPr>
          <w:p w14:paraId="529A6132">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岐江新城</w:t>
            </w:r>
          </w:p>
        </w:tc>
        <w:tc>
          <w:tcPr>
            <w:tcW w:w="2673" w:type="dxa"/>
            <w:vAlign w:val="center"/>
          </w:tcPr>
          <w:p w14:paraId="56C75BC4">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ZXCQ-GK-B</w:t>
            </w:r>
          </w:p>
        </w:tc>
        <w:tc>
          <w:tcPr>
            <w:tcW w:w="2808" w:type="dxa"/>
            <w:vMerge w:val="restart"/>
            <w:shd w:val="clear" w:color="auto" w:fill="auto"/>
            <w:tcMar>
              <w:top w:w="15" w:type="dxa"/>
              <w:left w:w="86" w:type="dxa"/>
              <w:bottom w:w="0" w:type="dxa"/>
              <w:right w:w="86" w:type="dxa"/>
            </w:tcMar>
            <w:vAlign w:val="center"/>
          </w:tcPr>
          <w:p w14:paraId="68D6B4D2">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100%</w:t>
            </w:r>
          </w:p>
        </w:tc>
        <w:tc>
          <w:tcPr>
            <w:tcW w:w="2332" w:type="dxa"/>
            <w:vMerge w:val="continue"/>
            <w:shd w:val="clear" w:color="auto" w:fill="auto"/>
            <w:tcMar>
              <w:top w:w="15" w:type="dxa"/>
              <w:left w:w="86" w:type="dxa"/>
              <w:bottom w:w="0" w:type="dxa"/>
              <w:right w:w="86" w:type="dxa"/>
            </w:tcMar>
            <w:vAlign w:val="center"/>
          </w:tcPr>
          <w:p w14:paraId="172ADC3A">
            <w:pPr>
              <w:widowControl/>
              <w:jc w:val="center"/>
              <w:textAlignment w:val="center"/>
              <w:rPr>
                <w:rFonts w:hint="default" w:ascii="Times New Roman" w:hAnsi="Times New Roman" w:eastAsia="仿宋" w:cs="Times New Roman"/>
                <w:b w:val="0"/>
                <w:bCs w:val="0"/>
                <w:color w:val="000000"/>
                <w:kern w:val="0"/>
                <w:sz w:val="21"/>
                <w:szCs w:val="21"/>
              </w:rPr>
            </w:pPr>
          </w:p>
        </w:tc>
      </w:tr>
      <w:tr w14:paraId="66131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tblHeader/>
          <w:jc w:val="center"/>
        </w:trPr>
        <w:tc>
          <w:tcPr>
            <w:tcW w:w="715" w:type="dxa"/>
            <w:vMerge w:val="continue"/>
            <w:shd w:val="clear" w:color="auto" w:fill="auto"/>
            <w:tcMar>
              <w:top w:w="15" w:type="dxa"/>
              <w:left w:w="86" w:type="dxa"/>
              <w:bottom w:w="0" w:type="dxa"/>
              <w:right w:w="86" w:type="dxa"/>
            </w:tcMar>
            <w:vAlign w:val="center"/>
          </w:tcPr>
          <w:p w14:paraId="6E202727">
            <w:pPr>
              <w:widowControl/>
              <w:jc w:val="center"/>
              <w:textAlignment w:val="center"/>
              <w:rPr>
                <w:rFonts w:hint="default" w:ascii="Times New Roman" w:hAnsi="Times New Roman" w:eastAsia="仿宋" w:cs="Times New Roman"/>
                <w:b w:val="0"/>
                <w:bCs w:val="0"/>
                <w:color w:val="000000"/>
                <w:kern w:val="0"/>
                <w:sz w:val="21"/>
                <w:szCs w:val="21"/>
              </w:rPr>
            </w:pPr>
          </w:p>
        </w:tc>
        <w:tc>
          <w:tcPr>
            <w:tcW w:w="1690" w:type="dxa"/>
            <w:vMerge w:val="continue"/>
            <w:shd w:val="clear" w:color="auto" w:fill="auto"/>
            <w:tcMar>
              <w:top w:w="15" w:type="dxa"/>
              <w:left w:w="86" w:type="dxa"/>
              <w:bottom w:w="0" w:type="dxa"/>
              <w:right w:w="86" w:type="dxa"/>
            </w:tcMar>
            <w:vAlign w:val="center"/>
          </w:tcPr>
          <w:p w14:paraId="4032E2F9">
            <w:pPr>
              <w:widowControl/>
              <w:jc w:val="center"/>
              <w:textAlignment w:val="center"/>
              <w:rPr>
                <w:rFonts w:hint="default" w:ascii="Times New Roman" w:hAnsi="Times New Roman" w:eastAsia="宋体" w:cs="Times New Roman"/>
                <w:b w:val="0"/>
                <w:bCs w:val="0"/>
                <w:color w:val="000000"/>
                <w:kern w:val="0"/>
                <w:sz w:val="21"/>
                <w:szCs w:val="21"/>
                <w:lang w:bidi="ar"/>
              </w:rPr>
            </w:pPr>
          </w:p>
        </w:tc>
        <w:tc>
          <w:tcPr>
            <w:tcW w:w="2673" w:type="dxa"/>
            <w:vAlign w:val="center"/>
          </w:tcPr>
          <w:p w14:paraId="6BD12CFF">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ZXCQ-SQ-A</w:t>
            </w:r>
          </w:p>
        </w:tc>
        <w:tc>
          <w:tcPr>
            <w:tcW w:w="2808" w:type="dxa"/>
            <w:vMerge w:val="continue"/>
            <w:shd w:val="clear" w:color="auto" w:fill="auto"/>
            <w:tcMar>
              <w:top w:w="15" w:type="dxa"/>
              <w:left w:w="86" w:type="dxa"/>
              <w:bottom w:w="0" w:type="dxa"/>
              <w:right w:w="86" w:type="dxa"/>
            </w:tcMar>
            <w:vAlign w:val="center"/>
          </w:tcPr>
          <w:p w14:paraId="48FB6ECC">
            <w:pPr>
              <w:widowControl/>
              <w:jc w:val="center"/>
              <w:textAlignment w:val="center"/>
              <w:rPr>
                <w:rFonts w:hint="default" w:ascii="Times New Roman" w:hAnsi="Times New Roman" w:eastAsia="仿宋" w:cs="Times New Roman"/>
                <w:b w:val="0"/>
                <w:bCs w:val="0"/>
                <w:color w:val="000000"/>
                <w:kern w:val="0"/>
                <w:sz w:val="21"/>
                <w:szCs w:val="21"/>
              </w:rPr>
            </w:pPr>
          </w:p>
        </w:tc>
        <w:tc>
          <w:tcPr>
            <w:tcW w:w="2332" w:type="dxa"/>
            <w:vMerge w:val="continue"/>
            <w:shd w:val="clear" w:color="auto" w:fill="auto"/>
            <w:tcMar>
              <w:top w:w="15" w:type="dxa"/>
              <w:left w:w="86" w:type="dxa"/>
              <w:bottom w:w="0" w:type="dxa"/>
              <w:right w:w="86" w:type="dxa"/>
            </w:tcMar>
            <w:vAlign w:val="center"/>
          </w:tcPr>
          <w:p w14:paraId="3550B4DF">
            <w:pPr>
              <w:widowControl/>
              <w:jc w:val="center"/>
              <w:textAlignment w:val="center"/>
              <w:rPr>
                <w:rFonts w:hint="default" w:ascii="Times New Roman" w:hAnsi="Times New Roman" w:eastAsia="仿宋" w:cs="Times New Roman"/>
                <w:b w:val="0"/>
                <w:bCs w:val="0"/>
                <w:color w:val="000000"/>
                <w:kern w:val="0"/>
                <w:sz w:val="21"/>
                <w:szCs w:val="21"/>
              </w:rPr>
            </w:pPr>
          </w:p>
        </w:tc>
      </w:tr>
    </w:tbl>
    <w:p w14:paraId="727B554D">
      <w:pPr>
        <w:rPr>
          <w:rFonts w:hint="default" w:ascii="Times New Roman" w:hAnsi="Times New Roman" w:cs="Times New Roman"/>
        </w:rPr>
      </w:pPr>
    </w:p>
    <w:p w14:paraId="0EF41B08">
      <w:pPr>
        <w:widowControl/>
        <w:adjustRightInd w:val="0"/>
        <w:snapToGrid w:val="0"/>
        <w:spacing w:line="360" w:lineRule="auto"/>
        <w:ind w:firstLine="420" w:firstLineChars="200"/>
        <w:rPr>
          <w:rFonts w:hint="default" w:ascii="Times New Roman" w:hAnsi="Times New Roman" w:cs="Times New Roman"/>
        </w:rPr>
      </w:pPr>
      <w:r>
        <w:rPr>
          <w:rFonts w:hint="default" w:ascii="Times New Roman" w:hAnsi="Times New Roman" w:cs="Times New Roman"/>
        </w:rPr>
        <w:br w:type="page"/>
      </w:r>
    </w:p>
    <w:p w14:paraId="26B8A95D">
      <w:pPr>
        <w:pStyle w:val="4"/>
        <w:rPr>
          <w:rFonts w:hint="default" w:ascii="Times New Roman" w:hAnsi="Times New Roman" w:cs="Times New Roman"/>
        </w:rPr>
      </w:pPr>
      <w:bookmarkStart w:id="120" w:name="_Toc124352522"/>
      <w:r>
        <w:rPr>
          <w:rFonts w:hint="default" w:ascii="Times New Roman" w:hAnsi="Times New Roman" w:cs="Times New Roman"/>
        </w:rPr>
        <w:t>五、潜力分析</w:t>
      </w:r>
      <w:bookmarkEnd w:id="120"/>
    </w:p>
    <w:p w14:paraId="2C958CFA">
      <w:pPr>
        <w:pStyle w:val="5"/>
        <w:rPr>
          <w:rFonts w:hint="default" w:ascii="Times New Roman" w:hAnsi="Times New Roman" w:cs="Times New Roman"/>
        </w:rPr>
      </w:pPr>
      <w:bookmarkStart w:id="121" w:name="_Toc14127"/>
      <w:bookmarkStart w:id="122" w:name="_Toc124352523"/>
      <w:r>
        <w:rPr>
          <w:rFonts w:hint="default" w:ascii="Times New Roman" w:hAnsi="Times New Roman" w:cs="Times New Roman"/>
        </w:rPr>
        <w:t>5.1 发展组团潜力分析</w:t>
      </w:r>
      <w:bookmarkEnd w:id="121"/>
      <w:bookmarkEnd w:id="122"/>
    </w:p>
    <w:p w14:paraId="7E25B716">
      <w:pPr>
        <w:pStyle w:val="6"/>
        <w:numPr>
          <w:ilvl w:val="255"/>
          <w:numId w:val="0"/>
        </w:numPr>
        <w:ind w:firstLine="561"/>
        <w:rPr>
          <w:rFonts w:hint="default" w:ascii="Times New Roman" w:hAnsi="Times New Roman" w:cs="Times New Roman"/>
        </w:rPr>
      </w:pPr>
      <w:bookmarkStart w:id="123" w:name="_Toc124352524"/>
      <w:bookmarkStart w:id="124" w:name="_Toc110096411"/>
      <w:r>
        <w:rPr>
          <w:rFonts w:hint="default" w:ascii="Times New Roman" w:hAnsi="Times New Roman" w:cs="Times New Roman"/>
        </w:rPr>
        <w:t>5.1.1潜力指标体系构建</w:t>
      </w:r>
      <w:bookmarkEnd w:id="123"/>
      <w:bookmarkEnd w:id="124"/>
    </w:p>
    <w:p w14:paraId="21120858">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本规划选用层次分析法，构建了包括4项指标的绿色建筑发展相关的指标，对各发展组团的社会经济发展状况进行评估，计算各发展组团的总权重，并结合分析结果对个发展组团的绿色建筑发展提出对应的发展策略。</w:t>
      </w:r>
    </w:p>
    <w:p w14:paraId="32EE53F6">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表5-1 绿色建筑潜力指标体系</w:t>
      </w:r>
    </w:p>
    <w:tbl>
      <w:tblPr>
        <w:tblStyle w:val="25"/>
        <w:tblW w:w="72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1"/>
        <w:gridCol w:w="4979"/>
      </w:tblGrid>
      <w:tr w14:paraId="4D5BD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2261" w:type="dxa"/>
            <w:shd w:val="clear" w:color="auto" w:fill="auto"/>
          </w:tcPr>
          <w:p w14:paraId="557FB94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表征指标</w:t>
            </w:r>
          </w:p>
        </w:tc>
        <w:tc>
          <w:tcPr>
            <w:tcW w:w="4979" w:type="dxa"/>
            <w:shd w:val="clear" w:color="auto" w:fill="auto"/>
          </w:tcPr>
          <w:p w14:paraId="159D572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说明</w:t>
            </w:r>
          </w:p>
        </w:tc>
      </w:tr>
      <w:tr w14:paraId="2A0EF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2261" w:type="dxa"/>
            <w:shd w:val="clear" w:color="auto" w:fill="auto"/>
            <w:vAlign w:val="center"/>
          </w:tcPr>
          <w:p w14:paraId="22A324E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政策导向</w:t>
            </w:r>
          </w:p>
        </w:tc>
        <w:tc>
          <w:tcPr>
            <w:tcW w:w="4979" w:type="dxa"/>
            <w:shd w:val="clear" w:color="auto" w:fill="auto"/>
            <w:vAlign w:val="center"/>
          </w:tcPr>
          <w:p w14:paraId="7DD7848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在《中山市国民经济和社会发展第十四个五年规划和2035年远景目标纲要》中相关概念出现次数</w:t>
            </w:r>
          </w:p>
        </w:tc>
      </w:tr>
      <w:tr w14:paraId="15CC1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2261" w:type="dxa"/>
            <w:shd w:val="clear" w:color="auto" w:fill="auto"/>
            <w:vAlign w:val="center"/>
          </w:tcPr>
          <w:p w14:paraId="16C1213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城镇人口增长量</w:t>
            </w:r>
          </w:p>
        </w:tc>
        <w:tc>
          <w:tcPr>
            <w:tcW w:w="4979" w:type="dxa"/>
            <w:shd w:val="clear" w:color="auto" w:fill="auto"/>
            <w:vAlign w:val="center"/>
          </w:tcPr>
          <w:p w14:paraId="69FB746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2020年各发展组团人口</w:t>
            </w:r>
            <w:r>
              <w:rPr>
                <w:rFonts w:hint="default" w:ascii="Times New Roman" w:hAnsi="Times New Roman" w:cs="Times New Roman"/>
                <w:b w:val="0"/>
                <w:bCs/>
                <w:sz w:val="21"/>
                <w:szCs w:val="21"/>
                <w:lang w:val="en-US" w:eastAsia="zh-CN"/>
              </w:rPr>
              <w:t>总</w:t>
            </w:r>
            <w:r>
              <w:rPr>
                <w:rFonts w:hint="default" w:ascii="Times New Roman" w:hAnsi="Times New Roman" w:cs="Times New Roman"/>
                <w:b w:val="0"/>
                <w:bCs/>
                <w:sz w:val="21"/>
                <w:szCs w:val="21"/>
              </w:rPr>
              <w:t>量</w:t>
            </w:r>
          </w:p>
        </w:tc>
      </w:tr>
      <w:tr w14:paraId="2462A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2261" w:type="dxa"/>
            <w:shd w:val="clear" w:color="auto" w:fill="auto"/>
            <w:vAlign w:val="center"/>
          </w:tcPr>
          <w:p w14:paraId="3C54A62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lang w:val="en-US" w:eastAsia="zh-CN"/>
              </w:rPr>
              <w:t>人均</w:t>
            </w:r>
            <w:r>
              <w:rPr>
                <w:rFonts w:hint="default" w:ascii="Times New Roman" w:hAnsi="Times New Roman" w:cs="Times New Roman"/>
                <w:b w:val="0"/>
                <w:bCs/>
                <w:sz w:val="21"/>
                <w:szCs w:val="21"/>
              </w:rPr>
              <w:t>GDP</w:t>
            </w:r>
          </w:p>
        </w:tc>
        <w:tc>
          <w:tcPr>
            <w:tcW w:w="4979" w:type="dxa"/>
            <w:shd w:val="clear" w:color="auto" w:fill="auto"/>
            <w:vAlign w:val="center"/>
          </w:tcPr>
          <w:p w14:paraId="114EDAA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2020年各发展组团</w:t>
            </w:r>
            <w:r>
              <w:rPr>
                <w:rFonts w:hint="default" w:ascii="Times New Roman" w:hAnsi="Times New Roman" w:cs="Times New Roman"/>
                <w:b w:val="0"/>
                <w:bCs/>
                <w:sz w:val="21"/>
                <w:szCs w:val="21"/>
                <w:lang w:val="en-US" w:eastAsia="zh-CN"/>
              </w:rPr>
              <w:t>人均</w:t>
            </w:r>
            <w:r>
              <w:rPr>
                <w:rFonts w:hint="default" w:ascii="Times New Roman" w:hAnsi="Times New Roman" w:cs="Times New Roman"/>
                <w:b w:val="0"/>
                <w:bCs/>
                <w:sz w:val="21"/>
                <w:szCs w:val="21"/>
              </w:rPr>
              <w:t>国民生产总值</w:t>
            </w:r>
          </w:p>
        </w:tc>
      </w:tr>
      <w:tr w14:paraId="0F294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2261" w:type="dxa"/>
            <w:shd w:val="clear" w:color="auto" w:fill="auto"/>
            <w:vAlign w:val="center"/>
          </w:tcPr>
          <w:p w14:paraId="52A366D3">
            <w:pPr>
              <w:pStyle w:val="48"/>
              <w:rPr>
                <w:rFonts w:hint="default" w:ascii="Times New Roman" w:hAnsi="Times New Roman" w:eastAsia="宋体" w:cs="Times New Roman"/>
                <w:b w:val="0"/>
                <w:bCs/>
                <w:sz w:val="21"/>
                <w:szCs w:val="21"/>
                <w:lang w:eastAsia="zh-CN"/>
              </w:rPr>
            </w:pPr>
            <w:r>
              <w:rPr>
                <w:rFonts w:hint="default" w:ascii="Times New Roman" w:hAnsi="Times New Roman" w:cs="Times New Roman"/>
                <w:b w:val="0"/>
                <w:bCs/>
                <w:sz w:val="21"/>
                <w:szCs w:val="21"/>
                <w:lang w:val="en-US" w:eastAsia="zh-CN"/>
              </w:rPr>
              <w:t>人均</w:t>
            </w:r>
            <w:r>
              <w:rPr>
                <w:rFonts w:hint="default" w:ascii="Times New Roman" w:hAnsi="Times New Roman" w:cs="Times New Roman"/>
                <w:b w:val="0"/>
                <w:bCs/>
                <w:sz w:val="21"/>
                <w:szCs w:val="21"/>
              </w:rPr>
              <w:t>固定资产</w:t>
            </w:r>
            <w:r>
              <w:rPr>
                <w:rFonts w:hint="default" w:ascii="Times New Roman" w:hAnsi="Times New Roman" w:cs="Times New Roman"/>
                <w:b w:val="0"/>
                <w:bCs/>
                <w:sz w:val="21"/>
                <w:szCs w:val="21"/>
                <w:lang w:val="en-US" w:eastAsia="zh-CN"/>
              </w:rPr>
              <w:t>投资额</w:t>
            </w:r>
          </w:p>
        </w:tc>
        <w:tc>
          <w:tcPr>
            <w:tcW w:w="4979" w:type="dxa"/>
            <w:shd w:val="clear" w:color="auto" w:fill="auto"/>
            <w:vAlign w:val="center"/>
          </w:tcPr>
          <w:p w14:paraId="68C48EE4">
            <w:pPr>
              <w:pStyle w:val="48"/>
              <w:rPr>
                <w:rFonts w:hint="default" w:ascii="Times New Roman" w:hAnsi="Times New Roman" w:eastAsia="宋体" w:cs="Times New Roman"/>
                <w:b w:val="0"/>
                <w:bCs/>
                <w:sz w:val="21"/>
                <w:szCs w:val="21"/>
                <w:lang w:eastAsia="zh-CN"/>
              </w:rPr>
            </w:pPr>
            <w:r>
              <w:rPr>
                <w:rFonts w:hint="default" w:ascii="Times New Roman" w:hAnsi="Times New Roman" w:cs="Times New Roman"/>
                <w:b w:val="0"/>
                <w:bCs/>
                <w:sz w:val="21"/>
                <w:szCs w:val="21"/>
              </w:rPr>
              <w:t>2020年各发展组团</w:t>
            </w:r>
            <w:r>
              <w:rPr>
                <w:rFonts w:hint="default" w:ascii="Times New Roman" w:hAnsi="Times New Roman" w:cs="Times New Roman"/>
                <w:b w:val="0"/>
                <w:bCs/>
                <w:sz w:val="21"/>
                <w:szCs w:val="21"/>
                <w:lang w:val="en-US" w:eastAsia="zh-CN"/>
              </w:rPr>
              <w:t>人均</w:t>
            </w:r>
            <w:r>
              <w:rPr>
                <w:rFonts w:hint="default" w:ascii="Times New Roman" w:hAnsi="Times New Roman" w:cs="Times New Roman"/>
                <w:b w:val="0"/>
                <w:bCs/>
                <w:sz w:val="21"/>
                <w:szCs w:val="21"/>
              </w:rPr>
              <w:t>固定资产</w:t>
            </w:r>
            <w:r>
              <w:rPr>
                <w:rFonts w:hint="default" w:ascii="Times New Roman" w:hAnsi="Times New Roman" w:cs="Times New Roman"/>
                <w:b w:val="0"/>
                <w:bCs/>
                <w:sz w:val="21"/>
                <w:szCs w:val="21"/>
                <w:lang w:val="en-US" w:eastAsia="zh-CN"/>
              </w:rPr>
              <w:t>投资额</w:t>
            </w:r>
          </w:p>
        </w:tc>
      </w:tr>
    </w:tbl>
    <w:p w14:paraId="630984D4">
      <w:pPr>
        <w:pStyle w:val="6"/>
        <w:numPr>
          <w:ilvl w:val="255"/>
          <w:numId w:val="0"/>
        </w:numPr>
        <w:ind w:firstLine="561"/>
        <w:rPr>
          <w:rFonts w:hint="default" w:ascii="Times New Roman" w:hAnsi="Times New Roman" w:cs="Times New Roman"/>
        </w:rPr>
      </w:pPr>
      <w:bookmarkStart w:id="125" w:name="_Toc110096412"/>
      <w:bookmarkStart w:id="126" w:name="_Toc124352525"/>
      <w:r>
        <w:rPr>
          <w:rFonts w:hint="default" w:ascii="Times New Roman" w:hAnsi="Times New Roman" w:cs="Times New Roman"/>
        </w:rPr>
        <w:t>5.1.2因子权重计算</w:t>
      </w:r>
      <w:bookmarkEnd w:id="125"/>
      <w:bookmarkEnd w:id="126"/>
    </w:p>
    <w:p w14:paraId="084B8B73">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各因子权重将各因子两两对比，判断其相对重要性。本文中，判断矩阵构建采用1-9标度，详见下表。</w:t>
      </w:r>
    </w:p>
    <w:p w14:paraId="4936359B">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表5-2  判断矩阵</w:t>
      </w:r>
    </w:p>
    <w:tbl>
      <w:tblPr>
        <w:tblStyle w:val="25"/>
        <w:tblW w:w="9208" w:type="dxa"/>
        <w:jc w:val="center"/>
        <w:tblLayout w:type="fixed"/>
        <w:tblCellMar>
          <w:top w:w="0" w:type="dxa"/>
          <w:left w:w="108" w:type="dxa"/>
          <w:bottom w:w="0" w:type="dxa"/>
          <w:right w:w="108" w:type="dxa"/>
        </w:tblCellMar>
      </w:tblPr>
      <w:tblGrid>
        <w:gridCol w:w="2889"/>
        <w:gridCol w:w="1528"/>
        <w:gridCol w:w="1528"/>
        <w:gridCol w:w="1145"/>
        <w:gridCol w:w="2118"/>
      </w:tblGrid>
      <w:tr w14:paraId="451B36C3">
        <w:tblPrEx>
          <w:tblCellMar>
            <w:top w:w="0" w:type="dxa"/>
            <w:left w:w="108" w:type="dxa"/>
            <w:bottom w:w="0" w:type="dxa"/>
            <w:right w:w="108" w:type="dxa"/>
          </w:tblCellMar>
        </w:tblPrEx>
        <w:trPr>
          <w:trHeight w:val="567" w:hRule="atLeast"/>
          <w:tblHeader/>
          <w:jc w:val="center"/>
        </w:trPr>
        <w:tc>
          <w:tcPr>
            <w:tcW w:w="2889" w:type="dxa"/>
            <w:tcBorders>
              <w:top w:val="single" w:color="auto" w:sz="4" w:space="0"/>
              <w:left w:val="single" w:color="auto" w:sz="4" w:space="0"/>
              <w:bottom w:val="single" w:color="auto" w:sz="4" w:space="0"/>
              <w:right w:val="single" w:color="auto" w:sz="4" w:space="0"/>
            </w:tcBorders>
            <w:shd w:val="clear" w:color="auto" w:fill="auto"/>
            <w:vAlign w:val="center"/>
          </w:tcPr>
          <w:p w14:paraId="50F9218E">
            <w:pPr>
              <w:pStyle w:val="48"/>
              <w:rPr>
                <w:rFonts w:hint="default" w:ascii="Times New Roman" w:hAnsi="Times New Roman" w:cs="Times New Roman"/>
                <w:b w:val="0"/>
                <w:bCs/>
                <w:sz w:val="21"/>
                <w:szCs w:val="21"/>
              </w:rPr>
            </w:pPr>
          </w:p>
        </w:tc>
        <w:tc>
          <w:tcPr>
            <w:tcW w:w="1528" w:type="dxa"/>
            <w:tcBorders>
              <w:top w:val="single" w:color="auto" w:sz="4" w:space="0"/>
              <w:left w:val="nil"/>
              <w:bottom w:val="single" w:color="auto" w:sz="4" w:space="0"/>
              <w:right w:val="single" w:color="auto" w:sz="4" w:space="0"/>
            </w:tcBorders>
            <w:shd w:val="clear" w:color="auto" w:fill="auto"/>
            <w:vAlign w:val="center"/>
          </w:tcPr>
          <w:p w14:paraId="23BE6D1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政策导向</w:t>
            </w:r>
          </w:p>
        </w:tc>
        <w:tc>
          <w:tcPr>
            <w:tcW w:w="1528" w:type="dxa"/>
            <w:tcBorders>
              <w:top w:val="single" w:color="auto" w:sz="4" w:space="0"/>
              <w:left w:val="nil"/>
              <w:bottom w:val="single" w:color="auto" w:sz="4" w:space="0"/>
              <w:right w:val="single" w:color="auto" w:sz="4" w:space="0"/>
            </w:tcBorders>
            <w:shd w:val="clear" w:color="auto" w:fill="auto"/>
            <w:vAlign w:val="center"/>
          </w:tcPr>
          <w:p w14:paraId="2544029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城镇人口总量</w:t>
            </w:r>
          </w:p>
        </w:tc>
        <w:tc>
          <w:tcPr>
            <w:tcW w:w="1145" w:type="dxa"/>
            <w:tcBorders>
              <w:top w:val="single" w:color="auto" w:sz="4" w:space="0"/>
              <w:left w:val="nil"/>
              <w:bottom w:val="single" w:color="auto" w:sz="4" w:space="0"/>
              <w:right w:val="single" w:color="auto" w:sz="4" w:space="0"/>
            </w:tcBorders>
            <w:shd w:val="clear" w:color="auto" w:fill="auto"/>
            <w:vAlign w:val="center"/>
          </w:tcPr>
          <w:p w14:paraId="36DD38B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人均GDP</w:t>
            </w:r>
          </w:p>
        </w:tc>
        <w:tc>
          <w:tcPr>
            <w:tcW w:w="2118" w:type="dxa"/>
            <w:tcBorders>
              <w:top w:val="single" w:color="auto" w:sz="4" w:space="0"/>
              <w:left w:val="nil"/>
              <w:bottom w:val="single" w:color="auto" w:sz="4" w:space="0"/>
              <w:right w:val="single" w:color="auto" w:sz="4" w:space="0"/>
            </w:tcBorders>
            <w:shd w:val="clear" w:color="auto" w:fill="auto"/>
            <w:vAlign w:val="center"/>
          </w:tcPr>
          <w:p w14:paraId="5CE2330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人均固定资产投资额</w:t>
            </w:r>
          </w:p>
        </w:tc>
      </w:tr>
      <w:tr w14:paraId="6ACA0D1D">
        <w:tblPrEx>
          <w:tblCellMar>
            <w:top w:w="0" w:type="dxa"/>
            <w:left w:w="108" w:type="dxa"/>
            <w:bottom w:w="0" w:type="dxa"/>
            <w:right w:w="108" w:type="dxa"/>
          </w:tblCellMar>
        </w:tblPrEx>
        <w:trPr>
          <w:trHeight w:val="567" w:hRule="atLeast"/>
          <w:jc w:val="center"/>
        </w:trPr>
        <w:tc>
          <w:tcPr>
            <w:tcW w:w="2889" w:type="dxa"/>
            <w:tcBorders>
              <w:top w:val="nil"/>
              <w:left w:val="single" w:color="auto" w:sz="4" w:space="0"/>
              <w:bottom w:val="single" w:color="auto" w:sz="4" w:space="0"/>
              <w:right w:val="single" w:color="auto" w:sz="4" w:space="0"/>
            </w:tcBorders>
            <w:shd w:val="clear" w:color="auto" w:fill="auto"/>
            <w:vAlign w:val="center"/>
          </w:tcPr>
          <w:p w14:paraId="355A766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政策导向</w:t>
            </w:r>
          </w:p>
        </w:tc>
        <w:tc>
          <w:tcPr>
            <w:tcW w:w="1528" w:type="dxa"/>
            <w:tcBorders>
              <w:top w:val="nil"/>
              <w:left w:val="nil"/>
              <w:bottom w:val="single" w:color="auto" w:sz="4" w:space="0"/>
              <w:right w:val="single" w:color="auto" w:sz="4" w:space="0"/>
            </w:tcBorders>
            <w:shd w:val="clear" w:color="auto" w:fill="auto"/>
            <w:vAlign w:val="center"/>
          </w:tcPr>
          <w:p w14:paraId="587540C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1528" w:type="dxa"/>
            <w:tcBorders>
              <w:top w:val="nil"/>
              <w:left w:val="nil"/>
              <w:bottom w:val="single" w:color="auto" w:sz="4" w:space="0"/>
              <w:right w:val="single" w:color="auto" w:sz="4" w:space="0"/>
            </w:tcBorders>
            <w:shd w:val="clear" w:color="auto" w:fill="auto"/>
            <w:vAlign w:val="center"/>
          </w:tcPr>
          <w:p w14:paraId="2A89D7B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w:t>
            </w:r>
          </w:p>
        </w:tc>
        <w:tc>
          <w:tcPr>
            <w:tcW w:w="1145" w:type="dxa"/>
            <w:tcBorders>
              <w:top w:val="nil"/>
              <w:left w:val="nil"/>
              <w:bottom w:val="single" w:color="auto" w:sz="4" w:space="0"/>
              <w:right w:val="single" w:color="auto" w:sz="4" w:space="0"/>
            </w:tcBorders>
            <w:shd w:val="clear" w:color="auto" w:fill="auto"/>
            <w:vAlign w:val="center"/>
          </w:tcPr>
          <w:p w14:paraId="4078ED9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2118" w:type="dxa"/>
            <w:tcBorders>
              <w:top w:val="nil"/>
              <w:left w:val="nil"/>
              <w:bottom w:val="single" w:color="auto" w:sz="4" w:space="0"/>
              <w:right w:val="single" w:color="auto" w:sz="4" w:space="0"/>
            </w:tcBorders>
            <w:shd w:val="clear" w:color="auto" w:fill="auto"/>
            <w:vAlign w:val="center"/>
          </w:tcPr>
          <w:p w14:paraId="5C1E85B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w:t>
            </w:r>
          </w:p>
        </w:tc>
      </w:tr>
      <w:tr w14:paraId="3BCDBD6A">
        <w:tblPrEx>
          <w:tblCellMar>
            <w:top w:w="0" w:type="dxa"/>
            <w:left w:w="108" w:type="dxa"/>
            <w:bottom w:w="0" w:type="dxa"/>
            <w:right w:w="108" w:type="dxa"/>
          </w:tblCellMar>
        </w:tblPrEx>
        <w:trPr>
          <w:trHeight w:val="567" w:hRule="atLeast"/>
          <w:jc w:val="center"/>
        </w:trPr>
        <w:tc>
          <w:tcPr>
            <w:tcW w:w="2889" w:type="dxa"/>
            <w:tcBorders>
              <w:top w:val="nil"/>
              <w:left w:val="single" w:color="auto" w:sz="4" w:space="0"/>
              <w:bottom w:val="single" w:color="auto" w:sz="4" w:space="0"/>
              <w:right w:val="single" w:color="auto" w:sz="4" w:space="0"/>
            </w:tcBorders>
            <w:shd w:val="clear" w:color="auto" w:fill="auto"/>
            <w:vAlign w:val="center"/>
          </w:tcPr>
          <w:p w14:paraId="2CEC9CA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城镇人口总量</w:t>
            </w:r>
          </w:p>
        </w:tc>
        <w:tc>
          <w:tcPr>
            <w:tcW w:w="1528" w:type="dxa"/>
            <w:tcBorders>
              <w:top w:val="nil"/>
              <w:left w:val="nil"/>
              <w:bottom w:val="single" w:color="auto" w:sz="4" w:space="0"/>
              <w:right w:val="single" w:color="auto" w:sz="4" w:space="0"/>
            </w:tcBorders>
            <w:shd w:val="clear" w:color="auto" w:fill="auto"/>
            <w:vAlign w:val="center"/>
          </w:tcPr>
          <w:p w14:paraId="7599CAA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1/5</w:t>
            </w:r>
          </w:p>
        </w:tc>
        <w:tc>
          <w:tcPr>
            <w:tcW w:w="1528" w:type="dxa"/>
            <w:tcBorders>
              <w:top w:val="nil"/>
              <w:left w:val="nil"/>
              <w:bottom w:val="single" w:color="auto" w:sz="4" w:space="0"/>
              <w:right w:val="single" w:color="auto" w:sz="4" w:space="0"/>
            </w:tcBorders>
            <w:shd w:val="clear" w:color="auto" w:fill="auto"/>
            <w:vAlign w:val="center"/>
          </w:tcPr>
          <w:p w14:paraId="3411933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1145" w:type="dxa"/>
            <w:tcBorders>
              <w:top w:val="nil"/>
              <w:left w:val="nil"/>
              <w:bottom w:val="single" w:color="auto" w:sz="4" w:space="0"/>
              <w:right w:val="single" w:color="auto" w:sz="4" w:space="0"/>
            </w:tcBorders>
            <w:shd w:val="clear" w:color="auto" w:fill="auto"/>
            <w:vAlign w:val="center"/>
          </w:tcPr>
          <w:p w14:paraId="5F13C8E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1/4</w:t>
            </w:r>
          </w:p>
        </w:tc>
        <w:tc>
          <w:tcPr>
            <w:tcW w:w="2118" w:type="dxa"/>
            <w:tcBorders>
              <w:top w:val="nil"/>
              <w:left w:val="nil"/>
              <w:bottom w:val="single" w:color="auto" w:sz="4" w:space="0"/>
              <w:right w:val="single" w:color="auto" w:sz="4" w:space="0"/>
            </w:tcBorders>
            <w:shd w:val="clear" w:color="auto" w:fill="auto"/>
            <w:vAlign w:val="center"/>
          </w:tcPr>
          <w:p w14:paraId="06C19EB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1/3</w:t>
            </w:r>
          </w:p>
        </w:tc>
      </w:tr>
      <w:tr w14:paraId="67E2D3B2">
        <w:tblPrEx>
          <w:tblCellMar>
            <w:top w:w="0" w:type="dxa"/>
            <w:left w:w="108" w:type="dxa"/>
            <w:bottom w:w="0" w:type="dxa"/>
            <w:right w:w="108" w:type="dxa"/>
          </w:tblCellMar>
        </w:tblPrEx>
        <w:trPr>
          <w:trHeight w:val="567" w:hRule="atLeast"/>
          <w:jc w:val="center"/>
        </w:trPr>
        <w:tc>
          <w:tcPr>
            <w:tcW w:w="2889" w:type="dxa"/>
            <w:tcBorders>
              <w:top w:val="nil"/>
              <w:left w:val="single" w:color="auto" w:sz="4" w:space="0"/>
              <w:bottom w:val="single" w:color="auto" w:sz="4" w:space="0"/>
              <w:right w:val="single" w:color="auto" w:sz="4" w:space="0"/>
            </w:tcBorders>
            <w:shd w:val="clear" w:color="auto" w:fill="auto"/>
            <w:vAlign w:val="center"/>
          </w:tcPr>
          <w:p w14:paraId="55BFB12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人均GDP</w:t>
            </w:r>
          </w:p>
        </w:tc>
        <w:tc>
          <w:tcPr>
            <w:tcW w:w="1528" w:type="dxa"/>
            <w:tcBorders>
              <w:top w:val="nil"/>
              <w:left w:val="nil"/>
              <w:bottom w:val="single" w:color="auto" w:sz="4" w:space="0"/>
              <w:right w:val="single" w:color="auto" w:sz="4" w:space="0"/>
            </w:tcBorders>
            <w:shd w:val="clear" w:color="auto" w:fill="auto"/>
            <w:vAlign w:val="center"/>
          </w:tcPr>
          <w:p w14:paraId="5864024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1/3</w:t>
            </w:r>
          </w:p>
        </w:tc>
        <w:tc>
          <w:tcPr>
            <w:tcW w:w="1528" w:type="dxa"/>
            <w:tcBorders>
              <w:top w:val="nil"/>
              <w:left w:val="nil"/>
              <w:bottom w:val="single" w:color="auto" w:sz="4" w:space="0"/>
              <w:right w:val="single" w:color="auto" w:sz="4" w:space="0"/>
            </w:tcBorders>
            <w:shd w:val="clear" w:color="auto" w:fill="auto"/>
            <w:vAlign w:val="center"/>
          </w:tcPr>
          <w:p w14:paraId="28A7B53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w:t>
            </w:r>
          </w:p>
        </w:tc>
        <w:tc>
          <w:tcPr>
            <w:tcW w:w="1145" w:type="dxa"/>
            <w:tcBorders>
              <w:top w:val="nil"/>
              <w:left w:val="nil"/>
              <w:bottom w:val="single" w:color="auto" w:sz="4" w:space="0"/>
              <w:right w:val="single" w:color="auto" w:sz="4" w:space="0"/>
            </w:tcBorders>
            <w:shd w:val="clear" w:color="auto" w:fill="auto"/>
            <w:vAlign w:val="center"/>
          </w:tcPr>
          <w:p w14:paraId="6089D1A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2118" w:type="dxa"/>
            <w:tcBorders>
              <w:top w:val="nil"/>
              <w:left w:val="nil"/>
              <w:bottom w:val="single" w:color="auto" w:sz="4" w:space="0"/>
              <w:right w:val="single" w:color="auto" w:sz="4" w:space="0"/>
            </w:tcBorders>
            <w:shd w:val="clear" w:color="auto" w:fill="auto"/>
            <w:vAlign w:val="center"/>
          </w:tcPr>
          <w:p w14:paraId="35E8BD7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r>
      <w:tr w14:paraId="28A216E9">
        <w:tblPrEx>
          <w:tblCellMar>
            <w:top w:w="0" w:type="dxa"/>
            <w:left w:w="108" w:type="dxa"/>
            <w:bottom w:w="0" w:type="dxa"/>
            <w:right w:w="108" w:type="dxa"/>
          </w:tblCellMar>
        </w:tblPrEx>
        <w:trPr>
          <w:trHeight w:val="567" w:hRule="atLeast"/>
          <w:jc w:val="center"/>
        </w:trPr>
        <w:tc>
          <w:tcPr>
            <w:tcW w:w="2889" w:type="dxa"/>
            <w:tcBorders>
              <w:top w:val="nil"/>
              <w:left w:val="single" w:color="auto" w:sz="4" w:space="0"/>
              <w:bottom w:val="single" w:color="auto" w:sz="4" w:space="0"/>
              <w:right w:val="single" w:color="auto" w:sz="4" w:space="0"/>
            </w:tcBorders>
            <w:shd w:val="clear" w:color="auto" w:fill="auto"/>
            <w:vAlign w:val="center"/>
          </w:tcPr>
          <w:p w14:paraId="73D2A38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人均固定资产</w:t>
            </w:r>
          </w:p>
        </w:tc>
        <w:tc>
          <w:tcPr>
            <w:tcW w:w="1528" w:type="dxa"/>
            <w:tcBorders>
              <w:top w:val="nil"/>
              <w:left w:val="nil"/>
              <w:bottom w:val="single" w:color="auto" w:sz="4" w:space="0"/>
              <w:right w:val="single" w:color="auto" w:sz="4" w:space="0"/>
            </w:tcBorders>
            <w:shd w:val="clear" w:color="auto" w:fill="auto"/>
            <w:vAlign w:val="center"/>
          </w:tcPr>
          <w:p w14:paraId="152176D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1/4</w:t>
            </w:r>
          </w:p>
        </w:tc>
        <w:tc>
          <w:tcPr>
            <w:tcW w:w="1528" w:type="dxa"/>
            <w:tcBorders>
              <w:top w:val="nil"/>
              <w:left w:val="nil"/>
              <w:bottom w:val="single" w:color="auto" w:sz="4" w:space="0"/>
              <w:right w:val="single" w:color="auto" w:sz="4" w:space="0"/>
            </w:tcBorders>
            <w:shd w:val="clear" w:color="auto" w:fill="auto"/>
            <w:vAlign w:val="center"/>
          </w:tcPr>
          <w:p w14:paraId="7EC42F4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1145" w:type="dxa"/>
            <w:tcBorders>
              <w:top w:val="nil"/>
              <w:left w:val="nil"/>
              <w:bottom w:val="single" w:color="auto" w:sz="4" w:space="0"/>
              <w:right w:val="single" w:color="auto" w:sz="4" w:space="0"/>
            </w:tcBorders>
            <w:shd w:val="clear" w:color="auto" w:fill="auto"/>
            <w:vAlign w:val="center"/>
          </w:tcPr>
          <w:p w14:paraId="5B79B09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1/2</w:t>
            </w:r>
          </w:p>
        </w:tc>
        <w:tc>
          <w:tcPr>
            <w:tcW w:w="2118" w:type="dxa"/>
            <w:tcBorders>
              <w:top w:val="nil"/>
              <w:left w:val="nil"/>
              <w:bottom w:val="single" w:color="auto" w:sz="4" w:space="0"/>
              <w:right w:val="single" w:color="auto" w:sz="4" w:space="0"/>
            </w:tcBorders>
            <w:shd w:val="clear" w:color="auto" w:fill="auto"/>
            <w:vAlign w:val="center"/>
          </w:tcPr>
          <w:p w14:paraId="099E98B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r>
    </w:tbl>
    <w:p w14:paraId="62F07BEE">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4FAC53BB">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经核实该判断矩阵，一致性指标CR=0.0440＜0.1满足一致性，并以此得出权重因子表：</w:t>
      </w:r>
    </w:p>
    <w:p w14:paraId="765C9C89">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表5-3 绿色建筑潜力因子权重</w:t>
      </w:r>
    </w:p>
    <w:tbl>
      <w:tblPr>
        <w:tblStyle w:val="25"/>
        <w:tblW w:w="6660" w:type="dxa"/>
        <w:jc w:val="center"/>
        <w:tblLayout w:type="fixed"/>
        <w:tblCellMar>
          <w:top w:w="0" w:type="dxa"/>
          <w:left w:w="108" w:type="dxa"/>
          <w:bottom w:w="0" w:type="dxa"/>
          <w:right w:w="108" w:type="dxa"/>
        </w:tblCellMar>
      </w:tblPr>
      <w:tblGrid>
        <w:gridCol w:w="1413"/>
        <w:gridCol w:w="3402"/>
        <w:gridCol w:w="1845"/>
      </w:tblGrid>
      <w:tr w14:paraId="5968B604">
        <w:tblPrEx>
          <w:tblCellMar>
            <w:top w:w="0" w:type="dxa"/>
            <w:left w:w="108" w:type="dxa"/>
            <w:bottom w:w="0" w:type="dxa"/>
            <w:right w:w="108" w:type="dxa"/>
          </w:tblCellMar>
        </w:tblPrEx>
        <w:trPr>
          <w:trHeight w:val="567" w:hRule="atLeast"/>
          <w:jc w:val="center"/>
        </w:trPr>
        <w:tc>
          <w:tcPr>
            <w:tcW w:w="1413" w:type="dxa"/>
            <w:tcBorders>
              <w:top w:val="single" w:color="auto" w:sz="4" w:space="0"/>
              <w:left w:val="single" w:color="auto" w:sz="4" w:space="0"/>
              <w:bottom w:val="single" w:color="auto" w:sz="4" w:space="0"/>
              <w:right w:val="single" w:color="auto" w:sz="4" w:space="0"/>
            </w:tcBorders>
            <w:shd w:val="clear" w:color="auto" w:fill="auto"/>
            <w:vAlign w:val="center"/>
          </w:tcPr>
          <w:p w14:paraId="4CFB867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序号</w:t>
            </w:r>
          </w:p>
        </w:tc>
        <w:tc>
          <w:tcPr>
            <w:tcW w:w="3402" w:type="dxa"/>
            <w:tcBorders>
              <w:top w:val="single" w:color="auto" w:sz="4" w:space="0"/>
              <w:left w:val="nil"/>
              <w:bottom w:val="single" w:color="auto" w:sz="4" w:space="0"/>
              <w:right w:val="single" w:color="auto" w:sz="4" w:space="0"/>
            </w:tcBorders>
            <w:shd w:val="clear" w:color="auto" w:fill="auto"/>
            <w:vAlign w:val="center"/>
          </w:tcPr>
          <w:p w14:paraId="693BB1F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因子</w:t>
            </w:r>
          </w:p>
        </w:tc>
        <w:tc>
          <w:tcPr>
            <w:tcW w:w="1845" w:type="dxa"/>
            <w:tcBorders>
              <w:top w:val="single" w:color="auto" w:sz="4" w:space="0"/>
              <w:left w:val="nil"/>
              <w:bottom w:val="single" w:color="auto" w:sz="4" w:space="0"/>
              <w:right w:val="single" w:color="auto" w:sz="4" w:space="0"/>
            </w:tcBorders>
            <w:shd w:val="clear" w:color="auto" w:fill="auto"/>
            <w:vAlign w:val="center"/>
          </w:tcPr>
          <w:p w14:paraId="7C8A495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权重</w:t>
            </w:r>
          </w:p>
        </w:tc>
      </w:tr>
      <w:tr w14:paraId="7C7A747A">
        <w:tblPrEx>
          <w:tblCellMar>
            <w:top w:w="0" w:type="dxa"/>
            <w:left w:w="108" w:type="dxa"/>
            <w:bottom w:w="0" w:type="dxa"/>
            <w:right w:w="108" w:type="dxa"/>
          </w:tblCellMar>
        </w:tblPrEx>
        <w:trPr>
          <w:trHeight w:val="567" w:hRule="atLeast"/>
          <w:jc w:val="center"/>
        </w:trPr>
        <w:tc>
          <w:tcPr>
            <w:tcW w:w="1413" w:type="dxa"/>
            <w:tcBorders>
              <w:top w:val="nil"/>
              <w:left w:val="single" w:color="auto" w:sz="4" w:space="0"/>
              <w:bottom w:val="single" w:color="auto" w:sz="4" w:space="0"/>
              <w:right w:val="single" w:color="auto" w:sz="4" w:space="0"/>
            </w:tcBorders>
            <w:shd w:val="clear" w:color="auto" w:fill="auto"/>
            <w:vAlign w:val="center"/>
          </w:tcPr>
          <w:p w14:paraId="762D867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3402" w:type="dxa"/>
            <w:tcBorders>
              <w:top w:val="nil"/>
              <w:left w:val="nil"/>
              <w:bottom w:val="single" w:color="auto" w:sz="4" w:space="0"/>
              <w:right w:val="single" w:color="auto" w:sz="4" w:space="0"/>
            </w:tcBorders>
            <w:shd w:val="clear" w:color="auto" w:fill="auto"/>
            <w:vAlign w:val="center"/>
          </w:tcPr>
          <w:p w14:paraId="40B844E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政策导向</w:t>
            </w:r>
          </w:p>
        </w:tc>
        <w:tc>
          <w:tcPr>
            <w:tcW w:w="1845" w:type="dxa"/>
            <w:tcBorders>
              <w:top w:val="nil"/>
              <w:left w:val="nil"/>
              <w:bottom w:val="single" w:color="auto" w:sz="4" w:space="0"/>
              <w:right w:val="single" w:color="auto" w:sz="4" w:space="0"/>
            </w:tcBorders>
            <w:shd w:val="clear" w:color="auto" w:fill="auto"/>
            <w:vAlign w:val="center"/>
          </w:tcPr>
          <w:p w14:paraId="3F0A64B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0.5349</w:t>
            </w:r>
          </w:p>
        </w:tc>
      </w:tr>
      <w:tr w14:paraId="121CACC0">
        <w:tblPrEx>
          <w:tblCellMar>
            <w:top w:w="0" w:type="dxa"/>
            <w:left w:w="108" w:type="dxa"/>
            <w:bottom w:w="0" w:type="dxa"/>
            <w:right w:w="108" w:type="dxa"/>
          </w:tblCellMar>
        </w:tblPrEx>
        <w:trPr>
          <w:trHeight w:val="567" w:hRule="atLeast"/>
          <w:jc w:val="center"/>
        </w:trPr>
        <w:tc>
          <w:tcPr>
            <w:tcW w:w="1413" w:type="dxa"/>
            <w:tcBorders>
              <w:top w:val="nil"/>
              <w:left w:val="single" w:color="auto" w:sz="4" w:space="0"/>
              <w:bottom w:val="single" w:color="auto" w:sz="4" w:space="0"/>
              <w:right w:val="single" w:color="auto" w:sz="4" w:space="0"/>
            </w:tcBorders>
            <w:shd w:val="clear" w:color="auto" w:fill="auto"/>
            <w:vAlign w:val="center"/>
          </w:tcPr>
          <w:p w14:paraId="59CA2B7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c>
          <w:tcPr>
            <w:tcW w:w="3402" w:type="dxa"/>
            <w:tcBorders>
              <w:top w:val="nil"/>
              <w:left w:val="nil"/>
              <w:bottom w:val="single" w:color="auto" w:sz="4" w:space="0"/>
              <w:right w:val="single" w:color="auto" w:sz="4" w:space="0"/>
            </w:tcBorders>
            <w:shd w:val="clear" w:color="auto" w:fill="auto"/>
            <w:vAlign w:val="center"/>
          </w:tcPr>
          <w:p w14:paraId="5345152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城镇人口总量</w:t>
            </w:r>
          </w:p>
        </w:tc>
        <w:tc>
          <w:tcPr>
            <w:tcW w:w="1845" w:type="dxa"/>
            <w:tcBorders>
              <w:top w:val="nil"/>
              <w:left w:val="nil"/>
              <w:bottom w:val="single" w:color="auto" w:sz="4" w:space="0"/>
              <w:right w:val="single" w:color="auto" w:sz="4" w:space="0"/>
            </w:tcBorders>
            <w:shd w:val="clear" w:color="auto" w:fill="auto"/>
            <w:vAlign w:val="center"/>
          </w:tcPr>
          <w:p w14:paraId="454C148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0.0691</w:t>
            </w:r>
          </w:p>
        </w:tc>
      </w:tr>
      <w:tr w14:paraId="1A7F4C7E">
        <w:tblPrEx>
          <w:tblCellMar>
            <w:top w:w="0" w:type="dxa"/>
            <w:left w:w="108" w:type="dxa"/>
            <w:bottom w:w="0" w:type="dxa"/>
            <w:right w:w="108" w:type="dxa"/>
          </w:tblCellMar>
        </w:tblPrEx>
        <w:trPr>
          <w:trHeight w:val="567" w:hRule="atLeast"/>
          <w:jc w:val="center"/>
        </w:trPr>
        <w:tc>
          <w:tcPr>
            <w:tcW w:w="1413" w:type="dxa"/>
            <w:tcBorders>
              <w:top w:val="nil"/>
              <w:left w:val="single" w:color="auto" w:sz="4" w:space="0"/>
              <w:bottom w:val="single" w:color="auto" w:sz="4" w:space="0"/>
              <w:right w:val="single" w:color="auto" w:sz="4" w:space="0"/>
            </w:tcBorders>
            <w:shd w:val="clear" w:color="auto" w:fill="auto"/>
            <w:vAlign w:val="center"/>
          </w:tcPr>
          <w:p w14:paraId="60AEE4D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3402" w:type="dxa"/>
            <w:tcBorders>
              <w:top w:val="nil"/>
              <w:left w:val="nil"/>
              <w:bottom w:val="single" w:color="auto" w:sz="4" w:space="0"/>
              <w:right w:val="single" w:color="auto" w:sz="4" w:space="0"/>
            </w:tcBorders>
            <w:shd w:val="clear" w:color="auto" w:fill="auto"/>
            <w:vAlign w:val="center"/>
          </w:tcPr>
          <w:p w14:paraId="3F224B2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人均GDP</w:t>
            </w:r>
          </w:p>
        </w:tc>
        <w:tc>
          <w:tcPr>
            <w:tcW w:w="1845" w:type="dxa"/>
            <w:tcBorders>
              <w:top w:val="nil"/>
              <w:left w:val="nil"/>
              <w:bottom w:val="single" w:color="auto" w:sz="4" w:space="0"/>
              <w:right w:val="single" w:color="auto" w:sz="4" w:space="0"/>
            </w:tcBorders>
            <w:shd w:val="clear" w:color="auto" w:fill="auto"/>
            <w:vAlign w:val="center"/>
          </w:tcPr>
          <w:p w14:paraId="6570CC5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0.2456</w:t>
            </w:r>
          </w:p>
        </w:tc>
      </w:tr>
      <w:tr w14:paraId="0C8B4939">
        <w:tblPrEx>
          <w:tblCellMar>
            <w:top w:w="0" w:type="dxa"/>
            <w:left w:w="108" w:type="dxa"/>
            <w:bottom w:w="0" w:type="dxa"/>
            <w:right w:w="108" w:type="dxa"/>
          </w:tblCellMar>
        </w:tblPrEx>
        <w:trPr>
          <w:trHeight w:val="567" w:hRule="atLeast"/>
          <w:jc w:val="center"/>
        </w:trPr>
        <w:tc>
          <w:tcPr>
            <w:tcW w:w="1413" w:type="dxa"/>
            <w:tcBorders>
              <w:top w:val="nil"/>
              <w:left w:val="single" w:color="auto" w:sz="4" w:space="0"/>
              <w:bottom w:val="single" w:color="auto" w:sz="4" w:space="0"/>
              <w:right w:val="single" w:color="auto" w:sz="4" w:space="0"/>
            </w:tcBorders>
            <w:shd w:val="clear" w:color="auto" w:fill="auto"/>
            <w:vAlign w:val="center"/>
          </w:tcPr>
          <w:p w14:paraId="4BC36B0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w:t>
            </w:r>
          </w:p>
        </w:tc>
        <w:tc>
          <w:tcPr>
            <w:tcW w:w="3402" w:type="dxa"/>
            <w:tcBorders>
              <w:top w:val="nil"/>
              <w:left w:val="nil"/>
              <w:bottom w:val="single" w:color="auto" w:sz="4" w:space="0"/>
              <w:right w:val="single" w:color="auto" w:sz="4" w:space="0"/>
            </w:tcBorders>
            <w:shd w:val="clear" w:color="auto" w:fill="auto"/>
            <w:vAlign w:val="center"/>
          </w:tcPr>
          <w:p w14:paraId="0C667BF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人均固定资产投资额</w:t>
            </w:r>
          </w:p>
        </w:tc>
        <w:tc>
          <w:tcPr>
            <w:tcW w:w="1845" w:type="dxa"/>
            <w:tcBorders>
              <w:top w:val="nil"/>
              <w:left w:val="nil"/>
              <w:bottom w:val="single" w:color="auto" w:sz="4" w:space="0"/>
              <w:right w:val="single" w:color="auto" w:sz="4" w:space="0"/>
            </w:tcBorders>
            <w:shd w:val="clear" w:color="auto" w:fill="auto"/>
            <w:vAlign w:val="center"/>
          </w:tcPr>
          <w:p w14:paraId="7DD3ADF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0.1504</w:t>
            </w:r>
          </w:p>
        </w:tc>
      </w:tr>
    </w:tbl>
    <w:p w14:paraId="4326245A">
      <w:pPr>
        <w:pStyle w:val="6"/>
        <w:numPr>
          <w:ilvl w:val="255"/>
          <w:numId w:val="0"/>
        </w:numPr>
        <w:ind w:firstLine="561"/>
        <w:rPr>
          <w:rFonts w:hint="default" w:ascii="Times New Roman" w:hAnsi="Times New Roman" w:cs="Times New Roman"/>
        </w:rPr>
      </w:pPr>
      <w:bookmarkStart w:id="127" w:name="_Toc110096413"/>
      <w:bookmarkStart w:id="128" w:name="_Toc124352526"/>
      <w:r>
        <w:rPr>
          <w:rFonts w:hint="default" w:ascii="Times New Roman" w:hAnsi="Times New Roman" w:cs="Times New Roman"/>
        </w:rPr>
        <w:t>5.1.3各区综合权重计算</w:t>
      </w:r>
      <w:bookmarkEnd w:id="127"/>
      <w:bookmarkEnd w:id="128"/>
      <w:bookmarkStart w:id="129" w:name="_Toc27688"/>
    </w:p>
    <w:p w14:paraId="352DBD07">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根据中山市统计年鉴，查阅2020年以上4项因子涉及的统计数据，统计各项数据见下表：</w:t>
      </w:r>
    </w:p>
    <w:p w14:paraId="3998A43A">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表5-4 中山市各发展组团 2020年社会经济发展状况</w:t>
      </w:r>
    </w:p>
    <w:tbl>
      <w:tblPr>
        <w:tblStyle w:val="25"/>
        <w:tblW w:w="8550" w:type="dxa"/>
        <w:jc w:val="center"/>
        <w:tblLayout w:type="fixed"/>
        <w:tblCellMar>
          <w:top w:w="0" w:type="dxa"/>
          <w:left w:w="108" w:type="dxa"/>
          <w:bottom w:w="0" w:type="dxa"/>
          <w:right w:w="108" w:type="dxa"/>
        </w:tblCellMar>
      </w:tblPr>
      <w:tblGrid>
        <w:gridCol w:w="1920"/>
        <w:gridCol w:w="1500"/>
        <w:gridCol w:w="1710"/>
        <w:gridCol w:w="1710"/>
        <w:gridCol w:w="1710"/>
      </w:tblGrid>
      <w:tr w14:paraId="3F91A7FB">
        <w:tblPrEx>
          <w:tblCellMar>
            <w:top w:w="0" w:type="dxa"/>
            <w:left w:w="108" w:type="dxa"/>
            <w:bottom w:w="0" w:type="dxa"/>
            <w:right w:w="108" w:type="dxa"/>
          </w:tblCellMar>
        </w:tblPrEx>
        <w:trPr>
          <w:trHeight w:val="567" w:hRule="atLeast"/>
          <w:tblHeader/>
          <w:jc w:val="center"/>
        </w:trPr>
        <w:tc>
          <w:tcPr>
            <w:tcW w:w="1920" w:type="dxa"/>
            <w:tcBorders>
              <w:top w:val="single" w:color="auto" w:sz="4" w:space="0"/>
              <w:left w:val="single" w:color="auto" w:sz="4" w:space="0"/>
              <w:bottom w:val="single" w:color="auto" w:sz="4" w:space="0"/>
              <w:right w:val="single" w:color="auto" w:sz="4" w:space="0"/>
            </w:tcBorders>
            <w:shd w:val="clear" w:color="auto" w:fill="auto"/>
            <w:vAlign w:val="center"/>
          </w:tcPr>
          <w:p w14:paraId="7ADA1D37">
            <w:pPr>
              <w:rPr>
                <w:rFonts w:hint="default" w:ascii="Times New Roman" w:hAnsi="Times New Roman" w:eastAsia="宋体" w:cs="Times New Roman"/>
                <w:b w:val="0"/>
                <w:bCs w:val="0"/>
                <w:sz w:val="21"/>
                <w:szCs w:val="21"/>
              </w:rPr>
            </w:pP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30FB97A5">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政策导向（次）</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0425F73A">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城镇人口总量（人）</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3272F89A">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人均GDP（万元）</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39FE5A3D">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人均固定资产投资额（万元）</w:t>
            </w:r>
          </w:p>
        </w:tc>
      </w:tr>
      <w:tr w14:paraId="11470542">
        <w:tblPrEx>
          <w:tblCellMar>
            <w:top w:w="0" w:type="dxa"/>
            <w:left w:w="108" w:type="dxa"/>
            <w:bottom w:w="0" w:type="dxa"/>
            <w:right w:w="108" w:type="dxa"/>
          </w:tblCellMar>
        </w:tblPrEx>
        <w:trPr>
          <w:trHeight w:val="567" w:hRule="atLeast"/>
          <w:jc w:val="center"/>
        </w:trPr>
        <w:tc>
          <w:tcPr>
            <w:tcW w:w="1920" w:type="dxa"/>
            <w:tcBorders>
              <w:top w:val="single" w:color="auto" w:sz="4" w:space="0"/>
              <w:left w:val="single" w:color="auto" w:sz="4" w:space="0"/>
              <w:bottom w:val="single" w:color="auto" w:sz="4" w:space="0"/>
              <w:right w:val="single" w:color="auto" w:sz="4" w:space="0"/>
            </w:tcBorders>
            <w:shd w:val="clear" w:color="auto" w:fill="auto"/>
            <w:vAlign w:val="center"/>
          </w:tcPr>
          <w:p w14:paraId="0CE978EF">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中心城区发展组团</w:t>
            </w: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5EA49D7F">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4</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59A30A28">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882506</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3677963D">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9.8939</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48694DAD">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3.1118</w:t>
            </w:r>
          </w:p>
        </w:tc>
      </w:tr>
      <w:tr w14:paraId="39F7323A">
        <w:tblPrEx>
          <w:tblCellMar>
            <w:top w:w="0" w:type="dxa"/>
            <w:left w:w="108" w:type="dxa"/>
            <w:bottom w:w="0" w:type="dxa"/>
            <w:right w:w="108" w:type="dxa"/>
          </w:tblCellMar>
        </w:tblPrEx>
        <w:trPr>
          <w:trHeight w:val="567" w:hRule="atLeast"/>
          <w:jc w:val="center"/>
        </w:trPr>
        <w:tc>
          <w:tcPr>
            <w:tcW w:w="1920" w:type="dxa"/>
            <w:tcBorders>
              <w:top w:val="single" w:color="auto" w:sz="4" w:space="0"/>
              <w:left w:val="single" w:color="auto" w:sz="4" w:space="0"/>
              <w:bottom w:val="single" w:color="auto" w:sz="4" w:space="0"/>
              <w:right w:val="single" w:color="auto" w:sz="4" w:space="0"/>
            </w:tcBorders>
            <w:shd w:val="clear" w:color="auto" w:fill="auto"/>
            <w:vAlign w:val="center"/>
          </w:tcPr>
          <w:p w14:paraId="4BB72CD9">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翠亨新区发展组团</w:t>
            </w: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5304CA3A">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37</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3FCEEF33">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101276</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3B8E7706">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10.8900</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547739A5">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5.4645</w:t>
            </w:r>
          </w:p>
        </w:tc>
      </w:tr>
      <w:tr w14:paraId="67D529D7">
        <w:tblPrEx>
          <w:tblCellMar>
            <w:top w:w="0" w:type="dxa"/>
            <w:left w:w="108" w:type="dxa"/>
            <w:bottom w:w="0" w:type="dxa"/>
            <w:right w:w="108" w:type="dxa"/>
          </w:tblCellMar>
        </w:tblPrEx>
        <w:trPr>
          <w:trHeight w:val="567" w:hRule="atLeast"/>
          <w:jc w:val="center"/>
        </w:trPr>
        <w:tc>
          <w:tcPr>
            <w:tcW w:w="1920" w:type="dxa"/>
            <w:tcBorders>
              <w:top w:val="single" w:color="auto" w:sz="4" w:space="0"/>
              <w:left w:val="single" w:color="auto" w:sz="4" w:space="0"/>
              <w:bottom w:val="single" w:color="auto" w:sz="4" w:space="0"/>
              <w:right w:val="single" w:color="auto" w:sz="4" w:space="0"/>
            </w:tcBorders>
            <w:shd w:val="clear" w:color="auto" w:fill="auto"/>
            <w:vAlign w:val="center"/>
          </w:tcPr>
          <w:p w14:paraId="19B2F60E">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火炬区发展组团</w:t>
            </w: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13F3FC91">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20</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236304B8">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402126</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6B79E709">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11.8173</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F218AFD">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8.8043</w:t>
            </w:r>
          </w:p>
        </w:tc>
      </w:tr>
      <w:tr w14:paraId="70594E46">
        <w:tblPrEx>
          <w:tblCellMar>
            <w:top w:w="0" w:type="dxa"/>
            <w:left w:w="108" w:type="dxa"/>
            <w:bottom w:w="0" w:type="dxa"/>
            <w:right w:w="108" w:type="dxa"/>
          </w:tblCellMar>
        </w:tblPrEx>
        <w:trPr>
          <w:trHeight w:val="567" w:hRule="atLeast"/>
          <w:jc w:val="center"/>
        </w:trPr>
        <w:tc>
          <w:tcPr>
            <w:tcW w:w="1920" w:type="dxa"/>
            <w:tcBorders>
              <w:top w:val="single" w:color="auto" w:sz="4" w:space="0"/>
              <w:left w:val="single" w:color="auto" w:sz="4" w:space="0"/>
              <w:bottom w:val="single" w:color="auto" w:sz="4" w:space="0"/>
              <w:right w:val="single" w:color="auto" w:sz="4" w:space="0"/>
            </w:tcBorders>
            <w:shd w:val="clear" w:color="auto" w:fill="auto"/>
            <w:vAlign w:val="center"/>
          </w:tcPr>
          <w:p w14:paraId="54A214F8">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北部发展组团</w:t>
            </w: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006209BE">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2</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6EAF7B6">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748046</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667BF549">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7.2526</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4EFB2B4A">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2.3445</w:t>
            </w:r>
          </w:p>
        </w:tc>
      </w:tr>
      <w:tr w14:paraId="75D94E66">
        <w:tblPrEx>
          <w:tblCellMar>
            <w:top w:w="0" w:type="dxa"/>
            <w:left w:w="108" w:type="dxa"/>
            <w:bottom w:w="0" w:type="dxa"/>
            <w:right w:w="108" w:type="dxa"/>
          </w:tblCellMar>
        </w:tblPrEx>
        <w:trPr>
          <w:trHeight w:val="567" w:hRule="atLeast"/>
          <w:jc w:val="center"/>
        </w:trPr>
        <w:tc>
          <w:tcPr>
            <w:tcW w:w="1920" w:type="dxa"/>
            <w:tcBorders>
              <w:top w:val="single" w:color="auto" w:sz="4" w:space="0"/>
              <w:left w:val="single" w:color="auto" w:sz="4" w:space="0"/>
              <w:bottom w:val="single" w:color="auto" w:sz="4" w:space="0"/>
              <w:right w:val="single" w:color="auto" w:sz="4" w:space="0"/>
            </w:tcBorders>
            <w:shd w:val="clear" w:color="auto" w:fill="auto"/>
            <w:vAlign w:val="center"/>
          </w:tcPr>
          <w:p w14:paraId="5A02A38A">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西部发展组团</w:t>
            </w: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2006D4E5">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2</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0E664FA8">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1542926</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72B3ECC0">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4.9608</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07D7CDB">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1.5821</w:t>
            </w:r>
          </w:p>
        </w:tc>
      </w:tr>
      <w:tr w14:paraId="5546FB9C">
        <w:tblPrEx>
          <w:tblCellMar>
            <w:top w:w="0" w:type="dxa"/>
            <w:left w:w="108" w:type="dxa"/>
            <w:bottom w:w="0" w:type="dxa"/>
            <w:right w:w="108" w:type="dxa"/>
          </w:tblCellMar>
        </w:tblPrEx>
        <w:trPr>
          <w:trHeight w:val="567" w:hRule="atLeast"/>
          <w:jc w:val="center"/>
        </w:trPr>
        <w:tc>
          <w:tcPr>
            <w:tcW w:w="1920" w:type="dxa"/>
            <w:tcBorders>
              <w:top w:val="single" w:color="auto" w:sz="4" w:space="0"/>
              <w:left w:val="single" w:color="auto" w:sz="4" w:space="0"/>
              <w:bottom w:val="single" w:color="auto" w:sz="4" w:space="0"/>
              <w:right w:val="single" w:color="auto" w:sz="4" w:space="0"/>
            </w:tcBorders>
            <w:shd w:val="clear" w:color="auto" w:fill="auto"/>
            <w:vAlign w:val="center"/>
          </w:tcPr>
          <w:p w14:paraId="10FD35EC">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南部发展组团</w:t>
            </w: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560BBECC">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2</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AC6AC49">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754220</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65FD9E3">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5.1049</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4C9270D1">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2.7268</w:t>
            </w:r>
          </w:p>
        </w:tc>
      </w:tr>
    </w:tbl>
    <w:p w14:paraId="6FE74A8C">
      <w:pPr>
        <w:pStyle w:val="34"/>
        <w:adjustRightInd w:val="0"/>
        <w:snapToGrid w:val="0"/>
        <w:spacing w:line="360" w:lineRule="auto"/>
        <w:ind w:firstLine="560"/>
        <w:rPr>
          <w:rFonts w:hint="default" w:ascii="Times New Roman" w:hAnsi="Times New Roman" w:cs="Times New Roman"/>
          <w:sz w:val="28"/>
          <w:szCs w:val="28"/>
        </w:rPr>
      </w:pPr>
    </w:p>
    <w:p w14:paraId="481CC0EE">
      <w:pPr>
        <w:widowControl/>
        <w:adjustRightInd w:val="0"/>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将原始数据进行无量纲处理以获得标准化值表：</w:t>
      </w:r>
    </w:p>
    <w:p w14:paraId="3DF0D8E6">
      <w:pPr>
        <w:rPr>
          <w:rFonts w:hint="default" w:ascii="Times New Roman" w:hAnsi="Times New Roman" w:eastAsia="宋体" w:cs="Times New Roman"/>
          <w:sz w:val="21"/>
          <w:szCs w:val="21"/>
        </w:rPr>
      </w:pPr>
      <w:r>
        <w:rPr>
          <w:rFonts w:hint="default" w:ascii="Times New Roman" w:hAnsi="Times New Roman" w:eastAsia="宋体" w:cs="Times New Roman"/>
          <w:sz w:val="21"/>
          <w:szCs w:val="21"/>
        </w:rPr>
        <w:br w:type="page"/>
      </w:r>
    </w:p>
    <w:p w14:paraId="190F5B14">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表5-5 中山市各发展组团2020年社会经济发展数据的标准化值</w:t>
      </w:r>
    </w:p>
    <w:tbl>
      <w:tblPr>
        <w:tblStyle w:val="25"/>
        <w:tblW w:w="8550" w:type="dxa"/>
        <w:jc w:val="center"/>
        <w:tblLayout w:type="fixed"/>
        <w:tblCellMar>
          <w:top w:w="0" w:type="dxa"/>
          <w:left w:w="108" w:type="dxa"/>
          <w:bottom w:w="0" w:type="dxa"/>
          <w:right w:w="108" w:type="dxa"/>
        </w:tblCellMar>
      </w:tblPr>
      <w:tblGrid>
        <w:gridCol w:w="1710"/>
        <w:gridCol w:w="1710"/>
        <w:gridCol w:w="1710"/>
        <w:gridCol w:w="1710"/>
        <w:gridCol w:w="1710"/>
      </w:tblGrid>
      <w:tr w14:paraId="78059DD9">
        <w:tblPrEx>
          <w:tblCellMar>
            <w:top w:w="0" w:type="dxa"/>
            <w:left w:w="108" w:type="dxa"/>
            <w:bottom w:w="0" w:type="dxa"/>
            <w:right w:w="108" w:type="dxa"/>
          </w:tblCellMar>
        </w:tblPrEx>
        <w:trPr>
          <w:trHeight w:val="567" w:hRule="atLeast"/>
          <w:tblHeader/>
          <w:jc w:val="center"/>
        </w:trPr>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354D5FCF">
            <w:pPr>
              <w:rPr>
                <w:rFonts w:hint="default" w:ascii="Times New Roman" w:hAnsi="Times New Roman" w:eastAsia="宋体" w:cs="Times New Roman"/>
                <w:b w:val="0"/>
                <w:bCs w:val="0"/>
                <w:sz w:val="21"/>
                <w:szCs w:val="21"/>
              </w:rPr>
            </w:pP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23548B9D">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政策导向（次）</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745D95B7">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城镇人口总量（人）</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0211354A">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人均GDP（万元）</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6246E06C">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人均固定资产投资额（万元）</w:t>
            </w:r>
          </w:p>
        </w:tc>
      </w:tr>
      <w:tr w14:paraId="609BE85D">
        <w:tblPrEx>
          <w:tblCellMar>
            <w:top w:w="0" w:type="dxa"/>
            <w:left w:w="108" w:type="dxa"/>
            <w:bottom w:w="0" w:type="dxa"/>
            <w:right w:w="108" w:type="dxa"/>
          </w:tblCellMar>
        </w:tblPrEx>
        <w:trPr>
          <w:trHeight w:val="567" w:hRule="atLeast"/>
          <w:jc w:val="center"/>
        </w:trPr>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4E94A2EA">
            <w:pPr>
              <w:widowControl/>
              <w:jc w:val="center"/>
              <w:textAlignment w:val="center"/>
              <w:rPr>
                <w:rFonts w:hint="default" w:ascii="Times New Roman" w:hAnsi="Times New Roman" w:eastAsia="宋体" w:cs="Times New Roman"/>
                <w:b w:val="0"/>
                <w:bCs w:val="0"/>
                <w:sz w:val="21"/>
                <w:szCs w:val="21"/>
              </w:rPr>
            </w:pPr>
            <w:r>
              <w:rPr>
                <w:rStyle w:val="55"/>
                <w:rFonts w:hint="default" w:ascii="Times New Roman" w:hAnsi="Times New Roman" w:cs="Times New Roman"/>
                <w:b w:val="0"/>
                <w:bCs w:val="0"/>
                <w:sz w:val="21"/>
                <w:szCs w:val="21"/>
                <w:lang w:bidi="ar"/>
              </w:rPr>
              <w:t>中心城区</w:t>
            </w:r>
            <w:r>
              <w:rPr>
                <w:rStyle w:val="56"/>
                <w:rFonts w:hint="default" w:ascii="Times New Roman" w:hAnsi="Times New Roman" w:cs="Times New Roman"/>
                <w:b w:val="0"/>
                <w:bCs w:val="0"/>
                <w:sz w:val="21"/>
                <w:szCs w:val="21"/>
                <w:lang w:bidi="ar"/>
              </w:rPr>
              <w:t>发展组团</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662B8E90">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 xml:space="preserve">0.0571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7C91857">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0.5419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3D19890B">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0.7195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82B506C">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0.2118 </w:t>
            </w:r>
          </w:p>
        </w:tc>
      </w:tr>
      <w:tr w14:paraId="4CE75CA7">
        <w:tblPrEx>
          <w:tblCellMar>
            <w:top w:w="0" w:type="dxa"/>
            <w:left w:w="108" w:type="dxa"/>
            <w:bottom w:w="0" w:type="dxa"/>
            <w:right w:w="108" w:type="dxa"/>
          </w:tblCellMar>
        </w:tblPrEx>
        <w:trPr>
          <w:trHeight w:val="567" w:hRule="atLeast"/>
          <w:jc w:val="center"/>
        </w:trPr>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5731A3D5">
            <w:pPr>
              <w:widowControl/>
              <w:jc w:val="center"/>
              <w:textAlignment w:val="center"/>
              <w:rPr>
                <w:rFonts w:hint="default" w:ascii="Times New Roman" w:hAnsi="Times New Roman" w:eastAsia="宋体" w:cs="Times New Roman"/>
                <w:b w:val="0"/>
                <w:bCs w:val="0"/>
                <w:sz w:val="21"/>
                <w:szCs w:val="21"/>
              </w:rPr>
            </w:pPr>
            <w:r>
              <w:rPr>
                <w:rStyle w:val="55"/>
                <w:rFonts w:hint="default" w:ascii="Times New Roman" w:hAnsi="Times New Roman" w:cs="Times New Roman"/>
                <w:b w:val="0"/>
                <w:bCs w:val="0"/>
                <w:sz w:val="21"/>
                <w:szCs w:val="21"/>
                <w:lang w:bidi="ar"/>
              </w:rPr>
              <w:t>翠亨新区</w:t>
            </w:r>
            <w:r>
              <w:rPr>
                <w:rStyle w:val="56"/>
                <w:rFonts w:hint="default" w:ascii="Times New Roman" w:hAnsi="Times New Roman" w:cs="Times New Roman"/>
                <w:b w:val="0"/>
                <w:bCs w:val="0"/>
                <w:sz w:val="21"/>
                <w:szCs w:val="21"/>
                <w:lang w:bidi="ar"/>
              </w:rPr>
              <w:t>发展组团</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7BDBDDCD">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 xml:space="preserve">1.0000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58ED8B93">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0.0000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2CDB949F">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0.8648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401D4AD6">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0.5376 </w:t>
            </w:r>
          </w:p>
        </w:tc>
      </w:tr>
      <w:tr w14:paraId="37588200">
        <w:tblPrEx>
          <w:tblCellMar>
            <w:top w:w="0" w:type="dxa"/>
            <w:left w:w="108" w:type="dxa"/>
            <w:bottom w:w="0" w:type="dxa"/>
            <w:right w:w="108" w:type="dxa"/>
          </w:tblCellMar>
        </w:tblPrEx>
        <w:trPr>
          <w:trHeight w:val="567" w:hRule="atLeast"/>
          <w:jc w:val="center"/>
        </w:trPr>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4CB399BF">
            <w:pPr>
              <w:widowControl/>
              <w:jc w:val="center"/>
              <w:textAlignment w:val="center"/>
              <w:rPr>
                <w:rFonts w:hint="default" w:ascii="Times New Roman" w:hAnsi="Times New Roman" w:eastAsia="宋体" w:cs="Times New Roman"/>
                <w:b w:val="0"/>
                <w:bCs w:val="0"/>
                <w:sz w:val="21"/>
                <w:szCs w:val="21"/>
              </w:rPr>
            </w:pPr>
            <w:r>
              <w:rPr>
                <w:rStyle w:val="55"/>
                <w:rFonts w:hint="default" w:ascii="Times New Roman" w:hAnsi="Times New Roman" w:cs="Times New Roman"/>
                <w:b w:val="0"/>
                <w:bCs w:val="0"/>
                <w:sz w:val="21"/>
                <w:szCs w:val="21"/>
                <w:lang w:bidi="ar"/>
              </w:rPr>
              <w:t>火炬区</w:t>
            </w:r>
            <w:r>
              <w:rPr>
                <w:rStyle w:val="56"/>
                <w:rFonts w:hint="default" w:ascii="Times New Roman" w:hAnsi="Times New Roman" w:cs="Times New Roman"/>
                <w:b w:val="0"/>
                <w:bCs w:val="0"/>
                <w:sz w:val="21"/>
                <w:szCs w:val="21"/>
                <w:lang w:bidi="ar"/>
              </w:rPr>
              <w:t>发展组团</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22AD2961">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 xml:space="preserve">0.5143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256F9F51">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0.2087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0551AFDA">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1.0000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3569C9B3">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1.0000 </w:t>
            </w:r>
          </w:p>
        </w:tc>
      </w:tr>
      <w:tr w14:paraId="1F8709BE">
        <w:tblPrEx>
          <w:tblCellMar>
            <w:top w:w="0" w:type="dxa"/>
            <w:left w:w="108" w:type="dxa"/>
            <w:bottom w:w="0" w:type="dxa"/>
            <w:right w:w="108" w:type="dxa"/>
          </w:tblCellMar>
        </w:tblPrEx>
        <w:trPr>
          <w:trHeight w:val="567" w:hRule="atLeast"/>
          <w:jc w:val="center"/>
        </w:trPr>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9E2F444">
            <w:pPr>
              <w:widowControl/>
              <w:jc w:val="center"/>
              <w:textAlignment w:val="center"/>
              <w:rPr>
                <w:rFonts w:hint="default" w:ascii="Times New Roman" w:hAnsi="Times New Roman" w:eastAsia="宋体" w:cs="Times New Roman"/>
                <w:b w:val="0"/>
                <w:bCs w:val="0"/>
                <w:sz w:val="21"/>
                <w:szCs w:val="21"/>
              </w:rPr>
            </w:pPr>
            <w:r>
              <w:rPr>
                <w:rStyle w:val="55"/>
                <w:rFonts w:hint="default" w:ascii="Times New Roman" w:hAnsi="Times New Roman" w:cs="Times New Roman"/>
                <w:b w:val="0"/>
                <w:bCs w:val="0"/>
                <w:sz w:val="21"/>
                <w:szCs w:val="21"/>
                <w:lang w:bidi="ar"/>
              </w:rPr>
              <w:t>北部发展组团</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0B3840FB">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 xml:space="preserve">0.0000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4254E7C">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0.4486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24E6E4F4">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0.3343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D401DA0">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0.1056 </w:t>
            </w:r>
          </w:p>
        </w:tc>
      </w:tr>
      <w:tr w14:paraId="07491549">
        <w:tblPrEx>
          <w:tblCellMar>
            <w:top w:w="0" w:type="dxa"/>
            <w:left w:w="108" w:type="dxa"/>
            <w:bottom w:w="0" w:type="dxa"/>
            <w:right w:w="108" w:type="dxa"/>
          </w:tblCellMar>
        </w:tblPrEx>
        <w:trPr>
          <w:trHeight w:val="567" w:hRule="atLeast"/>
          <w:jc w:val="center"/>
        </w:trPr>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6324AB31">
            <w:pPr>
              <w:widowControl/>
              <w:jc w:val="center"/>
              <w:textAlignment w:val="center"/>
              <w:rPr>
                <w:rFonts w:hint="default" w:ascii="Times New Roman" w:hAnsi="Times New Roman" w:eastAsia="宋体" w:cs="Times New Roman"/>
                <w:b w:val="0"/>
                <w:bCs w:val="0"/>
                <w:sz w:val="21"/>
                <w:szCs w:val="21"/>
              </w:rPr>
            </w:pPr>
            <w:r>
              <w:rPr>
                <w:rStyle w:val="55"/>
                <w:rFonts w:hint="default" w:ascii="Times New Roman" w:hAnsi="Times New Roman" w:cs="Times New Roman"/>
                <w:b w:val="0"/>
                <w:bCs w:val="0"/>
                <w:sz w:val="21"/>
                <w:szCs w:val="21"/>
                <w:lang w:bidi="ar"/>
              </w:rPr>
              <w:t>西部发展组团</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5A879FEF">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 xml:space="preserve">0.0000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6932FA6B">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1.0000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069EDD8">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0.0000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569CA214">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0.0000 </w:t>
            </w:r>
          </w:p>
        </w:tc>
      </w:tr>
      <w:tr w14:paraId="000DEC80">
        <w:tblPrEx>
          <w:tblCellMar>
            <w:top w:w="0" w:type="dxa"/>
            <w:left w:w="108" w:type="dxa"/>
            <w:bottom w:w="0" w:type="dxa"/>
            <w:right w:w="108" w:type="dxa"/>
          </w:tblCellMar>
        </w:tblPrEx>
        <w:trPr>
          <w:trHeight w:val="567" w:hRule="atLeast"/>
          <w:jc w:val="center"/>
        </w:trPr>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0FBF7FA1">
            <w:pPr>
              <w:widowControl/>
              <w:jc w:val="center"/>
              <w:textAlignment w:val="center"/>
              <w:rPr>
                <w:rFonts w:hint="default" w:ascii="Times New Roman" w:hAnsi="Times New Roman" w:eastAsia="宋体" w:cs="Times New Roman"/>
                <w:b w:val="0"/>
                <w:bCs w:val="0"/>
                <w:sz w:val="21"/>
                <w:szCs w:val="21"/>
              </w:rPr>
            </w:pPr>
            <w:r>
              <w:rPr>
                <w:rStyle w:val="55"/>
                <w:rFonts w:hint="default" w:ascii="Times New Roman" w:hAnsi="Times New Roman" w:cs="Times New Roman"/>
                <w:b w:val="0"/>
                <w:bCs w:val="0"/>
                <w:sz w:val="21"/>
                <w:szCs w:val="21"/>
                <w:lang w:bidi="ar"/>
              </w:rPr>
              <w:t>南部发展组团</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063E527A">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 xml:space="preserve">0.0000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2D08635F">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0.4529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20F69416">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0.0210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12CE445">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0.1585 </w:t>
            </w:r>
          </w:p>
        </w:tc>
      </w:tr>
      <w:bookmarkEnd w:id="129"/>
    </w:tbl>
    <w:p w14:paraId="18B679A7">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750B14B2">
      <w:pPr>
        <w:pStyle w:val="34"/>
        <w:adjustRightInd w:val="0"/>
        <w:snapToGrid w:val="0"/>
        <w:spacing w:line="360" w:lineRule="auto"/>
        <w:ind w:firstLine="560"/>
        <w:rPr>
          <w:rFonts w:hint="default" w:ascii="Times New Roman" w:hAnsi="Times New Roman" w:cs="Times New Roman"/>
        </w:rPr>
      </w:pPr>
      <w:r>
        <w:rPr>
          <w:rFonts w:hint="default" w:ascii="Times New Roman" w:hAnsi="Times New Roman" w:cs="Times New Roman"/>
          <w:sz w:val="28"/>
          <w:szCs w:val="28"/>
        </w:rPr>
        <w:t>将绿色建筑潜力因子权重表中的因子权重乘以无量纲化后的各发展组团各因子的标准化值，计算出各发展组团理论权重，如下表所示：</w:t>
      </w:r>
    </w:p>
    <w:p w14:paraId="3F130B28">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表5-6 中山市各发展组团绿色建筑理论权重</w:t>
      </w:r>
    </w:p>
    <w:tbl>
      <w:tblPr>
        <w:tblStyle w:val="25"/>
        <w:tblW w:w="66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2845"/>
        <w:gridCol w:w="2260"/>
      </w:tblGrid>
      <w:tr w14:paraId="2ACE2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555" w:type="dxa"/>
            <w:shd w:val="clear" w:color="auto" w:fill="auto"/>
            <w:vAlign w:val="center"/>
          </w:tcPr>
          <w:p w14:paraId="53AEA00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序号</w:t>
            </w:r>
          </w:p>
        </w:tc>
        <w:tc>
          <w:tcPr>
            <w:tcW w:w="2845" w:type="dxa"/>
            <w:shd w:val="clear" w:color="auto" w:fill="auto"/>
            <w:vAlign w:val="center"/>
          </w:tcPr>
          <w:p w14:paraId="358B0A3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发展组团</w:t>
            </w:r>
          </w:p>
        </w:tc>
        <w:tc>
          <w:tcPr>
            <w:tcW w:w="2260" w:type="dxa"/>
            <w:shd w:val="clear" w:color="auto" w:fill="auto"/>
            <w:vAlign w:val="center"/>
          </w:tcPr>
          <w:p w14:paraId="6CAE14F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权重</w:t>
            </w:r>
          </w:p>
        </w:tc>
      </w:tr>
      <w:tr w14:paraId="0DA1A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555" w:type="dxa"/>
            <w:shd w:val="clear" w:color="auto" w:fill="auto"/>
            <w:vAlign w:val="center"/>
          </w:tcPr>
          <w:p w14:paraId="02FD1A2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2845" w:type="dxa"/>
            <w:shd w:val="clear" w:color="auto" w:fill="auto"/>
            <w:vAlign w:val="center"/>
          </w:tcPr>
          <w:p w14:paraId="09ACCB1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中心城区发展组团</w:t>
            </w:r>
          </w:p>
        </w:tc>
        <w:tc>
          <w:tcPr>
            <w:tcW w:w="2260" w:type="dxa"/>
            <w:shd w:val="clear" w:color="auto" w:fill="auto"/>
          </w:tcPr>
          <w:p w14:paraId="0DF8F3D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0.135</w:t>
            </w:r>
          </w:p>
        </w:tc>
      </w:tr>
      <w:tr w14:paraId="06C99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555" w:type="dxa"/>
            <w:shd w:val="clear" w:color="auto" w:fill="auto"/>
            <w:vAlign w:val="center"/>
          </w:tcPr>
          <w:p w14:paraId="67A88CA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c>
          <w:tcPr>
            <w:tcW w:w="2845" w:type="dxa"/>
            <w:shd w:val="clear" w:color="auto" w:fill="auto"/>
            <w:vAlign w:val="center"/>
          </w:tcPr>
          <w:p w14:paraId="4317CA3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翠亨新区发展组团</w:t>
            </w:r>
          </w:p>
        </w:tc>
        <w:tc>
          <w:tcPr>
            <w:tcW w:w="2260" w:type="dxa"/>
            <w:shd w:val="clear" w:color="auto" w:fill="auto"/>
          </w:tcPr>
          <w:p w14:paraId="5B3DCA8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0.404</w:t>
            </w:r>
          </w:p>
        </w:tc>
      </w:tr>
      <w:tr w14:paraId="4579D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555" w:type="dxa"/>
            <w:shd w:val="clear" w:color="auto" w:fill="auto"/>
            <w:vAlign w:val="center"/>
          </w:tcPr>
          <w:p w14:paraId="67851B4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2845" w:type="dxa"/>
            <w:shd w:val="clear" w:color="auto" w:fill="auto"/>
            <w:vAlign w:val="center"/>
          </w:tcPr>
          <w:p w14:paraId="30F99B4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火炬区发展组团</w:t>
            </w:r>
          </w:p>
        </w:tc>
        <w:tc>
          <w:tcPr>
            <w:tcW w:w="2260" w:type="dxa"/>
            <w:shd w:val="clear" w:color="auto" w:fill="auto"/>
          </w:tcPr>
          <w:p w14:paraId="3BC8A21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0.335</w:t>
            </w:r>
          </w:p>
        </w:tc>
      </w:tr>
      <w:tr w14:paraId="2A260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555" w:type="dxa"/>
            <w:shd w:val="clear" w:color="auto" w:fill="auto"/>
            <w:vAlign w:val="center"/>
          </w:tcPr>
          <w:p w14:paraId="1B50018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w:t>
            </w:r>
          </w:p>
        </w:tc>
        <w:tc>
          <w:tcPr>
            <w:tcW w:w="2845" w:type="dxa"/>
            <w:shd w:val="clear" w:color="auto" w:fill="auto"/>
            <w:vAlign w:val="center"/>
          </w:tcPr>
          <w:p w14:paraId="4D6D370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北部发展组团</w:t>
            </w:r>
          </w:p>
        </w:tc>
        <w:tc>
          <w:tcPr>
            <w:tcW w:w="2260" w:type="dxa"/>
            <w:shd w:val="clear" w:color="auto" w:fill="auto"/>
          </w:tcPr>
          <w:p w14:paraId="0144AC9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0.063</w:t>
            </w:r>
          </w:p>
        </w:tc>
      </w:tr>
      <w:tr w14:paraId="122A5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555" w:type="dxa"/>
            <w:shd w:val="clear" w:color="auto" w:fill="auto"/>
            <w:vAlign w:val="center"/>
          </w:tcPr>
          <w:p w14:paraId="6CF1D1D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w:t>
            </w:r>
          </w:p>
        </w:tc>
        <w:tc>
          <w:tcPr>
            <w:tcW w:w="2845" w:type="dxa"/>
            <w:shd w:val="clear" w:color="auto" w:fill="auto"/>
            <w:vAlign w:val="center"/>
          </w:tcPr>
          <w:p w14:paraId="4568A90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西部发展组团</w:t>
            </w:r>
          </w:p>
        </w:tc>
        <w:tc>
          <w:tcPr>
            <w:tcW w:w="2260" w:type="dxa"/>
            <w:shd w:val="clear" w:color="auto" w:fill="auto"/>
          </w:tcPr>
          <w:p w14:paraId="70F3ACE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0.034</w:t>
            </w:r>
          </w:p>
        </w:tc>
      </w:tr>
      <w:tr w14:paraId="43820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555" w:type="dxa"/>
            <w:shd w:val="clear" w:color="auto" w:fill="auto"/>
            <w:vAlign w:val="center"/>
          </w:tcPr>
          <w:p w14:paraId="331B59A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6</w:t>
            </w:r>
          </w:p>
        </w:tc>
        <w:tc>
          <w:tcPr>
            <w:tcW w:w="2845" w:type="dxa"/>
            <w:shd w:val="clear" w:color="auto" w:fill="auto"/>
            <w:vAlign w:val="center"/>
          </w:tcPr>
          <w:p w14:paraId="08D9997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南部发展组团</w:t>
            </w:r>
          </w:p>
        </w:tc>
        <w:tc>
          <w:tcPr>
            <w:tcW w:w="2260" w:type="dxa"/>
            <w:shd w:val="clear" w:color="auto" w:fill="auto"/>
          </w:tcPr>
          <w:p w14:paraId="5B43A70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0.029</w:t>
            </w:r>
          </w:p>
        </w:tc>
      </w:tr>
    </w:tbl>
    <w:p w14:paraId="0E62961F">
      <w:pPr>
        <w:pStyle w:val="5"/>
        <w:rPr>
          <w:rFonts w:hint="default" w:ascii="Times New Roman" w:hAnsi="Times New Roman" w:cs="Times New Roman"/>
        </w:rPr>
      </w:pPr>
      <w:bookmarkStart w:id="130" w:name="_Toc124352527"/>
      <w:bookmarkStart w:id="131" w:name="_Toc3765"/>
      <w:r>
        <w:rPr>
          <w:rFonts w:hint="default" w:ascii="Times New Roman" w:hAnsi="Times New Roman" w:cs="Times New Roman"/>
        </w:rPr>
        <w:t>5.2 目标单元潜力分析</w:t>
      </w:r>
      <w:bookmarkEnd w:id="130"/>
      <w:bookmarkEnd w:id="131"/>
    </w:p>
    <w:p w14:paraId="67359DB1">
      <w:pPr>
        <w:pStyle w:val="6"/>
        <w:numPr>
          <w:ilvl w:val="255"/>
          <w:numId w:val="0"/>
        </w:numPr>
        <w:ind w:firstLine="561"/>
        <w:rPr>
          <w:rFonts w:hint="default" w:ascii="Times New Roman" w:hAnsi="Times New Roman" w:cs="Times New Roman"/>
        </w:rPr>
      </w:pPr>
      <w:bookmarkStart w:id="132" w:name="_Toc124352528"/>
      <w:bookmarkStart w:id="133" w:name="_Toc17945"/>
      <w:r>
        <w:rPr>
          <w:rFonts w:hint="default" w:ascii="Times New Roman" w:hAnsi="Times New Roman" w:cs="Times New Roman"/>
        </w:rPr>
        <w:t>5.2.1潜力指标体系构建</w:t>
      </w:r>
      <w:bookmarkEnd w:id="132"/>
      <w:bookmarkEnd w:id="133"/>
    </w:p>
    <w:p w14:paraId="0584A02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根据中山市国土空间规划和其他专项规划等资料，构建由上位规划、公共服务设施、工程建设和资源节约4类指标组成的因素集，并采用层次分析法，将各评价值通过评价值的权重逐层归一合并成一个统一的指标作为评价，对中山市进行逐一赋值评价，计算中山市绿色建筑潜力的综合评价值，确定核心目标单元和基础目标单元及其控制指标。</w:t>
      </w:r>
    </w:p>
    <w:p w14:paraId="24E32BF0">
      <w:pPr>
        <w:jc w:val="center"/>
        <w:rPr>
          <w:rFonts w:hint="default" w:ascii="Times New Roman" w:hAnsi="Times New Roman" w:cs="Times New Roman"/>
          <w:highlight w:val="yellow"/>
        </w:rPr>
      </w:pPr>
      <w:r>
        <w:rPr>
          <w:rFonts w:hint="default" w:ascii="Times New Roman" w:hAnsi="Times New Roman" w:cs="Times New Roman"/>
        </w:rPr>
        <w:drawing>
          <wp:inline distT="0" distB="0" distL="0" distR="0">
            <wp:extent cx="4406900" cy="3905250"/>
            <wp:effectExtent l="0" t="0" r="1270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7"/>
                    <a:srcRect t="8338"/>
                    <a:stretch>
                      <a:fillRect/>
                    </a:stretch>
                  </pic:blipFill>
                  <pic:spPr>
                    <a:xfrm>
                      <a:off x="0" y="0"/>
                      <a:ext cx="4406900" cy="3905250"/>
                    </a:xfrm>
                    <a:prstGeom prst="rect">
                      <a:avLst/>
                    </a:prstGeom>
                    <a:ln>
                      <a:noFill/>
                    </a:ln>
                  </pic:spPr>
                </pic:pic>
              </a:graphicData>
            </a:graphic>
          </wp:inline>
        </w:drawing>
      </w:r>
    </w:p>
    <w:p w14:paraId="5E675D58">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图5-1 绿色建筑目标单元潜力评估流程图</w:t>
      </w:r>
    </w:p>
    <w:p w14:paraId="5563CBC3">
      <w:pPr>
        <w:pStyle w:val="34"/>
        <w:adjustRightInd w:val="0"/>
        <w:snapToGrid w:val="0"/>
        <w:spacing w:line="360" w:lineRule="auto"/>
        <w:ind w:firstLine="560"/>
        <w:rPr>
          <w:rFonts w:hint="default" w:ascii="Times New Roman" w:hAnsi="Times New Roman" w:cs="Times New Roman"/>
          <w:sz w:val="28"/>
          <w:szCs w:val="28"/>
        </w:rPr>
      </w:pPr>
    </w:p>
    <w:p w14:paraId="04BE8C64">
      <w:pPr>
        <w:rPr>
          <w:rFonts w:hint="default" w:ascii="Times New Roman" w:hAnsi="Times New Roman" w:cs="Times New Roman"/>
        </w:rPr>
      </w:pPr>
      <w:bookmarkStart w:id="134" w:name="_Toc32656"/>
      <w:r>
        <w:rPr>
          <w:rFonts w:hint="default" w:ascii="Times New Roman" w:hAnsi="Times New Roman" w:cs="Times New Roman"/>
        </w:rPr>
        <w:br w:type="page"/>
      </w:r>
    </w:p>
    <w:p w14:paraId="063F37B7">
      <w:pPr>
        <w:pStyle w:val="6"/>
        <w:numPr>
          <w:ilvl w:val="255"/>
          <w:numId w:val="0"/>
        </w:numPr>
        <w:ind w:firstLine="561"/>
        <w:rPr>
          <w:rFonts w:hint="default" w:ascii="Times New Roman" w:hAnsi="Times New Roman" w:cs="Times New Roman"/>
        </w:rPr>
      </w:pPr>
      <w:bookmarkStart w:id="135" w:name="_Toc124352529"/>
      <w:r>
        <w:rPr>
          <w:rFonts w:hint="default" w:ascii="Times New Roman" w:hAnsi="Times New Roman" w:cs="Times New Roman"/>
        </w:rPr>
        <w:t>5.2.2因子权重计算</w:t>
      </w:r>
      <w:bookmarkEnd w:id="134"/>
      <w:bookmarkEnd w:id="135"/>
      <w:r>
        <w:rPr>
          <w:rFonts w:hint="default" w:ascii="Times New Roman" w:hAnsi="Times New Roman" w:cs="Times New Roman"/>
        </w:rPr>
        <w:t xml:space="preserve"> </w:t>
      </w:r>
    </w:p>
    <w:p w14:paraId="4E0E6B8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（1）上位规划因子评估</w:t>
      </w:r>
    </w:p>
    <w:p w14:paraId="1E56F68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上位规划分为重点平台、区位条件和主导功能3个评估因子，每个评估因子得分为1~5分，通过资料调研和GIS空间叠加分析，确定最终评分因子的得分，具体得分按下式进行计算：</w:t>
      </w:r>
    </w:p>
    <w:p w14:paraId="7FFBD31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Q1=Q11×W11+Q12×W12+Q13×W13</w:t>
      </w:r>
    </w:p>
    <w:p w14:paraId="4FF0436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式中：Q1=上位规划评估得分；</w:t>
      </w:r>
    </w:p>
    <w:p w14:paraId="64613AF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Q11~Q13：分别为上位规划的3个评估因子（重点平台、区位条件和主导功能）的得分；</w:t>
      </w:r>
    </w:p>
    <w:p w14:paraId="60A1CE5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W11~W13：分别为上位规划的3个评估因子（重点平台、区位条件和主导功能）的权重。</w:t>
      </w:r>
    </w:p>
    <w:p w14:paraId="2A70EC4C">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 5-7 上位规划评估因子量化表</w:t>
      </w:r>
    </w:p>
    <w:tbl>
      <w:tblPr>
        <w:tblStyle w:val="26"/>
        <w:tblW w:w="86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3"/>
        <w:gridCol w:w="1492"/>
        <w:gridCol w:w="1350"/>
        <w:gridCol w:w="1283"/>
        <w:gridCol w:w="1384"/>
        <w:gridCol w:w="1528"/>
        <w:gridCol w:w="533"/>
      </w:tblGrid>
      <w:tr w14:paraId="361DE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033" w:type="dxa"/>
            <w:vMerge w:val="restart"/>
            <w:vAlign w:val="center"/>
          </w:tcPr>
          <w:p w14:paraId="1011B84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评价因子</w:t>
            </w:r>
          </w:p>
        </w:tc>
        <w:tc>
          <w:tcPr>
            <w:tcW w:w="7037" w:type="dxa"/>
            <w:gridSpan w:val="5"/>
            <w:vAlign w:val="center"/>
          </w:tcPr>
          <w:p w14:paraId="0CA6E11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因子评分表</w:t>
            </w:r>
          </w:p>
        </w:tc>
        <w:tc>
          <w:tcPr>
            <w:tcW w:w="533" w:type="dxa"/>
            <w:vMerge w:val="restart"/>
            <w:vAlign w:val="center"/>
          </w:tcPr>
          <w:p w14:paraId="5841468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权重</w:t>
            </w:r>
          </w:p>
        </w:tc>
      </w:tr>
      <w:tr w14:paraId="7950B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033" w:type="dxa"/>
            <w:vMerge w:val="continue"/>
            <w:vAlign w:val="center"/>
          </w:tcPr>
          <w:p w14:paraId="7279D944">
            <w:pPr>
              <w:pStyle w:val="48"/>
              <w:rPr>
                <w:rFonts w:hint="default" w:ascii="Times New Roman" w:hAnsi="Times New Roman" w:cs="Times New Roman"/>
                <w:b w:val="0"/>
                <w:bCs/>
                <w:sz w:val="21"/>
                <w:szCs w:val="21"/>
              </w:rPr>
            </w:pPr>
          </w:p>
        </w:tc>
        <w:tc>
          <w:tcPr>
            <w:tcW w:w="1492" w:type="dxa"/>
            <w:vAlign w:val="center"/>
          </w:tcPr>
          <w:p w14:paraId="6BA8CB2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w:t>
            </w:r>
          </w:p>
        </w:tc>
        <w:tc>
          <w:tcPr>
            <w:tcW w:w="1350" w:type="dxa"/>
            <w:vAlign w:val="center"/>
          </w:tcPr>
          <w:p w14:paraId="2919722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w:t>
            </w:r>
          </w:p>
        </w:tc>
        <w:tc>
          <w:tcPr>
            <w:tcW w:w="1283" w:type="dxa"/>
            <w:vAlign w:val="center"/>
          </w:tcPr>
          <w:p w14:paraId="4FAF29C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1384" w:type="dxa"/>
            <w:vAlign w:val="center"/>
          </w:tcPr>
          <w:p w14:paraId="537D5B5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c>
          <w:tcPr>
            <w:tcW w:w="1528" w:type="dxa"/>
            <w:vAlign w:val="center"/>
          </w:tcPr>
          <w:p w14:paraId="1D337D7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533" w:type="dxa"/>
            <w:vMerge w:val="continue"/>
            <w:vAlign w:val="center"/>
          </w:tcPr>
          <w:p w14:paraId="5397F1BB">
            <w:pPr>
              <w:pStyle w:val="48"/>
              <w:rPr>
                <w:rFonts w:hint="default" w:ascii="Times New Roman" w:hAnsi="Times New Roman" w:cs="Times New Roman"/>
                <w:b w:val="0"/>
                <w:bCs/>
                <w:sz w:val="21"/>
                <w:szCs w:val="21"/>
              </w:rPr>
            </w:pPr>
          </w:p>
        </w:tc>
      </w:tr>
      <w:tr w14:paraId="75BD0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1033" w:type="dxa"/>
            <w:vAlign w:val="center"/>
          </w:tcPr>
          <w:p w14:paraId="32336C3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重点平台</w:t>
            </w:r>
          </w:p>
        </w:tc>
        <w:tc>
          <w:tcPr>
            <w:tcW w:w="1492" w:type="dxa"/>
            <w:vAlign w:val="center"/>
          </w:tcPr>
          <w:p w14:paraId="2824382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三个大湾区一流战略平台</w:t>
            </w:r>
          </w:p>
        </w:tc>
        <w:tc>
          <w:tcPr>
            <w:tcW w:w="1350" w:type="dxa"/>
            <w:vAlign w:val="center"/>
          </w:tcPr>
          <w:p w14:paraId="1BF2C2EE">
            <w:pPr>
              <w:pStyle w:val="48"/>
              <w:rPr>
                <w:rFonts w:hint="default" w:ascii="Times New Roman" w:hAnsi="Times New Roman" w:cs="Times New Roman"/>
                <w:b w:val="0"/>
                <w:bCs/>
                <w:sz w:val="21"/>
                <w:szCs w:val="21"/>
              </w:rPr>
            </w:pPr>
          </w:p>
        </w:tc>
        <w:tc>
          <w:tcPr>
            <w:tcW w:w="1283" w:type="dxa"/>
            <w:vAlign w:val="center"/>
          </w:tcPr>
          <w:p w14:paraId="21766675">
            <w:pPr>
              <w:pStyle w:val="48"/>
              <w:rPr>
                <w:rFonts w:hint="default" w:ascii="Times New Roman" w:hAnsi="Times New Roman" w:cs="Times New Roman"/>
                <w:b w:val="0"/>
                <w:bCs/>
                <w:sz w:val="21"/>
                <w:szCs w:val="21"/>
              </w:rPr>
            </w:pPr>
          </w:p>
        </w:tc>
        <w:tc>
          <w:tcPr>
            <w:tcW w:w="1384" w:type="dxa"/>
            <w:vAlign w:val="center"/>
          </w:tcPr>
          <w:p w14:paraId="26F26B3D">
            <w:pPr>
              <w:pStyle w:val="48"/>
              <w:rPr>
                <w:rFonts w:hint="default" w:ascii="Times New Roman" w:hAnsi="Times New Roman" w:cs="Times New Roman"/>
                <w:b w:val="0"/>
                <w:bCs/>
                <w:sz w:val="21"/>
                <w:szCs w:val="21"/>
              </w:rPr>
            </w:pPr>
          </w:p>
        </w:tc>
        <w:tc>
          <w:tcPr>
            <w:tcW w:w="1528" w:type="dxa"/>
            <w:vAlign w:val="center"/>
          </w:tcPr>
          <w:p w14:paraId="16B32C3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四个特色产业和科技创新平台</w:t>
            </w:r>
          </w:p>
        </w:tc>
        <w:tc>
          <w:tcPr>
            <w:tcW w:w="533" w:type="dxa"/>
            <w:vAlign w:val="center"/>
          </w:tcPr>
          <w:p w14:paraId="4031ECD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w:t>
            </w:r>
          </w:p>
        </w:tc>
      </w:tr>
      <w:tr w14:paraId="303D8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1033" w:type="dxa"/>
            <w:vAlign w:val="center"/>
          </w:tcPr>
          <w:p w14:paraId="3DE533C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区位条件</w:t>
            </w:r>
          </w:p>
        </w:tc>
        <w:tc>
          <w:tcPr>
            <w:tcW w:w="1492" w:type="dxa"/>
            <w:vAlign w:val="center"/>
          </w:tcPr>
          <w:p w14:paraId="509BAFA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组团核心节点</w:t>
            </w:r>
          </w:p>
        </w:tc>
        <w:tc>
          <w:tcPr>
            <w:tcW w:w="1350" w:type="dxa"/>
            <w:vAlign w:val="center"/>
          </w:tcPr>
          <w:p w14:paraId="17553ED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w:t>
            </w:r>
          </w:p>
        </w:tc>
        <w:tc>
          <w:tcPr>
            <w:tcW w:w="1283" w:type="dxa"/>
            <w:vAlign w:val="center"/>
          </w:tcPr>
          <w:p w14:paraId="45390E3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产业核心节点</w:t>
            </w:r>
          </w:p>
        </w:tc>
        <w:tc>
          <w:tcPr>
            <w:tcW w:w="1384" w:type="dxa"/>
            <w:vAlign w:val="center"/>
          </w:tcPr>
          <w:p w14:paraId="4FAB065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w:t>
            </w:r>
          </w:p>
        </w:tc>
        <w:tc>
          <w:tcPr>
            <w:tcW w:w="1528" w:type="dxa"/>
            <w:vAlign w:val="center"/>
          </w:tcPr>
          <w:p w14:paraId="3F05457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镇区节点</w:t>
            </w:r>
          </w:p>
        </w:tc>
        <w:tc>
          <w:tcPr>
            <w:tcW w:w="533" w:type="dxa"/>
            <w:vAlign w:val="center"/>
          </w:tcPr>
          <w:p w14:paraId="0260165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r>
      <w:tr w14:paraId="4B50C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1033" w:type="dxa"/>
            <w:vAlign w:val="center"/>
          </w:tcPr>
          <w:p w14:paraId="07F17BA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主导功能</w:t>
            </w:r>
          </w:p>
        </w:tc>
        <w:tc>
          <w:tcPr>
            <w:tcW w:w="1492" w:type="dxa"/>
            <w:vAlign w:val="center"/>
          </w:tcPr>
          <w:p w14:paraId="6711ED5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公共管理与公共服务、居住</w:t>
            </w:r>
          </w:p>
        </w:tc>
        <w:tc>
          <w:tcPr>
            <w:tcW w:w="1350" w:type="dxa"/>
            <w:vAlign w:val="center"/>
          </w:tcPr>
          <w:p w14:paraId="72A8E85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商业服务业</w:t>
            </w:r>
          </w:p>
        </w:tc>
        <w:tc>
          <w:tcPr>
            <w:tcW w:w="1283" w:type="dxa"/>
            <w:vAlign w:val="center"/>
          </w:tcPr>
          <w:p w14:paraId="25F355E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工业、物流仓储</w:t>
            </w:r>
          </w:p>
        </w:tc>
        <w:tc>
          <w:tcPr>
            <w:tcW w:w="1384" w:type="dxa"/>
            <w:vAlign w:val="center"/>
          </w:tcPr>
          <w:p w14:paraId="4298CFE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公用设施、道路、绿地广场</w:t>
            </w:r>
          </w:p>
        </w:tc>
        <w:tc>
          <w:tcPr>
            <w:tcW w:w="1528" w:type="dxa"/>
            <w:vAlign w:val="center"/>
          </w:tcPr>
          <w:p w14:paraId="6535675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其他</w:t>
            </w:r>
          </w:p>
        </w:tc>
        <w:tc>
          <w:tcPr>
            <w:tcW w:w="533" w:type="dxa"/>
            <w:vAlign w:val="center"/>
          </w:tcPr>
          <w:p w14:paraId="191DD5E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r>
    </w:tbl>
    <w:p w14:paraId="7F27DD92">
      <w:pPr>
        <w:pStyle w:val="34"/>
        <w:adjustRightInd w:val="0"/>
        <w:snapToGrid w:val="0"/>
        <w:spacing w:line="360" w:lineRule="auto"/>
        <w:ind w:firstLine="560"/>
        <w:rPr>
          <w:rFonts w:hint="default" w:ascii="Times New Roman" w:hAnsi="Times New Roman" w:cs="Times New Roman"/>
          <w:sz w:val="28"/>
          <w:szCs w:val="28"/>
        </w:rPr>
      </w:pPr>
    </w:p>
    <w:p w14:paraId="69E8CD83">
      <w:pPr>
        <w:pStyle w:val="34"/>
        <w:adjustRightInd w:val="0"/>
        <w:snapToGrid w:val="0"/>
        <w:spacing w:line="360" w:lineRule="auto"/>
        <w:ind w:firstLine="560"/>
        <w:rPr>
          <w:rFonts w:hint="default" w:ascii="Times New Roman" w:hAnsi="Times New Roman" w:cs="Times New Roman"/>
        </w:rPr>
      </w:pPr>
      <w:r>
        <w:rPr>
          <w:rFonts w:hint="default" w:ascii="Times New Roman" w:hAnsi="Times New Roman" w:cs="Times New Roman"/>
          <w:sz w:val="28"/>
          <w:szCs w:val="28"/>
        </w:rPr>
        <w:t>综合分析各目标单元上位规划各评估因子，得到各目标单元上位规划评估因子结果如下所示。</w:t>
      </w:r>
    </w:p>
    <w:p w14:paraId="5A4D4769">
      <w:pPr>
        <w:pStyle w:val="48"/>
        <w:rPr>
          <w:rFonts w:hint="default" w:ascii="Times New Roman" w:hAnsi="Times New Roman" w:cs="Times New Roman"/>
        </w:rPr>
      </w:pPr>
      <w:r>
        <w:rPr>
          <w:rFonts w:hint="default" w:ascii="Times New Roman" w:hAnsi="Times New Roman" w:cs="Times New Roman"/>
        </w:rPr>
        <w:drawing>
          <wp:inline distT="0" distB="0" distL="114300" distR="114300">
            <wp:extent cx="5380355" cy="7545070"/>
            <wp:effectExtent l="0" t="0" r="10795" b="17780"/>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380355" cy="7545070"/>
                    </a:xfrm>
                    <a:prstGeom prst="rect">
                      <a:avLst/>
                    </a:prstGeom>
                    <a:noFill/>
                    <a:ln>
                      <a:noFill/>
                    </a:ln>
                  </pic:spPr>
                </pic:pic>
              </a:graphicData>
            </a:graphic>
          </wp:inline>
        </w:drawing>
      </w:r>
    </w:p>
    <w:p w14:paraId="32F0A1BB">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图5-2 上位规划评估因子分析图</w:t>
      </w:r>
    </w:p>
    <w:p w14:paraId="75130317">
      <w:pPr>
        <w:rPr>
          <w:rFonts w:hint="default" w:ascii="Times New Roman" w:hAnsi="Times New Roman" w:cs="Times New Roman"/>
          <w:sz w:val="28"/>
          <w:szCs w:val="28"/>
        </w:rPr>
      </w:pPr>
      <w:r>
        <w:rPr>
          <w:rFonts w:hint="default" w:ascii="Times New Roman" w:hAnsi="Times New Roman" w:cs="Times New Roman"/>
          <w:sz w:val="28"/>
          <w:szCs w:val="28"/>
        </w:rPr>
        <w:br w:type="page"/>
      </w:r>
    </w:p>
    <w:p w14:paraId="6E264E7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（2）公共服务设施评估因子</w:t>
      </w:r>
    </w:p>
    <w:p w14:paraId="21FFBA8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公共服务设施采用幼儿园数量、小学数量、中学及以上学校数量、体育设施布局、公交场站用地布局作为评估因子，评估因子得分为1～5分，通过资料调研和GIS空间叠加分析，确定最终评分因子的得分，具体得分按下式进行计算：</w:t>
      </w:r>
    </w:p>
    <w:p w14:paraId="141F42D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Q2=Q21×W21+Q22×W22+Q23×W23+Q24×W24+Q25×W25</w:t>
      </w:r>
    </w:p>
    <w:p w14:paraId="10FA802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式中：Q2=公共服务设施评估得分；</w:t>
      </w:r>
    </w:p>
    <w:p w14:paraId="43440BD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Q21～Q25：分别为公共服务设施的5个评估因子（幼儿园数量、小学数量、中学及以上学校数量、体育设施布局、公交场站用地布局）的得分；</w:t>
      </w:r>
    </w:p>
    <w:p w14:paraId="5E96513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W21～W25：分别为公共服务设施的5个评估因子（幼儿园数量、小学数量、中学及以上学校数量、体育设施布局、公交场站用地布局）的权重。</w:t>
      </w:r>
    </w:p>
    <w:p w14:paraId="156794F2">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表5-8 公共服务设施评估因子量化表</w:t>
      </w:r>
    </w:p>
    <w:tbl>
      <w:tblPr>
        <w:tblStyle w:val="26"/>
        <w:tblW w:w="85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3"/>
        <w:gridCol w:w="1062"/>
        <w:gridCol w:w="1049"/>
        <w:gridCol w:w="1111"/>
        <w:gridCol w:w="1270"/>
        <w:gridCol w:w="1342"/>
        <w:gridCol w:w="1007"/>
      </w:tblGrid>
      <w:tr w14:paraId="42A82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13" w:type="dxa"/>
            <w:vMerge w:val="restart"/>
            <w:vAlign w:val="center"/>
          </w:tcPr>
          <w:p w14:paraId="1A19ACF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评价因子</w:t>
            </w:r>
          </w:p>
        </w:tc>
        <w:tc>
          <w:tcPr>
            <w:tcW w:w="5834" w:type="dxa"/>
            <w:gridSpan w:val="5"/>
            <w:vAlign w:val="center"/>
          </w:tcPr>
          <w:p w14:paraId="0266E8C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因子评分表</w:t>
            </w:r>
          </w:p>
        </w:tc>
        <w:tc>
          <w:tcPr>
            <w:tcW w:w="1007" w:type="dxa"/>
            <w:vMerge w:val="restart"/>
            <w:vAlign w:val="center"/>
          </w:tcPr>
          <w:p w14:paraId="06A1931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权重</w:t>
            </w:r>
          </w:p>
        </w:tc>
      </w:tr>
      <w:tr w14:paraId="67A69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13" w:type="dxa"/>
            <w:vMerge w:val="continue"/>
            <w:vAlign w:val="center"/>
          </w:tcPr>
          <w:p w14:paraId="0756DE04">
            <w:pPr>
              <w:pStyle w:val="48"/>
              <w:rPr>
                <w:rFonts w:hint="default" w:ascii="Times New Roman" w:hAnsi="Times New Roman" w:cs="Times New Roman"/>
                <w:b w:val="0"/>
                <w:bCs/>
                <w:sz w:val="21"/>
                <w:szCs w:val="21"/>
              </w:rPr>
            </w:pPr>
          </w:p>
        </w:tc>
        <w:tc>
          <w:tcPr>
            <w:tcW w:w="1062" w:type="dxa"/>
            <w:vAlign w:val="center"/>
          </w:tcPr>
          <w:p w14:paraId="254FFF2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w:t>
            </w:r>
          </w:p>
        </w:tc>
        <w:tc>
          <w:tcPr>
            <w:tcW w:w="1049" w:type="dxa"/>
            <w:vAlign w:val="center"/>
          </w:tcPr>
          <w:p w14:paraId="18B180F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w:t>
            </w:r>
          </w:p>
        </w:tc>
        <w:tc>
          <w:tcPr>
            <w:tcW w:w="1111" w:type="dxa"/>
            <w:vAlign w:val="center"/>
          </w:tcPr>
          <w:p w14:paraId="392D6EA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1270" w:type="dxa"/>
            <w:vAlign w:val="center"/>
          </w:tcPr>
          <w:p w14:paraId="7E7E47E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c>
          <w:tcPr>
            <w:tcW w:w="1342" w:type="dxa"/>
            <w:vAlign w:val="center"/>
          </w:tcPr>
          <w:p w14:paraId="4E3239B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1007" w:type="dxa"/>
            <w:vMerge w:val="continue"/>
            <w:vAlign w:val="center"/>
          </w:tcPr>
          <w:p w14:paraId="73BDD96B">
            <w:pPr>
              <w:pStyle w:val="48"/>
              <w:rPr>
                <w:rFonts w:hint="default" w:ascii="Times New Roman" w:hAnsi="Times New Roman" w:cs="Times New Roman"/>
                <w:b w:val="0"/>
                <w:bCs/>
                <w:sz w:val="21"/>
                <w:szCs w:val="21"/>
              </w:rPr>
            </w:pPr>
          </w:p>
        </w:tc>
      </w:tr>
      <w:tr w14:paraId="70FFA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713" w:type="dxa"/>
            <w:vAlign w:val="center"/>
          </w:tcPr>
          <w:p w14:paraId="5A2E2932">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幼儿园布局</w:t>
            </w:r>
          </w:p>
        </w:tc>
        <w:tc>
          <w:tcPr>
            <w:tcW w:w="1062" w:type="dxa"/>
            <w:vAlign w:val="center"/>
          </w:tcPr>
          <w:p w14:paraId="0333A8AC">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300米覆盖范围</w:t>
            </w:r>
          </w:p>
        </w:tc>
        <w:tc>
          <w:tcPr>
            <w:tcW w:w="1049" w:type="dxa"/>
            <w:vAlign w:val="center"/>
          </w:tcPr>
          <w:p w14:paraId="3241757D">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111" w:type="dxa"/>
            <w:vAlign w:val="center"/>
          </w:tcPr>
          <w:p w14:paraId="51E6E46D">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500米覆盖范围</w:t>
            </w:r>
          </w:p>
        </w:tc>
        <w:tc>
          <w:tcPr>
            <w:tcW w:w="1270" w:type="dxa"/>
            <w:vAlign w:val="center"/>
          </w:tcPr>
          <w:p w14:paraId="0B28A177">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342" w:type="dxa"/>
            <w:vAlign w:val="center"/>
          </w:tcPr>
          <w:p w14:paraId="5A67A9EC">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其它</w:t>
            </w:r>
          </w:p>
        </w:tc>
        <w:tc>
          <w:tcPr>
            <w:tcW w:w="1007" w:type="dxa"/>
            <w:vAlign w:val="center"/>
          </w:tcPr>
          <w:p w14:paraId="4F468E44">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2</w:t>
            </w:r>
          </w:p>
        </w:tc>
      </w:tr>
      <w:tr w14:paraId="0FDB0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713" w:type="dxa"/>
            <w:vAlign w:val="center"/>
          </w:tcPr>
          <w:p w14:paraId="3C759114">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小学布局</w:t>
            </w:r>
          </w:p>
        </w:tc>
        <w:tc>
          <w:tcPr>
            <w:tcW w:w="1062" w:type="dxa"/>
            <w:vAlign w:val="center"/>
          </w:tcPr>
          <w:p w14:paraId="0696D25F">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500米覆盖范围</w:t>
            </w:r>
          </w:p>
        </w:tc>
        <w:tc>
          <w:tcPr>
            <w:tcW w:w="1049" w:type="dxa"/>
            <w:vAlign w:val="center"/>
          </w:tcPr>
          <w:p w14:paraId="18C4A132">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111" w:type="dxa"/>
            <w:vAlign w:val="center"/>
          </w:tcPr>
          <w:p w14:paraId="41688A14">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800米覆盖范围</w:t>
            </w:r>
          </w:p>
        </w:tc>
        <w:tc>
          <w:tcPr>
            <w:tcW w:w="1270" w:type="dxa"/>
            <w:vAlign w:val="center"/>
          </w:tcPr>
          <w:p w14:paraId="313C5003">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342" w:type="dxa"/>
            <w:vAlign w:val="center"/>
          </w:tcPr>
          <w:p w14:paraId="75BD1C28">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其它</w:t>
            </w:r>
          </w:p>
        </w:tc>
        <w:tc>
          <w:tcPr>
            <w:tcW w:w="1007" w:type="dxa"/>
            <w:vAlign w:val="center"/>
          </w:tcPr>
          <w:p w14:paraId="31261CFC">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2</w:t>
            </w:r>
          </w:p>
        </w:tc>
      </w:tr>
      <w:tr w14:paraId="04009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713" w:type="dxa"/>
            <w:vAlign w:val="center"/>
          </w:tcPr>
          <w:p w14:paraId="78F289B9">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中学布局</w:t>
            </w:r>
          </w:p>
        </w:tc>
        <w:tc>
          <w:tcPr>
            <w:tcW w:w="1062" w:type="dxa"/>
            <w:vAlign w:val="center"/>
          </w:tcPr>
          <w:p w14:paraId="76560CAD">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1000米覆盖范围</w:t>
            </w:r>
          </w:p>
        </w:tc>
        <w:tc>
          <w:tcPr>
            <w:tcW w:w="1049" w:type="dxa"/>
            <w:vAlign w:val="center"/>
          </w:tcPr>
          <w:p w14:paraId="521948DF">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111" w:type="dxa"/>
            <w:vAlign w:val="center"/>
          </w:tcPr>
          <w:p w14:paraId="1B2F61D0">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1500米覆盖范围</w:t>
            </w:r>
          </w:p>
        </w:tc>
        <w:tc>
          <w:tcPr>
            <w:tcW w:w="1270" w:type="dxa"/>
            <w:vAlign w:val="center"/>
          </w:tcPr>
          <w:p w14:paraId="47BCF473">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342" w:type="dxa"/>
            <w:vAlign w:val="center"/>
          </w:tcPr>
          <w:p w14:paraId="629450E7">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其它</w:t>
            </w:r>
          </w:p>
        </w:tc>
        <w:tc>
          <w:tcPr>
            <w:tcW w:w="1007" w:type="dxa"/>
            <w:vAlign w:val="center"/>
          </w:tcPr>
          <w:p w14:paraId="1DBF6F55">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2</w:t>
            </w:r>
          </w:p>
        </w:tc>
      </w:tr>
      <w:tr w14:paraId="49D0C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713" w:type="dxa"/>
            <w:vAlign w:val="center"/>
          </w:tcPr>
          <w:p w14:paraId="7200120D">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体育设施布局</w:t>
            </w:r>
          </w:p>
        </w:tc>
        <w:tc>
          <w:tcPr>
            <w:tcW w:w="1062" w:type="dxa"/>
            <w:vAlign w:val="center"/>
          </w:tcPr>
          <w:p w14:paraId="4E6D8E82">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15分钟健身圈</w:t>
            </w:r>
          </w:p>
        </w:tc>
        <w:tc>
          <w:tcPr>
            <w:tcW w:w="1049" w:type="dxa"/>
            <w:vAlign w:val="center"/>
          </w:tcPr>
          <w:p w14:paraId="340E55B6">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111" w:type="dxa"/>
            <w:vAlign w:val="center"/>
          </w:tcPr>
          <w:p w14:paraId="4BFA1817">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30分钟健身圈</w:t>
            </w:r>
          </w:p>
        </w:tc>
        <w:tc>
          <w:tcPr>
            <w:tcW w:w="1270" w:type="dxa"/>
            <w:vAlign w:val="center"/>
          </w:tcPr>
          <w:p w14:paraId="1CD02745">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342" w:type="dxa"/>
            <w:vAlign w:val="center"/>
          </w:tcPr>
          <w:p w14:paraId="3FAA91BB">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其它</w:t>
            </w:r>
          </w:p>
        </w:tc>
        <w:tc>
          <w:tcPr>
            <w:tcW w:w="1007" w:type="dxa"/>
            <w:vAlign w:val="center"/>
          </w:tcPr>
          <w:p w14:paraId="7D0CABB3">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2</w:t>
            </w:r>
          </w:p>
        </w:tc>
      </w:tr>
      <w:tr w14:paraId="2FA75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713" w:type="dxa"/>
            <w:vAlign w:val="center"/>
          </w:tcPr>
          <w:p w14:paraId="6D299D0C">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公交布局</w:t>
            </w:r>
          </w:p>
        </w:tc>
        <w:tc>
          <w:tcPr>
            <w:tcW w:w="1062" w:type="dxa"/>
            <w:vAlign w:val="center"/>
          </w:tcPr>
          <w:p w14:paraId="4AAD1EBA">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300米覆盖范围</w:t>
            </w:r>
          </w:p>
        </w:tc>
        <w:tc>
          <w:tcPr>
            <w:tcW w:w="1049" w:type="dxa"/>
            <w:vAlign w:val="center"/>
          </w:tcPr>
          <w:p w14:paraId="3FE56AC5">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111" w:type="dxa"/>
            <w:vAlign w:val="center"/>
          </w:tcPr>
          <w:p w14:paraId="252396F6">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500米覆盖范围</w:t>
            </w:r>
          </w:p>
        </w:tc>
        <w:tc>
          <w:tcPr>
            <w:tcW w:w="1270" w:type="dxa"/>
            <w:vAlign w:val="center"/>
          </w:tcPr>
          <w:p w14:paraId="38C1F40C">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342" w:type="dxa"/>
            <w:vAlign w:val="center"/>
          </w:tcPr>
          <w:p w14:paraId="5CAEB931">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800米覆盖范围</w:t>
            </w:r>
          </w:p>
        </w:tc>
        <w:tc>
          <w:tcPr>
            <w:tcW w:w="1007" w:type="dxa"/>
            <w:vAlign w:val="center"/>
          </w:tcPr>
          <w:p w14:paraId="5F89199E">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2</w:t>
            </w:r>
          </w:p>
        </w:tc>
      </w:tr>
    </w:tbl>
    <w:p w14:paraId="38F14BEC">
      <w:pPr>
        <w:pStyle w:val="34"/>
        <w:adjustRightInd w:val="0"/>
        <w:snapToGrid w:val="0"/>
        <w:spacing w:line="360" w:lineRule="auto"/>
        <w:ind w:firstLine="560"/>
        <w:rPr>
          <w:rFonts w:hint="default" w:ascii="Times New Roman" w:hAnsi="Times New Roman" w:cs="Times New Roman"/>
          <w:sz w:val="28"/>
          <w:szCs w:val="28"/>
        </w:rPr>
      </w:pPr>
    </w:p>
    <w:p w14:paraId="60F4420E">
      <w:pPr>
        <w:pStyle w:val="34"/>
        <w:adjustRightInd w:val="0"/>
        <w:snapToGrid w:val="0"/>
        <w:spacing w:line="360" w:lineRule="auto"/>
        <w:ind w:firstLine="560"/>
        <w:rPr>
          <w:rFonts w:hint="default" w:ascii="Times New Roman" w:hAnsi="Times New Roman" w:cs="Times New Roman"/>
          <w:b/>
          <w:szCs w:val="21"/>
        </w:rPr>
      </w:pPr>
      <w:r>
        <w:rPr>
          <w:rFonts w:hint="default" w:ascii="Times New Roman" w:hAnsi="Times New Roman" w:cs="Times New Roman"/>
          <w:sz w:val="28"/>
          <w:szCs w:val="28"/>
        </w:rPr>
        <w:t>综合分析各目标单元公共服务设施各评估因子，得到各目标单元公共服务设施评估因子结果如下所示。</w:t>
      </w:r>
    </w:p>
    <w:p w14:paraId="48AAB0A1">
      <w:pPr>
        <w:pStyle w:val="48"/>
        <w:rPr>
          <w:rFonts w:hint="default" w:ascii="Times New Roman" w:hAnsi="Times New Roman" w:cs="Times New Roman"/>
        </w:rPr>
      </w:pPr>
      <w:r>
        <w:rPr>
          <w:rFonts w:hint="default" w:ascii="Times New Roman" w:hAnsi="Times New Roman" w:cs="Times New Roman"/>
        </w:rPr>
        <w:drawing>
          <wp:inline distT="0" distB="0" distL="114300" distR="114300">
            <wp:extent cx="5384165" cy="7548880"/>
            <wp:effectExtent l="0" t="0" r="6985" b="13970"/>
            <wp:docPr id="42" name="图片 2" descr="D:\2022.7\1、绿建专项规划资料\04中山市绿色建筑发展专项规划\03图\01成图\PNG\02中山市图-zcc only-06.png02中山市图-zcc only-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descr="D:\2022.7\1、绿建专项规划资料\04中山市绿色建筑发展专项规划\03图\01成图\PNG\02中山市图-zcc only-06.png02中山市图-zcc only-06"/>
                    <pic:cNvPicPr>
                      <a:picLocks noChangeAspect="1"/>
                    </pic:cNvPicPr>
                  </pic:nvPicPr>
                  <pic:blipFill>
                    <a:blip r:embed="rId49"/>
                    <a:srcRect/>
                    <a:stretch>
                      <a:fillRect/>
                    </a:stretch>
                  </pic:blipFill>
                  <pic:spPr>
                    <a:xfrm>
                      <a:off x="0" y="0"/>
                      <a:ext cx="5384165" cy="7548880"/>
                    </a:xfrm>
                    <a:prstGeom prst="rect">
                      <a:avLst/>
                    </a:prstGeom>
                    <a:noFill/>
                    <a:ln>
                      <a:noFill/>
                    </a:ln>
                  </pic:spPr>
                </pic:pic>
              </a:graphicData>
            </a:graphic>
          </wp:inline>
        </w:drawing>
      </w:r>
    </w:p>
    <w:p w14:paraId="0B217F04">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图5-3  公共服务评估因子分析图</w:t>
      </w:r>
    </w:p>
    <w:p w14:paraId="24EB07F9">
      <w:pPr>
        <w:rPr>
          <w:rFonts w:hint="default" w:ascii="Times New Roman" w:hAnsi="Times New Roman" w:cs="Times New Roman"/>
          <w:sz w:val="28"/>
          <w:szCs w:val="28"/>
        </w:rPr>
      </w:pPr>
      <w:r>
        <w:rPr>
          <w:rFonts w:hint="default" w:ascii="Times New Roman" w:hAnsi="Times New Roman" w:cs="Times New Roman"/>
          <w:sz w:val="28"/>
          <w:szCs w:val="28"/>
        </w:rPr>
        <w:br w:type="page"/>
      </w:r>
    </w:p>
    <w:p w14:paraId="209C4DA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（3）工程建设因子</w:t>
      </w:r>
    </w:p>
    <w:p w14:paraId="23FD7EB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工程建设分为重点产业园区、装配式建筑和城市更新3个评估因子，每个评估因子得分为1～5分，通过资料调研和GIS空间叠加分析，确定最终评分因子的得分，具体得分按下式进行计算：</w:t>
      </w:r>
    </w:p>
    <w:p w14:paraId="436081B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Q3=Q31×W31+Q32×W32+Q33×W33</w:t>
      </w:r>
    </w:p>
    <w:p w14:paraId="7FEF65E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式中：Q3=工程建设评估得分；</w:t>
      </w:r>
    </w:p>
    <w:p w14:paraId="4282EE2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Q31～Q33：分别为工程建设的3个评估因子（重点产业园区、装配式建筑和城市更新）的得分；</w:t>
      </w:r>
    </w:p>
    <w:p w14:paraId="0CB16AE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W31～W33：分别为工程建设的3个评估因子（重点产业园区、装配式建筑和城市更新）的权重。</w:t>
      </w:r>
    </w:p>
    <w:p w14:paraId="4750D1F0">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w:t>
      </w:r>
      <w:r>
        <w:rPr>
          <w:rFonts w:hint="default" w:ascii="Times New Roman" w:hAnsi="Times New Roman" w:cs="Times New Roman"/>
          <w:sz w:val="21"/>
          <w:szCs w:val="21"/>
          <w:lang w:val="en-US" w:eastAsia="zh-CN"/>
        </w:rPr>
        <w:t>5-</w:t>
      </w:r>
      <w:r>
        <w:rPr>
          <w:rFonts w:hint="default" w:ascii="Times New Roman" w:hAnsi="Times New Roman" w:eastAsia="宋体" w:cs="Times New Roman"/>
          <w:sz w:val="21"/>
          <w:szCs w:val="21"/>
        </w:rPr>
        <w:t>9 工程建设评估因子量化表</w:t>
      </w:r>
    </w:p>
    <w:tbl>
      <w:tblPr>
        <w:tblStyle w:val="26"/>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6"/>
        <w:gridCol w:w="1197"/>
        <w:gridCol w:w="1078"/>
        <w:gridCol w:w="1180"/>
        <w:gridCol w:w="898"/>
        <w:gridCol w:w="1276"/>
        <w:gridCol w:w="1041"/>
      </w:tblGrid>
      <w:tr w14:paraId="1FE26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6" w:type="dxa"/>
            <w:vMerge w:val="restart"/>
            <w:vAlign w:val="center"/>
          </w:tcPr>
          <w:p w14:paraId="35CF416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评价因子</w:t>
            </w:r>
          </w:p>
        </w:tc>
        <w:tc>
          <w:tcPr>
            <w:tcW w:w="5629" w:type="dxa"/>
            <w:gridSpan w:val="5"/>
            <w:vAlign w:val="center"/>
          </w:tcPr>
          <w:p w14:paraId="2DFF456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因子评分表</w:t>
            </w:r>
          </w:p>
        </w:tc>
        <w:tc>
          <w:tcPr>
            <w:tcW w:w="1041" w:type="dxa"/>
            <w:vMerge w:val="restart"/>
            <w:vAlign w:val="center"/>
          </w:tcPr>
          <w:p w14:paraId="66EA8FC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权重</w:t>
            </w:r>
          </w:p>
        </w:tc>
      </w:tr>
      <w:tr w14:paraId="52468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6" w:type="dxa"/>
            <w:vMerge w:val="continue"/>
            <w:vAlign w:val="center"/>
          </w:tcPr>
          <w:p w14:paraId="327506CD">
            <w:pPr>
              <w:pStyle w:val="48"/>
              <w:rPr>
                <w:rFonts w:hint="default" w:ascii="Times New Roman" w:hAnsi="Times New Roman" w:cs="Times New Roman"/>
                <w:b w:val="0"/>
                <w:bCs/>
                <w:sz w:val="21"/>
                <w:szCs w:val="21"/>
              </w:rPr>
            </w:pPr>
          </w:p>
        </w:tc>
        <w:tc>
          <w:tcPr>
            <w:tcW w:w="1197" w:type="dxa"/>
            <w:vAlign w:val="center"/>
          </w:tcPr>
          <w:p w14:paraId="4F0E47E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w:t>
            </w:r>
          </w:p>
        </w:tc>
        <w:tc>
          <w:tcPr>
            <w:tcW w:w="1078" w:type="dxa"/>
            <w:vAlign w:val="center"/>
          </w:tcPr>
          <w:p w14:paraId="15F9B09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w:t>
            </w:r>
          </w:p>
        </w:tc>
        <w:tc>
          <w:tcPr>
            <w:tcW w:w="1180" w:type="dxa"/>
            <w:vAlign w:val="center"/>
          </w:tcPr>
          <w:p w14:paraId="5C11D51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898" w:type="dxa"/>
            <w:vAlign w:val="center"/>
          </w:tcPr>
          <w:p w14:paraId="6DAB88C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c>
          <w:tcPr>
            <w:tcW w:w="1276" w:type="dxa"/>
            <w:vAlign w:val="center"/>
          </w:tcPr>
          <w:p w14:paraId="118B827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1041" w:type="dxa"/>
            <w:vMerge w:val="continue"/>
            <w:vAlign w:val="center"/>
          </w:tcPr>
          <w:p w14:paraId="2141B62B">
            <w:pPr>
              <w:pStyle w:val="48"/>
              <w:rPr>
                <w:rFonts w:hint="default" w:ascii="Times New Roman" w:hAnsi="Times New Roman" w:cs="Times New Roman"/>
                <w:b w:val="0"/>
                <w:bCs/>
                <w:sz w:val="21"/>
                <w:szCs w:val="21"/>
              </w:rPr>
            </w:pPr>
          </w:p>
        </w:tc>
      </w:tr>
      <w:tr w14:paraId="57A6D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766" w:type="dxa"/>
            <w:vAlign w:val="center"/>
          </w:tcPr>
          <w:p w14:paraId="23529D9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重点产业园区</w:t>
            </w:r>
          </w:p>
        </w:tc>
        <w:tc>
          <w:tcPr>
            <w:tcW w:w="1197" w:type="dxa"/>
            <w:vAlign w:val="center"/>
          </w:tcPr>
          <w:p w14:paraId="5E95A4F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十大产业园区和</w:t>
            </w:r>
            <w:r>
              <w:rPr>
                <w:rFonts w:hint="eastAsia" w:ascii="Times New Roman" w:hAnsi="Times New Roman" w:cs="Times New Roman"/>
                <w:b w:val="0"/>
                <w:bCs/>
                <w:sz w:val="21"/>
                <w:szCs w:val="21"/>
                <w:lang w:eastAsia="zh-CN"/>
              </w:rPr>
              <w:t>“</w:t>
            </w:r>
            <w:r>
              <w:rPr>
                <w:rFonts w:hint="default" w:ascii="Times New Roman" w:hAnsi="Times New Roman" w:cs="Times New Roman"/>
                <w:b w:val="0"/>
                <w:bCs/>
                <w:sz w:val="21"/>
                <w:szCs w:val="21"/>
              </w:rPr>
              <w:t>3+4重大平台</w:t>
            </w:r>
            <w:r>
              <w:rPr>
                <w:rFonts w:hint="eastAsia" w:ascii="Times New Roman" w:hAnsi="Times New Roman" w:cs="Times New Roman"/>
                <w:b w:val="0"/>
                <w:bCs/>
                <w:sz w:val="21"/>
                <w:szCs w:val="21"/>
                <w:lang w:eastAsia="zh-CN"/>
              </w:rPr>
              <w:t>”</w:t>
            </w:r>
            <w:r>
              <w:rPr>
                <w:rFonts w:hint="default" w:ascii="Times New Roman" w:hAnsi="Times New Roman" w:cs="Times New Roman"/>
                <w:b w:val="0"/>
                <w:bCs/>
                <w:sz w:val="21"/>
                <w:szCs w:val="21"/>
              </w:rPr>
              <w:t>重叠区域</w:t>
            </w:r>
          </w:p>
        </w:tc>
        <w:tc>
          <w:tcPr>
            <w:tcW w:w="1078" w:type="dxa"/>
            <w:vAlign w:val="center"/>
          </w:tcPr>
          <w:p w14:paraId="03612D7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w:t>
            </w:r>
          </w:p>
        </w:tc>
        <w:tc>
          <w:tcPr>
            <w:tcW w:w="1180" w:type="dxa"/>
            <w:vAlign w:val="center"/>
          </w:tcPr>
          <w:p w14:paraId="282B53C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十大产业园区和</w:t>
            </w:r>
            <w:r>
              <w:rPr>
                <w:rFonts w:hint="eastAsia" w:ascii="Times New Roman" w:hAnsi="Times New Roman" w:cs="Times New Roman"/>
                <w:b w:val="0"/>
                <w:bCs/>
                <w:sz w:val="21"/>
                <w:szCs w:val="21"/>
                <w:lang w:eastAsia="zh-CN"/>
              </w:rPr>
              <w:t>“</w:t>
            </w:r>
            <w:r>
              <w:rPr>
                <w:rFonts w:hint="default" w:ascii="Times New Roman" w:hAnsi="Times New Roman" w:cs="Times New Roman"/>
                <w:b w:val="0"/>
                <w:bCs/>
                <w:sz w:val="21"/>
                <w:szCs w:val="21"/>
              </w:rPr>
              <w:t>3+4重大平台</w:t>
            </w:r>
            <w:r>
              <w:rPr>
                <w:rFonts w:hint="eastAsia" w:ascii="Times New Roman" w:hAnsi="Times New Roman" w:cs="Times New Roman"/>
                <w:b w:val="0"/>
                <w:bCs/>
                <w:sz w:val="21"/>
                <w:szCs w:val="21"/>
                <w:lang w:eastAsia="zh-CN"/>
              </w:rPr>
              <w:t>”</w:t>
            </w:r>
            <w:r>
              <w:rPr>
                <w:rFonts w:hint="default" w:ascii="Times New Roman" w:hAnsi="Times New Roman" w:cs="Times New Roman"/>
                <w:b w:val="0"/>
                <w:bCs/>
                <w:sz w:val="21"/>
                <w:szCs w:val="21"/>
              </w:rPr>
              <w:t>非重叠区域</w:t>
            </w:r>
          </w:p>
        </w:tc>
        <w:tc>
          <w:tcPr>
            <w:tcW w:w="898" w:type="dxa"/>
            <w:vAlign w:val="center"/>
          </w:tcPr>
          <w:p w14:paraId="16941E9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w:t>
            </w:r>
          </w:p>
        </w:tc>
        <w:tc>
          <w:tcPr>
            <w:tcW w:w="1276" w:type="dxa"/>
            <w:vAlign w:val="center"/>
          </w:tcPr>
          <w:p w14:paraId="41C134B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其他地区</w:t>
            </w:r>
          </w:p>
        </w:tc>
        <w:tc>
          <w:tcPr>
            <w:tcW w:w="1041" w:type="dxa"/>
            <w:vAlign w:val="center"/>
          </w:tcPr>
          <w:p w14:paraId="7420301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w:t>
            </w:r>
          </w:p>
        </w:tc>
      </w:tr>
      <w:tr w14:paraId="72700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766" w:type="dxa"/>
            <w:vAlign w:val="center"/>
          </w:tcPr>
          <w:p w14:paraId="1E137D2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装配式建筑</w:t>
            </w:r>
          </w:p>
          <w:p w14:paraId="0F187A0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（2025年占新建建筑面积比例）</w:t>
            </w:r>
          </w:p>
        </w:tc>
        <w:tc>
          <w:tcPr>
            <w:tcW w:w="1197" w:type="dxa"/>
            <w:vAlign w:val="center"/>
          </w:tcPr>
          <w:p w14:paraId="682DB6A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60%</w:t>
            </w:r>
          </w:p>
        </w:tc>
        <w:tc>
          <w:tcPr>
            <w:tcW w:w="1078" w:type="dxa"/>
            <w:vAlign w:val="center"/>
          </w:tcPr>
          <w:p w14:paraId="1017ED6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45%</w:t>
            </w:r>
          </w:p>
        </w:tc>
        <w:tc>
          <w:tcPr>
            <w:tcW w:w="1180" w:type="dxa"/>
            <w:vAlign w:val="center"/>
          </w:tcPr>
          <w:p w14:paraId="6DD111F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40%</w:t>
            </w:r>
          </w:p>
        </w:tc>
        <w:tc>
          <w:tcPr>
            <w:tcW w:w="898" w:type="dxa"/>
            <w:vAlign w:val="center"/>
          </w:tcPr>
          <w:p w14:paraId="461D4DB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35%</w:t>
            </w:r>
          </w:p>
        </w:tc>
        <w:tc>
          <w:tcPr>
            <w:tcW w:w="1276" w:type="dxa"/>
            <w:vAlign w:val="center"/>
          </w:tcPr>
          <w:p w14:paraId="35B385F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≤35%</w:t>
            </w:r>
          </w:p>
        </w:tc>
        <w:tc>
          <w:tcPr>
            <w:tcW w:w="1041" w:type="dxa"/>
            <w:vAlign w:val="center"/>
          </w:tcPr>
          <w:p w14:paraId="3B3B66D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r>
      <w:tr w14:paraId="07ED8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766" w:type="dxa"/>
            <w:vAlign w:val="center"/>
          </w:tcPr>
          <w:p w14:paraId="046B305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城市更新</w:t>
            </w:r>
          </w:p>
        </w:tc>
        <w:tc>
          <w:tcPr>
            <w:tcW w:w="1197" w:type="dxa"/>
            <w:vAlign w:val="center"/>
          </w:tcPr>
          <w:p w14:paraId="4288A58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市级重点城市更新片区</w:t>
            </w:r>
          </w:p>
        </w:tc>
        <w:tc>
          <w:tcPr>
            <w:tcW w:w="1078" w:type="dxa"/>
            <w:vAlign w:val="center"/>
          </w:tcPr>
          <w:p w14:paraId="76B4DD2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w:t>
            </w:r>
          </w:p>
        </w:tc>
        <w:tc>
          <w:tcPr>
            <w:tcW w:w="1180" w:type="dxa"/>
            <w:vAlign w:val="center"/>
          </w:tcPr>
          <w:p w14:paraId="5107F27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镇级重点城市更新片区</w:t>
            </w:r>
          </w:p>
        </w:tc>
        <w:tc>
          <w:tcPr>
            <w:tcW w:w="898" w:type="dxa"/>
            <w:vAlign w:val="center"/>
          </w:tcPr>
          <w:p w14:paraId="44BB9BF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w:t>
            </w:r>
          </w:p>
        </w:tc>
        <w:tc>
          <w:tcPr>
            <w:tcW w:w="1276" w:type="dxa"/>
            <w:vAlign w:val="center"/>
          </w:tcPr>
          <w:p w14:paraId="2851A94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一般城市更新片区</w:t>
            </w:r>
          </w:p>
        </w:tc>
        <w:tc>
          <w:tcPr>
            <w:tcW w:w="1041" w:type="dxa"/>
            <w:vAlign w:val="center"/>
          </w:tcPr>
          <w:p w14:paraId="3337CFB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r>
    </w:tbl>
    <w:p w14:paraId="0898AD11">
      <w:pPr>
        <w:widowControl/>
        <w:adjustRightInd w:val="0"/>
        <w:snapToGrid w:val="0"/>
        <w:spacing w:line="360" w:lineRule="auto"/>
        <w:rPr>
          <w:rFonts w:hint="default" w:ascii="Times New Roman" w:hAnsi="Times New Roman" w:eastAsia="宋体" w:cs="Times New Roman"/>
          <w:sz w:val="28"/>
          <w:szCs w:val="28"/>
        </w:rPr>
      </w:pPr>
    </w:p>
    <w:p w14:paraId="2D0467E3">
      <w:pPr>
        <w:widowControl/>
        <w:adjustRightInd w:val="0"/>
        <w:snapToGrid w:val="0"/>
        <w:spacing w:line="360" w:lineRule="auto"/>
        <w:jc w:val="center"/>
        <w:rPr>
          <w:rFonts w:hint="default" w:ascii="Times New Roman" w:hAnsi="Times New Roman" w:cs="Times New Roman"/>
        </w:rPr>
      </w:pPr>
    </w:p>
    <w:p w14:paraId="22837727">
      <w:pPr>
        <w:widowControl/>
        <w:adjustRightInd w:val="0"/>
        <w:snapToGrid w:val="0"/>
        <w:spacing w:line="360" w:lineRule="auto"/>
        <w:jc w:val="center"/>
        <w:rPr>
          <w:rFonts w:hint="default" w:ascii="Times New Roman" w:hAnsi="Times New Roman" w:cs="Times New Roman"/>
        </w:rPr>
      </w:pPr>
    </w:p>
    <w:p w14:paraId="01E65C42">
      <w:pPr>
        <w:widowControl/>
        <w:adjustRightInd w:val="0"/>
        <w:snapToGrid w:val="0"/>
        <w:spacing w:line="360" w:lineRule="auto"/>
        <w:jc w:val="center"/>
        <w:rPr>
          <w:rFonts w:hint="default" w:ascii="Times New Roman" w:hAnsi="Times New Roman" w:cs="Times New Roman"/>
        </w:rPr>
      </w:pPr>
    </w:p>
    <w:p w14:paraId="321D909C">
      <w:pPr>
        <w:widowControl/>
        <w:adjustRightInd w:val="0"/>
        <w:snapToGrid w:val="0"/>
        <w:spacing w:line="360" w:lineRule="auto"/>
        <w:jc w:val="center"/>
        <w:rPr>
          <w:rFonts w:hint="default" w:ascii="Times New Roman" w:hAnsi="Times New Roman" w:cs="Times New Roman"/>
        </w:rPr>
      </w:pPr>
    </w:p>
    <w:p w14:paraId="3AD303CB">
      <w:pPr>
        <w:widowControl/>
        <w:adjustRightInd w:val="0"/>
        <w:snapToGrid w:val="0"/>
        <w:spacing w:line="360" w:lineRule="auto"/>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372735" cy="7533005"/>
            <wp:effectExtent l="0" t="0" r="18415" b="10795"/>
            <wp:docPr id="104" name="图片 25" descr="D:\2022.7\1、绿建专项规划资料\04中山市绿色建筑发展专项规划\03图\01成图\PNG\02中山市图-zcc only-09.png02中山市图-zcc only-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5" descr="D:\2022.7\1、绿建专项规划资料\04中山市绿色建筑发展专项规划\03图\01成图\PNG\02中山市图-zcc only-09.png02中山市图-zcc only-09"/>
                    <pic:cNvPicPr>
                      <a:picLocks noChangeAspect="1"/>
                    </pic:cNvPicPr>
                  </pic:nvPicPr>
                  <pic:blipFill>
                    <a:blip r:embed="rId50"/>
                    <a:srcRect/>
                    <a:stretch>
                      <a:fillRect/>
                    </a:stretch>
                  </pic:blipFill>
                  <pic:spPr>
                    <a:xfrm>
                      <a:off x="0" y="0"/>
                      <a:ext cx="5372735" cy="7533005"/>
                    </a:xfrm>
                    <a:prstGeom prst="rect">
                      <a:avLst/>
                    </a:prstGeom>
                    <a:noFill/>
                    <a:ln>
                      <a:noFill/>
                    </a:ln>
                  </pic:spPr>
                </pic:pic>
              </a:graphicData>
            </a:graphic>
          </wp:inline>
        </w:drawing>
      </w:r>
    </w:p>
    <w:p w14:paraId="20CDE66A">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图5-4工程建设评估因子分析图</w:t>
      </w:r>
    </w:p>
    <w:p w14:paraId="147B6968">
      <w:pPr>
        <w:rPr>
          <w:rFonts w:hint="default" w:ascii="Times New Roman" w:hAnsi="Times New Roman" w:eastAsia="宋体" w:cs="Times New Roman"/>
          <w:sz w:val="28"/>
          <w:szCs w:val="28"/>
        </w:rPr>
      </w:pPr>
      <w:r>
        <w:rPr>
          <w:rFonts w:hint="default" w:ascii="Times New Roman" w:hAnsi="Times New Roman" w:eastAsia="宋体" w:cs="Times New Roman"/>
          <w:sz w:val="28"/>
          <w:szCs w:val="28"/>
        </w:rPr>
        <w:br w:type="page"/>
      </w:r>
    </w:p>
    <w:p w14:paraId="29BF2410">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（4）生态环境因子</w:t>
      </w:r>
    </w:p>
    <w:p w14:paraId="71D620C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生态环境分为海绵城市和声环境2个评估因子，每个评估因子得分为1～5分，通过资料调研和GIS空间叠加分析，确定最终评分因子的得分，具体得分按下式进行计算：</w:t>
      </w:r>
    </w:p>
    <w:p w14:paraId="59501F2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Q4=Q41×W41+Q42×W42</w:t>
      </w:r>
    </w:p>
    <w:p w14:paraId="15C71EA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式中：Q4=生态环境评估得分；</w:t>
      </w:r>
    </w:p>
    <w:p w14:paraId="4F1AF7F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Q41～Q42：分别为生态环境的2个评估因子（海绵城市、声环境）的得分；</w:t>
      </w:r>
    </w:p>
    <w:p w14:paraId="7EC9EC3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W41～W42：分别为生态环境的2个评估因子（海绵城市、声环境）的权重。</w:t>
      </w:r>
    </w:p>
    <w:p w14:paraId="099F03FB">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表5-10 生态环境评估因子量化表</w:t>
      </w:r>
    </w:p>
    <w:tbl>
      <w:tblPr>
        <w:tblStyle w:val="26"/>
        <w:tblW w:w="85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5"/>
        <w:gridCol w:w="1241"/>
        <w:gridCol w:w="1316"/>
        <w:gridCol w:w="1316"/>
        <w:gridCol w:w="1316"/>
        <w:gridCol w:w="1320"/>
        <w:gridCol w:w="773"/>
      </w:tblGrid>
      <w:tr w14:paraId="22348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225" w:type="dxa"/>
            <w:vMerge w:val="restart"/>
            <w:vAlign w:val="center"/>
          </w:tcPr>
          <w:p w14:paraId="5831331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评价因子</w:t>
            </w:r>
          </w:p>
        </w:tc>
        <w:tc>
          <w:tcPr>
            <w:tcW w:w="6509" w:type="dxa"/>
            <w:gridSpan w:val="5"/>
            <w:vAlign w:val="center"/>
          </w:tcPr>
          <w:p w14:paraId="7B7F09A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因子评分表</w:t>
            </w:r>
          </w:p>
        </w:tc>
        <w:tc>
          <w:tcPr>
            <w:tcW w:w="773" w:type="dxa"/>
            <w:vMerge w:val="restart"/>
            <w:vAlign w:val="center"/>
          </w:tcPr>
          <w:p w14:paraId="141BFFB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权重</w:t>
            </w:r>
          </w:p>
        </w:tc>
      </w:tr>
      <w:tr w14:paraId="3B600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225" w:type="dxa"/>
            <w:vMerge w:val="continue"/>
            <w:vAlign w:val="center"/>
          </w:tcPr>
          <w:p w14:paraId="70AC1AE6">
            <w:pPr>
              <w:pStyle w:val="48"/>
              <w:rPr>
                <w:rFonts w:hint="default" w:ascii="Times New Roman" w:hAnsi="Times New Roman" w:cs="Times New Roman"/>
                <w:b w:val="0"/>
                <w:bCs/>
                <w:sz w:val="21"/>
                <w:szCs w:val="21"/>
              </w:rPr>
            </w:pPr>
          </w:p>
        </w:tc>
        <w:tc>
          <w:tcPr>
            <w:tcW w:w="1241" w:type="dxa"/>
            <w:vAlign w:val="center"/>
          </w:tcPr>
          <w:p w14:paraId="2CB17A4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w:t>
            </w:r>
          </w:p>
        </w:tc>
        <w:tc>
          <w:tcPr>
            <w:tcW w:w="1316" w:type="dxa"/>
            <w:vAlign w:val="center"/>
          </w:tcPr>
          <w:p w14:paraId="77FEA1B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w:t>
            </w:r>
          </w:p>
        </w:tc>
        <w:tc>
          <w:tcPr>
            <w:tcW w:w="1316" w:type="dxa"/>
            <w:vAlign w:val="center"/>
          </w:tcPr>
          <w:p w14:paraId="0684328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1316" w:type="dxa"/>
            <w:vAlign w:val="center"/>
          </w:tcPr>
          <w:p w14:paraId="06F554F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c>
          <w:tcPr>
            <w:tcW w:w="1320" w:type="dxa"/>
            <w:vAlign w:val="center"/>
          </w:tcPr>
          <w:p w14:paraId="614C538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773" w:type="dxa"/>
            <w:vMerge w:val="continue"/>
            <w:vAlign w:val="center"/>
          </w:tcPr>
          <w:p w14:paraId="0B11AAD5">
            <w:pPr>
              <w:pStyle w:val="48"/>
              <w:rPr>
                <w:rFonts w:hint="default" w:ascii="Times New Roman" w:hAnsi="Times New Roman" w:cs="Times New Roman"/>
                <w:b w:val="0"/>
                <w:bCs/>
                <w:sz w:val="21"/>
                <w:szCs w:val="21"/>
              </w:rPr>
            </w:pPr>
          </w:p>
        </w:tc>
      </w:tr>
      <w:tr w14:paraId="0FA54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225" w:type="dxa"/>
            <w:vAlign w:val="center"/>
          </w:tcPr>
          <w:p w14:paraId="5381CF9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海绵城市</w:t>
            </w:r>
          </w:p>
          <w:p w14:paraId="31B6A1F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（年径流总量控制率）</w:t>
            </w:r>
          </w:p>
        </w:tc>
        <w:tc>
          <w:tcPr>
            <w:tcW w:w="1241" w:type="dxa"/>
            <w:vAlign w:val="center"/>
          </w:tcPr>
          <w:p w14:paraId="06EBE35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≥76%</w:t>
            </w:r>
          </w:p>
        </w:tc>
        <w:tc>
          <w:tcPr>
            <w:tcW w:w="1316" w:type="dxa"/>
            <w:vAlign w:val="center"/>
          </w:tcPr>
          <w:p w14:paraId="3250FBB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[73%,76%)</w:t>
            </w:r>
          </w:p>
        </w:tc>
        <w:tc>
          <w:tcPr>
            <w:tcW w:w="1316" w:type="dxa"/>
            <w:vAlign w:val="center"/>
          </w:tcPr>
          <w:p w14:paraId="340A696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[70%,73%)</w:t>
            </w:r>
          </w:p>
        </w:tc>
        <w:tc>
          <w:tcPr>
            <w:tcW w:w="1316" w:type="dxa"/>
            <w:vAlign w:val="center"/>
          </w:tcPr>
          <w:p w14:paraId="3A5CE82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[67%,70%)</w:t>
            </w:r>
          </w:p>
        </w:tc>
        <w:tc>
          <w:tcPr>
            <w:tcW w:w="1320" w:type="dxa"/>
            <w:vAlign w:val="center"/>
          </w:tcPr>
          <w:p w14:paraId="6958FAE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[65%,67%)</w:t>
            </w:r>
          </w:p>
        </w:tc>
        <w:tc>
          <w:tcPr>
            <w:tcW w:w="773" w:type="dxa"/>
            <w:vAlign w:val="center"/>
          </w:tcPr>
          <w:p w14:paraId="12F7943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w:t>
            </w:r>
          </w:p>
        </w:tc>
      </w:tr>
      <w:tr w14:paraId="13AA8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225" w:type="dxa"/>
            <w:vAlign w:val="center"/>
          </w:tcPr>
          <w:p w14:paraId="0A9F554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声环境</w:t>
            </w:r>
          </w:p>
        </w:tc>
        <w:tc>
          <w:tcPr>
            <w:tcW w:w="1241" w:type="dxa"/>
            <w:vAlign w:val="center"/>
          </w:tcPr>
          <w:p w14:paraId="6C9F478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1类声环境功能区</w:t>
            </w:r>
          </w:p>
        </w:tc>
        <w:tc>
          <w:tcPr>
            <w:tcW w:w="1316" w:type="dxa"/>
            <w:vAlign w:val="center"/>
          </w:tcPr>
          <w:p w14:paraId="692068E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w:t>
            </w:r>
          </w:p>
        </w:tc>
        <w:tc>
          <w:tcPr>
            <w:tcW w:w="1316" w:type="dxa"/>
            <w:vAlign w:val="center"/>
          </w:tcPr>
          <w:p w14:paraId="082C760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2类声环境功能区</w:t>
            </w:r>
          </w:p>
        </w:tc>
        <w:tc>
          <w:tcPr>
            <w:tcW w:w="1316" w:type="dxa"/>
            <w:vAlign w:val="center"/>
          </w:tcPr>
          <w:p w14:paraId="0D988AB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w:t>
            </w:r>
          </w:p>
        </w:tc>
        <w:tc>
          <w:tcPr>
            <w:tcW w:w="1320" w:type="dxa"/>
            <w:vAlign w:val="center"/>
          </w:tcPr>
          <w:p w14:paraId="1B9D03B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其它区域</w:t>
            </w:r>
          </w:p>
        </w:tc>
        <w:tc>
          <w:tcPr>
            <w:tcW w:w="773" w:type="dxa"/>
            <w:vAlign w:val="center"/>
          </w:tcPr>
          <w:p w14:paraId="5AC1C98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w:t>
            </w:r>
          </w:p>
        </w:tc>
      </w:tr>
    </w:tbl>
    <w:p w14:paraId="24B1FE19">
      <w:pPr>
        <w:widowControl/>
        <w:adjustRightInd w:val="0"/>
        <w:snapToGrid w:val="0"/>
        <w:spacing w:line="360" w:lineRule="auto"/>
        <w:jc w:val="center"/>
        <w:rPr>
          <w:rFonts w:hint="default" w:ascii="Times New Roman" w:hAnsi="Times New Roman" w:cs="Times New Roman"/>
        </w:rPr>
      </w:pPr>
    </w:p>
    <w:p w14:paraId="2710095A">
      <w:pPr>
        <w:widowControl/>
        <w:adjustRightInd w:val="0"/>
        <w:snapToGrid w:val="0"/>
        <w:spacing w:line="360" w:lineRule="auto"/>
        <w:jc w:val="center"/>
        <w:rPr>
          <w:rFonts w:hint="default" w:ascii="Times New Roman" w:hAnsi="Times New Roman" w:cs="Times New Roman"/>
        </w:rPr>
      </w:pPr>
      <w:r>
        <w:rPr>
          <w:rFonts w:hint="default" w:ascii="Times New Roman" w:hAnsi="Times New Roman" w:cs="Times New Roman"/>
        </w:rPr>
        <w:drawing>
          <wp:inline distT="0" distB="0" distL="0" distR="0">
            <wp:extent cx="5361940" cy="7518400"/>
            <wp:effectExtent l="0" t="0" r="10160" b="6350"/>
            <wp:docPr id="22" name="图片 22" descr="D:\2022.7\1、绿建专项规划资料\04中山市绿色建筑发展专项规划\03图\01成图\PNG\02中山市图-zcc only-10.png02中山市图-zcc onl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2022.7\1、绿建专项规划资料\04中山市绿色建筑发展专项规划\03图\01成图\PNG\02中山市图-zcc only-10.png02中山市图-zcc only-10"/>
                    <pic:cNvPicPr>
                      <a:picLocks noChangeAspect="1"/>
                    </pic:cNvPicPr>
                  </pic:nvPicPr>
                  <pic:blipFill>
                    <a:blip r:embed="rId51"/>
                    <a:srcRect/>
                    <a:stretch>
                      <a:fillRect/>
                    </a:stretch>
                  </pic:blipFill>
                  <pic:spPr>
                    <a:xfrm>
                      <a:off x="0" y="0"/>
                      <a:ext cx="5361940" cy="7518400"/>
                    </a:xfrm>
                    <a:prstGeom prst="rect">
                      <a:avLst/>
                    </a:prstGeom>
                  </pic:spPr>
                </pic:pic>
              </a:graphicData>
            </a:graphic>
          </wp:inline>
        </w:drawing>
      </w:r>
    </w:p>
    <w:p w14:paraId="07DE3028">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图5-5生态环境评估因子分析图</w:t>
      </w:r>
    </w:p>
    <w:p w14:paraId="5C3D9094">
      <w:pPr>
        <w:rPr>
          <w:rFonts w:hint="default" w:ascii="Times New Roman" w:hAnsi="Times New Roman" w:eastAsia="宋体" w:cs="Times New Roman"/>
          <w:sz w:val="28"/>
          <w:szCs w:val="28"/>
        </w:rPr>
      </w:pPr>
      <w:r>
        <w:rPr>
          <w:rFonts w:hint="default" w:ascii="Times New Roman" w:hAnsi="Times New Roman" w:eastAsia="宋体" w:cs="Times New Roman"/>
          <w:sz w:val="28"/>
          <w:szCs w:val="28"/>
        </w:rPr>
        <w:br w:type="page"/>
      </w:r>
    </w:p>
    <w:p w14:paraId="6B52D748">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（5）综合评估</w:t>
      </w:r>
    </w:p>
    <w:p w14:paraId="45A6977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目标单元绿色建筑潜力评估体系由上位规划、公共服务设施、工程建设和生态环境4类指标组成。具体分值设定见下表：</w:t>
      </w:r>
    </w:p>
    <w:p w14:paraId="30693869">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表5-11 目标单元绿色建筑潜力评估分值</w:t>
      </w:r>
    </w:p>
    <w:tbl>
      <w:tblPr>
        <w:tblStyle w:val="26"/>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5"/>
        <w:gridCol w:w="1575"/>
        <w:gridCol w:w="2220"/>
        <w:gridCol w:w="1575"/>
        <w:gridCol w:w="1576"/>
      </w:tblGrid>
      <w:tr w14:paraId="5635E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75" w:type="dxa"/>
            <w:vMerge w:val="restart"/>
            <w:vAlign w:val="center"/>
          </w:tcPr>
          <w:p w14:paraId="2994A78D">
            <w:pPr>
              <w:pStyle w:val="48"/>
              <w:rPr>
                <w:rFonts w:hint="default" w:ascii="Times New Roman" w:hAnsi="Times New Roman" w:cs="Times New Roman"/>
                <w:b w:val="0"/>
                <w:bCs/>
                <w:sz w:val="21"/>
                <w:szCs w:val="21"/>
              </w:rPr>
            </w:pPr>
          </w:p>
        </w:tc>
        <w:tc>
          <w:tcPr>
            <w:tcW w:w="6946" w:type="dxa"/>
            <w:gridSpan w:val="4"/>
          </w:tcPr>
          <w:p w14:paraId="280C197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评估指标评分项目</w:t>
            </w:r>
          </w:p>
        </w:tc>
      </w:tr>
      <w:tr w14:paraId="5CE68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75" w:type="dxa"/>
            <w:vMerge w:val="continue"/>
          </w:tcPr>
          <w:p w14:paraId="367455E3">
            <w:pPr>
              <w:pStyle w:val="48"/>
              <w:rPr>
                <w:rFonts w:hint="default" w:ascii="Times New Roman" w:hAnsi="Times New Roman" w:cs="Times New Roman"/>
                <w:b w:val="0"/>
                <w:bCs/>
                <w:sz w:val="21"/>
                <w:szCs w:val="21"/>
              </w:rPr>
            </w:pPr>
          </w:p>
        </w:tc>
        <w:tc>
          <w:tcPr>
            <w:tcW w:w="1575" w:type="dxa"/>
          </w:tcPr>
          <w:p w14:paraId="7FD4500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上位规划</w:t>
            </w:r>
          </w:p>
        </w:tc>
        <w:tc>
          <w:tcPr>
            <w:tcW w:w="2220" w:type="dxa"/>
          </w:tcPr>
          <w:p w14:paraId="61647A1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公共服务设施</w:t>
            </w:r>
          </w:p>
        </w:tc>
        <w:tc>
          <w:tcPr>
            <w:tcW w:w="1575" w:type="dxa"/>
          </w:tcPr>
          <w:p w14:paraId="4738614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工程建设</w:t>
            </w:r>
          </w:p>
        </w:tc>
        <w:tc>
          <w:tcPr>
            <w:tcW w:w="1576" w:type="dxa"/>
          </w:tcPr>
          <w:p w14:paraId="06BB4C0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生态环境</w:t>
            </w:r>
          </w:p>
        </w:tc>
      </w:tr>
      <w:tr w14:paraId="70528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75" w:type="dxa"/>
          </w:tcPr>
          <w:p w14:paraId="26809E1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评估分值</w:t>
            </w:r>
          </w:p>
        </w:tc>
        <w:tc>
          <w:tcPr>
            <w:tcW w:w="1575" w:type="dxa"/>
          </w:tcPr>
          <w:p w14:paraId="7635C13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50</w:t>
            </w:r>
          </w:p>
        </w:tc>
        <w:tc>
          <w:tcPr>
            <w:tcW w:w="2220" w:type="dxa"/>
          </w:tcPr>
          <w:p w14:paraId="702A6B6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50</w:t>
            </w:r>
          </w:p>
        </w:tc>
        <w:tc>
          <w:tcPr>
            <w:tcW w:w="1575" w:type="dxa"/>
          </w:tcPr>
          <w:p w14:paraId="056633A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50</w:t>
            </w:r>
          </w:p>
        </w:tc>
        <w:tc>
          <w:tcPr>
            <w:tcW w:w="1576" w:type="dxa"/>
          </w:tcPr>
          <w:p w14:paraId="45A9431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50</w:t>
            </w:r>
          </w:p>
        </w:tc>
      </w:tr>
      <w:tr w14:paraId="4CBCD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75" w:type="dxa"/>
          </w:tcPr>
          <w:p w14:paraId="1BF00F6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权重</w:t>
            </w:r>
          </w:p>
        </w:tc>
        <w:tc>
          <w:tcPr>
            <w:tcW w:w="1575" w:type="dxa"/>
          </w:tcPr>
          <w:p w14:paraId="0923B1B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2220" w:type="dxa"/>
          </w:tcPr>
          <w:p w14:paraId="22F24E3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c>
          <w:tcPr>
            <w:tcW w:w="1575" w:type="dxa"/>
          </w:tcPr>
          <w:p w14:paraId="21DE07F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1576" w:type="dxa"/>
          </w:tcPr>
          <w:p w14:paraId="6874967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r>
    </w:tbl>
    <w:p w14:paraId="4305A037">
      <w:pPr>
        <w:pStyle w:val="48"/>
        <w:rPr>
          <w:rFonts w:hint="default" w:ascii="Times New Roman" w:hAnsi="Times New Roman" w:cs="Times New Roman"/>
        </w:rPr>
      </w:pPr>
    </w:p>
    <w:p w14:paraId="3F621E3D">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目标单元绿色建筑的总得分应按下式进行计算：</w:t>
      </w:r>
    </w:p>
    <w:p w14:paraId="7C5C42C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Q=（Q1×W1+Q2×W2+Q3×W3+Q4×W4）/5</w:t>
      </w:r>
    </w:p>
    <w:p w14:paraId="75351745">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式中：Q=目标单元总得分；</w:t>
      </w:r>
    </w:p>
    <w:p w14:paraId="70BF5CC9">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Q1~Q4——分别为评估指标体系4类指标（上位规划、公共</w:t>
      </w:r>
      <w:r>
        <w:rPr>
          <w:rFonts w:hint="default" w:ascii="Times New Roman" w:hAnsi="Times New Roman" w:eastAsia="宋体" w:cs="Times New Roman"/>
          <w:sz w:val="28"/>
          <w:szCs w:val="28"/>
          <w:lang w:val="en-US" w:eastAsia="zh-CN"/>
        </w:rPr>
        <w:t>服务</w:t>
      </w:r>
      <w:r>
        <w:rPr>
          <w:rFonts w:hint="default" w:ascii="Times New Roman" w:hAnsi="Times New Roman" w:eastAsia="宋体" w:cs="Times New Roman"/>
          <w:sz w:val="28"/>
          <w:szCs w:val="28"/>
        </w:rPr>
        <w:t>设施、工程建设和生态环境）的得分；</w:t>
      </w:r>
    </w:p>
    <w:p w14:paraId="25E03D3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W1~W4——分别为评估指标体系4类指标（上位规划、公共</w:t>
      </w:r>
      <w:r>
        <w:rPr>
          <w:rFonts w:hint="default" w:ascii="Times New Roman" w:hAnsi="Times New Roman" w:eastAsia="宋体" w:cs="Times New Roman"/>
          <w:sz w:val="28"/>
          <w:szCs w:val="28"/>
          <w:lang w:val="en-US" w:eastAsia="zh-CN"/>
        </w:rPr>
        <w:t>服务</w:t>
      </w:r>
      <w:r>
        <w:rPr>
          <w:rFonts w:hint="default" w:ascii="Times New Roman" w:hAnsi="Times New Roman" w:eastAsia="宋体" w:cs="Times New Roman"/>
          <w:sz w:val="28"/>
          <w:szCs w:val="28"/>
        </w:rPr>
        <w:t>设施、工程建设和生态环境）的权重。</w:t>
      </w:r>
    </w:p>
    <w:p w14:paraId="19C9905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将潜力分析结果与各目标单元进行叠加，通过与各发展组团的指标进行核对，目标单元按照单元得分来区分核心目标单元和基础目标单元。</w:t>
      </w:r>
    </w:p>
    <w:p w14:paraId="1E833665">
      <w:pPr>
        <w:widowControl/>
        <w:adjustRightInd w:val="0"/>
        <w:snapToGrid w:val="0"/>
        <w:spacing w:line="360" w:lineRule="auto"/>
        <w:ind w:firstLine="420" w:firstLineChars="200"/>
        <w:jc w:val="center"/>
        <w:rPr>
          <w:rFonts w:hint="default" w:ascii="Times New Roman" w:hAnsi="Times New Roman" w:cs="Times New Roman"/>
        </w:rPr>
      </w:pPr>
    </w:p>
    <w:p w14:paraId="2BBF49D4">
      <w:pPr>
        <w:widowControl/>
        <w:adjustRightInd w:val="0"/>
        <w:snapToGrid w:val="0"/>
        <w:spacing w:line="360" w:lineRule="auto"/>
        <w:ind w:firstLine="420" w:firstLineChars="200"/>
        <w:jc w:val="center"/>
        <w:rPr>
          <w:rFonts w:hint="default" w:ascii="Times New Roman" w:hAnsi="Times New Roman" w:cs="Times New Roman"/>
        </w:rPr>
      </w:pPr>
    </w:p>
    <w:p w14:paraId="13E84FF1">
      <w:pPr>
        <w:widowControl/>
        <w:adjustRightInd w:val="0"/>
        <w:snapToGrid w:val="0"/>
        <w:spacing w:line="360" w:lineRule="auto"/>
        <w:ind w:firstLine="420" w:firstLineChars="200"/>
        <w:jc w:val="center"/>
        <w:rPr>
          <w:rFonts w:hint="default" w:ascii="Times New Roman" w:hAnsi="Times New Roman" w:cs="Times New Roman"/>
        </w:rPr>
      </w:pPr>
    </w:p>
    <w:p w14:paraId="6BFEBB0A">
      <w:pPr>
        <w:widowControl/>
        <w:adjustRightInd w:val="0"/>
        <w:snapToGrid w:val="0"/>
        <w:spacing w:line="360" w:lineRule="auto"/>
        <w:ind w:firstLine="420" w:firstLineChars="200"/>
        <w:jc w:val="center"/>
        <w:rPr>
          <w:rFonts w:hint="default" w:ascii="Times New Roman" w:hAnsi="Times New Roman" w:cs="Times New Roman"/>
        </w:rPr>
      </w:pPr>
    </w:p>
    <w:p w14:paraId="41E31F69">
      <w:pPr>
        <w:widowControl/>
        <w:adjustRightInd w:val="0"/>
        <w:snapToGrid w:val="0"/>
        <w:spacing w:line="360" w:lineRule="auto"/>
        <w:ind w:firstLine="420" w:firstLineChars="200"/>
        <w:jc w:val="center"/>
        <w:rPr>
          <w:rFonts w:hint="default" w:ascii="Times New Roman" w:hAnsi="Times New Roman" w:cs="Times New Roman"/>
        </w:rPr>
      </w:pPr>
    </w:p>
    <w:p w14:paraId="2A01A4F3">
      <w:pPr>
        <w:widowControl/>
        <w:adjustRightInd w:val="0"/>
        <w:snapToGrid w:val="0"/>
        <w:spacing w:line="360" w:lineRule="auto"/>
        <w:ind w:firstLine="420" w:firstLineChars="200"/>
        <w:jc w:val="center"/>
        <w:rPr>
          <w:rFonts w:hint="default" w:ascii="Times New Roman" w:hAnsi="Times New Roman" w:cs="Times New Roman"/>
        </w:rPr>
      </w:pPr>
    </w:p>
    <w:p w14:paraId="4FB22E39">
      <w:pPr>
        <w:widowControl/>
        <w:adjustRightInd w:val="0"/>
        <w:snapToGrid w:val="0"/>
        <w:spacing w:line="360" w:lineRule="auto"/>
        <w:ind w:firstLine="420" w:firstLineChars="200"/>
        <w:jc w:val="center"/>
        <w:rPr>
          <w:rFonts w:hint="default" w:ascii="Times New Roman" w:hAnsi="Times New Roman" w:cs="Times New Roman"/>
        </w:rPr>
      </w:pPr>
    </w:p>
    <w:p w14:paraId="6E254E17">
      <w:pPr>
        <w:widowControl/>
        <w:adjustRightInd w:val="0"/>
        <w:snapToGrid w:val="0"/>
        <w:spacing w:line="360" w:lineRule="auto"/>
        <w:ind w:firstLine="420" w:firstLineChars="200"/>
        <w:jc w:val="center"/>
        <w:rPr>
          <w:rFonts w:hint="default" w:ascii="Times New Roman" w:hAnsi="Times New Roman" w:eastAsia="宋体" w:cs="Times New Roman"/>
          <w:sz w:val="28"/>
          <w:szCs w:val="28"/>
        </w:rPr>
      </w:pPr>
      <w:r>
        <w:rPr>
          <w:rFonts w:hint="default" w:ascii="Times New Roman" w:hAnsi="Times New Roman" w:cs="Times New Roman"/>
        </w:rPr>
        <w:drawing>
          <wp:inline distT="0" distB="0" distL="114300" distR="114300">
            <wp:extent cx="5162550" cy="7238365"/>
            <wp:effectExtent l="0" t="0" r="0" b="635"/>
            <wp:docPr id="10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7"/>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162550" cy="7238365"/>
                    </a:xfrm>
                    <a:prstGeom prst="rect">
                      <a:avLst/>
                    </a:prstGeom>
                    <a:noFill/>
                    <a:ln>
                      <a:noFill/>
                    </a:ln>
                  </pic:spPr>
                </pic:pic>
              </a:graphicData>
            </a:graphic>
          </wp:inline>
        </w:drawing>
      </w:r>
    </w:p>
    <w:p w14:paraId="4453FC4D">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图5-6中山市绿色建筑潜力分析图</w:t>
      </w:r>
    </w:p>
    <w:p w14:paraId="0752730F">
      <w:pPr>
        <w:pStyle w:val="4"/>
        <w:rPr>
          <w:rFonts w:hint="default" w:ascii="Times New Roman" w:hAnsi="Times New Roman" w:cs="Times New Roman"/>
        </w:rPr>
      </w:pPr>
      <w:bookmarkStart w:id="136" w:name="_Toc124352530"/>
      <w:r>
        <w:rPr>
          <w:rFonts w:hint="default" w:ascii="Times New Roman" w:hAnsi="Times New Roman" w:cs="Times New Roman"/>
        </w:rPr>
        <w:t>六、发展策略和指标要求</w:t>
      </w:r>
      <w:bookmarkEnd w:id="136"/>
    </w:p>
    <w:p w14:paraId="77132191">
      <w:pPr>
        <w:pStyle w:val="5"/>
        <w:numPr>
          <w:ilvl w:val="255"/>
          <w:numId w:val="0"/>
        </w:numPr>
        <w:rPr>
          <w:rFonts w:hint="default" w:ascii="Times New Roman" w:hAnsi="Times New Roman" w:cs="Times New Roman"/>
        </w:rPr>
      </w:pPr>
      <w:bookmarkStart w:id="137" w:name="_Toc124352531"/>
      <w:r>
        <w:rPr>
          <w:rFonts w:hint="default" w:ascii="Times New Roman" w:hAnsi="Times New Roman" w:cs="Times New Roman"/>
        </w:rPr>
        <w:t>6.1 发展组团绿色建筑发展策略</w:t>
      </w:r>
      <w:bookmarkEnd w:id="137"/>
    </w:p>
    <w:p w14:paraId="3DE6B95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根据中山市各发展组团的潜力分析权重，并结合各发展组团的特点，提出各发展组团的绿色建筑发展策略。</w:t>
      </w:r>
    </w:p>
    <w:p w14:paraId="69CCC556">
      <w:pPr>
        <w:pStyle w:val="6"/>
        <w:numPr>
          <w:ilvl w:val="255"/>
          <w:numId w:val="0"/>
        </w:numPr>
        <w:ind w:firstLine="561"/>
        <w:rPr>
          <w:rFonts w:hint="default" w:ascii="Times New Roman" w:hAnsi="Times New Roman" w:cs="Times New Roman"/>
        </w:rPr>
      </w:pPr>
      <w:bookmarkStart w:id="138" w:name="_Toc124352532"/>
      <w:r>
        <w:rPr>
          <w:rFonts w:hint="default" w:ascii="Times New Roman" w:hAnsi="Times New Roman" w:cs="Times New Roman"/>
        </w:rPr>
        <w:t>6.1.1 中心城区发展组团</w:t>
      </w:r>
      <w:bookmarkEnd w:id="138"/>
    </w:p>
    <w:p w14:paraId="23CA3A05">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中心城区发展组团包括石歧街道、东区街道、西区街道、南区街道、五桂山街道和港口镇。在发展组团潜力分析中，中心城区发展组团的综合权重为0.135，排在各发展组团的第三位。</w:t>
      </w:r>
    </w:p>
    <w:p w14:paraId="0DCD1EE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组团发展规划：作为中山市的中心城区，中山城区发展组团的区域发展良好，市政配套和生活配套较为成熟，石歧街道是中山市旧城区的管理中心，因发展需求，现逐渐把行政服务中心迁移到城东区，成为中山新的</w:t>
      </w:r>
      <w:r>
        <w:rPr>
          <w:rFonts w:hint="default" w:ascii="Times New Roman" w:hAnsi="Times New Roman" w:eastAsia="宋体" w:cs="Times New Roman"/>
          <w:sz w:val="28"/>
          <w:szCs w:val="28"/>
          <w:lang w:val="en-US" w:eastAsia="zh-CN"/>
        </w:rPr>
        <w:t>中央商务区</w:t>
      </w:r>
      <w:r>
        <w:rPr>
          <w:rFonts w:hint="default" w:ascii="Times New Roman" w:hAnsi="Times New Roman" w:eastAsia="宋体" w:cs="Times New Roman"/>
          <w:sz w:val="28"/>
          <w:szCs w:val="28"/>
        </w:rPr>
        <w:t>。中心城区发展组团也是中山市的交通交汇点，配置了高铁、动车、汽车站，未来深中通道落地后，整个中心城区发展组团都会随之发展。</w:t>
      </w:r>
    </w:p>
    <w:p w14:paraId="384B8FEB">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绿色建筑发展策略：以公共服务设施发展为发展契机，以城市中央活动区为发展基础，推动中心城区发展组团绿色建筑的高质量发展。以建设星级绿色建筑为基本目标，依托岐江新城打造成为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一个有文化底蕴的、宜居生态、复合高效、活力多元的城市中心区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的发展目标，集聚金融、科创、文化、生态、医疗、教育、居住等各类高端要素，建设高星级绿色建筑示范区。</w:t>
      </w:r>
    </w:p>
    <w:p w14:paraId="26AF91F9">
      <w:pPr>
        <w:pStyle w:val="6"/>
        <w:numPr>
          <w:ilvl w:val="255"/>
          <w:numId w:val="0"/>
        </w:numPr>
        <w:ind w:firstLine="561"/>
        <w:rPr>
          <w:rFonts w:hint="default" w:ascii="Times New Roman" w:hAnsi="Times New Roman" w:cs="Times New Roman"/>
        </w:rPr>
      </w:pPr>
      <w:bookmarkStart w:id="139" w:name="_Toc124352533"/>
      <w:r>
        <w:rPr>
          <w:rFonts w:hint="default" w:ascii="Times New Roman" w:hAnsi="Times New Roman" w:cs="Times New Roman"/>
        </w:rPr>
        <w:t>6.1.2 翠亨新区发展组团</w:t>
      </w:r>
      <w:bookmarkEnd w:id="139"/>
    </w:p>
    <w:p w14:paraId="4CF5878A">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翠亨新区发展组团包括南朗街道和翠亨新区。在发展组团潜力分析中，翠亨新区发展组团的综合权重为0.404，排在各发展组团的第一位。</w:t>
      </w:r>
    </w:p>
    <w:p w14:paraId="310FDEE6">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组团发展规划：翠亨新区位于粤港澳大湾区腹地，是深中通道重要登陆点，处于南沙、前海、横琴三个国家级新区和广深港澳四大城市两个</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同心圆</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中心位置，区内汇聚深中通道、广澳高速、中开高速、广珠城轨等湾区重大交通基础设施，坐拥大湾区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1小时生活圈</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。城市功能日趋完善，</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环山抱海、七水汇聚、蓝绿交织</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的生态基底不断夯实。智慧城市、数字政府、社会治理现代化等建设全面推进。随着粤港澳大湾区建设等国家重大区域发展战略的实施，翠亨新区的中山</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东进</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战略价值和湾区几何中心区位优势进一步彰显。</w:t>
      </w:r>
    </w:p>
    <w:p w14:paraId="098DF013">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绿色建筑发展策略：依托翠亨新区重点发展</w:t>
      </w:r>
      <w:r>
        <w:rPr>
          <w:rFonts w:hint="default" w:ascii="Times New Roman" w:hAnsi="Times New Roman" w:eastAsia="宋体" w:cs="Times New Roman"/>
          <w:sz w:val="28"/>
          <w:szCs w:val="28"/>
          <w:lang w:val="en-US" w:eastAsia="zh-CN"/>
        </w:rPr>
        <w:t>的</w:t>
      </w:r>
      <w:r>
        <w:rPr>
          <w:rFonts w:hint="default" w:ascii="Times New Roman" w:hAnsi="Times New Roman" w:eastAsia="宋体" w:cs="Times New Roman"/>
          <w:sz w:val="28"/>
          <w:szCs w:val="28"/>
        </w:rPr>
        <w:t>大好机遇，坚持整体统筹、集聚带动、轴带串联，突出区位、生态、创新、文化、产业等优势，</w:t>
      </w:r>
      <w:r>
        <w:rPr>
          <w:rFonts w:hint="default" w:ascii="Times New Roman" w:hAnsi="Times New Roman" w:eastAsia="宋体" w:cs="Times New Roman"/>
          <w:sz w:val="28"/>
          <w:szCs w:val="28"/>
          <w:lang w:val="en-US" w:eastAsia="zh-CN"/>
        </w:rPr>
        <w:t>打造</w:t>
      </w:r>
      <w:r>
        <w:rPr>
          <w:rFonts w:hint="default" w:ascii="Times New Roman" w:hAnsi="Times New Roman" w:eastAsia="宋体" w:cs="Times New Roman"/>
          <w:sz w:val="28"/>
          <w:szCs w:val="28"/>
        </w:rPr>
        <w:t>疏密有度、水城共融的城市空间，推动翠亨新区全面建设高星级绿色建筑。</w:t>
      </w:r>
    </w:p>
    <w:p w14:paraId="5F1AC791">
      <w:pPr>
        <w:pStyle w:val="6"/>
        <w:numPr>
          <w:ilvl w:val="255"/>
          <w:numId w:val="0"/>
        </w:numPr>
        <w:ind w:firstLine="561"/>
        <w:rPr>
          <w:rFonts w:hint="default" w:ascii="Times New Roman" w:hAnsi="Times New Roman" w:cs="Times New Roman"/>
        </w:rPr>
      </w:pPr>
      <w:bookmarkStart w:id="140" w:name="_Toc124352534"/>
      <w:r>
        <w:rPr>
          <w:rFonts w:hint="default" w:ascii="Times New Roman" w:hAnsi="Times New Roman" w:cs="Times New Roman"/>
        </w:rPr>
        <w:t>6.1.3 火炬区发展组团</w:t>
      </w:r>
      <w:bookmarkEnd w:id="140"/>
    </w:p>
    <w:p w14:paraId="69499232">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火炬区发展组团包括民众街道和中山港街道。在发展组团潜力分析中，火炬区发展组团的综合权重为0.335，排在各发展组团的第二位。</w:t>
      </w:r>
    </w:p>
    <w:p w14:paraId="5CADF888">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组团发展规划：火炬区发展组团作为中山市向东发展和珠江东西两岸融合发展的排头兵，是中山市经济发展龙头。火炬区发展组团位于大湾区的几何中心，50公里半径范围内，环绕深圳前海、广州南沙、珠海横琴三大国家级自贸区，是</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广深港澳</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科技创新走廊高品质核心承载区。火炬区发展组团深入实施创新驱动、科教兴区、人才强区、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双区驱动</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、乡村振兴等</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五大战略</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，打造支持深中产业融合发展，宜居、宜业、宜游的绿色生态产业新城。</w:t>
      </w:r>
    </w:p>
    <w:p w14:paraId="64ED11C5">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绿色建筑发展策略：基于火炬开发区良好的产业和人气基础，发挥区域地理优势，抢抓深中通道开通时机，吸引产业，培育创新氛围，服务中山产业转型，</w:t>
      </w:r>
      <w:r>
        <w:rPr>
          <w:rFonts w:hint="default" w:ascii="Times New Roman" w:hAnsi="Times New Roman" w:eastAsia="宋体" w:cs="Times New Roman"/>
          <w:sz w:val="28"/>
          <w:szCs w:val="28"/>
          <w:lang w:val="en-US" w:eastAsia="zh-CN"/>
        </w:rPr>
        <w:t>建设</w:t>
      </w:r>
      <w:r>
        <w:rPr>
          <w:rFonts w:hint="default" w:ascii="Times New Roman" w:hAnsi="Times New Roman" w:eastAsia="宋体" w:cs="Times New Roman"/>
          <w:sz w:val="28"/>
          <w:szCs w:val="28"/>
        </w:rPr>
        <w:t>新一代国家高新区，提升绿色建筑建设水平。全面打造火炬区高星级绿色建筑示范区。</w:t>
      </w:r>
    </w:p>
    <w:p w14:paraId="1DED78CB">
      <w:pPr>
        <w:pStyle w:val="6"/>
        <w:numPr>
          <w:ilvl w:val="255"/>
          <w:numId w:val="0"/>
        </w:numPr>
        <w:ind w:firstLine="561"/>
        <w:rPr>
          <w:rFonts w:hint="default" w:ascii="Times New Roman" w:hAnsi="Times New Roman" w:cs="Times New Roman"/>
        </w:rPr>
      </w:pPr>
      <w:bookmarkStart w:id="141" w:name="_Toc124352535"/>
      <w:r>
        <w:rPr>
          <w:rFonts w:hint="default" w:ascii="Times New Roman" w:hAnsi="Times New Roman" w:cs="Times New Roman"/>
        </w:rPr>
        <w:t>6.1.4 西部发展组团</w:t>
      </w:r>
      <w:bookmarkEnd w:id="141"/>
    </w:p>
    <w:p w14:paraId="45DE2F4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西部发展组团包括小榄镇、古镇镇、横栏镇、沙溪镇和大涌镇。在发展组团潜力分析中，西部发展组团的综合权重为0.034，排在各发展组团的第五位。</w:t>
      </w:r>
    </w:p>
    <w:p w14:paraId="5D0FA70A">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组团发展规划：西部发展组团作为中山传统制造业发展区域，人口众多，但经济基础相对较弱。除小榄镇外，其它镇的发展基础较差。未来发展，西部发展组团应发挥各镇特色产业集群优势，深入挖掘与佛山、江门的产业、创新契合点，实现产业错位发展，打造湾区产业升级示范区。谋划产业布局，推动城市更新，营造湾区新门户，推动中山高质量崛起。</w:t>
      </w:r>
    </w:p>
    <w:p w14:paraId="1781A197">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绿色建筑发展策略：围绕西部产业园建设，带动其他功能片区发展，全面落实绿色发展理念，提升全区的绿色建筑发展水平。以小榄镇为</w:t>
      </w:r>
      <w:r>
        <w:rPr>
          <w:rFonts w:hint="default" w:ascii="Times New Roman" w:hAnsi="Times New Roman" w:eastAsia="宋体" w:cs="Times New Roman"/>
          <w:sz w:val="28"/>
          <w:szCs w:val="28"/>
          <w:lang w:val="en-US" w:eastAsia="zh-CN"/>
        </w:rPr>
        <w:t>建设核心</w:t>
      </w:r>
      <w:r>
        <w:rPr>
          <w:rFonts w:hint="default" w:ascii="Times New Roman" w:hAnsi="Times New Roman" w:eastAsia="宋体" w:cs="Times New Roman"/>
          <w:sz w:val="28"/>
          <w:szCs w:val="28"/>
        </w:rPr>
        <w:t>，重点建设星级绿色建筑聚集区，并在其它镇全面加强推行绿色建筑建设。</w:t>
      </w:r>
    </w:p>
    <w:p w14:paraId="35E37473">
      <w:pPr>
        <w:pStyle w:val="6"/>
        <w:numPr>
          <w:ilvl w:val="255"/>
          <w:numId w:val="0"/>
        </w:numPr>
        <w:ind w:firstLine="561"/>
        <w:rPr>
          <w:rFonts w:hint="default" w:ascii="Times New Roman" w:hAnsi="Times New Roman" w:cs="Times New Roman"/>
        </w:rPr>
      </w:pPr>
      <w:bookmarkStart w:id="142" w:name="_Toc124352536"/>
      <w:r>
        <w:rPr>
          <w:rFonts w:hint="default" w:ascii="Times New Roman" w:hAnsi="Times New Roman" w:cs="Times New Roman"/>
        </w:rPr>
        <w:t>6.1.5 南部发展组团</w:t>
      </w:r>
      <w:bookmarkEnd w:id="142"/>
    </w:p>
    <w:p w14:paraId="381272F5">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南部发展组团包括板芙镇、神湾镇、三乡镇和坦洲镇。在发展组团潜力分析中，南部发展组团的综合权重为0.029，排在各发展组团的第六位。</w:t>
      </w:r>
    </w:p>
    <w:p w14:paraId="13DD2F9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组团发展规划：南部发展组团紧邻珠海，发展区域主要以商业服务和度假旅游为主。未来发展，南部发展组团将着力打造畅通高效的立体交通体系，前瞻性做好轨道站场谋篇布局，全力配合完成香海高速、西环高速、坦洲快线等省市重点交通项目，加快打通一批市际、镇际</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瓶颈路</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。打造城市优质生活空间，加快旧城有机更新，擦亮文化旅游名片，完善提升公共服务配套，实现</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城市—人才—产业</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融合互动发展。</w:t>
      </w:r>
    </w:p>
    <w:p w14:paraId="5B393503">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绿色建筑发展策略：将绿色发展与香山新城的发展相结合，充分抓住打造珠西生态休闲旅游基地、粤港澳优质生活示范区的建设契机，提升绿色建筑的认知，以三乡镇和坦洲镇的绿色建筑建设为核心，推进南部发展组团的绿色建筑发展和品质提升。</w:t>
      </w:r>
    </w:p>
    <w:p w14:paraId="40963A1D">
      <w:pPr>
        <w:pStyle w:val="6"/>
        <w:numPr>
          <w:ilvl w:val="255"/>
          <w:numId w:val="0"/>
        </w:numPr>
        <w:ind w:firstLine="561"/>
        <w:rPr>
          <w:rFonts w:hint="default" w:ascii="Times New Roman" w:hAnsi="Times New Roman" w:cs="Times New Roman"/>
        </w:rPr>
      </w:pPr>
      <w:bookmarkStart w:id="143" w:name="_Toc124352537"/>
      <w:r>
        <w:rPr>
          <w:rFonts w:hint="default" w:ascii="Times New Roman" w:hAnsi="Times New Roman" w:cs="Times New Roman"/>
        </w:rPr>
        <w:t>6.1.6 北部发展组团</w:t>
      </w:r>
      <w:bookmarkEnd w:id="143"/>
    </w:p>
    <w:p w14:paraId="05553E1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北部发展组团包括黄圃镇、三角镇、阜沙镇、南头镇和东凤镇，在发展组团潜力分析中，北部发展组团的综合权重为0.063，排在各发展组团的第四位。</w:t>
      </w:r>
    </w:p>
    <w:p w14:paraId="65BA1DF9">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组团发展规划：北部发展组团与广州、佛山相邻，是未来中山产业发展的重要阵地之一。重点发展智能家电、芯片研发、电子信息等先进制造业以及高端医疗、科教服务等现代服务业，致力于建设广佛中融合发展先行试验区、湾区智能制造产业高地和公铁水联运枢纽为一体的产业平台，打造中山北部绿色共享新门户，中山-顺德协同创新新高地。</w:t>
      </w:r>
    </w:p>
    <w:p w14:paraId="023ADE8B">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绿色建筑发展策略： 将绿色建筑发展与中山北部产业园发展相结合，抓住重点区域、重要平台、重大项目的建设，落实绿色建筑的发展要求，以三角镇绿色建筑建设为核心，稳步推进北部发展组团绿色建筑建设。</w:t>
      </w:r>
    </w:p>
    <w:p w14:paraId="542FFD43">
      <w:pPr>
        <w:rPr>
          <w:rFonts w:hint="default" w:ascii="Times New Roman" w:hAnsi="Times New Roman" w:cs="Times New Roman"/>
        </w:rPr>
      </w:pPr>
      <w:r>
        <w:rPr>
          <w:rFonts w:hint="default" w:ascii="Times New Roman" w:hAnsi="Times New Roman" w:cs="Times New Roman"/>
        </w:rPr>
        <w:br w:type="page"/>
      </w:r>
    </w:p>
    <w:p w14:paraId="1E2C6B84">
      <w:pPr>
        <w:pStyle w:val="5"/>
        <w:numPr>
          <w:ilvl w:val="255"/>
          <w:numId w:val="0"/>
        </w:numPr>
        <w:rPr>
          <w:rFonts w:hint="default" w:ascii="Times New Roman" w:hAnsi="Times New Roman" w:cs="Times New Roman"/>
        </w:rPr>
      </w:pPr>
      <w:bookmarkStart w:id="144" w:name="_Toc124352538"/>
      <w:r>
        <w:rPr>
          <w:rFonts w:hint="default" w:ascii="Times New Roman" w:hAnsi="Times New Roman" w:cs="Times New Roman"/>
        </w:rPr>
        <w:t>6.2 目标单元指标要求</w:t>
      </w:r>
      <w:bookmarkEnd w:id="144"/>
    </w:p>
    <w:p w14:paraId="7C2EB43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根据目标单元潜力分析，将目标单元划分为基础目标单元和核心目标单元，并结合中山市绿色建筑发展专项规划的要求，选择翠亨新区、火炬开发区、岐江新城作为中山市绿色建筑的重点发展区域。</w:t>
      </w:r>
    </w:p>
    <w:p w14:paraId="5390B37E">
      <w:pPr>
        <w:pStyle w:val="6"/>
        <w:numPr>
          <w:ilvl w:val="255"/>
          <w:numId w:val="0"/>
        </w:numPr>
        <w:ind w:firstLine="561"/>
        <w:rPr>
          <w:rFonts w:hint="default" w:ascii="Times New Roman" w:hAnsi="Times New Roman" w:cs="Times New Roman"/>
        </w:rPr>
      </w:pPr>
      <w:bookmarkStart w:id="145" w:name="_Toc124352539"/>
      <w:r>
        <w:rPr>
          <w:rFonts w:hint="default" w:ascii="Times New Roman" w:hAnsi="Times New Roman" w:cs="Times New Roman"/>
        </w:rPr>
        <w:t xml:space="preserve">6.2.1 </w:t>
      </w:r>
      <w:bookmarkStart w:id="146" w:name="_Hlk110098643"/>
      <w:bookmarkStart w:id="147" w:name="_Hlk124290891"/>
      <w:r>
        <w:rPr>
          <w:rFonts w:hint="default" w:ascii="Times New Roman" w:hAnsi="Times New Roman" w:cs="Times New Roman"/>
        </w:rPr>
        <w:t>中心城区发展组团目标单元</w:t>
      </w:r>
      <w:bookmarkEnd w:id="145"/>
    </w:p>
    <w:bookmarkEnd w:id="146"/>
    <w:p w14:paraId="15D13F9D">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根据实际管控需求，同时结合4.2节中的目标单元划分情况，最终在中心城区发展组团中划分出8个目标单元，其中：重点区域2个，核心目标单元2个，基础目标单元4个。</w:t>
      </w:r>
      <w:bookmarkEnd w:id="147"/>
    </w:p>
    <w:p w14:paraId="3805C0BD">
      <w:pPr>
        <w:pStyle w:val="48"/>
        <w:widowControl/>
        <w:adjustRightInd w:val="0"/>
        <w:snapToGrid w:val="0"/>
        <w:spacing w:line="360" w:lineRule="auto"/>
        <w:rPr>
          <w:rFonts w:hint="default" w:ascii="Times New Roman" w:hAnsi="Times New Roman" w:eastAsia="宋体" w:cs="Times New Roman"/>
          <w:sz w:val="21"/>
          <w:szCs w:val="21"/>
        </w:rPr>
      </w:pPr>
      <w:bookmarkStart w:id="148" w:name="_Hlk110098671"/>
      <w:r>
        <w:rPr>
          <w:rFonts w:hint="default" w:ascii="Times New Roman" w:hAnsi="Times New Roman" w:eastAsia="宋体" w:cs="Times New Roman"/>
          <w:sz w:val="21"/>
          <w:szCs w:val="21"/>
        </w:rPr>
        <w:t>表6-1 中心城区发展组团目标单元汇总表</w:t>
      </w:r>
    </w:p>
    <w:tbl>
      <w:tblPr>
        <w:tblStyle w:val="25"/>
        <w:tblW w:w="492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29"/>
        <w:gridCol w:w="3633"/>
        <w:gridCol w:w="1628"/>
        <w:gridCol w:w="1861"/>
      </w:tblGrid>
      <w:tr w14:paraId="495A7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5" w:hRule="atLeast"/>
          <w:jc w:val="center"/>
        </w:trPr>
        <w:tc>
          <w:tcPr>
            <w:tcW w:w="1329" w:type="dxa"/>
            <w:shd w:val="clear" w:color="auto" w:fill="auto"/>
            <w:tcMar>
              <w:top w:w="15" w:type="dxa"/>
              <w:left w:w="134" w:type="dxa"/>
              <w:bottom w:w="0" w:type="dxa"/>
              <w:right w:w="134" w:type="dxa"/>
            </w:tcMar>
            <w:vAlign w:val="center"/>
          </w:tcPr>
          <w:p w14:paraId="7E6CB863">
            <w:pPr>
              <w:widowControl/>
              <w:jc w:val="center"/>
              <w:textAlignment w:val="center"/>
              <w:rPr>
                <w:rFonts w:hint="default" w:ascii="Times New Roman" w:hAnsi="Times New Roman" w:eastAsia="宋体" w:cs="Times New Roman"/>
                <w:b w:val="0"/>
                <w:bCs w:val="0"/>
                <w:color w:val="000000"/>
                <w:kern w:val="0"/>
                <w:sz w:val="21"/>
                <w:szCs w:val="21"/>
              </w:rPr>
            </w:pPr>
            <w:bookmarkStart w:id="149" w:name="_Hlk102582344"/>
            <w:r>
              <w:rPr>
                <w:rFonts w:hint="default" w:ascii="Times New Roman" w:hAnsi="Times New Roman" w:eastAsia="宋体" w:cs="Times New Roman"/>
                <w:b w:val="0"/>
                <w:bCs w:val="0"/>
                <w:color w:val="000000"/>
                <w:kern w:val="0"/>
                <w:sz w:val="21"/>
                <w:szCs w:val="21"/>
              </w:rPr>
              <w:t>目标单元类别</w:t>
            </w:r>
          </w:p>
        </w:tc>
        <w:tc>
          <w:tcPr>
            <w:tcW w:w="3633" w:type="dxa"/>
            <w:vAlign w:val="center"/>
          </w:tcPr>
          <w:p w14:paraId="0A749CA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1628" w:type="dxa"/>
            <w:shd w:val="clear" w:color="auto" w:fill="auto"/>
            <w:tcMar>
              <w:top w:w="15" w:type="dxa"/>
              <w:left w:w="134" w:type="dxa"/>
              <w:bottom w:w="0" w:type="dxa"/>
              <w:right w:w="134" w:type="dxa"/>
            </w:tcMar>
            <w:vAlign w:val="center"/>
          </w:tcPr>
          <w:p w14:paraId="0C0B060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目标单元编号</w:t>
            </w:r>
          </w:p>
        </w:tc>
        <w:tc>
          <w:tcPr>
            <w:tcW w:w="1861" w:type="dxa"/>
            <w:shd w:val="clear" w:color="auto" w:fill="auto"/>
            <w:tcMar>
              <w:top w:w="15" w:type="dxa"/>
              <w:left w:w="134" w:type="dxa"/>
              <w:bottom w:w="0" w:type="dxa"/>
              <w:right w:w="134" w:type="dxa"/>
            </w:tcMar>
            <w:vAlign w:val="center"/>
          </w:tcPr>
          <w:p w14:paraId="71921539">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目标单元数量</w:t>
            </w:r>
          </w:p>
        </w:tc>
      </w:tr>
      <w:tr w14:paraId="23FAD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0" w:hRule="atLeast"/>
          <w:jc w:val="center"/>
        </w:trPr>
        <w:tc>
          <w:tcPr>
            <w:tcW w:w="1329" w:type="dxa"/>
            <w:vMerge w:val="restart"/>
            <w:shd w:val="clear" w:color="auto" w:fill="auto"/>
            <w:tcMar>
              <w:top w:w="15" w:type="dxa"/>
              <w:left w:w="134" w:type="dxa"/>
              <w:bottom w:w="0" w:type="dxa"/>
              <w:right w:w="134" w:type="dxa"/>
            </w:tcMar>
            <w:vAlign w:val="center"/>
          </w:tcPr>
          <w:p w14:paraId="04F5804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重点区域</w:t>
            </w:r>
          </w:p>
        </w:tc>
        <w:tc>
          <w:tcPr>
            <w:tcW w:w="3633" w:type="dxa"/>
            <w:vAlign w:val="center"/>
          </w:tcPr>
          <w:p w14:paraId="1BFBF12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港口镇岐江新城区域</w:t>
            </w:r>
          </w:p>
        </w:tc>
        <w:tc>
          <w:tcPr>
            <w:tcW w:w="1628" w:type="dxa"/>
            <w:shd w:val="clear" w:color="auto" w:fill="auto"/>
            <w:tcMar>
              <w:top w:w="15" w:type="dxa"/>
              <w:left w:w="134" w:type="dxa"/>
              <w:bottom w:w="0" w:type="dxa"/>
              <w:right w:w="134" w:type="dxa"/>
            </w:tcMar>
            <w:vAlign w:val="center"/>
          </w:tcPr>
          <w:p w14:paraId="3F7C873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ZXCQ-GK-B</w:t>
            </w:r>
          </w:p>
        </w:tc>
        <w:tc>
          <w:tcPr>
            <w:tcW w:w="1861" w:type="dxa"/>
            <w:vMerge w:val="restart"/>
            <w:shd w:val="clear" w:color="auto" w:fill="auto"/>
            <w:tcMar>
              <w:top w:w="15" w:type="dxa"/>
              <w:left w:w="134" w:type="dxa"/>
              <w:bottom w:w="0" w:type="dxa"/>
              <w:right w:w="134" w:type="dxa"/>
            </w:tcMar>
            <w:vAlign w:val="center"/>
          </w:tcPr>
          <w:p w14:paraId="26CB006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r>
      <w:tr w14:paraId="0F0FF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0" w:hRule="atLeast"/>
          <w:jc w:val="center"/>
        </w:trPr>
        <w:tc>
          <w:tcPr>
            <w:tcW w:w="1329" w:type="dxa"/>
            <w:vMerge w:val="continue"/>
            <w:shd w:val="clear" w:color="auto" w:fill="auto"/>
            <w:tcMar>
              <w:top w:w="15" w:type="dxa"/>
              <w:left w:w="134" w:type="dxa"/>
              <w:bottom w:w="0" w:type="dxa"/>
              <w:right w:w="134" w:type="dxa"/>
            </w:tcMar>
            <w:vAlign w:val="center"/>
          </w:tcPr>
          <w:p w14:paraId="705CCC00">
            <w:pPr>
              <w:widowControl/>
              <w:jc w:val="center"/>
              <w:textAlignment w:val="center"/>
              <w:rPr>
                <w:rFonts w:hint="default" w:ascii="Times New Roman" w:hAnsi="Times New Roman" w:eastAsia="宋体" w:cs="Times New Roman"/>
                <w:b w:val="0"/>
                <w:bCs w:val="0"/>
                <w:color w:val="000000"/>
                <w:kern w:val="0"/>
                <w:sz w:val="21"/>
                <w:szCs w:val="21"/>
              </w:rPr>
            </w:pPr>
          </w:p>
        </w:tc>
        <w:tc>
          <w:tcPr>
            <w:tcW w:w="3633" w:type="dxa"/>
            <w:vAlign w:val="center"/>
          </w:tcPr>
          <w:p w14:paraId="1BE6232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石岐街道岐江新城区域</w:t>
            </w:r>
          </w:p>
        </w:tc>
        <w:tc>
          <w:tcPr>
            <w:tcW w:w="1628" w:type="dxa"/>
            <w:shd w:val="clear" w:color="auto" w:fill="auto"/>
            <w:tcMar>
              <w:top w:w="15" w:type="dxa"/>
              <w:left w:w="134" w:type="dxa"/>
              <w:bottom w:w="0" w:type="dxa"/>
              <w:right w:w="134" w:type="dxa"/>
            </w:tcMar>
            <w:vAlign w:val="center"/>
          </w:tcPr>
          <w:p w14:paraId="629F781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ZXCQ-SQ-A</w:t>
            </w:r>
          </w:p>
        </w:tc>
        <w:tc>
          <w:tcPr>
            <w:tcW w:w="1861" w:type="dxa"/>
            <w:vMerge w:val="continue"/>
            <w:shd w:val="clear" w:color="auto" w:fill="auto"/>
            <w:tcMar>
              <w:top w:w="15" w:type="dxa"/>
              <w:left w:w="134" w:type="dxa"/>
              <w:bottom w:w="0" w:type="dxa"/>
              <w:right w:w="134" w:type="dxa"/>
            </w:tcMar>
            <w:vAlign w:val="center"/>
          </w:tcPr>
          <w:p w14:paraId="0EE600BC">
            <w:pPr>
              <w:widowControl/>
              <w:jc w:val="center"/>
              <w:textAlignment w:val="center"/>
              <w:rPr>
                <w:rFonts w:hint="default" w:ascii="Times New Roman" w:hAnsi="Times New Roman" w:eastAsia="宋体" w:cs="Times New Roman"/>
                <w:b w:val="0"/>
                <w:bCs w:val="0"/>
                <w:color w:val="000000"/>
                <w:kern w:val="0"/>
                <w:sz w:val="21"/>
                <w:szCs w:val="21"/>
              </w:rPr>
            </w:pPr>
          </w:p>
        </w:tc>
      </w:tr>
      <w:tr w14:paraId="6594A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329" w:type="dxa"/>
            <w:vMerge w:val="restart"/>
            <w:shd w:val="clear" w:color="auto" w:fill="auto"/>
            <w:tcMar>
              <w:top w:w="15" w:type="dxa"/>
              <w:left w:w="134" w:type="dxa"/>
              <w:bottom w:w="0" w:type="dxa"/>
              <w:right w:w="134" w:type="dxa"/>
            </w:tcMar>
            <w:vAlign w:val="center"/>
          </w:tcPr>
          <w:p w14:paraId="162B7E8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核心目标单元</w:t>
            </w:r>
          </w:p>
        </w:tc>
        <w:tc>
          <w:tcPr>
            <w:tcW w:w="3633" w:type="dxa"/>
            <w:vAlign w:val="center"/>
          </w:tcPr>
          <w:p w14:paraId="15FBA8C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石岐街道非岐江新城区域</w:t>
            </w:r>
          </w:p>
        </w:tc>
        <w:tc>
          <w:tcPr>
            <w:tcW w:w="1628" w:type="dxa"/>
            <w:shd w:val="clear" w:color="auto" w:fill="auto"/>
            <w:tcMar>
              <w:top w:w="15" w:type="dxa"/>
              <w:left w:w="134" w:type="dxa"/>
              <w:bottom w:w="0" w:type="dxa"/>
              <w:right w:w="134" w:type="dxa"/>
            </w:tcMar>
            <w:vAlign w:val="center"/>
          </w:tcPr>
          <w:p w14:paraId="02A7485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ZXCQ-SQ-B</w:t>
            </w:r>
          </w:p>
        </w:tc>
        <w:tc>
          <w:tcPr>
            <w:tcW w:w="1861" w:type="dxa"/>
            <w:vMerge w:val="restart"/>
            <w:shd w:val="clear" w:color="auto" w:fill="auto"/>
            <w:tcMar>
              <w:top w:w="15" w:type="dxa"/>
              <w:left w:w="134" w:type="dxa"/>
              <w:bottom w:w="0" w:type="dxa"/>
              <w:right w:w="134" w:type="dxa"/>
            </w:tcMar>
            <w:vAlign w:val="center"/>
          </w:tcPr>
          <w:p w14:paraId="4D27510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r>
      <w:tr w14:paraId="7B997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329" w:type="dxa"/>
            <w:vMerge w:val="continue"/>
            <w:shd w:val="clear" w:color="auto" w:fill="auto"/>
            <w:tcMar>
              <w:top w:w="15" w:type="dxa"/>
              <w:left w:w="134" w:type="dxa"/>
              <w:bottom w:w="0" w:type="dxa"/>
              <w:right w:w="134" w:type="dxa"/>
            </w:tcMar>
            <w:vAlign w:val="center"/>
          </w:tcPr>
          <w:p w14:paraId="5FC8DF20">
            <w:pPr>
              <w:widowControl/>
              <w:jc w:val="center"/>
              <w:textAlignment w:val="center"/>
              <w:rPr>
                <w:rFonts w:hint="default" w:ascii="Times New Roman" w:hAnsi="Times New Roman" w:eastAsia="宋体" w:cs="Times New Roman"/>
                <w:b w:val="0"/>
                <w:bCs w:val="0"/>
                <w:color w:val="000000"/>
                <w:kern w:val="0"/>
                <w:sz w:val="21"/>
                <w:szCs w:val="21"/>
              </w:rPr>
            </w:pPr>
          </w:p>
        </w:tc>
        <w:tc>
          <w:tcPr>
            <w:tcW w:w="3633" w:type="dxa"/>
            <w:vAlign w:val="center"/>
          </w:tcPr>
          <w:p w14:paraId="44D82CD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东区街道</w:t>
            </w:r>
          </w:p>
        </w:tc>
        <w:tc>
          <w:tcPr>
            <w:tcW w:w="1628" w:type="dxa"/>
            <w:shd w:val="clear" w:color="auto" w:fill="auto"/>
            <w:tcMar>
              <w:top w:w="15" w:type="dxa"/>
              <w:left w:w="134" w:type="dxa"/>
              <w:bottom w:w="0" w:type="dxa"/>
              <w:right w:w="134" w:type="dxa"/>
            </w:tcMar>
            <w:vAlign w:val="center"/>
          </w:tcPr>
          <w:p w14:paraId="13D2114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ZXCQ-DQ</w:t>
            </w:r>
          </w:p>
        </w:tc>
        <w:tc>
          <w:tcPr>
            <w:tcW w:w="1861" w:type="dxa"/>
            <w:vMerge w:val="continue"/>
            <w:shd w:val="clear" w:color="auto" w:fill="auto"/>
            <w:tcMar>
              <w:top w:w="15" w:type="dxa"/>
              <w:left w:w="134" w:type="dxa"/>
              <w:bottom w:w="0" w:type="dxa"/>
              <w:right w:w="134" w:type="dxa"/>
            </w:tcMar>
            <w:vAlign w:val="center"/>
          </w:tcPr>
          <w:p w14:paraId="25A547F9">
            <w:pPr>
              <w:widowControl/>
              <w:jc w:val="center"/>
              <w:textAlignment w:val="center"/>
              <w:rPr>
                <w:rFonts w:hint="default" w:ascii="Times New Roman" w:hAnsi="Times New Roman" w:eastAsia="宋体" w:cs="Times New Roman"/>
                <w:b w:val="0"/>
                <w:bCs w:val="0"/>
                <w:color w:val="000000"/>
                <w:kern w:val="0"/>
                <w:sz w:val="21"/>
                <w:szCs w:val="21"/>
              </w:rPr>
            </w:pPr>
          </w:p>
        </w:tc>
      </w:tr>
      <w:tr w14:paraId="501CC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329" w:type="dxa"/>
            <w:vMerge w:val="restart"/>
            <w:shd w:val="clear" w:color="auto" w:fill="auto"/>
            <w:tcMar>
              <w:top w:w="15" w:type="dxa"/>
              <w:left w:w="134" w:type="dxa"/>
              <w:bottom w:w="0" w:type="dxa"/>
              <w:right w:w="134" w:type="dxa"/>
            </w:tcMar>
            <w:vAlign w:val="center"/>
          </w:tcPr>
          <w:p w14:paraId="7079A31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基础目标单元</w:t>
            </w:r>
          </w:p>
        </w:tc>
        <w:tc>
          <w:tcPr>
            <w:tcW w:w="3633" w:type="dxa"/>
            <w:vAlign w:val="center"/>
          </w:tcPr>
          <w:p w14:paraId="4827EA2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五桂山街道</w:t>
            </w:r>
          </w:p>
        </w:tc>
        <w:tc>
          <w:tcPr>
            <w:tcW w:w="1628" w:type="dxa"/>
            <w:shd w:val="clear" w:color="auto" w:fill="auto"/>
            <w:tcMar>
              <w:top w:w="15" w:type="dxa"/>
              <w:left w:w="134" w:type="dxa"/>
              <w:bottom w:w="0" w:type="dxa"/>
              <w:right w:w="134" w:type="dxa"/>
            </w:tcMar>
            <w:vAlign w:val="center"/>
          </w:tcPr>
          <w:p w14:paraId="4AF3153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ZXCQ-WGS</w:t>
            </w:r>
          </w:p>
        </w:tc>
        <w:tc>
          <w:tcPr>
            <w:tcW w:w="1861" w:type="dxa"/>
            <w:vMerge w:val="restart"/>
            <w:shd w:val="clear" w:color="auto" w:fill="auto"/>
            <w:tcMar>
              <w:top w:w="15" w:type="dxa"/>
              <w:left w:w="134" w:type="dxa"/>
              <w:bottom w:w="0" w:type="dxa"/>
              <w:right w:w="134" w:type="dxa"/>
            </w:tcMar>
            <w:vAlign w:val="center"/>
          </w:tcPr>
          <w:p w14:paraId="10CD1DF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4</w:t>
            </w:r>
          </w:p>
        </w:tc>
      </w:tr>
      <w:tr w14:paraId="50F3E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329" w:type="dxa"/>
            <w:vMerge w:val="continue"/>
            <w:shd w:val="clear" w:color="auto" w:fill="auto"/>
            <w:tcMar>
              <w:top w:w="15" w:type="dxa"/>
              <w:left w:w="134" w:type="dxa"/>
              <w:bottom w:w="0" w:type="dxa"/>
              <w:right w:w="134" w:type="dxa"/>
            </w:tcMar>
            <w:vAlign w:val="center"/>
          </w:tcPr>
          <w:p w14:paraId="04C80B46">
            <w:pPr>
              <w:widowControl/>
              <w:jc w:val="center"/>
              <w:textAlignment w:val="center"/>
              <w:rPr>
                <w:rFonts w:hint="default" w:ascii="Times New Roman" w:hAnsi="Times New Roman" w:eastAsia="宋体" w:cs="Times New Roman"/>
                <w:b w:val="0"/>
                <w:bCs w:val="0"/>
                <w:color w:val="000000"/>
                <w:kern w:val="0"/>
                <w:sz w:val="21"/>
                <w:szCs w:val="21"/>
              </w:rPr>
            </w:pPr>
          </w:p>
        </w:tc>
        <w:tc>
          <w:tcPr>
            <w:tcW w:w="3633" w:type="dxa"/>
            <w:vAlign w:val="center"/>
          </w:tcPr>
          <w:p w14:paraId="692B80D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南区街道</w:t>
            </w:r>
          </w:p>
        </w:tc>
        <w:tc>
          <w:tcPr>
            <w:tcW w:w="1628" w:type="dxa"/>
            <w:shd w:val="clear" w:color="auto" w:fill="auto"/>
            <w:tcMar>
              <w:top w:w="15" w:type="dxa"/>
              <w:left w:w="134" w:type="dxa"/>
              <w:bottom w:w="0" w:type="dxa"/>
              <w:right w:w="134" w:type="dxa"/>
            </w:tcMar>
            <w:vAlign w:val="center"/>
          </w:tcPr>
          <w:p w14:paraId="13CC941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ZXCQ-NQ</w:t>
            </w:r>
          </w:p>
        </w:tc>
        <w:tc>
          <w:tcPr>
            <w:tcW w:w="1861" w:type="dxa"/>
            <w:vMerge w:val="continue"/>
            <w:shd w:val="clear" w:color="auto" w:fill="auto"/>
            <w:tcMar>
              <w:top w:w="15" w:type="dxa"/>
              <w:left w:w="134" w:type="dxa"/>
              <w:bottom w:w="0" w:type="dxa"/>
              <w:right w:w="134" w:type="dxa"/>
            </w:tcMar>
            <w:vAlign w:val="center"/>
          </w:tcPr>
          <w:p w14:paraId="5A0B6563">
            <w:pPr>
              <w:widowControl/>
              <w:jc w:val="center"/>
              <w:textAlignment w:val="center"/>
              <w:rPr>
                <w:rFonts w:hint="default" w:ascii="Times New Roman" w:hAnsi="Times New Roman" w:eastAsia="宋体" w:cs="Times New Roman"/>
                <w:b w:val="0"/>
                <w:bCs w:val="0"/>
                <w:color w:val="000000"/>
                <w:kern w:val="0"/>
                <w:sz w:val="21"/>
                <w:szCs w:val="21"/>
              </w:rPr>
            </w:pPr>
          </w:p>
        </w:tc>
      </w:tr>
      <w:tr w14:paraId="531EC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329" w:type="dxa"/>
            <w:vMerge w:val="continue"/>
            <w:shd w:val="clear" w:color="auto" w:fill="auto"/>
            <w:tcMar>
              <w:top w:w="15" w:type="dxa"/>
              <w:left w:w="134" w:type="dxa"/>
              <w:bottom w:w="0" w:type="dxa"/>
              <w:right w:w="134" w:type="dxa"/>
            </w:tcMar>
            <w:vAlign w:val="center"/>
          </w:tcPr>
          <w:p w14:paraId="20618892">
            <w:pPr>
              <w:widowControl/>
              <w:jc w:val="center"/>
              <w:textAlignment w:val="center"/>
              <w:rPr>
                <w:rFonts w:hint="default" w:ascii="Times New Roman" w:hAnsi="Times New Roman" w:eastAsia="宋体" w:cs="Times New Roman"/>
                <w:b w:val="0"/>
                <w:bCs w:val="0"/>
                <w:color w:val="000000"/>
                <w:kern w:val="0"/>
                <w:sz w:val="21"/>
                <w:szCs w:val="21"/>
              </w:rPr>
            </w:pPr>
          </w:p>
        </w:tc>
        <w:tc>
          <w:tcPr>
            <w:tcW w:w="3633" w:type="dxa"/>
            <w:vAlign w:val="center"/>
          </w:tcPr>
          <w:p w14:paraId="79A372A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西区街道</w:t>
            </w:r>
          </w:p>
        </w:tc>
        <w:tc>
          <w:tcPr>
            <w:tcW w:w="1628" w:type="dxa"/>
            <w:shd w:val="clear" w:color="auto" w:fill="auto"/>
            <w:tcMar>
              <w:top w:w="15" w:type="dxa"/>
              <w:left w:w="134" w:type="dxa"/>
              <w:bottom w:w="0" w:type="dxa"/>
              <w:right w:w="134" w:type="dxa"/>
            </w:tcMar>
            <w:vAlign w:val="center"/>
          </w:tcPr>
          <w:p w14:paraId="747A43B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ZXCQ-XQ</w:t>
            </w:r>
          </w:p>
        </w:tc>
        <w:tc>
          <w:tcPr>
            <w:tcW w:w="1861" w:type="dxa"/>
            <w:vMerge w:val="continue"/>
            <w:shd w:val="clear" w:color="auto" w:fill="auto"/>
            <w:tcMar>
              <w:top w:w="15" w:type="dxa"/>
              <w:left w:w="134" w:type="dxa"/>
              <w:bottom w:w="0" w:type="dxa"/>
              <w:right w:w="134" w:type="dxa"/>
            </w:tcMar>
            <w:vAlign w:val="center"/>
          </w:tcPr>
          <w:p w14:paraId="1C69272A">
            <w:pPr>
              <w:widowControl/>
              <w:jc w:val="center"/>
              <w:textAlignment w:val="center"/>
              <w:rPr>
                <w:rFonts w:hint="default" w:ascii="Times New Roman" w:hAnsi="Times New Roman" w:eastAsia="宋体" w:cs="Times New Roman"/>
                <w:b w:val="0"/>
                <w:bCs w:val="0"/>
                <w:color w:val="000000"/>
                <w:kern w:val="0"/>
                <w:sz w:val="21"/>
                <w:szCs w:val="21"/>
              </w:rPr>
            </w:pPr>
          </w:p>
        </w:tc>
      </w:tr>
      <w:tr w14:paraId="492F9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329" w:type="dxa"/>
            <w:vMerge w:val="continue"/>
            <w:shd w:val="clear" w:color="auto" w:fill="auto"/>
            <w:tcMar>
              <w:top w:w="15" w:type="dxa"/>
              <w:left w:w="134" w:type="dxa"/>
              <w:bottom w:w="0" w:type="dxa"/>
              <w:right w:w="134" w:type="dxa"/>
            </w:tcMar>
            <w:vAlign w:val="center"/>
          </w:tcPr>
          <w:p w14:paraId="26AF2688">
            <w:pPr>
              <w:widowControl/>
              <w:jc w:val="center"/>
              <w:textAlignment w:val="center"/>
              <w:rPr>
                <w:rFonts w:hint="default" w:ascii="Times New Roman" w:hAnsi="Times New Roman" w:eastAsia="宋体" w:cs="Times New Roman"/>
                <w:b w:val="0"/>
                <w:bCs w:val="0"/>
                <w:color w:val="000000"/>
                <w:kern w:val="0"/>
                <w:sz w:val="21"/>
                <w:szCs w:val="21"/>
              </w:rPr>
            </w:pPr>
          </w:p>
        </w:tc>
        <w:tc>
          <w:tcPr>
            <w:tcW w:w="3633" w:type="dxa"/>
            <w:vAlign w:val="center"/>
          </w:tcPr>
          <w:p w14:paraId="51BB28C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港口镇非岐江新城区域</w:t>
            </w:r>
          </w:p>
        </w:tc>
        <w:tc>
          <w:tcPr>
            <w:tcW w:w="1628" w:type="dxa"/>
            <w:shd w:val="clear" w:color="auto" w:fill="auto"/>
            <w:tcMar>
              <w:top w:w="15" w:type="dxa"/>
              <w:left w:w="134" w:type="dxa"/>
              <w:bottom w:w="0" w:type="dxa"/>
              <w:right w:w="134" w:type="dxa"/>
            </w:tcMar>
            <w:vAlign w:val="center"/>
          </w:tcPr>
          <w:p w14:paraId="317224B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ZXCQ-GK-A</w:t>
            </w:r>
          </w:p>
        </w:tc>
        <w:tc>
          <w:tcPr>
            <w:tcW w:w="1861" w:type="dxa"/>
            <w:vMerge w:val="continue"/>
            <w:shd w:val="clear" w:color="auto" w:fill="auto"/>
            <w:tcMar>
              <w:top w:w="15" w:type="dxa"/>
              <w:left w:w="134" w:type="dxa"/>
              <w:bottom w:w="0" w:type="dxa"/>
              <w:right w:w="134" w:type="dxa"/>
            </w:tcMar>
            <w:vAlign w:val="center"/>
          </w:tcPr>
          <w:p w14:paraId="277B6506">
            <w:pPr>
              <w:widowControl/>
              <w:jc w:val="center"/>
              <w:textAlignment w:val="center"/>
              <w:rPr>
                <w:rFonts w:hint="default" w:ascii="Times New Roman" w:hAnsi="Times New Roman" w:eastAsia="宋体" w:cs="Times New Roman"/>
                <w:b w:val="0"/>
                <w:bCs w:val="0"/>
                <w:color w:val="000000"/>
                <w:kern w:val="0"/>
                <w:sz w:val="21"/>
                <w:szCs w:val="21"/>
              </w:rPr>
            </w:pPr>
          </w:p>
        </w:tc>
      </w:tr>
      <w:bookmarkEnd w:id="149"/>
    </w:tbl>
    <w:p w14:paraId="5C9844E0">
      <w:pPr>
        <w:pStyle w:val="48"/>
        <w:rPr>
          <w:rFonts w:hint="default" w:ascii="Times New Roman" w:hAnsi="Times New Roman" w:cs="Times New Roman"/>
          <w:b w:val="0"/>
          <w:kern w:val="0"/>
          <w:sz w:val="21"/>
          <w:szCs w:val="21"/>
        </w:rPr>
      </w:pPr>
    </w:p>
    <w:p w14:paraId="3C031E03">
      <w:pPr>
        <w:pStyle w:val="48"/>
        <w:rPr>
          <w:rFonts w:hint="default" w:ascii="Times New Roman" w:hAnsi="Times New Roman" w:cs="Times New Roman"/>
          <w:b w:val="0"/>
          <w:kern w:val="0"/>
          <w:sz w:val="21"/>
          <w:szCs w:val="21"/>
        </w:rPr>
      </w:pPr>
      <w:r>
        <w:rPr>
          <w:rFonts w:hint="default" w:ascii="Times New Roman" w:hAnsi="Times New Roman" w:cs="Times New Roman"/>
        </w:rPr>
        <w:drawing>
          <wp:inline distT="0" distB="0" distL="0" distR="0">
            <wp:extent cx="5558790" cy="4919980"/>
            <wp:effectExtent l="0" t="0" r="3810" b="1397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53">
                      <a:extLst>
                        <a:ext uri="{28A0092B-C50C-407E-A947-70E740481C1C}">
                          <a14:useLocalDpi xmlns:a14="http://schemas.microsoft.com/office/drawing/2010/main" val="0"/>
                        </a:ext>
                      </a:extLst>
                    </a:blip>
                    <a:srcRect r="4629"/>
                    <a:stretch>
                      <a:fillRect/>
                    </a:stretch>
                  </pic:blipFill>
                  <pic:spPr>
                    <a:xfrm>
                      <a:off x="0" y="0"/>
                      <a:ext cx="5558790" cy="4919980"/>
                    </a:xfrm>
                    <a:prstGeom prst="rect">
                      <a:avLst/>
                    </a:prstGeom>
                  </pic:spPr>
                </pic:pic>
              </a:graphicData>
            </a:graphic>
          </wp:inline>
        </w:drawing>
      </w:r>
    </w:p>
    <w:p w14:paraId="4BE20104">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图6-1 中心城区发展组团目标单元管控图</w:t>
      </w:r>
    </w:p>
    <w:bookmarkEnd w:id="148"/>
    <w:p w14:paraId="54BF6FE4">
      <w:pPr>
        <w:rPr>
          <w:rFonts w:hint="default" w:ascii="Times New Roman" w:hAnsi="Times New Roman" w:cs="Times New Roman"/>
        </w:rPr>
      </w:pPr>
      <w:r>
        <w:rPr>
          <w:rFonts w:hint="default" w:ascii="Times New Roman" w:hAnsi="Times New Roman" w:cs="Times New Roman"/>
        </w:rPr>
        <w:br w:type="page"/>
      </w:r>
    </w:p>
    <w:p w14:paraId="15B2B6A5">
      <w:pPr>
        <w:pStyle w:val="6"/>
        <w:numPr>
          <w:ilvl w:val="255"/>
          <w:numId w:val="0"/>
        </w:numPr>
        <w:ind w:firstLine="561"/>
        <w:rPr>
          <w:rFonts w:hint="default" w:ascii="Times New Roman" w:hAnsi="Times New Roman" w:cs="Times New Roman"/>
        </w:rPr>
      </w:pPr>
      <w:bookmarkStart w:id="150" w:name="_Toc124352540"/>
      <w:r>
        <w:rPr>
          <w:rFonts w:hint="default" w:ascii="Times New Roman" w:hAnsi="Times New Roman" w:cs="Times New Roman"/>
        </w:rPr>
        <w:t xml:space="preserve">6.2.2 </w:t>
      </w:r>
      <w:bookmarkStart w:id="151" w:name="_Hlk110098736"/>
      <w:r>
        <w:rPr>
          <w:rFonts w:hint="default" w:ascii="Times New Roman" w:hAnsi="Times New Roman" w:cs="Times New Roman"/>
        </w:rPr>
        <w:t>翠亨新区发展组团目标单元</w:t>
      </w:r>
      <w:bookmarkEnd w:id="150"/>
    </w:p>
    <w:p w14:paraId="76590600">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根据实际管控需求，同时结合4.2节中的目标单元划分情况，最终</w:t>
      </w:r>
      <w:bookmarkStart w:id="152" w:name="_Hlk124291250"/>
      <w:r>
        <w:rPr>
          <w:rFonts w:hint="default" w:ascii="Times New Roman" w:hAnsi="Times New Roman" w:eastAsia="宋体" w:cs="Times New Roman"/>
          <w:sz w:val="28"/>
          <w:szCs w:val="28"/>
        </w:rPr>
        <w:t>在翠亨新区发展组团中划分出2个目标单元，其中：重点区域2个，核心目标单元0个，基础目标单元0个。</w:t>
      </w:r>
      <w:bookmarkEnd w:id="152"/>
    </w:p>
    <w:p w14:paraId="27B9395F">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表6-2 翠亨新区发展组团目标单元汇总表</w:t>
      </w:r>
    </w:p>
    <w:tbl>
      <w:tblPr>
        <w:tblStyle w:val="25"/>
        <w:tblW w:w="495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145"/>
        <w:gridCol w:w="2144"/>
        <w:gridCol w:w="2144"/>
        <w:gridCol w:w="2057"/>
      </w:tblGrid>
      <w:tr w14:paraId="6C1E0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5" w:hRule="atLeast"/>
          <w:jc w:val="center"/>
        </w:trPr>
        <w:tc>
          <w:tcPr>
            <w:tcW w:w="2145" w:type="dxa"/>
            <w:shd w:val="clear" w:color="auto" w:fill="auto"/>
            <w:tcMar>
              <w:top w:w="15" w:type="dxa"/>
              <w:left w:w="134" w:type="dxa"/>
              <w:bottom w:w="0" w:type="dxa"/>
              <w:right w:w="134" w:type="dxa"/>
            </w:tcMar>
            <w:vAlign w:val="center"/>
          </w:tcPr>
          <w:p w14:paraId="1B20589A">
            <w:pPr>
              <w:widowControl/>
              <w:jc w:val="center"/>
              <w:textAlignment w:val="center"/>
              <w:rPr>
                <w:rFonts w:hint="default" w:ascii="Times New Roman" w:hAnsi="Times New Roman" w:eastAsia="宋体" w:cs="Times New Roman"/>
                <w:b w:val="0"/>
                <w:bCs w:val="0"/>
                <w:color w:val="000000"/>
                <w:kern w:val="0"/>
                <w:sz w:val="21"/>
                <w:szCs w:val="21"/>
              </w:rPr>
            </w:pPr>
            <w:bookmarkStart w:id="153" w:name="_Hlk124291282"/>
            <w:r>
              <w:rPr>
                <w:rFonts w:hint="default" w:ascii="Times New Roman" w:hAnsi="Times New Roman" w:eastAsia="宋体" w:cs="Times New Roman"/>
                <w:b w:val="0"/>
                <w:bCs w:val="0"/>
                <w:color w:val="000000"/>
                <w:kern w:val="0"/>
                <w:sz w:val="21"/>
                <w:szCs w:val="21"/>
              </w:rPr>
              <w:t>目标单元类别</w:t>
            </w:r>
          </w:p>
        </w:tc>
        <w:tc>
          <w:tcPr>
            <w:tcW w:w="2144" w:type="dxa"/>
            <w:vAlign w:val="center"/>
          </w:tcPr>
          <w:p w14:paraId="60137C8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144" w:type="dxa"/>
            <w:shd w:val="clear" w:color="auto" w:fill="auto"/>
            <w:tcMar>
              <w:top w:w="15" w:type="dxa"/>
              <w:left w:w="134" w:type="dxa"/>
              <w:bottom w:w="0" w:type="dxa"/>
              <w:right w:w="134" w:type="dxa"/>
            </w:tcMar>
            <w:vAlign w:val="center"/>
          </w:tcPr>
          <w:p w14:paraId="6A35E98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目标单元编号</w:t>
            </w:r>
          </w:p>
        </w:tc>
        <w:tc>
          <w:tcPr>
            <w:tcW w:w="2057" w:type="dxa"/>
            <w:shd w:val="clear" w:color="auto" w:fill="auto"/>
            <w:tcMar>
              <w:top w:w="15" w:type="dxa"/>
              <w:left w:w="134" w:type="dxa"/>
              <w:bottom w:w="0" w:type="dxa"/>
              <w:right w:w="134" w:type="dxa"/>
            </w:tcMar>
            <w:vAlign w:val="center"/>
          </w:tcPr>
          <w:p w14:paraId="3FFF7E6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目标单元数量</w:t>
            </w:r>
          </w:p>
        </w:tc>
      </w:tr>
      <w:tr w14:paraId="0310C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145" w:type="dxa"/>
            <w:vMerge w:val="restart"/>
            <w:shd w:val="clear" w:color="auto" w:fill="auto"/>
            <w:tcMar>
              <w:top w:w="15" w:type="dxa"/>
              <w:left w:w="134" w:type="dxa"/>
              <w:bottom w:w="0" w:type="dxa"/>
              <w:right w:w="134" w:type="dxa"/>
            </w:tcMar>
            <w:vAlign w:val="center"/>
          </w:tcPr>
          <w:p w14:paraId="614F297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重点区域</w:t>
            </w:r>
          </w:p>
        </w:tc>
        <w:tc>
          <w:tcPr>
            <w:tcW w:w="2144" w:type="dxa"/>
            <w:vAlign w:val="center"/>
          </w:tcPr>
          <w:p w14:paraId="773D5EF5">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南朗街道</w:t>
            </w:r>
          </w:p>
        </w:tc>
        <w:tc>
          <w:tcPr>
            <w:tcW w:w="2144" w:type="dxa"/>
            <w:shd w:val="clear" w:color="auto" w:fill="auto"/>
            <w:tcMar>
              <w:top w:w="15" w:type="dxa"/>
              <w:left w:w="134" w:type="dxa"/>
              <w:bottom w:w="0" w:type="dxa"/>
              <w:right w:w="134" w:type="dxa"/>
            </w:tcMar>
          </w:tcPr>
          <w:p w14:paraId="78B2DE0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CHXQ-NL</w:t>
            </w:r>
          </w:p>
        </w:tc>
        <w:tc>
          <w:tcPr>
            <w:tcW w:w="2057" w:type="dxa"/>
            <w:vMerge w:val="restart"/>
            <w:shd w:val="clear" w:color="auto" w:fill="auto"/>
            <w:tcMar>
              <w:top w:w="15" w:type="dxa"/>
              <w:left w:w="134" w:type="dxa"/>
              <w:bottom w:w="0" w:type="dxa"/>
              <w:right w:w="134" w:type="dxa"/>
            </w:tcMar>
            <w:vAlign w:val="center"/>
          </w:tcPr>
          <w:p w14:paraId="74D73B3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r>
      <w:tr w14:paraId="6FE02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145" w:type="dxa"/>
            <w:vMerge w:val="continue"/>
            <w:shd w:val="clear" w:color="auto" w:fill="auto"/>
            <w:tcMar>
              <w:top w:w="15" w:type="dxa"/>
              <w:left w:w="134" w:type="dxa"/>
              <w:bottom w:w="0" w:type="dxa"/>
              <w:right w:w="134" w:type="dxa"/>
            </w:tcMar>
            <w:vAlign w:val="center"/>
          </w:tcPr>
          <w:p w14:paraId="17DBABBB">
            <w:pPr>
              <w:widowControl/>
              <w:jc w:val="center"/>
              <w:textAlignment w:val="center"/>
              <w:rPr>
                <w:rFonts w:hint="default" w:ascii="Times New Roman" w:hAnsi="Times New Roman" w:eastAsia="宋体" w:cs="Times New Roman"/>
                <w:b w:val="0"/>
                <w:bCs w:val="0"/>
                <w:color w:val="000000"/>
                <w:kern w:val="0"/>
                <w:sz w:val="21"/>
                <w:szCs w:val="21"/>
              </w:rPr>
            </w:pPr>
          </w:p>
        </w:tc>
        <w:tc>
          <w:tcPr>
            <w:tcW w:w="2144" w:type="dxa"/>
            <w:vAlign w:val="center"/>
          </w:tcPr>
          <w:p w14:paraId="0CE4059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翠亨新区</w:t>
            </w:r>
          </w:p>
        </w:tc>
        <w:tc>
          <w:tcPr>
            <w:tcW w:w="2144" w:type="dxa"/>
            <w:shd w:val="clear" w:color="auto" w:fill="auto"/>
            <w:tcMar>
              <w:top w:w="15" w:type="dxa"/>
              <w:left w:w="134" w:type="dxa"/>
              <w:bottom w:w="0" w:type="dxa"/>
              <w:right w:w="134" w:type="dxa"/>
            </w:tcMar>
          </w:tcPr>
          <w:p w14:paraId="0904A737">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CHXQ-CH</w:t>
            </w:r>
          </w:p>
        </w:tc>
        <w:tc>
          <w:tcPr>
            <w:tcW w:w="2057" w:type="dxa"/>
            <w:vMerge w:val="continue"/>
            <w:shd w:val="clear" w:color="auto" w:fill="auto"/>
            <w:tcMar>
              <w:top w:w="15" w:type="dxa"/>
              <w:left w:w="134" w:type="dxa"/>
              <w:bottom w:w="0" w:type="dxa"/>
              <w:right w:w="134" w:type="dxa"/>
            </w:tcMar>
            <w:vAlign w:val="center"/>
          </w:tcPr>
          <w:p w14:paraId="4D51D2F6">
            <w:pPr>
              <w:widowControl/>
              <w:jc w:val="center"/>
              <w:textAlignment w:val="center"/>
              <w:rPr>
                <w:rFonts w:hint="default" w:ascii="Times New Roman" w:hAnsi="Times New Roman" w:eastAsia="宋体" w:cs="Times New Roman"/>
                <w:b w:val="0"/>
                <w:bCs w:val="0"/>
                <w:color w:val="000000"/>
                <w:kern w:val="0"/>
                <w:sz w:val="21"/>
                <w:szCs w:val="21"/>
              </w:rPr>
            </w:pPr>
          </w:p>
        </w:tc>
      </w:tr>
      <w:bookmarkEnd w:id="153"/>
    </w:tbl>
    <w:p w14:paraId="0FF94388">
      <w:pPr>
        <w:pStyle w:val="48"/>
        <w:rPr>
          <w:rFonts w:hint="default" w:ascii="Times New Roman" w:hAnsi="Times New Roman" w:cs="Times New Roman"/>
        </w:rPr>
      </w:pPr>
    </w:p>
    <w:p w14:paraId="18BD749F">
      <w:pPr>
        <w:pStyle w:val="48"/>
        <w:rPr>
          <w:rFonts w:hint="default" w:ascii="Times New Roman" w:hAnsi="Times New Roman" w:cs="Times New Roman"/>
        </w:rPr>
      </w:pPr>
      <w:r>
        <w:rPr>
          <w:rFonts w:hint="default" w:ascii="Times New Roman" w:hAnsi="Times New Roman" w:cs="Times New Roman"/>
        </w:rPr>
        <w:drawing>
          <wp:inline distT="0" distB="0" distL="114300" distR="114300">
            <wp:extent cx="5662295" cy="4712970"/>
            <wp:effectExtent l="0" t="0" r="14605" b="1143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54"/>
                    <a:srcRect r="424" b="242"/>
                    <a:stretch>
                      <a:fillRect/>
                    </a:stretch>
                  </pic:blipFill>
                  <pic:spPr>
                    <a:xfrm>
                      <a:off x="0" y="0"/>
                      <a:ext cx="5662295" cy="4712970"/>
                    </a:xfrm>
                    <a:prstGeom prst="rect">
                      <a:avLst/>
                    </a:prstGeom>
                    <a:noFill/>
                    <a:ln>
                      <a:noFill/>
                    </a:ln>
                  </pic:spPr>
                </pic:pic>
              </a:graphicData>
            </a:graphic>
          </wp:inline>
        </w:drawing>
      </w:r>
    </w:p>
    <w:p w14:paraId="6F4CCA58">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图6-2 翠亨新区发展组团目标单元管控图</w:t>
      </w:r>
      <w:bookmarkEnd w:id="151"/>
    </w:p>
    <w:p w14:paraId="785D5ACD">
      <w:pPr>
        <w:pStyle w:val="6"/>
        <w:numPr>
          <w:ilvl w:val="255"/>
          <w:numId w:val="0"/>
        </w:numPr>
        <w:ind w:firstLine="561"/>
        <w:rPr>
          <w:rFonts w:hint="default" w:ascii="Times New Roman" w:hAnsi="Times New Roman" w:cs="Times New Roman"/>
        </w:rPr>
      </w:pPr>
      <w:bookmarkStart w:id="154" w:name="_Toc124352541"/>
      <w:r>
        <w:rPr>
          <w:rFonts w:hint="default" w:ascii="Times New Roman" w:hAnsi="Times New Roman" w:cs="Times New Roman"/>
        </w:rPr>
        <w:t>6.2.3</w:t>
      </w:r>
      <w:bookmarkStart w:id="155" w:name="_Hlk110098845"/>
      <w:r>
        <w:rPr>
          <w:rFonts w:hint="default" w:ascii="Times New Roman" w:hAnsi="Times New Roman" w:cs="Times New Roman"/>
        </w:rPr>
        <w:t>火炬区发展组团目标单元</w:t>
      </w:r>
      <w:bookmarkEnd w:id="154"/>
    </w:p>
    <w:p w14:paraId="1100B75D">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根据实际管控需求，同时结合4.2节中的目标单元划分情况，最终</w:t>
      </w:r>
      <w:bookmarkStart w:id="156" w:name="_Hlk124291344"/>
      <w:r>
        <w:rPr>
          <w:rFonts w:hint="default" w:ascii="Times New Roman" w:hAnsi="Times New Roman" w:eastAsia="宋体" w:cs="Times New Roman"/>
          <w:sz w:val="28"/>
          <w:szCs w:val="28"/>
        </w:rPr>
        <w:t>在火炬区发展组团中划分出2个目标单元，其中：重点区域2个，核心目标单元0个，基础目标单元0个</w:t>
      </w:r>
      <w:bookmarkEnd w:id="156"/>
      <w:r>
        <w:rPr>
          <w:rFonts w:hint="default" w:ascii="Times New Roman" w:hAnsi="Times New Roman" w:eastAsia="宋体" w:cs="Times New Roman"/>
          <w:sz w:val="28"/>
          <w:szCs w:val="28"/>
        </w:rPr>
        <w:t>。</w:t>
      </w:r>
    </w:p>
    <w:p w14:paraId="017E4EF6">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表6-3 火炬区发展组团目标单元汇总表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34"/>
        <w:gridCol w:w="2355"/>
        <w:gridCol w:w="2144"/>
        <w:gridCol w:w="2142"/>
      </w:tblGrid>
      <w:tr w14:paraId="21AAD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5" w:hRule="atLeast"/>
          <w:jc w:val="center"/>
        </w:trPr>
        <w:tc>
          <w:tcPr>
            <w:tcW w:w="2263" w:type="dxa"/>
            <w:shd w:val="clear" w:color="auto" w:fill="auto"/>
            <w:tcMar>
              <w:top w:w="15" w:type="dxa"/>
              <w:left w:w="134" w:type="dxa"/>
              <w:bottom w:w="0" w:type="dxa"/>
              <w:right w:w="134" w:type="dxa"/>
            </w:tcMar>
            <w:vAlign w:val="center"/>
          </w:tcPr>
          <w:p w14:paraId="1DBD42F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目标单元类别</w:t>
            </w:r>
          </w:p>
        </w:tc>
        <w:tc>
          <w:tcPr>
            <w:tcW w:w="2756" w:type="dxa"/>
            <w:vAlign w:val="center"/>
          </w:tcPr>
          <w:p w14:paraId="298B05C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509" w:type="dxa"/>
            <w:shd w:val="clear" w:color="auto" w:fill="auto"/>
            <w:tcMar>
              <w:top w:w="15" w:type="dxa"/>
              <w:left w:w="134" w:type="dxa"/>
              <w:bottom w:w="0" w:type="dxa"/>
              <w:right w:w="134" w:type="dxa"/>
            </w:tcMar>
            <w:vAlign w:val="center"/>
          </w:tcPr>
          <w:p w14:paraId="4570378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目标单元编号</w:t>
            </w:r>
          </w:p>
        </w:tc>
        <w:tc>
          <w:tcPr>
            <w:tcW w:w="2507" w:type="dxa"/>
            <w:shd w:val="clear" w:color="auto" w:fill="auto"/>
            <w:tcMar>
              <w:top w:w="15" w:type="dxa"/>
              <w:left w:w="134" w:type="dxa"/>
              <w:bottom w:w="0" w:type="dxa"/>
              <w:right w:w="134" w:type="dxa"/>
            </w:tcMar>
            <w:vAlign w:val="center"/>
          </w:tcPr>
          <w:p w14:paraId="1E115FA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目标单元数量</w:t>
            </w:r>
          </w:p>
        </w:tc>
      </w:tr>
      <w:tr w14:paraId="5C0BE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7" w:hRule="atLeast"/>
          <w:jc w:val="center"/>
        </w:trPr>
        <w:tc>
          <w:tcPr>
            <w:tcW w:w="2263" w:type="dxa"/>
            <w:vMerge w:val="restart"/>
            <w:shd w:val="clear" w:color="auto" w:fill="auto"/>
            <w:tcMar>
              <w:top w:w="15" w:type="dxa"/>
              <w:left w:w="134" w:type="dxa"/>
              <w:bottom w:w="0" w:type="dxa"/>
              <w:right w:w="134" w:type="dxa"/>
            </w:tcMar>
            <w:vAlign w:val="center"/>
          </w:tcPr>
          <w:p w14:paraId="3B0BFCE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重点区域</w:t>
            </w:r>
          </w:p>
        </w:tc>
        <w:tc>
          <w:tcPr>
            <w:tcW w:w="2756" w:type="dxa"/>
            <w:vAlign w:val="center"/>
          </w:tcPr>
          <w:p w14:paraId="2BA31215">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中山港街道（火炬开发区）</w:t>
            </w:r>
          </w:p>
        </w:tc>
        <w:tc>
          <w:tcPr>
            <w:tcW w:w="2509" w:type="dxa"/>
            <w:shd w:val="clear" w:color="auto" w:fill="auto"/>
            <w:tcMar>
              <w:top w:w="15" w:type="dxa"/>
              <w:left w:w="134" w:type="dxa"/>
              <w:bottom w:w="0" w:type="dxa"/>
              <w:right w:w="134" w:type="dxa"/>
            </w:tcMar>
          </w:tcPr>
          <w:p w14:paraId="40287ED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HJQ-ZSG</w:t>
            </w:r>
          </w:p>
        </w:tc>
        <w:tc>
          <w:tcPr>
            <w:tcW w:w="2507" w:type="dxa"/>
            <w:vMerge w:val="restart"/>
            <w:shd w:val="clear" w:color="auto" w:fill="auto"/>
            <w:tcMar>
              <w:top w:w="15" w:type="dxa"/>
              <w:left w:w="134" w:type="dxa"/>
              <w:bottom w:w="0" w:type="dxa"/>
              <w:right w:w="134" w:type="dxa"/>
            </w:tcMar>
            <w:vAlign w:val="center"/>
          </w:tcPr>
          <w:p w14:paraId="46D73465">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r>
      <w:tr w14:paraId="1CF55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 w:hRule="atLeast"/>
          <w:jc w:val="center"/>
        </w:trPr>
        <w:tc>
          <w:tcPr>
            <w:tcW w:w="2263" w:type="dxa"/>
            <w:vMerge w:val="continue"/>
            <w:shd w:val="clear" w:color="auto" w:fill="auto"/>
            <w:tcMar>
              <w:top w:w="15" w:type="dxa"/>
              <w:left w:w="134" w:type="dxa"/>
              <w:bottom w:w="0" w:type="dxa"/>
              <w:right w:w="134" w:type="dxa"/>
            </w:tcMar>
            <w:vAlign w:val="center"/>
          </w:tcPr>
          <w:p w14:paraId="27E466AC">
            <w:pPr>
              <w:widowControl/>
              <w:jc w:val="center"/>
              <w:textAlignment w:val="center"/>
              <w:rPr>
                <w:rFonts w:hint="default" w:ascii="Times New Roman" w:hAnsi="Times New Roman" w:eastAsia="宋体" w:cs="Times New Roman"/>
                <w:b w:val="0"/>
                <w:bCs w:val="0"/>
                <w:color w:val="000000"/>
                <w:kern w:val="0"/>
                <w:sz w:val="21"/>
                <w:szCs w:val="21"/>
              </w:rPr>
            </w:pPr>
          </w:p>
        </w:tc>
        <w:tc>
          <w:tcPr>
            <w:tcW w:w="2756" w:type="dxa"/>
            <w:vAlign w:val="center"/>
          </w:tcPr>
          <w:p w14:paraId="2BA0982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民众街道</w:t>
            </w:r>
          </w:p>
        </w:tc>
        <w:tc>
          <w:tcPr>
            <w:tcW w:w="2509" w:type="dxa"/>
            <w:shd w:val="clear" w:color="auto" w:fill="auto"/>
            <w:tcMar>
              <w:top w:w="15" w:type="dxa"/>
              <w:left w:w="134" w:type="dxa"/>
              <w:bottom w:w="0" w:type="dxa"/>
              <w:right w:w="134" w:type="dxa"/>
            </w:tcMar>
          </w:tcPr>
          <w:p w14:paraId="6447590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HJQ-MZ</w:t>
            </w:r>
          </w:p>
        </w:tc>
        <w:tc>
          <w:tcPr>
            <w:tcW w:w="2507" w:type="dxa"/>
            <w:vMerge w:val="continue"/>
            <w:shd w:val="clear" w:color="auto" w:fill="auto"/>
            <w:tcMar>
              <w:top w:w="15" w:type="dxa"/>
              <w:left w:w="134" w:type="dxa"/>
              <w:bottom w:w="0" w:type="dxa"/>
              <w:right w:w="134" w:type="dxa"/>
            </w:tcMar>
            <w:vAlign w:val="center"/>
          </w:tcPr>
          <w:p w14:paraId="5FB229F8">
            <w:pPr>
              <w:pStyle w:val="48"/>
              <w:rPr>
                <w:rFonts w:hint="default" w:ascii="Times New Roman" w:hAnsi="Times New Roman" w:cs="Times New Roman"/>
                <w:b w:val="0"/>
                <w:bCs w:val="0"/>
                <w:kern w:val="0"/>
                <w:sz w:val="21"/>
                <w:szCs w:val="21"/>
              </w:rPr>
            </w:pPr>
          </w:p>
        </w:tc>
      </w:tr>
    </w:tbl>
    <w:p w14:paraId="6A8AAB2B">
      <w:pPr>
        <w:pStyle w:val="48"/>
        <w:rPr>
          <w:rFonts w:hint="default" w:ascii="Times New Roman" w:hAnsi="Times New Roman" w:cs="Times New Roman"/>
          <w:b w:val="0"/>
          <w:kern w:val="0"/>
          <w:sz w:val="21"/>
          <w:szCs w:val="21"/>
        </w:rPr>
      </w:pPr>
    </w:p>
    <w:p w14:paraId="3D9C44EC">
      <w:pPr>
        <w:pStyle w:val="48"/>
        <w:rPr>
          <w:rFonts w:hint="default" w:ascii="Times New Roman" w:hAnsi="Times New Roman" w:cs="Times New Roman"/>
        </w:rPr>
      </w:pPr>
      <w:r>
        <w:rPr>
          <w:rFonts w:hint="default" w:ascii="Times New Roman" w:hAnsi="Times New Roman" w:cs="Times New Roman"/>
        </w:rPr>
        <w:drawing>
          <wp:inline distT="0" distB="0" distL="0" distR="0">
            <wp:extent cx="6064250" cy="5266690"/>
            <wp:effectExtent l="0" t="0" r="12700" b="1016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5"/>
                    <a:stretch>
                      <a:fillRect/>
                    </a:stretch>
                  </pic:blipFill>
                  <pic:spPr>
                    <a:xfrm>
                      <a:off x="0" y="0"/>
                      <a:ext cx="6064250" cy="5266690"/>
                    </a:xfrm>
                    <a:prstGeom prst="rect">
                      <a:avLst/>
                    </a:prstGeom>
                  </pic:spPr>
                </pic:pic>
              </a:graphicData>
            </a:graphic>
          </wp:inline>
        </w:drawing>
      </w:r>
    </w:p>
    <w:p w14:paraId="69A05DCE">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图6-3 火炬区发展组团目标单元管控图</w:t>
      </w:r>
    </w:p>
    <w:bookmarkEnd w:id="155"/>
    <w:p w14:paraId="1A82C9FE">
      <w:pPr>
        <w:pStyle w:val="6"/>
        <w:numPr>
          <w:ilvl w:val="255"/>
          <w:numId w:val="0"/>
        </w:numPr>
        <w:ind w:firstLine="561"/>
        <w:rPr>
          <w:rFonts w:hint="default" w:ascii="Times New Roman" w:hAnsi="Times New Roman" w:cs="Times New Roman"/>
        </w:rPr>
      </w:pPr>
      <w:bookmarkStart w:id="157" w:name="_Toc124352542"/>
      <w:r>
        <w:rPr>
          <w:rFonts w:hint="default" w:ascii="Times New Roman" w:hAnsi="Times New Roman" w:cs="Times New Roman"/>
        </w:rPr>
        <w:t>6.2.4</w:t>
      </w:r>
      <w:bookmarkStart w:id="158" w:name="_Hlk110098928"/>
      <w:r>
        <w:rPr>
          <w:rFonts w:hint="default" w:ascii="Times New Roman" w:hAnsi="Times New Roman" w:cs="Times New Roman"/>
        </w:rPr>
        <w:t>西部发展组团目标单元</w:t>
      </w:r>
      <w:bookmarkEnd w:id="157"/>
    </w:p>
    <w:p w14:paraId="32BA066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根据实际管控需求，同时结合4.2节中的目标单元划分情况，最终</w:t>
      </w:r>
      <w:bookmarkStart w:id="159" w:name="_Hlk124291441"/>
      <w:r>
        <w:rPr>
          <w:rFonts w:hint="default" w:ascii="Times New Roman" w:hAnsi="Times New Roman" w:eastAsia="宋体" w:cs="Times New Roman"/>
          <w:sz w:val="28"/>
          <w:szCs w:val="28"/>
        </w:rPr>
        <w:t>在西部发展组团中划分出5个目标单元，其中：重点区域0个，核心目标单元1个，基础目标单元4个</w:t>
      </w:r>
      <w:bookmarkEnd w:id="159"/>
      <w:r>
        <w:rPr>
          <w:rFonts w:hint="default" w:ascii="Times New Roman" w:hAnsi="Times New Roman" w:eastAsia="宋体" w:cs="Times New Roman"/>
          <w:sz w:val="28"/>
          <w:szCs w:val="28"/>
        </w:rPr>
        <w:t>。</w:t>
      </w:r>
    </w:p>
    <w:p w14:paraId="3B3BF6A7">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表6-4 西部发展组团目标单元汇总表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145"/>
        <w:gridCol w:w="2144"/>
        <w:gridCol w:w="2144"/>
        <w:gridCol w:w="2142"/>
      </w:tblGrid>
      <w:tr w14:paraId="3EF4A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5" w:hRule="atLeast"/>
          <w:jc w:val="center"/>
        </w:trPr>
        <w:tc>
          <w:tcPr>
            <w:tcW w:w="2510" w:type="dxa"/>
            <w:shd w:val="clear" w:color="auto" w:fill="auto"/>
            <w:tcMar>
              <w:top w:w="15" w:type="dxa"/>
              <w:left w:w="134" w:type="dxa"/>
              <w:bottom w:w="0" w:type="dxa"/>
              <w:right w:w="134" w:type="dxa"/>
            </w:tcMar>
            <w:vAlign w:val="center"/>
          </w:tcPr>
          <w:p w14:paraId="45AADA02">
            <w:pPr>
              <w:widowControl/>
              <w:jc w:val="center"/>
              <w:textAlignment w:val="center"/>
              <w:rPr>
                <w:rFonts w:hint="default" w:ascii="Times New Roman" w:hAnsi="Times New Roman" w:eastAsia="宋体" w:cs="Times New Roman"/>
                <w:b w:val="0"/>
                <w:bCs w:val="0"/>
                <w:color w:val="000000"/>
                <w:kern w:val="0"/>
                <w:sz w:val="21"/>
                <w:szCs w:val="21"/>
              </w:rPr>
            </w:pPr>
            <w:bookmarkStart w:id="160" w:name="_Hlk124291465"/>
            <w:r>
              <w:rPr>
                <w:rFonts w:hint="default" w:ascii="Times New Roman" w:hAnsi="Times New Roman" w:eastAsia="宋体" w:cs="Times New Roman"/>
                <w:b w:val="0"/>
                <w:bCs w:val="0"/>
                <w:color w:val="000000"/>
                <w:kern w:val="0"/>
                <w:sz w:val="21"/>
                <w:szCs w:val="21"/>
              </w:rPr>
              <w:t>目标单元类别</w:t>
            </w:r>
          </w:p>
        </w:tc>
        <w:tc>
          <w:tcPr>
            <w:tcW w:w="2509" w:type="dxa"/>
            <w:vAlign w:val="center"/>
          </w:tcPr>
          <w:p w14:paraId="0A945BF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509" w:type="dxa"/>
            <w:shd w:val="clear" w:color="auto" w:fill="auto"/>
            <w:tcMar>
              <w:top w:w="15" w:type="dxa"/>
              <w:left w:w="134" w:type="dxa"/>
              <w:bottom w:w="0" w:type="dxa"/>
              <w:right w:w="134" w:type="dxa"/>
            </w:tcMar>
            <w:vAlign w:val="center"/>
          </w:tcPr>
          <w:p w14:paraId="4F684A69">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目标单元编号</w:t>
            </w:r>
          </w:p>
        </w:tc>
        <w:tc>
          <w:tcPr>
            <w:tcW w:w="2507" w:type="dxa"/>
            <w:shd w:val="clear" w:color="auto" w:fill="auto"/>
            <w:tcMar>
              <w:top w:w="15" w:type="dxa"/>
              <w:left w:w="134" w:type="dxa"/>
              <w:bottom w:w="0" w:type="dxa"/>
              <w:right w:w="134" w:type="dxa"/>
            </w:tcMar>
            <w:vAlign w:val="center"/>
          </w:tcPr>
          <w:p w14:paraId="5F34B1F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目标单元数量</w:t>
            </w:r>
          </w:p>
        </w:tc>
      </w:tr>
      <w:tr w14:paraId="4D834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shd w:val="clear" w:color="auto" w:fill="auto"/>
            <w:tcMar>
              <w:top w:w="15" w:type="dxa"/>
              <w:left w:w="134" w:type="dxa"/>
              <w:bottom w:w="0" w:type="dxa"/>
              <w:right w:w="134" w:type="dxa"/>
            </w:tcMar>
            <w:vAlign w:val="center"/>
          </w:tcPr>
          <w:p w14:paraId="1A3D314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核心目标单元</w:t>
            </w:r>
          </w:p>
        </w:tc>
        <w:tc>
          <w:tcPr>
            <w:tcW w:w="2509" w:type="dxa"/>
            <w:vAlign w:val="center"/>
          </w:tcPr>
          <w:p w14:paraId="28538D8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小榄镇</w:t>
            </w:r>
          </w:p>
        </w:tc>
        <w:tc>
          <w:tcPr>
            <w:tcW w:w="2509" w:type="dxa"/>
            <w:shd w:val="clear" w:color="auto" w:fill="auto"/>
            <w:tcMar>
              <w:top w:w="15" w:type="dxa"/>
              <w:left w:w="134" w:type="dxa"/>
              <w:bottom w:w="0" w:type="dxa"/>
              <w:right w:w="134" w:type="dxa"/>
            </w:tcMar>
            <w:vAlign w:val="center"/>
          </w:tcPr>
          <w:p w14:paraId="639AECF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XBZT-XL</w:t>
            </w:r>
          </w:p>
        </w:tc>
        <w:tc>
          <w:tcPr>
            <w:tcW w:w="2507" w:type="dxa"/>
            <w:shd w:val="clear" w:color="auto" w:fill="auto"/>
            <w:tcMar>
              <w:top w:w="15" w:type="dxa"/>
              <w:left w:w="134" w:type="dxa"/>
              <w:bottom w:w="0" w:type="dxa"/>
              <w:right w:w="134" w:type="dxa"/>
            </w:tcMar>
            <w:vAlign w:val="center"/>
          </w:tcPr>
          <w:p w14:paraId="2A5E600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r>
      <w:tr w14:paraId="3A942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vMerge w:val="restart"/>
            <w:shd w:val="clear" w:color="auto" w:fill="auto"/>
            <w:tcMar>
              <w:top w:w="15" w:type="dxa"/>
              <w:left w:w="134" w:type="dxa"/>
              <w:bottom w:w="0" w:type="dxa"/>
              <w:right w:w="134" w:type="dxa"/>
            </w:tcMar>
            <w:vAlign w:val="center"/>
          </w:tcPr>
          <w:p w14:paraId="08DD8DA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基础目标单元</w:t>
            </w:r>
          </w:p>
        </w:tc>
        <w:tc>
          <w:tcPr>
            <w:tcW w:w="2509" w:type="dxa"/>
            <w:vAlign w:val="center"/>
          </w:tcPr>
          <w:p w14:paraId="5A5BE4D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古镇镇</w:t>
            </w:r>
          </w:p>
        </w:tc>
        <w:tc>
          <w:tcPr>
            <w:tcW w:w="2509" w:type="dxa"/>
            <w:shd w:val="clear" w:color="auto" w:fill="auto"/>
            <w:tcMar>
              <w:top w:w="15" w:type="dxa"/>
              <w:left w:w="134" w:type="dxa"/>
              <w:bottom w:w="0" w:type="dxa"/>
              <w:right w:w="134" w:type="dxa"/>
            </w:tcMar>
            <w:vAlign w:val="center"/>
          </w:tcPr>
          <w:p w14:paraId="6B28898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XBZT-GZ</w:t>
            </w:r>
          </w:p>
        </w:tc>
        <w:tc>
          <w:tcPr>
            <w:tcW w:w="2507" w:type="dxa"/>
            <w:vMerge w:val="restart"/>
            <w:shd w:val="clear" w:color="auto" w:fill="auto"/>
            <w:tcMar>
              <w:top w:w="15" w:type="dxa"/>
              <w:left w:w="134" w:type="dxa"/>
              <w:bottom w:w="0" w:type="dxa"/>
              <w:right w:w="134" w:type="dxa"/>
            </w:tcMar>
            <w:vAlign w:val="center"/>
          </w:tcPr>
          <w:p w14:paraId="1D83079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4</w:t>
            </w:r>
          </w:p>
        </w:tc>
      </w:tr>
      <w:tr w14:paraId="5B5E7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vMerge w:val="continue"/>
            <w:shd w:val="clear" w:color="auto" w:fill="auto"/>
            <w:tcMar>
              <w:top w:w="15" w:type="dxa"/>
              <w:left w:w="134" w:type="dxa"/>
              <w:bottom w:w="0" w:type="dxa"/>
              <w:right w:w="134" w:type="dxa"/>
            </w:tcMar>
            <w:vAlign w:val="center"/>
          </w:tcPr>
          <w:p w14:paraId="7EBE5A73">
            <w:pPr>
              <w:widowControl/>
              <w:jc w:val="center"/>
              <w:textAlignment w:val="center"/>
              <w:rPr>
                <w:rFonts w:hint="default" w:ascii="Times New Roman" w:hAnsi="Times New Roman" w:eastAsia="宋体" w:cs="Times New Roman"/>
                <w:b w:val="0"/>
                <w:bCs w:val="0"/>
                <w:color w:val="000000"/>
                <w:kern w:val="0"/>
                <w:sz w:val="21"/>
                <w:szCs w:val="21"/>
              </w:rPr>
            </w:pPr>
          </w:p>
        </w:tc>
        <w:tc>
          <w:tcPr>
            <w:tcW w:w="2509" w:type="dxa"/>
            <w:vAlign w:val="center"/>
          </w:tcPr>
          <w:p w14:paraId="05246BBE">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横栏镇</w:t>
            </w:r>
          </w:p>
        </w:tc>
        <w:tc>
          <w:tcPr>
            <w:tcW w:w="2509" w:type="dxa"/>
            <w:shd w:val="clear" w:color="auto" w:fill="auto"/>
            <w:tcMar>
              <w:top w:w="15" w:type="dxa"/>
              <w:left w:w="134" w:type="dxa"/>
              <w:bottom w:w="0" w:type="dxa"/>
              <w:right w:w="134" w:type="dxa"/>
            </w:tcMar>
            <w:vAlign w:val="center"/>
          </w:tcPr>
          <w:p w14:paraId="5135559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XBZT-HL</w:t>
            </w:r>
          </w:p>
        </w:tc>
        <w:tc>
          <w:tcPr>
            <w:tcW w:w="2507" w:type="dxa"/>
            <w:vMerge w:val="continue"/>
            <w:shd w:val="clear" w:color="auto" w:fill="auto"/>
            <w:tcMar>
              <w:top w:w="15" w:type="dxa"/>
              <w:left w:w="134" w:type="dxa"/>
              <w:bottom w:w="0" w:type="dxa"/>
              <w:right w:w="134" w:type="dxa"/>
            </w:tcMar>
            <w:vAlign w:val="center"/>
          </w:tcPr>
          <w:p w14:paraId="48323FD7">
            <w:pPr>
              <w:pStyle w:val="48"/>
              <w:rPr>
                <w:rFonts w:hint="default" w:ascii="Times New Roman" w:hAnsi="Times New Roman" w:cs="Times New Roman"/>
                <w:b w:val="0"/>
                <w:bCs w:val="0"/>
                <w:kern w:val="0"/>
                <w:sz w:val="21"/>
                <w:szCs w:val="21"/>
              </w:rPr>
            </w:pPr>
          </w:p>
        </w:tc>
      </w:tr>
      <w:tr w14:paraId="323D1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vMerge w:val="continue"/>
            <w:shd w:val="clear" w:color="auto" w:fill="auto"/>
            <w:tcMar>
              <w:top w:w="15" w:type="dxa"/>
              <w:left w:w="134" w:type="dxa"/>
              <w:bottom w:w="0" w:type="dxa"/>
              <w:right w:w="134" w:type="dxa"/>
            </w:tcMar>
            <w:vAlign w:val="center"/>
          </w:tcPr>
          <w:p w14:paraId="32778BA7">
            <w:pPr>
              <w:widowControl/>
              <w:jc w:val="center"/>
              <w:textAlignment w:val="center"/>
              <w:rPr>
                <w:rFonts w:hint="default" w:ascii="Times New Roman" w:hAnsi="Times New Roman" w:eastAsia="宋体" w:cs="Times New Roman"/>
                <w:b w:val="0"/>
                <w:bCs w:val="0"/>
                <w:color w:val="000000"/>
                <w:kern w:val="0"/>
                <w:sz w:val="21"/>
                <w:szCs w:val="21"/>
              </w:rPr>
            </w:pPr>
          </w:p>
        </w:tc>
        <w:tc>
          <w:tcPr>
            <w:tcW w:w="2509" w:type="dxa"/>
            <w:vAlign w:val="center"/>
          </w:tcPr>
          <w:p w14:paraId="79030C7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大涌镇</w:t>
            </w:r>
          </w:p>
        </w:tc>
        <w:tc>
          <w:tcPr>
            <w:tcW w:w="2509" w:type="dxa"/>
            <w:shd w:val="clear" w:color="auto" w:fill="auto"/>
            <w:tcMar>
              <w:top w:w="15" w:type="dxa"/>
              <w:left w:w="134" w:type="dxa"/>
              <w:bottom w:w="0" w:type="dxa"/>
              <w:right w:w="134" w:type="dxa"/>
            </w:tcMar>
            <w:vAlign w:val="center"/>
          </w:tcPr>
          <w:p w14:paraId="0CCB36F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XBZT-DC</w:t>
            </w:r>
          </w:p>
        </w:tc>
        <w:tc>
          <w:tcPr>
            <w:tcW w:w="2507" w:type="dxa"/>
            <w:vMerge w:val="continue"/>
            <w:shd w:val="clear" w:color="auto" w:fill="auto"/>
            <w:tcMar>
              <w:top w:w="15" w:type="dxa"/>
              <w:left w:w="134" w:type="dxa"/>
              <w:bottom w:w="0" w:type="dxa"/>
              <w:right w:w="134" w:type="dxa"/>
            </w:tcMar>
            <w:vAlign w:val="center"/>
          </w:tcPr>
          <w:p w14:paraId="0313FC95">
            <w:pPr>
              <w:pStyle w:val="48"/>
              <w:rPr>
                <w:rFonts w:hint="default" w:ascii="Times New Roman" w:hAnsi="Times New Roman" w:cs="Times New Roman"/>
                <w:b w:val="0"/>
                <w:bCs w:val="0"/>
                <w:kern w:val="0"/>
                <w:sz w:val="21"/>
                <w:szCs w:val="21"/>
              </w:rPr>
            </w:pPr>
          </w:p>
        </w:tc>
      </w:tr>
      <w:tr w14:paraId="330E4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vMerge w:val="continue"/>
            <w:shd w:val="clear" w:color="auto" w:fill="auto"/>
            <w:tcMar>
              <w:top w:w="15" w:type="dxa"/>
              <w:left w:w="134" w:type="dxa"/>
              <w:bottom w:w="0" w:type="dxa"/>
              <w:right w:w="134" w:type="dxa"/>
            </w:tcMar>
            <w:vAlign w:val="center"/>
          </w:tcPr>
          <w:p w14:paraId="2B446B8B">
            <w:pPr>
              <w:widowControl/>
              <w:jc w:val="center"/>
              <w:textAlignment w:val="center"/>
              <w:rPr>
                <w:rFonts w:hint="default" w:ascii="Times New Roman" w:hAnsi="Times New Roman" w:eastAsia="宋体" w:cs="Times New Roman"/>
                <w:b w:val="0"/>
                <w:bCs w:val="0"/>
                <w:color w:val="000000"/>
                <w:kern w:val="0"/>
                <w:sz w:val="21"/>
                <w:szCs w:val="21"/>
              </w:rPr>
            </w:pPr>
          </w:p>
        </w:tc>
        <w:tc>
          <w:tcPr>
            <w:tcW w:w="2509" w:type="dxa"/>
            <w:vAlign w:val="center"/>
          </w:tcPr>
          <w:p w14:paraId="24AF3567">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沙溪镇</w:t>
            </w:r>
          </w:p>
        </w:tc>
        <w:tc>
          <w:tcPr>
            <w:tcW w:w="2509" w:type="dxa"/>
            <w:shd w:val="clear" w:color="auto" w:fill="auto"/>
            <w:tcMar>
              <w:top w:w="15" w:type="dxa"/>
              <w:left w:w="134" w:type="dxa"/>
              <w:bottom w:w="0" w:type="dxa"/>
              <w:right w:w="134" w:type="dxa"/>
            </w:tcMar>
            <w:vAlign w:val="center"/>
          </w:tcPr>
          <w:p w14:paraId="12E7A785">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XBZT-SX</w:t>
            </w:r>
          </w:p>
        </w:tc>
        <w:tc>
          <w:tcPr>
            <w:tcW w:w="2507" w:type="dxa"/>
            <w:vMerge w:val="continue"/>
            <w:shd w:val="clear" w:color="auto" w:fill="auto"/>
            <w:tcMar>
              <w:top w:w="15" w:type="dxa"/>
              <w:left w:w="134" w:type="dxa"/>
              <w:bottom w:w="0" w:type="dxa"/>
              <w:right w:w="134" w:type="dxa"/>
            </w:tcMar>
            <w:vAlign w:val="center"/>
          </w:tcPr>
          <w:p w14:paraId="09A31E66">
            <w:pPr>
              <w:pStyle w:val="48"/>
              <w:rPr>
                <w:rFonts w:hint="default" w:ascii="Times New Roman" w:hAnsi="Times New Roman" w:cs="Times New Roman"/>
                <w:b w:val="0"/>
                <w:bCs w:val="0"/>
                <w:kern w:val="0"/>
                <w:sz w:val="21"/>
                <w:szCs w:val="21"/>
              </w:rPr>
            </w:pPr>
          </w:p>
        </w:tc>
      </w:tr>
      <w:bookmarkEnd w:id="160"/>
    </w:tbl>
    <w:p w14:paraId="5FA23B7D">
      <w:pPr>
        <w:pStyle w:val="48"/>
        <w:rPr>
          <w:rFonts w:hint="default" w:ascii="Times New Roman" w:hAnsi="Times New Roman" w:cs="Times New Roman"/>
          <w:b w:val="0"/>
          <w:kern w:val="0"/>
          <w:sz w:val="21"/>
          <w:szCs w:val="21"/>
        </w:rPr>
      </w:pPr>
    </w:p>
    <w:p w14:paraId="61A91864">
      <w:pPr>
        <w:pStyle w:val="48"/>
        <w:rPr>
          <w:rFonts w:hint="default" w:ascii="Times New Roman" w:hAnsi="Times New Roman" w:cs="Times New Roman"/>
        </w:rPr>
      </w:pPr>
      <w:r>
        <w:rPr>
          <w:rFonts w:hint="default" w:ascii="Times New Roman" w:hAnsi="Times New Roman" w:cs="Times New Roman"/>
        </w:rPr>
        <w:drawing>
          <wp:inline distT="0" distB="0" distL="0" distR="0">
            <wp:extent cx="5743575" cy="4671060"/>
            <wp:effectExtent l="0" t="0" r="9525" b="1524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6"/>
                    <a:srcRect l="495"/>
                    <a:stretch>
                      <a:fillRect/>
                    </a:stretch>
                  </pic:blipFill>
                  <pic:spPr>
                    <a:xfrm>
                      <a:off x="0" y="0"/>
                      <a:ext cx="5743575" cy="4673123"/>
                    </a:xfrm>
                    <a:prstGeom prst="rect">
                      <a:avLst/>
                    </a:prstGeom>
                  </pic:spPr>
                </pic:pic>
              </a:graphicData>
            </a:graphic>
          </wp:inline>
        </w:drawing>
      </w:r>
    </w:p>
    <w:p w14:paraId="3FA04CD4">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图6-4 西部发展组团目标单元管控图</w:t>
      </w:r>
    </w:p>
    <w:bookmarkEnd w:id="158"/>
    <w:p w14:paraId="7BA85701">
      <w:pPr>
        <w:pStyle w:val="6"/>
        <w:numPr>
          <w:ilvl w:val="255"/>
          <w:numId w:val="0"/>
        </w:numPr>
        <w:ind w:firstLine="561"/>
        <w:rPr>
          <w:rFonts w:hint="default" w:ascii="Times New Roman" w:hAnsi="Times New Roman" w:cs="Times New Roman"/>
        </w:rPr>
      </w:pPr>
      <w:bookmarkStart w:id="161" w:name="_Toc124352543"/>
      <w:r>
        <w:rPr>
          <w:rFonts w:hint="default" w:ascii="Times New Roman" w:hAnsi="Times New Roman" w:cs="Times New Roman"/>
        </w:rPr>
        <w:t>6.2.5</w:t>
      </w:r>
      <w:bookmarkStart w:id="162" w:name="_Hlk110098998"/>
      <w:r>
        <w:rPr>
          <w:rFonts w:hint="default" w:ascii="Times New Roman" w:hAnsi="Times New Roman" w:cs="Times New Roman"/>
        </w:rPr>
        <w:t>南部发展组团目标单元</w:t>
      </w:r>
      <w:bookmarkEnd w:id="161"/>
    </w:p>
    <w:p w14:paraId="15E455C2">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根据实际管控需求，同时结合4.2节中的目标单元划分情况，最终</w:t>
      </w:r>
      <w:bookmarkStart w:id="163" w:name="_Hlk124291523"/>
      <w:r>
        <w:rPr>
          <w:rFonts w:hint="default" w:ascii="Times New Roman" w:hAnsi="Times New Roman" w:eastAsia="宋体" w:cs="Times New Roman"/>
          <w:sz w:val="28"/>
          <w:szCs w:val="28"/>
        </w:rPr>
        <w:t>在南部发展组团中划分出4个目标单元，其中：重点区域0个，核心目标单元2个，基础目标单元2个。</w:t>
      </w:r>
      <w:bookmarkEnd w:id="163"/>
    </w:p>
    <w:p w14:paraId="5FD4114B">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表6-5 南部发展组团目标单元汇总表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145"/>
        <w:gridCol w:w="2144"/>
        <w:gridCol w:w="2144"/>
        <w:gridCol w:w="2142"/>
      </w:tblGrid>
      <w:tr w14:paraId="1B248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5" w:hRule="atLeast"/>
          <w:jc w:val="center"/>
        </w:trPr>
        <w:tc>
          <w:tcPr>
            <w:tcW w:w="2510" w:type="dxa"/>
            <w:shd w:val="clear" w:color="auto" w:fill="auto"/>
            <w:tcMar>
              <w:top w:w="15" w:type="dxa"/>
              <w:left w:w="134" w:type="dxa"/>
              <w:bottom w:w="0" w:type="dxa"/>
              <w:right w:w="134" w:type="dxa"/>
            </w:tcMar>
            <w:vAlign w:val="center"/>
          </w:tcPr>
          <w:p w14:paraId="28446287">
            <w:pPr>
              <w:widowControl/>
              <w:jc w:val="center"/>
              <w:textAlignment w:val="center"/>
              <w:rPr>
                <w:rFonts w:hint="default" w:ascii="Times New Roman" w:hAnsi="Times New Roman" w:eastAsia="宋体" w:cs="Times New Roman"/>
                <w:b w:val="0"/>
                <w:bCs w:val="0"/>
                <w:color w:val="000000"/>
                <w:kern w:val="0"/>
                <w:sz w:val="21"/>
                <w:szCs w:val="21"/>
              </w:rPr>
            </w:pPr>
            <w:bookmarkStart w:id="164" w:name="_Hlk124291554"/>
            <w:r>
              <w:rPr>
                <w:rFonts w:hint="default" w:ascii="Times New Roman" w:hAnsi="Times New Roman" w:eastAsia="宋体" w:cs="Times New Roman"/>
                <w:b w:val="0"/>
                <w:bCs w:val="0"/>
                <w:color w:val="000000"/>
                <w:kern w:val="0"/>
                <w:sz w:val="21"/>
                <w:szCs w:val="21"/>
              </w:rPr>
              <w:t>目标单元类别</w:t>
            </w:r>
          </w:p>
        </w:tc>
        <w:tc>
          <w:tcPr>
            <w:tcW w:w="2509" w:type="dxa"/>
            <w:vAlign w:val="center"/>
          </w:tcPr>
          <w:p w14:paraId="0E56309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509" w:type="dxa"/>
            <w:shd w:val="clear" w:color="auto" w:fill="auto"/>
            <w:tcMar>
              <w:top w:w="15" w:type="dxa"/>
              <w:left w:w="134" w:type="dxa"/>
              <w:bottom w:w="0" w:type="dxa"/>
              <w:right w:w="134" w:type="dxa"/>
            </w:tcMar>
            <w:vAlign w:val="center"/>
          </w:tcPr>
          <w:p w14:paraId="3F987747">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目标单元编号</w:t>
            </w:r>
          </w:p>
        </w:tc>
        <w:tc>
          <w:tcPr>
            <w:tcW w:w="2507" w:type="dxa"/>
            <w:shd w:val="clear" w:color="auto" w:fill="auto"/>
            <w:tcMar>
              <w:top w:w="15" w:type="dxa"/>
              <w:left w:w="134" w:type="dxa"/>
              <w:bottom w:w="0" w:type="dxa"/>
              <w:right w:w="134" w:type="dxa"/>
            </w:tcMar>
            <w:vAlign w:val="center"/>
          </w:tcPr>
          <w:p w14:paraId="1F26D6E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目标单元数量</w:t>
            </w:r>
          </w:p>
        </w:tc>
      </w:tr>
      <w:tr w14:paraId="426FA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vMerge w:val="restart"/>
            <w:shd w:val="clear" w:color="auto" w:fill="auto"/>
            <w:tcMar>
              <w:top w:w="15" w:type="dxa"/>
              <w:left w:w="134" w:type="dxa"/>
              <w:bottom w:w="0" w:type="dxa"/>
              <w:right w:w="134" w:type="dxa"/>
            </w:tcMar>
            <w:vAlign w:val="center"/>
          </w:tcPr>
          <w:p w14:paraId="72E7274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核心目标单元</w:t>
            </w:r>
          </w:p>
        </w:tc>
        <w:tc>
          <w:tcPr>
            <w:tcW w:w="2509" w:type="dxa"/>
            <w:vAlign w:val="center"/>
          </w:tcPr>
          <w:p w14:paraId="05CC74E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三乡镇</w:t>
            </w:r>
          </w:p>
        </w:tc>
        <w:tc>
          <w:tcPr>
            <w:tcW w:w="2509" w:type="dxa"/>
            <w:shd w:val="clear" w:color="auto" w:fill="auto"/>
            <w:tcMar>
              <w:top w:w="15" w:type="dxa"/>
              <w:left w:w="134" w:type="dxa"/>
              <w:bottom w:w="0" w:type="dxa"/>
              <w:right w:w="134" w:type="dxa"/>
            </w:tcMar>
            <w:vAlign w:val="center"/>
          </w:tcPr>
          <w:p w14:paraId="242DC6F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NBZT-SX</w:t>
            </w:r>
          </w:p>
        </w:tc>
        <w:tc>
          <w:tcPr>
            <w:tcW w:w="2507" w:type="dxa"/>
            <w:vMerge w:val="restart"/>
            <w:shd w:val="clear" w:color="auto" w:fill="auto"/>
            <w:tcMar>
              <w:top w:w="15" w:type="dxa"/>
              <w:left w:w="134" w:type="dxa"/>
              <w:bottom w:w="0" w:type="dxa"/>
              <w:right w:w="134" w:type="dxa"/>
            </w:tcMar>
            <w:vAlign w:val="center"/>
          </w:tcPr>
          <w:p w14:paraId="3329321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r>
      <w:tr w14:paraId="571ED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vMerge w:val="continue"/>
            <w:shd w:val="clear" w:color="auto" w:fill="auto"/>
            <w:tcMar>
              <w:top w:w="15" w:type="dxa"/>
              <w:left w:w="134" w:type="dxa"/>
              <w:bottom w:w="0" w:type="dxa"/>
              <w:right w:w="134" w:type="dxa"/>
            </w:tcMar>
            <w:vAlign w:val="center"/>
          </w:tcPr>
          <w:p w14:paraId="03E22F1A">
            <w:pPr>
              <w:widowControl/>
              <w:jc w:val="center"/>
              <w:textAlignment w:val="center"/>
              <w:rPr>
                <w:rFonts w:hint="default" w:ascii="Times New Roman" w:hAnsi="Times New Roman" w:eastAsia="宋体" w:cs="Times New Roman"/>
                <w:b w:val="0"/>
                <w:bCs w:val="0"/>
                <w:color w:val="000000"/>
                <w:kern w:val="0"/>
                <w:sz w:val="21"/>
                <w:szCs w:val="21"/>
              </w:rPr>
            </w:pPr>
          </w:p>
        </w:tc>
        <w:tc>
          <w:tcPr>
            <w:tcW w:w="2509" w:type="dxa"/>
            <w:vAlign w:val="center"/>
          </w:tcPr>
          <w:p w14:paraId="5E6ECBB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坦洲镇</w:t>
            </w:r>
          </w:p>
        </w:tc>
        <w:tc>
          <w:tcPr>
            <w:tcW w:w="2509" w:type="dxa"/>
            <w:shd w:val="clear" w:color="auto" w:fill="auto"/>
            <w:tcMar>
              <w:top w:w="15" w:type="dxa"/>
              <w:left w:w="134" w:type="dxa"/>
              <w:bottom w:w="0" w:type="dxa"/>
              <w:right w:w="134" w:type="dxa"/>
            </w:tcMar>
            <w:vAlign w:val="center"/>
          </w:tcPr>
          <w:p w14:paraId="6D5C0D85">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NBZT-TZ</w:t>
            </w:r>
          </w:p>
        </w:tc>
        <w:tc>
          <w:tcPr>
            <w:tcW w:w="2507" w:type="dxa"/>
            <w:vMerge w:val="continue"/>
            <w:shd w:val="clear" w:color="auto" w:fill="auto"/>
            <w:tcMar>
              <w:top w:w="15" w:type="dxa"/>
              <w:left w:w="134" w:type="dxa"/>
              <w:bottom w:w="0" w:type="dxa"/>
              <w:right w:w="134" w:type="dxa"/>
            </w:tcMar>
            <w:vAlign w:val="center"/>
          </w:tcPr>
          <w:p w14:paraId="0129112E">
            <w:pPr>
              <w:widowControl/>
              <w:jc w:val="center"/>
              <w:textAlignment w:val="center"/>
              <w:rPr>
                <w:rFonts w:hint="default" w:ascii="Times New Roman" w:hAnsi="Times New Roman" w:eastAsia="宋体" w:cs="Times New Roman"/>
                <w:b w:val="0"/>
                <w:bCs w:val="0"/>
                <w:color w:val="000000"/>
                <w:kern w:val="0"/>
                <w:sz w:val="21"/>
                <w:szCs w:val="21"/>
              </w:rPr>
            </w:pPr>
          </w:p>
        </w:tc>
      </w:tr>
      <w:tr w14:paraId="5F714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vMerge w:val="restart"/>
            <w:shd w:val="clear" w:color="auto" w:fill="auto"/>
            <w:tcMar>
              <w:top w:w="15" w:type="dxa"/>
              <w:left w:w="134" w:type="dxa"/>
              <w:bottom w:w="0" w:type="dxa"/>
              <w:right w:w="134" w:type="dxa"/>
            </w:tcMar>
            <w:vAlign w:val="center"/>
          </w:tcPr>
          <w:p w14:paraId="19C66FD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基础目标单元</w:t>
            </w:r>
          </w:p>
        </w:tc>
        <w:tc>
          <w:tcPr>
            <w:tcW w:w="2509" w:type="dxa"/>
            <w:vAlign w:val="center"/>
          </w:tcPr>
          <w:p w14:paraId="4A09BA5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板芙镇</w:t>
            </w:r>
          </w:p>
        </w:tc>
        <w:tc>
          <w:tcPr>
            <w:tcW w:w="2509" w:type="dxa"/>
            <w:shd w:val="clear" w:color="auto" w:fill="auto"/>
            <w:tcMar>
              <w:top w:w="15" w:type="dxa"/>
              <w:left w:w="134" w:type="dxa"/>
              <w:bottom w:w="0" w:type="dxa"/>
              <w:right w:w="134" w:type="dxa"/>
            </w:tcMar>
            <w:vAlign w:val="center"/>
          </w:tcPr>
          <w:p w14:paraId="71FDF92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NBZT-BF</w:t>
            </w:r>
          </w:p>
        </w:tc>
        <w:tc>
          <w:tcPr>
            <w:tcW w:w="2507" w:type="dxa"/>
            <w:vMerge w:val="restart"/>
            <w:shd w:val="clear" w:color="auto" w:fill="auto"/>
            <w:tcMar>
              <w:top w:w="15" w:type="dxa"/>
              <w:left w:w="134" w:type="dxa"/>
              <w:bottom w:w="0" w:type="dxa"/>
              <w:right w:w="134" w:type="dxa"/>
            </w:tcMar>
            <w:vAlign w:val="center"/>
          </w:tcPr>
          <w:p w14:paraId="22741B5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r>
      <w:tr w14:paraId="6335E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vMerge w:val="continue"/>
            <w:shd w:val="clear" w:color="auto" w:fill="auto"/>
            <w:tcMar>
              <w:top w:w="15" w:type="dxa"/>
              <w:left w:w="134" w:type="dxa"/>
              <w:bottom w:w="0" w:type="dxa"/>
              <w:right w:w="134" w:type="dxa"/>
            </w:tcMar>
            <w:vAlign w:val="center"/>
          </w:tcPr>
          <w:p w14:paraId="1F60AC42">
            <w:pPr>
              <w:widowControl/>
              <w:jc w:val="center"/>
              <w:textAlignment w:val="center"/>
              <w:rPr>
                <w:rFonts w:hint="default" w:ascii="Times New Roman" w:hAnsi="Times New Roman" w:eastAsia="宋体" w:cs="Times New Roman"/>
                <w:b w:val="0"/>
                <w:bCs w:val="0"/>
                <w:color w:val="000000"/>
                <w:kern w:val="0"/>
                <w:sz w:val="21"/>
                <w:szCs w:val="21"/>
              </w:rPr>
            </w:pPr>
          </w:p>
        </w:tc>
        <w:tc>
          <w:tcPr>
            <w:tcW w:w="2509" w:type="dxa"/>
            <w:vAlign w:val="center"/>
          </w:tcPr>
          <w:p w14:paraId="606566B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神湾镇</w:t>
            </w:r>
          </w:p>
        </w:tc>
        <w:tc>
          <w:tcPr>
            <w:tcW w:w="2509" w:type="dxa"/>
            <w:shd w:val="clear" w:color="auto" w:fill="auto"/>
            <w:tcMar>
              <w:top w:w="15" w:type="dxa"/>
              <w:left w:w="134" w:type="dxa"/>
              <w:bottom w:w="0" w:type="dxa"/>
              <w:right w:w="134" w:type="dxa"/>
            </w:tcMar>
            <w:vAlign w:val="center"/>
          </w:tcPr>
          <w:p w14:paraId="7D87C2A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NBZT-SW</w:t>
            </w:r>
          </w:p>
        </w:tc>
        <w:tc>
          <w:tcPr>
            <w:tcW w:w="2507" w:type="dxa"/>
            <w:vMerge w:val="continue"/>
            <w:shd w:val="clear" w:color="auto" w:fill="auto"/>
            <w:tcMar>
              <w:top w:w="15" w:type="dxa"/>
              <w:left w:w="134" w:type="dxa"/>
              <w:bottom w:w="0" w:type="dxa"/>
              <w:right w:w="134" w:type="dxa"/>
            </w:tcMar>
            <w:vAlign w:val="center"/>
          </w:tcPr>
          <w:p w14:paraId="5F1D42FD">
            <w:pPr>
              <w:pStyle w:val="48"/>
              <w:rPr>
                <w:rFonts w:hint="default" w:ascii="Times New Roman" w:hAnsi="Times New Roman" w:cs="Times New Roman"/>
                <w:b w:val="0"/>
                <w:bCs w:val="0"/>
                <w:kern w:val="0"/>
                <w:sz w:val="21"/>
                <w:szCs w:val="21"/>
              </w:rPr>
            </w:pPr>
          </w:p>
        </w:tc>
      </w:tr>
      <w:bookmarkEnd w:id="164"/>
    </w:tbl>
    <w:p w14:paraId="02DA6746">
      <w:pPr>
        <w:pStyle w:val="48"/>
        <w:rPr>
          <w:rFonts w:hint="default" w:ascii="Times New Roman" w:hAnsi="Times New Roman" w:cs="Times New Roman"/>
          <w:b w:val="0"/>
          <w:kern w:val="0"/>
          <w:sz w:val="21"/>
          <w:szCs w:val="21"/>
        </w:rPr>
      </w:pPr>
    </w:p>
    <w:p w14:paraId="2864B03F">
      <w:pPr>
        <w:pStyle w:val="48"/>
        <w:rPr>
          <w:rFonts w:hint="default" w:ascii="Times New Roman" w:hAnsi="Times New Roman" w:cs="Times New Roman"/>
          <w:kern w:val="0"/>
          <w:szCs w:val="21"/>
        </w:rPr>
      </w:pPr>
      <w:r>
        <w:rPr>
          <w:rFonts w:hint="default" w:ascii="Times New Roman" w:hAnsi="Times New Roman" w:cs="Times New Roman"/>
        </w:rPr>
        <w:drawing>
          <wp:inline distT="0" distB="0" distL="0" distR="0">
            <wp:extent cx="5562600" cy="4752975"/>
            <wp:effectExtent l="0" t="0" r="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7"/>
                    <a:srcRect r="849"/>
                    <a:stretch>
                      <a:fillRect/>
                    </a:stretch>
                  </pic:blipFill>
                  <pic:spPr>
                    <a:xfrm>
                      <a:off x="0" y="0"/>
                      <a:ext cx="5562600" cy="4754217"/>
                    </a:xfrm>
                    <a:prstGeom prst="rect">
                      <a:avLst/>
                    </a:prstGeom>
                  </pic:spPr>
                </pic:pic>
              </a:graphicData>
            </a:graphic>
          </wp:inline>
        </w:drawing>
      </w:r>
    </w:p>
    <w:p w14:paraId="1D4CBE4D">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图6-5 南部发展组团目标单元管控图</w:t>
      </w:r>
    </w:p>
    <w:bookmarkEnd w:id="162"/>
    <w:p w14:paraId="1FD8DA49">
      <w:pPr>
        <w:pStyle w:val="6"/>
        <w:numPr>
          <w:ilvl w:val="255"/>
          <w:numId w:val="0"/>
        </w:numPr>
        <w:ind w:firstLine="561"/>
        <w:rPr>
          <w:rFonts w:hint="default" w:ascii="Times New Roman" w:hAnsi="Times New Roman" w:cs="Times New Roman"/>
        </w:rPr>
      </w:pPr>
      <w:bookmarkStart w:id="165" w:name="_Toc124352544"/>
      <w:r>
        <w:rPr>
          <w:rFonts w:hint="default" w:ascii="Times New Roman" w:hAnsi="Times New Roman" w:cs="Times New Roman"/>
        </w:rPr>
        <w:t>6.2.6</w:t>
      </w:r>
      <w:bookmarkStart w:id="166" w:name="_Hlk110099067"/>
      <w:r>
        <w:rPr>
          <w:rFonts w:hint="default" w:ascii="Times New Roman" w:hAnsi="Times New Roman" w:cs="Times New Roman"/>
        </w:rPr>
        <w:t>北部发展组团目标单元</w:t>
      </w:r>
      <w:bookmarkEnd w:id="165"/>
    </w:p>
    <w:p w14:paraId="03BCD063">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根据实际管控需求，同时结合4.2节中的目标单元划分情况，最终</w:t>
      </w:r>
      <w:bookmarkStart w:id="167" w:name="_Hlk124291590"/>
      <w:r>
        <w:rPr>
          <w:rFonts w:hint="default" w:ascii="Times New Roman" w:hAnsi="Times New Roman" w:eastAsia="宋体" w:cs="Times New Roman"/>
          <w:sz w:val="28"/>
          <w:szCs w:val="28"/>
        </w:rPr>
        <w:t>在北部发展组团中划分出5个目标单元，其中：重点区域0个，核心目标单元1个，基础目标单元4个。</w:t>
      </w:r>
      <w:bookmarkEnd w:id="167"/>
    </w:p>
    <w:p w14:paraId="21BF23FD">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表6-6北部发展组团目标单元汇总表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145"/>
        <w:gridCol w:w="2144"/>
        <w:gridCol w:w="2144"/>
        <w:gridCol w:w="2142"/>
      </w:tblGrid>
      <w:tr w14:paraId="79791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5" w:hRule="atLeast"/>
          <w:jc w:val="center"/>
        </w:trPr>
        <w:tc>
          <w:tcPr>
            <w:tcW w:w="2510" w:type="dxa"/>
            <w:shd w:val="clear" w:color="auto" w:fill="auto"/>
            <w:tcMar>
              <w:top w:w="15" w:type="dxa"/>
              <w:left w:w="134" w:type="dxa"/>
              <w:bottom w:w="0" w:type="dxa"/>
              <w:right w:w="134" w:type="dxa"/>
            </w:tcMar>
            <w:vAlign w:val="center"/>
          </w:tcPr>
          <w:p w14:paraId="1398A23B">
            <w:pPr>
              <w:widowControl/>
              <w:jc w:val="center"/>
              <w:textAlignment w:val="center"/>
              <w:rPr>
                <w:rFonts w:hint="default" w:ascii="Times New Roman" w:hAnsi="Times New Roman" w:eastAsia="宋体" w:cs="Times New Roman"/>
                <w:b w:val="0"/>
                <w:bCs w:val="0"/>
                <w:color w:val="000000"/>
                <w:kern w:val="0"/>
                <w:sz w:val="21"/>
                <w:szCs w:val="21"/>
              </w:rPr>
            </w:pPr>
            <w:bookmarkStart w:id="168" w:name="_Hlk124291607"/>
            <w:r>
              <w:rPr>
                <w:rFonts w:hint="default" w:ascii="Times New Roman" w:hAnsi="Times New Roman" w:eastAsia="宋体" w:cs="Times New Roman"/>
                <w:b w:val="0"/>
                <w:bCs w:val="0"/>
                <w:color w:val="000000"/>
                <w:kern w:val="0"/>
                <w:sz w:val="21"/>
                <w:szCs w:val="21"/>
              </w:rPr>
              <w:t>目标单元类别</w:t>
            </w:r>
          </w:p>
        </w:tc>
        <w:tc>
          <w:tcPr>
            <w:tcW w:w="2509" w:type="dxa"/>
            <w:vAlign w:val="center"/>
          </w:tcPr>
          <w:p w14:paraId="71F98295">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509" w:type="dxa"/>
            <w:shd w:val="clear" w:color="auto" w:fill="auto"/>
            <w:tcMar>
              <w:top w:w="15" w:type="dxa"/>
              <w:left w:w="134" w:type="dxa"/>
              <w:bottom w:w="0" w:type="dxa"/>
              <w:right w:w="134" w:type="dxa"/>
            </w:tcMar>
            <w:vAlign w:val="center"/>
          </w:tcPr>
          <w:p w14:paraId="73611215">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目标单元编号</w:t>
            </w:r>
          </w:p>
        </w:tc>
        <w:tc>
          <w:tcPr>
            <w:tcW w:w="2507" w:type="dxa"/>
            <w:shd w:val="clear" w:color="auto" w:fill="auto"/>
            <w:tcMar>
              <w:top w:w="15" w:type="dxa"/>
              <w:left w:w="134" w:type="dxa"/>
              <w:bottom w:w="0" w:type="dxa"/>
              <w:right w:w="134" w:type="dxa"/>
            </w:tcMar>
            <w:vAlign w:val="center"/>
          </w:tcPr>
          <w:p w14:paraId="5CE0CBD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目标单元数量</w:t>
            </w:r>
          </w:p>
        </w:tc>
      </w:tr>
      <w:tr w14:paraId="0F8EC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shd w:val="clear" w:color="auto" w:fill="auto"/>
            <w:tcMar>
              <w:top w:w="15" w:type="dxa"/>
              <w:left w:w="134" w:type="dxa"/>
              <w:bottom w:w="0" w:type="dxa"/>
              <w:right w:w="134" w:type="dxa"/>
            </w:tcMar>
            <w:vAlign w:val="center"/>
          </w:tcPr>
          <w:p w14:paraId="0250D09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核心目标单元</w:t>
            </w:r>
          </w:p>
        </w:tc>
        <w:tc>
          <w:tcPr>
            <w:tcW w:w="2509" w:type="dxa"/>
            <w:vAlign w:val="center"/>
          </w:tcPr>
          <w:p w14:paraId="61BED3A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三角镇</w:t>
            </w:r>
          </w:p>
        </w:tc>
        <w:tc>
          <w:tcPr>
            <w:tcW w:w="2509" w:type="dxa"/>
            <w:shd w:val="clear" w:color="auto" w:fill="auto"/>
            <w:tcMar>
              <w:top w:w="15" w:type="dxa"/>
              <w:left w:w="134" w:type="dxa"/>
              <w:bottom w:w="0" w:type="dxa"/>
              <w:right w:w="134" w:type="dxa"/>
            </w:tcMar>
            <w:vAlign w:val="center"/>
          </w:tcPr>
          <w:p w14:paraId="68CBE5F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BBZT-SJ</w:t>
            </w:r>
          </w:p>
        </w:tc>
        <w:tc>
          <w:tcPr>
            <w:tcW w:w="2507" w:type="dxa"/>
            <w:shd w:val="clear" w:color="auto" w:fill="auto"/>
            <w:tcMar>
              <w:top w:w="15" w:type="dxa"/>
              <w:left w:w="134" w:type="dxa"/>
              <w:bottom w:w="0" w:type="dxa"/>
              <w:right w:w="134" w:type="dxa"/>
            </w:tcMar>
            <w:vAlign w:val="center"/>
          </w:tcPr>
          <w:p w14:paraId="6384937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r>
      <w:tr w14:paraId="06D70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 w:hRule="atLeast"/>
          <w:jc w:val="center"/>
        </w:trPr>
        <w:tc>
          <w:tcPr>
            <w:tcW w:w="2510" w:type="dxa"/>
            <w:vMerge w:val="restart"/>
            <w:shd w:val="clear" w:color="auto" w:fill="auto"/>
            <w:tcMar>
              <w:top w:w="15" w:type="dxa"/>
              <w:left w:w="134" w:type="dxa"/>
              <w:bottom w:w="0" w:type="dxa"/>
              <w:right w:w="134" w:type="dxa"/>
            </w:tcMar>
            <w:vAlign w:val="center"/>
          </w:tcPr>
          <w:p w14:paraId="43A862D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基础目标单元</w:t>
            </w:r>
          </w:p>
        </w:tc>
        <w:tc>
          <w:tcPr>
            <w:tcW w:w="2509" w:type="dxa"/>
            <w:vAlign w:val="center"/>
          </w:tcPr>
          <w:p w14:paraId="21F1EC5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东凤镇</w:t>
            </w:r>
          </w:p>
        </w:tc>
        <w:tc>
          <w:tcPr>
            <w:tcW w:w="2509" w:type="dxa"/>
            <w:shd w:val="clear" w:color="auto" w:fill="auto"/>
            <w:tcMar>
              <w:top w:w="15" w:type="dxa"/>
              <w:left w:w="134" w:type="dxa"/>
              <w:bottom w:w="0" w:type="dxa"/>
              <w:right w:w="134" w:type="dxa"/>
            </w:tcMar>
            <w:vAlign w:val="center"/>
          </w:tcPr>
          <w:p w14:paraId="10C61185">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BBZT-DF</w:t>
            </w:r>
          </w:p>
        </w:tc>
        <w:tc>
          <w:tcPr>
            <w:tcW w:w="2507" w:type="dxa"/>
            <w:vMerge w:val="restart"/>
            <w:shd w:val="clear" w:color="auto" w:fill="auto"/>
            <w:tcMar>
              <w:top w:w="15" w:type="dxa"/>
              <w:left w:w="134" w:type="dxa"/>
              <w:bottom w:w="0" w:type="dxa"/>
              <w:right w:w="134" w:type="dxa"/>
            </w:tcMar>
            <w:vAlign w:val="center"/>
          </w:tcPr>
          <w:p w14:paraId="162BDE8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4</w:t>
            </w:r>
          </w:p>
        </w:tc>
      </w:tr>
      <w:tr w14:paraId="4F619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 w:hRule="atLeast"/>
          <w:jc w:val="center"/>
        </w:trPr>
        <w:tc>
          <w:tcPr>
            <w:tcW w:w="2510" w:type="dxa"/>
            <w:vMerge w:val="continue"/>
            <w:shd w:val="clear" w:color="auto" w:fill="auto"/>
            <w:tcMar>
              <w:top w:w="15" w:type="dxa"/>
              <w:left w:w="134" w:type="dxa"/>
              <w:bottom w:w="0" w:type="dxa"/>
              <w:right w:w="134" w:type="dxa"/>
            </w:tcMar>
            <w:vAlign w:val="center"/>
          </w:tcPr>
          <w:p w14:paraId="419D4C5E">
            <w:pPr>
              <w:widowControl/>
              <w:jc w:val="center"/>
              <w:textAlignment w:val="center"/>
              <w:rPr>
                <w:rFonts w:hint="default" w:ascii="Times New Roman" w:hAnsi="Times New Roman" w:eastAsia="宋体" w:cs="Times New Roman"/>
                <w:b w:val="0"/>
                <w:bCs w:val="0"/>
                <w:color w:val="000000"/>
                <w:kern w:val="0"/>
                <w:sz w:val="21"/>
                <w:szCs w:val="21"/>
              </w:rPr>
            </w:pPr>
          </w:p>
        </w:tc>
        <w:tc>
          <w:tcPr>
            <w:tcW w:w="2509" w:type="dxa"/>
            <w:vAlign w:val="center"/>
          </w:tcPr>
          <w:p w14:paraId="7BD792A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南头镇</w:t>
            </w:r>
          </w:p>
        </w:tc>
        <w:tc>
          <w:tcPr>
            <w:tcW w:w="2509" w:type="dxa"/>
            <w:shd w:val="clear" w:color="auto" w:fill="auto"/>
            <w:tcMar>
              <w:top w:w="15" w:type="dxa"/>
              <w:left w:w="134" w:type="dxa"/>
              <w:bottom w:w="0" w:type="dxa"/>
              <w:right w:w="134" w:type="dxa"/>
            </w:tcMar>
            <w:vAlign w:val="center"/>
          </w:tcPr>
          <w:p w14:paraId="1511872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BBZT-NT</w:t>
            </w:r>
          </w:p>
        </w:tc>
        <w:tc>
          <w:tcPr>
            <w:tcW w:w="2507" w:type="dxa"/>
            <w:vMerge w:val="continue"/>
            <w:shd w:val="clear" w:color="auto" w:fill="auto"/>
            <w:tcMar>
              <w:top w:w="15" w:type="dxa"/>
              <w:left w:w="134" w:type="dxa"/>
              <w:bottom w:w="0" w:type="dxa"/>
              <w:right w:w="134" w:type="dxa"/>
            </w:tcMar>
            <w:vAlign w:val="center"/>
          </w:tcPr>
          <w:p w14:paraId="08F13D9A">
            <w:pPr>
              <w:pStyle w:val="48"/>
              <w:rPr>
                <w:rFonts w:hint="default" w:ascii="Times New Roman" w:hAnsi="Times New Roman" w:cs="Times New Roman"/>
                <w:b w:val="0"/>
                <w:bCs w:val="0"/>
                <w:kern w:val="0"/>
                <w:sz w:val="21"/>
                <w:szCs w:val="21"/>
              </w:rPr>
            </w:pPr>
          </w:p>
        </w:tc>
      </w:tr>
      <w:tr w14:paraId="6AC21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 w:hRule="atLeast"/>
          <w:jc w:val="center"/>
        </w:trPr>
        <w:tc>
          <w:tcPr>
            <w:tcW w:w="2510" w:type="dxa"/>
            <w:vMerge w:val="continue"/>
            <w:shd w:val="clear" w:color="auto" w:fill="auto"/>
            <w:tcMar>
              <w:top w:w="15" w:type="dxa"/>
              <w:left w:w="134" w:type="dxa"/>
              <w:bottom w:w="0" w:type="dxa"/>
              <w:right w:w="134" w:type="dxa"/>
            </w:tcMar>
            <w:vAlign w:val="center"/>
          </w:tcPr>
          <w:p w14:paraId="153B825A">
            <w:pPr>
              <w:widowControl/>
              <w:jc w:val="center"/>
              <w:textAlignment w:val="center"/>
              <w:rPr>
                <w:rFonts w:hint="default" w:ascii="Times New Roman" w:hAnsi="Times New Roman" w:eastAsia="宋体" w:cs="Times New Roman"/>
                <w:b w:val="0"/>
                <w:bCs w:val="0"/>
                <w:color w:val="000000"/>
                <w:kern w:val="0"/>
                <w:sz w:val="21"/>
                <w:szCs w:val="21"/>
              </w:rPr>
            </w:pPr>
          </w:p>
        </w:tc>
        <w:tc>
          <w:tcPr>
            <w:tcW w:w="2509" w:type="dxa"/>
            <w:vAlign w:val="center"/>
          </w:tcPr>
          <w:p w14:paraId="147642C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黄圃镇</w:t>
            </w:r>
          </w:p>
        </w:tc>
        <w:tc>
          <w:tcPr>
            <w:tcW w:w="2509" w:type="dxa"/>
            <w:shd w:val="clear" w:color="auto" w:fill="auto"/>
            <w:tcMar>
              <w:top w:w="15" w:type="dxa"/>
              <w:left w:w="134" w:type="dxa"/>
              <w:bottom w:w="0" w:type="dxa"/>
              <w:right w:w="134" w:type="dxa"/>
            </w:tcMar>
            <w:vAlign w:val="center"/>
          </w:tcPr>
          <w:p w14:paraId="3744540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BBZT-HP</w:t>
            </w:r>
          </w:p>
        </w:tc>
        <w:tc>
          <w:tcPr>
            <w:tcW w:w="2507" w:type="dxa"/>
            <w:vMerge w:val="continue"/>
            <w:shd w:val="clear" w:color="auto" w:fill="auto"/>
            <w:tcMar>
              <w:top w:w="15" w:type="dxa"/>
              <w:left w:w="134" w:type="dxa"/>
              <w:bottom w:w="0" w:type="dxa"/>
              <w:right w:w="134" w:type="dxa"/>
            </w:tcMar>
            <w:vAlign w:val="center"/>
          </w:tcPr>
          <w:p w14:paraId="212BFD55">
            <w:pPr>
              <w:pStyle w:val="48"/>
              <w:rPr>
                <w:rFonts w:hint="default" w:ascii="Times New Roman" w:hAnsi="Times New Roman" w:cs="Times New Roman"/>
                <w:b w:val="0"/>
                <w:bCs w:val="0"/>
                <w:kern w:val="0"/>
                <w:sz w:val="21"/>
                <w:szCs w:val="21"/>
              </w:rPr>
            </w:pPr>
          </w:p>
        </w:tc>
      </w:tr>
      <w:tr w14:paraId="098CA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 w:hRule="atLeast"/>
          <w:jc w:val="center"/>
        </w:trPr>
        <w:tc>
          <w:tcPr>
            <w:tcW w:w="2510" w:type="dxa"/>
            <w:vMerge w:val="continue"/>
            <w:shd w:val="clear" w:color="auto" w:fill="auto"/>
            <w:tcMar>
              <w:top w:w="15" w:type="dxa"/>
              <w:left w:w="134" w:type="dxa"/>
              <w:bottom w:w="0" w:type="dxa"/>
              <w:right w:w="134" w:type="dxa"/>
            </w:tcMar>
            <w:vAlign w:val="center"/>
          </w:tcPr>
          <w:p w14:paraId="3D9C52DB">
            <w:pPr>
              <w:widowControl/>
              <w:jc w:val="center"/>
              <w:textAlignment w:val="center"/>
              <w:rPr>
                <w:rFonts w:hint="default" w:ascii="Times New Roman" w:hAnsi="Times New Roman" w:eastAsia="宋体" w:cs="Times New Roman"/>
                <w:b w:val="0"/>
                <w:bCs w:val="0"/>
                <w:color w:val="000000"/>
                <w:kern w:val="0"/>
                <w:sz w:val="21"/>
                <w:szCs w:val="21"/>
              </w:rPr>
            </w:pPr>
          </w:p>
        </w:tc>
        <w:tc>
          <w:tcPr>
            <w:tcW w:w="2509" w:type="dxa"/>
            <w:vAlign w:val="center"/>
          </w:tcPr>
          <w:p w14:paraId="23DA8809">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阜沙镇</w:t>
            </w:r>
          </w:p>
        </w:tc>
        <w:tc>
          <w:tcPr>
            <w:tcW w:w="2509" w:type="dxa"/>
            <w:shd w:val="clear" w:color="auto" w:fill="auto"/>
            <w:tcMar>
              <w:top w:w="15" w:type="dxa"/>
              <w:left w:w="134" w:type="dxa"/>
              <w:bottom w:w="0" w:type="dxa"/>
              <w:right w:w="134" w:type="dxa"/>
            </w:tcMar>
            <w:vAlign w:val="center"/>
          </w:tcPr>
          <w:p w14:paraId="6873B3E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BBZT-FS</w:t>
            </w:r>
          </w:p>
        </w:tc>
        <w:tc>
          <w:tcPr>
            <w:tcW w:w="2507" w:type="dxa"/>
            <w:vMerge w:val="continue"/>
            <w:shd w:val="clear" w:color="auto" w:fill="auto"/>
            <w:tcMar>
              <w:top w:w="15" w:type="dxa"/>
              <w:left w:w="134" w:type="dxa"/>
              <w:bottom w:w="0" w:type="dxa"/>
              <w:right w:w="134" w:type="dxa"/>
            </w:tcMar>
            <w:vAlign w:val="center"/>
          </w:tcPr>
          <w:p w14:paraId="31BD262C">
            <w:pPr>
              <w:pStyle w:val="48"/>
              <w:rPr>
                <w:rFonts w:hint="default" w:ascii="Times New Roman" w:hAnsi="Times New Roman" w:cs="Times New Roman"/>
                <w:b w:val="0"/>
                <w:bCs w:val="0"/>
                <w:kern w:val="0"/>
                <w:sz w:val="21"/>
                <w:szCs w:val="21"/>
              </w:rPr>
            </w:pPr>
          </w:p>
        </w:tc>
      </w:tr>
      <w:bookmarkEnd w:id="168"/>
    </w:tbl>
    <w:p w14:paraId="5C6C1D7A">
      <w:pPr>
        <w:pStyle w:val="48"/>
        <w:rPr>
          <w:rFonts w:hint="default" w:ascii="Times New Roman" w:hAnsi="Times New Roman" w:cs="Times New Roman"/>
          <w:b w:val="0"/>
          <w:kern w:val="0"/>
          <w:sz w:val="21"/>
          <w:szCs w:val="21"/>
        </w:rPr>
      </w:pPr>
    </w:p>
    <w:p w14:paraId="2970A383">
      <w:pPr>
        <w:pStyle w:val="48"/>
        <w:rPr>
          <w:rFonts w:hint="default" w:ascii="Times New Roman" w:hAnsi="Times New Roman" w:cs="Times New Roman"/>
        </w:rPr>
      </w:pPr>
      <w:r>
        <w:rPr>
          <w:rFonts w:hint="default" w:ascii="Times New Roman" w:hAnsi="Times New Roman" w:cs="Times New Roman"/>
        </w:rPr>
        <w:drawing>
          <wp:inline distT="0" distB="0" distL="0" distR="0">
            <wp:extent cx="6378575" cy="4505325"/>
            <wp:effectExtent l="0" t="0" r="3175"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58"/>
                    <a:stretch>
                      <a:fillRect/>
                    </a:stretch>
                  </pic:blipFill>
                  <pic:spPr>
                    <a:xfrm>
                      <a:off x="0" y="0"/>
                      <a:ext cx="6378575" cy="4505325"/>
                    </a:xfrm>
                    <a:prstGeom prst="rect">
                      <a:avLst/>
                    </a:prstGeom>
                  </pic:spPr>
                </pic:pic>
              </a:graphicData>
            </a:graphic>
          </wp:inline>
        </w:drawing>
      </w:r>
    </w:p>
    <w:p w14:paraId="463A992B">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图6-6 北部发展组团目标单元管控图</w:t>
      </w:r>
    </w:p>
    <w:bookmarkEnd w:id="166"/>
    <w:p w14:paraId="164FF5CD">
      <w:pPr>
        <w:pStyle w:val="6"/>
        <w:numPr>
          <w:ilvl w:val="255"/>
          <w:numId w:val="0"/>
        </w:numPr>
        <w:ind w:firstLine="561"/>
        <w:rPr>
          <w:rFonts w:hint="default" w:ascii="Times New Roman" w:hAnsi="Times New Roman" w:cs="Times New Roman"/>
        </w:rPr>
      </w:pPr>
      <w:bookmarkStart w:id="169" w:name="_Toc124352545"/>
      <w:r>
        <w:rPr>
          <w:rFonts w:hint="default" w:ascii="Times New Roman" w:hAnsi="Times New Roman" w:cs="Times New Roman"/>
        </w:rPr>
        <w:t>6.2.7 目标单元管控要求</w:t>
      </w:r>
      <w:bookmarkEnd w:id="169"/>
    </w:p>
    <w:p w14:paraId="1A77BC8F">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70" w:name="_Hlk110099125"/>
      <w:r>
        <w:rPr>
          <w:rFonts w:hint="default" w:ascii="Times New Roman" w:hAnsi="Times New Roman" w:eastAsia="宋体" w:cs="Times New Roman"/>
          <w:sz w:val="28"/>
          <w:szCs w:val="28"/>
        </w:rPr>
        <w:t>根据目标管理单元划分，中山市绿色建筑发展实行重点区域、核心目标单元和基础目标单元三级管理，并根据指标控制的方式设置约束性指标和预期性指标。</w:t>
      </w:r>
      <w:bookmarkEnd w:id="170"/>
    </w:p>
    <w:p w14:paraId="5AB16929">
      <w:pPr>
        <w:widowControl/>
        <w:adjustRightInd w:val="0"/>
        <w:snapToGrid w:val="0"/>
        <w:spacing w:line="360" w:lineRule="auto"/>
        <w:ind w:firstLine="560" w:firstLineChars="200"/>
        <w:rPr>
          <w:rFonts w:hint="default" w:ascii="Times New Roman" w:hAnsi="Times New Roman" w:eastAsia="宋体" w:cs="Times New Roman"/>
          <w:sz w:val="28"/>
          <w:szCs w:val="28"/>
        </w:rPr>
        <w:sectPr>
          <w:footerReference r:id="rId11" w:type="default"/>
          <w:pgSz w:w="11906" w:h="16838"/>
          <w:pgMar w:top="1440" w:right="1800" w:bottom="1440" w:left="1800" w:header="567" w:footer="992" w:gutter="0"/>
          <w:pgNumType w:start="1"/>
          <w:cols w:space="425" w:num="1"/>
          <w:docGrid w:type="lines" w:linePitch="312" w:charSpace="0"/>
        </w:sectPr>
      </w:pPr>
      <w:r>
        <w:rPr>
          <w:rFonts w:hint="default" w:ascii="Times New Roman" w:hAnsi="Times New Roman" w:eastAsia="宋体" w:cs="Times New Roman"/>
          <w:sz w:val="28"/>
          <w:szCs w:val="28"/>
        </w:rPr>
        <w:t>其中，约束性指标具体控制内容见表6-7。预期性指标包括绿色建筑改造、体育设施室外用地面积、场地声环境质量、电动汽车充电设施安装（预留）比例等，具体引导要求见下表6-8。</w:t>
      </w:r>
    </w:p>
    <w:p w14:paraId="61D64B33">
      <w:pPr>
        <w:widowControl/>
        <w:adjustRightInd w:val="0"/>
        <w:snapToGrid w:val="0"/>
        <w:spacing w:line="360" w:lineRule="auto"/>
        <w:rPr>
          <w:rFonts w:hint="default" w:ascii="Times New Roman" w:hAnsi="Times New Roman" w:eastAsia="宋体" w:cs="Times New Roman"/>
          <w:sz w:val="28"/>
          <w:szCs w:val="28"/>
        </w:rPr>
      </w:pPr>
    </w:p>
    <w:p w14:paraId="687BB855">
      <w:pPr>
        <w:pStyle w:val="48"/>
        <w:widowControl/>
        <w:adjustRightInd w:val="0"/>
        <w:snapToGrid w:val="0"/>
        <w:spacing w:line="360" w:lineRule="auto"/>
        <w:rPr>
          <w:rFonts w:hint="default" w:ascii="Times New Roman" w:hAnsi="Times New Roman" w:eastAsia="宋体" w:cs="Times New Roman"/>
          <w:sz w:val="21"/>
          <w:szCs w:val="21"/>
        </w:rPr>
      </w:pPr>
      <w:bookmarkStart w:id="171" w:name="_Hlk102588636"/>
      <w:bookmarkStart w:id="172" w:name="_Hlk110099242"/>
      <w:bookmarkStart w:id="173" w:name="_Hlk110100663"/>
      <w:r>
        <w:rPr>
          <w:rFonts w:hint="default" w:ascii="Times New Roman" w:hAnsi="Times New Roman" w:eastAsia="宋体" w:cs="Times New Roman"/>
          <w:sz w:val="21"/>
          <w:szCs w:val="21"/>
        </w:rPr>
        <w:t>表6-7目标单元约束性指标控制表</w:t>
      </w:r>
      <w:bookmarkEnd w:id="171"/>
    </w:p>
    <w:tbl>
      <w:tblPr>
        <w:tblStyle w:val="25"/>
        <w:tblW w:w="510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49"/>
        <w:gridCol w:w="1582"/>
        <w:gridCol w:w="1378"/>
        <w:gridCol w:w="1616"/>
        <w:gridCol w:w="1098"/>
        <w:gridCol w:w="2163"/>
        <w:gridCol w:w="6"/>
      </w:tblGrid>
      <w:tr w14:paraId="0595F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8477" w:type="dxa"/>
            <w:gridSpan w:val="6"/>
            <w:tcBorders>
              <w:top w:val="single" w:color="auto" w:sz="4" w:space="0"/>
              <w:left w:val="single" w:color="auto" w:sz="4" w:space="0"/>
              <w:bottom w:val="single" w:color="auto" w:sz="4" w:space="0"/>
              <w:right w:val="single" w:color="auto" w:sz="4" w:space="0"/>
            </w:tcBorders>
            <w:vAlign w:val="center"/>
          </w:tcPr>
          <w:p w14:paraId="6C3923E1">
            <w:pPr>
              <w:pStyle w:val="48"/>
              <w:spacing w:before="120" w:after="72"/>
              <w:ind w:firstLine="442"/>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约束性指标</w:t>
            </w:r>
          </w:p>
        </w:tc>
      </w:tr>
      <w:tr w14:paraId="005D8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restart"/>
            <w:vAlign w:val="center"/>
          </w:tcPr>
          <w:p w14:paraId="47A0F84F">
            <w:pPr>
              <w:pStyle w:val="47"/>
              <w:spacing w:after="0" w:line="240" w:lineRule="auto"/>
              <w:ind w:left="0" w:leftChars="0"/>
              <w:jc w:val="center"/>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重点区域</w:t>
            </w:r>
          </w:p>
        </w:tc>
        <w:tc>
          <w:tcPr>
            <w:tcW w:w="7829" w:type="dxa"/>
            <w:gridSpan w:val="5"/>
            <w:shd w:val="clear" w:color="auto" w:fill="auto"/>
            <w:tcMar>
              <w:top w:w="15" w:type="dxa"/>
              <w:left w:w="15" w:type="dxa"/>
              <w:right w:w="15" w:type="dxa"/>
            </w:tcMar>
            <w:vAlign w:val="center"/>
          </w:tcPr>
          <w:p w14:paraId="2D90F728">
            <w:pPr>
              <w:pStyle w:val="47"/>
              <w:spacing w:after="0" w:line="240" w:lineRule="auto"/>
              <w:ind w:left="0" w:leftChars="0"/>
              <w:jc w:val="center"/>
              <w:rPr>
                <w:rFonts w:hint="default" w:ascii="Times New Roman" w:hAnsi="Times New Roman" w:eastAsia="仿宋" w:cs="Times New Roman"/>
                <w:b w:val="0"/>
                <w:bCs w:val="0"/>
                <w:sz w:val="21"/>
                <w:szCs w:val="21"/>
              </w:rPr>
            </w:pPr>
            <w:r>
              <w:rPr>
                <w:rFonts w:hint="default" w:ascii="Times New Roman" w:hAnsi="Times New Roman" w:cs="Times New Roman"/>
                <w:b w:val="0"/>
                <w:bCs w:val="0"/>
                <w:color w:val="000000"/>
                <w:kern w:val="0"/>
                <w:sz w:val="21"/>
                <w:szCs w:val="21"/>
                <w:lang w:bidi="ar"/>
              </w:rPr>
              <w:t>新建民用建筑绿色建筑等级不低于二星</w:t>
            </w:r>
            <w:r>
              <w:rPr>
                <w:rFonts w:hint="default" w:ascii="Times New Roman" w:hAnsi="Times New Roman" w:cs="Times New Roman"/>
                <w:b w:val="0"/>
                <w:bCs w:val="0"/>
                <w:color w:val="000000"/>
                <w:kern w:val="0"/>
                <w:sz w:val="21"/>
                <w:szCs w:val="21"/>
              </w:rPr>
              <w:t>级</w:t>
            </w:r>
          </w:p>
        </w:tc>
      </w:tr>
      <w:tr w14:paraId="4786A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5670E1AF">
            <w:pPr>
              <w:pStyle w:val="48"/>
              <w:rPr>
                <w:rFonts w:hint="default" w:ascii="Times New Roman" w:hAnsi="Times New Roman" w:cs="Times New Roman"/>
                <w:b w:val="0"/>
                <w:bCs w:val="0"/>
                <w:color w:val="000000"/>
                <w:kern w:val="0"/>
                <w:sz w:val="21"/>
                <w:szCs w:val="21"/>
              </w:rPr>
            </w:pPr>
          </w:p>
        </w:tc>
        <w:tc>
          <w:tcPr>
            <w:tcW w:w="7829" w:type="dxa"/>
            <w:gridSpan w:val="5"/>
            <w:shd w:val="clear" w:color="auto" w:fill="auto"/>
            <w:tcMar>
              <w:top w:w="15" w:type="dxa"/>
              <w:left w:w="15" w:type="dxa"/>
              <w:right w:w="15" w:type="dxa"/>
            </w:tcMar>
            <w:vAlign w:val="center"/>
          </w:tcPr>
          <w:p w14:paraId="5716C795">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新建建筑类型对应要求</w:t>
            </w:r>
          </w:p>
        </w:tc>
      </w:tr>
      <w:tr w14:paraId="14373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1A147C90">
            <w:pPr>
              <w:pStyle w:val="48"/>
              <w:rPr>
                <w:rFonts w:hint="default" w:ascii="Times New Roman" w:hAnsi="Times New Roman" w:cs="Times New Roman"/>
                <w:b w:val="0"/>
                <w:bCs w:val="0"/>
                <w:color w:val="000000"/>
                <w:kern w:val="0"/>
                <w:sz w:val="21"/>
                <w:szCs w:val="21"/>
              </w:rPr>
            </w:pPr>
          </w:p>
        </w:tc>
        <w:tc>
          <w:tcPr>
            <w:tcW w:w="1580" w:type="dxa"/>
            <w:shd w:val="clear" w:color="auto" w:fill="auto"/>
            <w:tcMar>
              <w:top w:w="15" w:type="dxa"/>
              <w:left w:w="15" w:type="dxa"/>
              <w:right w:w="15" w:type="dxa"/>
            </w:tcMar>
            <w:vAlign w:val="center"/>
          </w:tcPr>
          <w:p w14:paraId="601D55B1">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建筑类型</w:t>
            </w:r>
          </w:p>
        </w:tc>
        <w:tc>
          <w:tcPr>
            <w:tcW w:w="1377" w:type="dxa"/>
            <w:shd w:val="clear" w:color="auto" w:fill="auto"/>
            <w:tcMar>
              <w:top w:w="15" w:type="dxa"/>
              <w:left w:w="15" w:type="dxa"/>
              <w:right w:w="15" w:type="dxa"/>
            </w:tcMar>
            <w:vAlign w:val="center"/>
          </w:tcPr>
          <w:p w14:paraId="28E4DE8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建筑高度</w:t>
            </w:r>
          </w:p>
        </w:tc>
        <w:tc>
          <w:tcPr>
            <w:tcW w:w="1614" w:type="dxa"/>
            <w:shd w:val="clear" w:color="auto" w:fill="auto"/>
            <w:tcMar>
              <w:top w:w="15" w:type="dxa"/>
              <w:left w:w="15" w:type="dxa"/>
              <w:right w:w="15" w:type="dxa"/>
            </w:tcMar>
            <w:vAlign w:val="center"/>
          </w:tcPr>
          <w:p w14:paraId="7BA2FB53">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建筑面积</w:t>
            </w:r>
          </w:p>
        </w:tc>
        <w:tc>
          <w:tcPr>
            <w:tcW w:w="1097" w:type="dxa"/>
            <w:shd w:val="clear" w:color="auto" w:fill="auto"/>
            <w:tcMar>
              <w:top w:w="15" w:type="dxa"/>
              <w:left w:w="15" w:type="dxa"/>
              <w:right w:w="15" w:type="dxa"/>
            </w:tcMar>
            <w:vAlign w:val="center"/>
          </w:tcPr>
          <w:p w14:paraId="74BFF3A6">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绿色建筑等级要求</w:t>
            </w:r>
          </w:p>
        </w:tc>
        <w:tc>
          <w:tcPr>
            <w:tcW w:w="2161" w:type="dxa"/>
            <w:shd w:val="clear" w:color="auto" w:fill="auto"/>
            <w:tcMar>
              <w:top w:w="15" w:type="dxa"/>
              <w:left w:w="15" w:type="dxa"/>
              <w:right w:w="15" w:type="dxa"/>
            </w:tcMar>
            <w:vAlign w:val="center"/>
          </w:tcPr>
          <w:p w14:paraId="0F1EA60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能效水平提升比例</w:t>
            </w:r>
          </w:p>
        </w:tc>
      </w:tr>
      <w:tr w14:paraId="6EAEC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2D7EB16B">
            <w:pPr>
              <w:pStyle w:val="48"/>
              <w:rPr>
                <w:rFonts w:hint="default" w:ascii="Times New Roman" w:hAnsi="Times New Roman" w:cs="Times New Roman"/>
                <w:b w:val="0"/>
                <w:bCs w:val="0"/>
                <w:color w:val="000000"/>
                <w:kern w:val="0"/>
                <w:sz w:val="21"/>
                <w:szCs w:val="21"/>
              </w:rPr>
            </w:pPr>
          </w:p>
        </w:tc>
        <w:tc>
          <w:tcPr>
            <w:tcW w:w="1580" w:type="dxa"/>
            <w:vMerge w:val="restart"/>
            <w:shd w:val="clear" w:color="auto" w:fill="auto"/>
            <w:tcMar>
              <w:top w:w="15" w:type="dxa"/>
              <w:left w:w="15" w:type="dxa"/>
              <w:right w:w="15" w:type="dxa"/>
            </w:tcMar>
            <w:vAlign w:val="center"/>
          </w:tcPr>
          <w:p w14:paraId="02374B78">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居住建筑</w:t>
            </w:r>
          </w:p>
          <w:p w14:paraId="13E0A46F">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（包括工业用地范围内用于居住功能的建筑）</w:t>
            </w:r>
          </w:p>
        </w:tc>
        <w:tc>
          <w:tcPr>
            <w:tcW w:w="1377" w:type="dxa"/>
            <w:shd w:val="clear" w:color="auto" w:fill="auto"/>
            <w:tcMar>
              <w:top w:w="15" w:type="dxa"/>
              <w:left w:w="15" w:type="dxa"/>
              <w:right w:w="15" w:type="dxa"/>
            </w:tcMar>
            <w:vAlign w:val="center"/>
          </w:tcPr>
          <w:p w14:paraId="083F343C">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超高层建筑</w:t>
            </w:r>
          </w:p>
        </w:tc>
        <w:tc>
          <w:tcPr>
            <w:tcW w:w="1614" w:type="dxa"/>
            <w:shd w:val="clear" w:color="auto" w:fill="auto"/>
            <w:tcMar>
              <w:top w:w="15" w:type="dxa"/>
              <w:left w:w="15" w:type="dxa"/>
              <w:right w:w="15" w:type="dxa"/>
            </w:tcMar>
            <w:vAlign w:val="center"/>
          </w:tcPr>
          <w:p w14:paraId="57DBE0DA">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w:t>
            </w:r>
          </w:p>
        </w:tc>
        <w:tc>
          <w:tcPr>
            <w:tcW w:w="1097" w:type="dxa"/>
            <w:shd w:val="clear" w:color="auto" w:fill="auto"/>
            <w:tcMar>
              <w:top w:w="15" w:type="dxa"/>
              <w:left w:w="15" w:type="dxa"/>
              <w:right w:w="15" w:type="dxa"/>
            </w:tcMar>
            <w:vAlign w:val="center"/>
          </w:tcPr>
          <w:p w14:paraId="3E5EAE3F">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三星级</w:t>
            </w:r>
          </w:p>
        </w:tc>
        <w:tc>
          <w:tcPr>
            <w:tcW w:w="2161" w:type="dxa"/>
            <w:vMerge w:val="restart"/>
            <w:shd w:val="clear" w:color="auto" w:fill="auto"/>
            <w:tcMar>
              <w:top w:w="15" w:type="dxa"/>
              <w:left w:w="15" w:type="dxa"/>
              <w:right w:w="15" w:type="dxa"/>
            </w:tcMar>
            <w:vAlign w:val="center"/>
          </w:tcPr>
          <w:p w14:paraId="3FD70379">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城镇新建居住建筑能效水平提升比例≥30%</w:t>
            </w:r>
          </w:p>
        </w:tc>
      </w:tr>
      <w:tr w14:paraId="6B294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3858157C">
            <w:pPr>
              <w:pStyle w:val="48"/>
              <w:rPr>
                <w:rFonts w:hint="default" w:ascii="Times New Roman" w:hAnsi="Times New Roman" w:cs="Times New Roman"/>
                <w:b w:val="0"/>
                <w:bCs w:val="0"/>
                <w:color w:val="000000"/>
                <w:kern w:val="0"/>
                <w:sz w:val="21"/>
                <w:szCs w:val="21"/>
              </w:rPr>
            </w:pPr>
          </w:p>
        </w:tc>
        <w:tc>
          <w:tcPr>
            <w:tcW w:w="1580" w:type="dxa"/>
            <w:vMerge w:val="continue"/>
            <w:shd w:val="clear" w:color="auto" w:fill="auto"/>
            <w:tcMar>
              <w:top w:w="15" w:type="dxa"/>
              <w:left w:w="15" w:type="dxa"/>
              <w:right w:w="15" w:type="dxa"/>
            </w:tcMar>
            <w:vAlign w:val="center"/>
          </w:tcPr>
          <w:p w14:paraId="0FD6F231">
            <w:pPr>
              <w:pStyle w:val="48"/>
              <w:rPr>
                <w:rFonts w:hint="default" w:ascii="Times New Roman" w:hAnsi="Times New Roman" w:cs="Times New Roman"/>
                <w:b w:val="0"/>
                <w:bCs w:val="0"/>
                <w:color w:val="000000"/>
                <w:kern w:val="0"/>
                <w:sz w:val="21"/>
                <w:szCs w:val="21"/>
              </w:rPr>
            </w:pPr>
          </w:p>
        </w:tc>
        <w:tc>
          <w:tcPr>
            <w:tcW w:w="1377" w:type="dxa"/>
            <w:vMerge w:val="restart"/>
            <w:shd w:val="clear" w:color="auto" w:fill="auto"/>
            <w:tcMar>
              <w:top w:w="15" w:type="dxa"/>
              <w:left w:w="15" w:type="dxa"/>
              <w:right w:w="15" w:type="dxa"/>
            </w:tcMar>
            <w:vAlign w:val="center"/>
          </w:tcPr>
          <w:p w14:paraId="5B800C90">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非超高层建筑</w:t>
            </w:r>
          </w:p>
        </w:tc>
        <w:tc>
          <w:tcPr>
            <w:tcW w:w="1614" w:type="dxa"/>
            <w:shd w:val="clear" w:color="auto" w:fill="auto"/>
            <w:tcMar>
              <w:top w:w="15" w:type="dxa"/>
              <w:left w:w="15" w:type="dxa"/>
              <w:right w:w="15" w:type="dxa"/>
            </w:tcMar>
            <w:vAlign w:val="center"/>
          </w:tcPr>
          <w:p w14:paraId="19CD5DB3">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计容建筑面积＞10万平方米</w:t>
            </w:r>
          </w:p>
        </w:tc>
        <w:tc>
          <w:tcPr>
            <w:tcW w:w="1097" w:type="dxa"/>
            <w:shd w:val="clear" w:color="auto" w:fill="auto"/>
            <w:tcMar>
              <w:top w:w="15" w:type="dxa"/>
              <w:left w:w="15" w:type="dxa"/>
              <w:right w:w="15" w:type="dxa"/>
            </w:tcMar>
            <w:vAlign w:val="center"/>
          </w:tcPr>
          <w:p w14:paraId="2441BAE3">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三星级</w:t>
            </w:r>
          </w:p>
        </w:tc>
        <w:tc>
          <w:tcPr>
            <w:tcW w:w="2161" w:type="dxa"/>
            <w:vMerge w:val="continue"/>
            <w:shd w:val="clear" w:color="auto" w:fill="auto"/>
            <w:tcMar>
              <w:top w:w="15" w:type="dxa"/>
              <w:left w:w="15" w:type="dxa"/>
              <w:right w:w="15" w:type="dxa"/>
            </w:tcMar>
            <w:vAlign w:val="center"/>
          </w:tcPr>
          <w:p w14:paraId="52EDC5CD">
            <w:pPr>
              <w:widowControl/>
              <w:jc w:val="center"/>
              <w:textAlignment w:val="center"/>
              <w:rPr>
                <w:rFonts w:hint="default" w:ascii="Times New Roman" w:hAnsi="Times New Roman" w:eastAsia="仿宋" w:cs="Times New Roman"/>
                <w:b w:val="0"/>
                <w:bCs w:val="0"/>
                <w:color w:val="000000"/>
                <w:kern w:val="0"/>
                <w:sz w:val="21"/>
                <w:szCs w:val="21"/>
              </w:rPr>
            </w:pPr>
          </w:p>
        </w:tc>
      </w:tr>
      <w:tr w14:paraId="43931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1830A1A1">
            <w:pPr>
              <w:pStyle w:val="48"/>
              <w:rPr>
                <w:rFonts w:hint="default" w:ascii="Times New Roman" w:hAnsi="Times New Roman" w:cs="Times New Roman"/>
                <w:b w:val="0"/>
                <w:bCs w:val="0"/>
                <w:color w:val="000000"/>
                <w:kern w:val="0"/>
                <w:sz w:val="21"/>
                <w:szCs w:val="21"/>
              </w:rPr>
            </w:pPr>
          </w:p>
        </w:tc>
        <w:tc>
          <w:tcPr>
            <w:tcW w:w="1580" w:type="dxa"/>
            <w:vMerge w:val="continue"/>
            <w:shd w:val="clear" w:color="auto" w:fill="auto"/>
            <w:tcMar>
              <w:top w:w="15" w:type="dxa"/>
              <w:left w:w="15" w:type="dxa"/>
              <w:right w:w="15" w:type="dxa"/>
            </w:tcMar>
            <w:vAlign w:val="center"/>
          </w:tcPr>
          <w:p w14:paraId="27712C23">
            <w:pPr>
              <w:pStyle w:val="48"/>
              <w:rPr>
                <w:rFonts w:hint="default" w:ascii="Times New Roman" w:hAnsi="Times New Roman" w:cs="Times New Roman"/>
                <w:b w:val="0"/>
                <w:bCs w:val="0"/>
                <w:color w:val="000000"/>
                <w:kern w:val="0"/>
                <w:sz w:val="21"/>
                <w:szCs w:val="21"/>
              </w:rPr>
            </w:pPr>
          </w:p>
        </w:tc>
        <w:tc>
          <w:tcPr>
            <w:tcW w:w="1377" w:type="dxa"/>
            <w:vMerge w:val="continue"/>
            <w:shd w:val="clear" w:color="auto" w:fill="auto"/>
            <w:tcMar>
              <w:top w:w="15" w:type="dxa"/>
              <w:left w:w="15" w:type="dxa"/>
              <w:right w:w="15" w:type="dxa"/>
            </w:tcMar>
            <w:vAlign w:val="center"/>
          </w:tcPr>
          <w:p w14:paraId="3AE3199A">
            <w:pPr>
              <w:widowControl/>
              <w:jc w:val="center"/>
              <w:textAlignment w:val="center"/>
              <w:rPr>
                <w:rFonts w:hint="default" w:ascii="Times New Roman" w:hAnsi="Times New Roman" w:eastAsia="仿宋" w:cs="Times New Roman"/>
                <w:b w:val="0"/>
                <w:bCs w:val="0"/>
                <w:color w:val="000000"/>
                <w:kern w:val="0"/>
                <w:sz w:val="21"/>
                <w:szCs w:val="21"/>
              </w:rPr>
            </w:pPr>
          </w:p>
        </w:tc>
        <w:tc>
          <w:tcPr>
            <w:tcW w:w="1614" w:type="dxa"/>
            <w:shd w:val="clear" w:color="auto" w:fill="auto"/>
            <w:tcMar>
              <w:top w:w="15" w:type="dxa"/>
              <w:left w:w="15" w:type="dxa"/>
              <w:right w:w="15" w:type="dxa"/>
            </w:tcMar>
            <w:vAlign w:val="center"/>
          </w:tcPr>
          <w:p w14:paraId="12745875">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计容建筑面积≤10万平方米</w:t>
            </w:r>
          </w:p>
        </w:tc>
        <w:tc>
          <w:tcPr>
            <w:tcW w:w="1097" w:type="dxa"/>
            <w:shd w:val="clear" w:color="auto" w:fill="auto"/>
            <w:tcMar>
              <w:top w:w="15" w:type="dxa"/>
              <w:left w:w="15" w:type="dxa"/>
              <w:right w:w="15" w:type="dxa"/>
            </w:tcMar>
            <w:vAlign w:val="center"/>
          </w:tcPr>
          <w:p w14:paraId="68B7F023">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二星级</w:t>
            </w:r>
          </w:p>
        </w:tc>
        <w:tc>
          <w:tcPr>
            <w:tcW w:w="2161" w:type="dxa"/>
            <w:vMerge w:val="continue"/>
            <w:shd w:val="clear" w:color="auto" w:fill="auto"/>
            <w:tcMar>
              <w:top w:w="15" w:type="dxa"/>
              <w:left w:w="15" w:type="dxa"/>
              <w:right w:w="15" w:type="dxa"/>
            </w:tcMar>
            <w:vAlign w:val="center"/>
          </w:tcPr>
          <w:p w14:paraId="0DB17F65">
            <w:pPr>
              <w:widowControl/>
              <w:jc w:val="center"/>
              <w:textAlignment w:val="center"/>
              <w:rPr>
                <w:rFonts w:hint="default" w:ascii="Times New Roman" w:hAnsi="Times New Roman" w:eastAsia="仿宋" w:cs="Times New Roman"/>
                <w:b w:val="0"/>
                <w:bCs w:val="0"/>
                <w:color w:val="000000"/>
                <w:kern w:val="0"/>
                <w:sz w:val="21"/>
                <w:szCs w:val="21"/>
              </w:rPr>
            </w:pPr>
          </w:p>
        </w:tc>
      </w:tr>
      <w:tr w14:paraId="3C40E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4BCE58C3">
            <w:pPr>
              <w:pStyle w:val="48"/>
              <w:rPr>
                <w:rFonts w:hint="default" w:ascii="Times New Roman" w:hAnsi="Times New Roman" w:cs="Times New Roman"/>
                <w:b w:val="0"/>
                <w:bCs w:val="0"/>
                <w:color w:val="000000"/>
                <w:kern w:val="0"/>
                <w:sz w:val="21"/>
                <w:szCs w:val="21"/>
              </w:rPr>
            </w:pPr>
          </w:p>
        </w:tc>
        <w:tc>
          <w:tcPr>
            <w:tcW w:w="1580" w:type="dxa"/>
            <w:vMerge w:val="restart"/>
            <w:shd w:val="clear" w:color="auto" w:fill="auto"/>
            <w:tcMar>
              <w:top w:w="15" w:type="dxa"/>
              <w:left w:w="15" w:type="dxa"/>
              <w:right w:w="15" w:type="dxa"/>
            </w:tcMar>
            <w:vAlign w:val="center"/>
          </w:tcPr>
          <w:p w14:paraId="2A34FE0D">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公共建筑</w:t>
            </w:r>
          </w:p>
          <w:p w14:paraId="3B7B8343">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（包括工业用地范围内用于办公功能的建筑）</w:t>
            </w:r>
          </w:p>
        </w:tc>
        <w:tc>
          <w:tcPr>
            <w:tcW w:w="1377" w:type="dxa"/>
            <w:shd w:val="clear" w:color="auto" w:fill="auto"/>
            <w:tcMar>
              <w:top w:w="15" w:type="dxa"/>
              <w:left w:w="15" w:type="dxa"/>
              <w:right w:w="15" w:type="dxa"/>
            </w:tcMar>
            <w:vAlign w:val="center"/>
          </w:tcPr>
          <w:p w14:paraId="45CD2F7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超高层建筑</w:t>
            </w:r>
          </w:p>
        </w:tc>
        <w:tc>
          <w:tcPr>
            <w:tcW w:w="1614" w:type="dxa"/>
            <w:shd w:val="clear" w:color="auto" w:fill="auto"/>
            <w:tcMar>
              <w:top w:w="15" w:type="dxa"/>
              <w:left w:w="15" w:type="dxa"/>
              <w:right w:w="15" w:type="dxa"/>
            </w:tcMar>
            <w:vAlign w:val="center"/>
          </w:tcPr>
          <w:p w14:paraId="5D93A886">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w:t>
            </w:r>
          </w:p>
        </w:tc>
        <w:tc>
          <w:tcPr>
            <w:tcW w:w="1097" w:type="dxa"/>
            <w:shd w:val="clear" w:color="auto" w:fill="auto"/>
            <w:tcMar>
              <w:top w:w="15" w:type="dxa"/>
              <w:left w:w="15" w:type="dxa"/>
              <w:right w:w="15" w:type="dxa"/>
            </w:tcMar>
            <w:vAlign w:val="center"/>
          </w:tcPr>
          <w:p w14:paraId="41F62CA7">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三星级</w:t>
            </w:r>
          </w:p>
        </w:tc>
        <w:tc>
          <w:tcPr>
            <w:tcW w:w="2161" w:type="dxa"/>
            <w:vMerge w:val="restart"/>
            <w:shd w:val="clear" w:color="auto" w:fill="auto"/>
            <w:tcMar>
              <w:top w:w="15" w:type="dxa"/>
              <w:left w:w="15" w:type="dxa"/>
              <w:right w:w="15" w:type="dxa"/>
            </w:tcMar>
            <w:vAlign w:val="center"/>
          </w:tcPr>
          <w:p w14:paraId="46C700A8">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城镇新建公共建筑能效水平提升比例≥20%</w:t>
            </w:r>
          </w:p>
        </w:tc>
      </w:tr>
      <w:tr w14:paraId="7E112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558A0086">
            <w:pPr>
              <w:pStyle w:val="48"/>
              <w:spacing w:before="156" w:after="93"/>
              <w:rPr>
                <w:rFonts w:hint="default" w:ascii="Times New Roman" w:hAnsi="Times New Roman" w:eastAsia="仿宋" w:cs="Times New Roman"/>
                <w:b w:val="0"/>
                <w:bCs w:val="0"/>
                <w:sz w:val="21"/>
                <w:szCs w:val="21"/>
              </w:rPr>
            </w:pPr>
          </w:p>
        </w:tc>
        <w:tc>
          <w:tcPr>
            <w:tcW w:w="1580" w:type="dxa"/>
            <w:vMerge w:val="continue"/>
            <w:shd w:val="clear" w:color="auto" w:fill="auto"/>
            <w:tcMar>
              <w:top w:w="15" w:type="dxa"/>
              <w:left w:w="15" w:type="dxa"/>
              <w:right w:w="15" w:type="dxa"/>
            </w:tcMar>
            <w:vAlign w:val="center"/>
          </w:tcPr>
          <w:p w14:paraId="10306D11">
            <w:pPr>
              <w:pStyle w:val="48"/>
              <w:spacing w:before="156" w:after="93"/>
              <w:rPr>
                <w:rFonts w:hint="default" w:ascii="Times New Roman" w:hAnsi="Times New Roman" w:eastAsia="仿宋" w:cs="Times New Roman"/>
                <w:b w:val="0"/>
                <w:bCs w:val="0"/>
                <w:sz w:val="21"/>
                <w:szCs w:val="21"/>
              </w:rPr>
            </w:pPr>
          </w:p>
        </w:tc>
        <w:tc>
          <w:tcPr>
            <w:tcW w:w="1377" w:type="dxa"/>
            <w:vMerge w:val="restart"/>
            <w:shd w:val="clear" w:color="auto" w:fill="auto"/>
            <w:tcMar>
              <w:top w:w="15" w:type="dxa"/>
              <w:left w:w="15" w:type="dxa"/>
              <w:right w:w="15" w:type="dxa"/>
            </w:tcMar>
            <w:vAlign w:val="center"/>
          </w:tcPr>
          <w:p w14:paraId="4C885F18">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非超高层建筑</w:t>
            </w:r>
          </w:p>
        </w:tc>
        <w:tc>
          <w:tcPr>
            <w:tcW w:w="1614" w:type="dxa"/>
            <w:shd w:val="clear" w:color="auto" w:fill="auto"/>
            <w:tcMar>
              <w:top w:w="15" w:type="dxa"/>
              <w:left w:w="15" w:type="dxa"/>
              <w:right w:w="15" w:type="dxa"/>
            </w:tcMar>
            <w:vAlign w:val="center"/>
          </w:tcPr>
          <w:p w14:paraId="3C329470">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eastAsia" w:ascii="Times New Roman" w:hAnsi="Times New Roman" w:eastAsia="仿宋" w:cs="Times New Roman"/>
                <w:b w:val="0"/>
                <w:bCs w:val="0"/>
                <w:sz w:val="21"/>
                <w:szCs w:val="21"/>
                <w:lang w:val="en-US" w:eastAsia="zh-CN"/>
              </w:rPr>
              <w:t>地上</w:t>
            </w:r>
            <w:r>
              <w:rPr>
                <w:rFonts w:hint="default" w:ascii="Times New Roman" w:hAnsi="Times New Roman" w:eastAsia="仿宋" w:cs="Times New Roman"/>
                <w:b w:val="0"/>
                <w:bCs w:val="0"/>
                <w:sz w:val="21"/>
                <w:szCs w:val="21"/>
              </w:rPr>
              <w:t>单体建筑面积＞2万平方米</w:t>
            </w:r>
          </w:p>
        </w:tc>
        <w:tc>
          <w:tcPr>
            <w:tcW w:w="1097" w:type="dxa"/>
            <w:shd w:val="clear" w:color="auto" w:fill="auto"/>
            <w:tcMar>
              <w:top w:w="15" w:type="dxa"/>
              <w:left w:w="15" w:type="dxa"/>
              <w:right w:w="15" w:type="dxa"/>
            </w:tcMar>
            <w:vAlign w:val="center"/>
          </w:tcPr>
          <w:p w14:paraId="41F906B3">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三星级</w:t>
            </w:r>
          </w:p>
        </w:tc>
        <w:tc>
          <w:tcPr>
            <w:tcW w:w="2161" w:type="dxa"/>
            <w:vMerge w:val="continue"/>
            <w:shd w:val="clear" w:color="auto" w:fill="auto"/>
            <w:tcMar>
              <w:top w:w="15" w:type="dxa"/>
              <w:left w:w="15" w:type="dxa"/>
              <w:right w:w="15" w:type="dxa"/>
            </w:tcMar>
            <w:vAlign w:val="center"/>
          </w:tcPr>
          <w:p w14:paraId="1A59189E">
            <w:pPr>
              <w:widowControl/>
              <w:jc w:val="center"/>
              <w:textAlignment w:val="center"/>
              <w:rPr>
                <w:rFonts w:hint="default" w:ascii="Times New Roman" w:hAnsi="Times New Roman" w:eastAsia="仿宋" w:cs="Times New Roman"/>
                <w:b w:val="0"/>
                <w:bCs w:val="0"/>
                <w:color w:val="000000"/>
                <w:kern w:val="0"/>
                <w:sz w:val="21"/>
                <w:szCs w:val="21"/>
              </w:rPr>
            </w:pPr>
          </w:p>
        </w:tc>
      </w:tr>
      <w:tr w14:paraId="67C1A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7086BEBF">
            <w:pPr>
              <w:pStyle w:val="48"/>
              <w:spacing w:before="156" w:after="93"/>
              <w:rPr>
                <w:rFonts w:hint="default" w:ascii="Times New Roman" w:hAnsi="Times New Roman" w:eastAsia="仿宋" w:cs="Times New Roman"/>
                <w:b w:val="0"/>
                <w:bCs w:val="0"/>
                <w:sz w:val="21"/>
                <w:szCs w:val="21"/>
              </w:rPr>
            </w:pPr>
          </w:p>
        </w:tc>
        <w:tc>
          <w:tcPr>
            <w:tcW w:w="1580" w:type="dxa"/>
            <w:vMerge w:val="continue"/>
            <w:shd w:val="clear" w:color="auto" w:fill="auto"/>
            <w:tcMar>
              <w:top w:w="15" w:type="dxa"/>
              <w:left w:w="15" w:type="dxa"/>
              <w:right w:w="15" w:type="dxa"/>
            </w:tcMar>
            <w:vAlign w:val="center"/>
          </w:tcPr>
          <w:p w14:paraId="33CC8A44">
            <w:pPr>
              <w:pStyle w:val="48"/>
              <w:spacing w:before="156" w:after="93"/>
              <w:rPr>
                <w:rFonts w:hint="default" w:ascii="Times New Roman" w:hAnsi="Times New Roman" w:eastAsia="仿宋" w:cs="Times New Roman"/>
                <w:b w:val="0"/>
                <w:bCs w:val="0"/>
                <w:sz w:val="21"/>
                <w:szCs w:val="21"/>
              </w:rPr>
            </w:pPr>
          </w:p>
        </w:tc>
        <w:tc>
          <w:tcPr>
            <w:tcW w:w="1377" w:type="dxa"/>
            <w:vMerge w:val="continue"/>
            <w:shd w:val="clear" w:color="auto" w:fill="auto"/>
            <w:tcMar>
              <w:top w:w="15" w:type="dxa"/>
              <w:left w:w="15" w:type="dxa"/>
              <w:right w:w="15" w:type="dxa"/>
            </w:tcMar>
            <w:vAlign w:val="center"/>
          </w:tcPr>
          <w:p w14:paraId="207CB5AB">
            <w:pPr>
              <w:pStyle w:val="48"/>
              <w:spacing w:before="156" w:after="93"/>
              <w:rPr>
                <w:rFonts w:hint="default" w:ascii="Times New Roman" w:hAnsi="Times New Roman" w:eastAsia="仿宋" w:cs="Times New Roman"/>
                <w:b w:val="0"/>
                <w:bCs w:val="0"/>
                <w:sz w:val="21"/>
                <w:szCs w:val="21"/>
              </w:rPr>
            </w:pPr>
          </w:p>
        </w:tc>
        <w:tc>
          <w:tcPr>
            <w:tcW w:w="1614" w:type="dxa"/>
            <w:shd w:val="clear" w:color="auto" w:fill="auto"/>
            <w:tcMar>
              <w:top w:w="15" w:type="dxa"/>
              <w:left w:w="15" w:type="dxa"/>
              <w:right w:w="15" w:type="dxa"/>
            </w:tcMar>
            <w:vAlign w:val="top"/>
          </w:tcPr>
          <w:p w14:paraId="73E7E9E7">
            <w:pPr>
              <w:pStyle w:val="48"/>
              <w:keepNext w:val="0"/>
              <w:keepLines w:val="0"/>
              <w:pageBreakBefore w:val="0"/>
              <w:widowControl w:val="0"/>
              <w:kinsoku/>
              <w:wordWrap/>
              <w:overflowPunct/>
              <w:topLinePunct w:val="0"/>
              <w:autoSpaceDE/>
              <w:autoSpaceDN/>
              <w:bidi w:val="0"/>
              <w:adjustRightInd/>
              <w:snapToGrid w:val="0"/>
              <w:spacing w:line="192" w:lineRule="auto"/>
              <w:textAlignment w:val="auto"/>
              <w:rPr>
                <w:rFonts w:hint="default" w:ascii="Times New Roman" w:hAnsi="Times New Roman" w:eastAsia="仿宋" w:cs="Times New Roman"/>
                <w:b w:val="0"/>
                <w:bCs w:val="0"/>
                <w:sz w:val="21"/>
                <w:szCs w:val="21"/>
              </w:rPr>
            </w:pPr>
            <w:r>
              <w:rPr>
                <w:rFonts w:hint="eastAsia" w:ascii="Times New Roman" w:hAnsi="Times New Roman" w:eastAsia="仿宋" w:cs="Times New Roman"/>
                <w:b w:val="0"/>
                <w:bCs w:val="0"/>
                <w:sz w:val="21"/>
                <w:szCs w:val="21"/>
                <w:lang w:val="en-US" w:eastAsia="zh-CN"/>
              </w:rPr>
              <w:t>地上</w:t>
            </w:r>
            <w:r>
              <w:rPr>
                <w:rFonts w:hint="default" w:ascii="Times New Roman" w:hAnsi="Times New Roman" w:eastAsia="仿宋" w:cs="Times New Roman"/>
                <w:b w:val="0"/>
                <w:bCs w:val="0"/>
                <w:sz w:val="21"/>
                <w:szCs w:val="21"/>
              </w:rPr>
              <w:t>单体建筑面积≤2万平方米</w:t>
            </w:r>
          </w:p>
        </w:tc>
        <w:tc>
          <w:tcPr>
            <w:tcW w:w="1097" w:type="dxa"/>
            <w:shd w:val="clear" w:color="auto" w:fill="auto"/>
            <w:tcMar>
              <w:top w:w="15" w:type="dxa"/>
              <w:left w:w="15" w:type="dxa"/>
              <w:right w:w="15" w:type="dxa"/>
            </w:tcMar>
            <w:vAlign w:val="center"/>
          </w:tcPr>
          <w:p w14:paraId="760FFC69">
            <w:pPr>
              <w:pStyle w:val="48"/>
              <w:keepNext w:val="0"/>
              <w:keepLines w:val="0"/>
              <w:pageBreakBefore w:val="0"/>
              <w:kinsoku/>
              <w:wordWrap/>
              <w:overflowPunct/>
              <w:topLinePunct w:val="0"/>
              <w:autoSpaceDE/>
              <w:autoSpaceDN/>
              <w:bidi w:val="0"/>
              <w:adjustRightInd/>
              <w:snapToGrid/>
              <w:rPr>
                <w:rFonts w:hint="default" w:ascii="Times New Roman" w:hAnsi="Times New Roman" w:eastAsia="仿宋" w:cs="Times New Roman"/>
                <w:b w:val="0"/>
                <w:bCs w:val="0"/>
                <w:sz w:val="21"/>
                <w:szCs w:val="21"/>
              </w:rPr>
            </w:pPr>
            <w:r>
              <w:rPr>
                <w:rFonts w:hint="default" w:ascii="Times New Roman" w:hAnsi="Times New Roman" w:eastAsia="仿宋" w:cs="Times New Roman"/>
                <w:b w:val="0"/>
                <w:bCs w:val="0"/>
                <w:sz w:val="21"/>
                <w:szCs w:val="21"/>
              </w:rPr>
              <w:t>二星级</w:t>
            </w:r>
          </w:p>
        </w:tc>
        <w:tc>
          <w:tcPr>
            <w:tcW w:w="2161" w:type="dxa"/>
            <w:vMerge w:val="continue"/>
            <w:shd w:val="clear" w:color="auto" w:fill="auto"/>
            <w:tcMar>
              <w:top w:w="15" w:type="dxa"/>
              <w:left w:w="15" w:type="dxa"/>
              <w:right w:w="15" w:type="dxa"/>
            </w:tcMar>
            <w:vAlign w:val="center"/>
          </w:tcPr>
          <w:p w14:paraId="13586E5D">
            <w:pPr>
              <w:widowControl/>
              <w:jc w:val="center"/>
              <w:textAlignment w:val="center"/>
              <w:rPr>
                <w:rFonts w:hint="default" w:ascii="Times New Roman" w:hAnsi="Times New Roman" w:eastAsia="仿宋" w:cs="Times New Roman"/>
                <w:b w:val="0"/>
                <w:bCs w:val="0"/>
                <w:color w:val="000000"/>
                <w:kern w:val="0"/>
                <w:sz w:val="21"/>
                <w:szCs w:val="21"/>
              </w:rPr>
            </w:pPr>
          </w:p>
        </w:tc>
      </w:tr>
      <w:tr w14:paraId="2F6E1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restart"/>
            <w:vAlign w:val="center"/>
          </w:tcPr>
          <w:p w14:paraId="110541AE">
            <w:pPr>
              <w:pStyle w:val="47"/>
              <w:spacing w:after="0" w:line="240" w:lineRule="auto"/>
              <w:ind w:left="0" w:leftChars="0"/>
              <w:jc w:val="center"/>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核心目标单元</w:t>
            </w:r>
          </w:p>
        </w:tc>
        <w:tc>
          <w:tcPr>
            <w:tcW w:w="7829" w:type="dxa"/>
            <w:gridSpan w:val="5"/>
            <w:shd w:val="clear" w:color="auto" w:fill="auto"/>
            <w:tcMar>
              <w:top w:w="15" w:type="dxa"/>
              <w:left w:w="15" w:type="dxa"/>
              <w:right w:w="15" w:type="dxa"/>
            </w:tcMar>
            <w:vAlign w:val="center"/>
          </w:tcPr>
          <w:p w14:paraId="2FFB2F01">
            <w:pPr>
              <w:pStyle w:val="47"/>
              <w:spacing w:after="0" w:line="240" w:lineRule="auto"/>
              <w:ind w:left="0" w:leftChars="0"/>
              <w:jc w:val="center"/>
              <w:rPr>
                <w:rFonts w:hint="default" w:ascii="Times New Roman" w:hAnsi="Times New Roman" w:eastAsia="仿宋" w:cs="Times New Roman"/>
                <w:b w:val="0"/>
                <w:bCs w:val="0"/>
                <w:sz w:val="21"/>
                <w:szCs w:val="21"/>
              </w:rPr>
            </w:pPr>
            <w:r>
              <w:rPr>
                <w:rFonts w:hint="default" w:ascii="Times New Roman" w:hAnsi="Times New Roman" w:cs="Times New Roman"/>
                <w:b w:val="0"/>
                <w:bCs w:val="0"/>
                <w:color w:val="000000"/>
                <w:kern w:val="0"/>
                <w:sz w:val="21"/>
                <w:szCs w:val="21"/>
                <w:lang w:bidi="ar"/>
              </w:rPr>
              <w:t>新建民用建筑绿色建筑等级不低于一星</w:t>
            </w:r>
            <w:r>
              <w:rPr>
                <w:rFonts w:hint="default" w:ascii="Times New Roman" w:hAnsi="Times New Roman" w:cs="Times New Roman"/>
                <w:b w:val="0"/>
                <w:bCs w:val="0"/>
                <w:color w:val="000000"/>
                <w:kern w:val="0"/>
                <w:sz w:val="21"/>
                <w:szCs w:val="21"/>
              </w:rPr>
              <w:t>级</w:t>
            </w:r>
          </w:p>
        </w:tc>
      </w:tr>
      <w:tr w14:paraId="2C1A5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5A9EAB54">
            <w:pPr>
              <w:pStyle w:val="48"/>
              <w:rPr>
                <w:rFonts w:hint="default" w:ascii="Times New Roman" w:hAnsi="Times New Roman" w:cs="Times New Roman"/>
                <w:b w:val="0"/>
                <w:bCs w:val="0"/>
                <w:color w:val="000000"/>
                <w:kern w:val="0"/>
                <w:sz w:val="21"/>
                <w:szCs w:val="21"/>
              </w:rPr>
            </w:pPr>
          </w:p>
        </w:tc>
        <w:tc>
          <w:tcPr>
            <w:tcW w:w="7829" w:type="dxa"/>
            <w:gridSpan w:val="5"/>
            <w:shd w:val="clear" w:color="auto" w:fill="auto"/>
            <w:tcMar>
              <w:top w:w="15" w:type="dxa"/>
              <w:left w:w="15" w:type="dxa"/>
              <w:right w:w="15" w:type="dxa"/>
            </w:tcMar>
            <w:vAlign w:val="center"/>
          </w:tcPr>
          <w:p w14:paraId="4B82AB82">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新建建筑类型对应要求</w:t>
            </w:r>
          </w:p>
        </w:tc>
      </w:tr>
      <w:tr w14:paraId="388B3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742B4CFE">
            <w:pPr>
              <w:pStyle w:val="48"/>
              <w:rPr>
                <w:rFonts w:hint="default" w:ascii="Times New Roman" w:hAnsi="Times New Roman" w:cs="Times New Roman"/>
                <w:b w:val="0"/>
                <w:bCs w:val="0"/>
                <w:color w:val="000000"/>
                <w:kern w:val="0"/>
                <w:sz w:val="21"/>
                <w:szCs w:val="21"/>
              </w:rPr>
            </w:pPr>
          </w:p>
        </w:tc>
        <w:tc>
          <w:tcPr>
            <w:tcW w:w="1580" w:type="dxa"/>
            <w:shd w:val="clear" w:color="auto" w:fill="auto"/>
            <w:tcMar>
              <w:top w:w="15" w:type="dxa"/>
              <w:left w:w="15" w:type="dxa"/>
              <w:right w:w="15" w:type="dxa"/>
            </w:tcMar>
            <w:vAlign w:val="center"/>
          </w:tcPr>
          <w:p w14:paraId="6F28E917">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建筑类型</w:t>
            </w:r>
          </w:p>
        </w:tc>
        <w:tc>
          <w:tcPr>
            <w:tcW w:w="1377" w:type="dxa"/>
            <w:shd w:val="clear" w:color="auto" w:fill="auto"/>
            <w:tcMar>
              <w:top w:w="15" w:type="dxa"/>
              <w:left w:w="15" w:type="dxa"/>
              <w:right w:w="15" w:type="dxa"/>
            </w:tcMar>
            <w:vAlign w:val="center"/>
          </w:tcPr>
          <w:p w14:paraId="485D8F90">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投资方式</w:t>
            </w:r>
          </w:p>
        </w:tc>
        <w:tc>
          <w:tcPr>
            <w:tcW w:w="1614" w:type="dxa"/>
            <w:shd w:val="clear" w:color="auto" w:fill="auto"/>
            <w:tcMar>
              <w:top w:w="15" w:type="dxa"/>
              <w:left w:w="15" w:type="dxa"/>
              <w:right w:w="15" w:type="dxa"/>
            </w:tcMar>
            <w:vAlign w:val="center"/>
          </w:tcPr>
          <w:p w14:paraId="408C6C21">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建筑面积</w:t>
            </w:r>
          </w:p>
        </w:tc>
        <w:tc>
          <w:tcPr>
            <w:tcW w:w="1097" w:type="dxa"/>
            <w:shd w:val="clear" w:color="auto" w:fill="auto"/>
            <w:tcMar>
              <w:top w:w="15" w:type="dxa"/>
              <w:left w:w="15" w:type="dxa"/>
              <w:right w:w="15" w:type="dxa"/>
            </w:tcMar>
            <w:vAlign w:val="center"/>
          </w:tcPr>
          <w:p w14:paraId="1D965408">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绿色建筑等级要求</w:t>
            </w:r>
          </w:p>
        </w:tc>
        <w:tc>
          <w:tcPr>
            <w:tcW w:w="2161" w:type="dxa"/>
            <w:shd w:val="clear" w:color="auto" w:fill="auto"/>
            <w:tcMar>
              <w:top w:w="15" w:type="dxa"/>
              <w:left w:w="15" w:type="dxa"/>
              <w:right w:w="15" w:type="dxa"/>
            </w:tcMar>
            <w:vAlign w:val="center"/>
          </w:tcPr>
          <w:p w14:paraId="5FD27FD4">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能效水平提升比例</w:t>
            </w:r>
          </w:p>
        </w:tc>
      </w:tr>
      <w:tr w14:paraId="66D55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5E58CD30">
            <w:pPr>
              <w:pStyle w:val="48"/>
              <w:rPr>
                <w:rFonts w:hint="default" w:ascii="Times New Roman" w:hAnsi="Times New Roman" w:cs="Times New Roman"/>
                <w:b w:val="0"/>
                <w:bCs w:val="0"/>
                <w:color w:val="000000"/>
                <w:kern w:val="0"/>
                <w:sz w:val="21"/>
                <w:szCs w:val="21"/>
              </w:rPr>
            </w:pPr>
          </w:p>
        </w:tc>
        <w:tc>
          <w:tcPr>
            <w:tcW w:w="1580" w:type="dxa"/>
            <w:vMerge w:val="restart"/>
            <w:shd w:val="clear" w:color="auto" w:fill="auto"/>
            <w:tcMar>
              <w:top w:w="15" w:type="dxa"/>
              <w:left w:w="15" w:type="dxa"/>
              <w:right w:w="15" w:type="dxa"/>
            </w:tcMar>
            <w:vAlign w:val="center"/>
          </w:tcPr>
          <w:p w14:paraId="6AC3D094">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居住建筑</w:t>
            </w:r>
          </w:p>
          <w:p w14:paraId="5ECE62F9">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（包括工业用地范围内用于居住功能的建筑）</w:t>
            </w:r>
          </w:p>
        </w:tc>
        <w:tc>
          <w:tcPr>
            <w:tcW w:w="1377" w:type="dxa"/>
            <w:shd w:val="clear" w:color="auto" w:fill="auto"/>
            <w:tcMar>
              <w:top w:w="15" w:type="dxa"/>
              <w:left w:w="15" w:type="dxa"/>
              <w:right w:w="15" w:type="dxa"/>
            </w:tcMar>
            <w:vAlign w:val="center"/>
          </w:tcPr>
          <w:p w14:paraId="6DCF8419">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财政投资或国有资金参与投资</w:t>
            </w:r>
          </w:p>
        </w:tc>
        <w:tc>
          <w:tcPr>
            <w:tcW w:w="1614" w:type="dxa"/>
            <w:shd w:val="clear" w:color="auto" w:fill="auto"/>
            <w:tcMar>
              <w:top w:w="15" w:type="dxa"/>
              <w:left w:w="15" w:type="dxa"/>
              <w:right w:w="15" w:type="dxa"/>
            </w:tcMar>
            <w:vAlign w:val="center"/>
          </w:tcPr>
          <w:p w14:paraId="79957F6B">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w:t>
            </w:r>
          </w:p>
        </w:tc>
        <w:tc>
          <w:tcPr>
            <w:tcW w:w="1097" w:type="dxa"/>
            <w:shd w:val="clear" w:color="auto" w:fill="auto"/>
            <w:tcMar>
              <w:top w:w="15" w:type="dxa"/>
              <w:left w:w="15" w:type="dxa"/>
              <w:right w:w="15" w:type="dxa"/>
            </w:tcMar>
            <w:vAlign w:val="center"/>
          </w:tcPr>
          <w:p w14:paraId="24C75EF7">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二星级</w:t>
            </w:r>
          </w:p>
        </w:tc>
        <w:tc>
          <w:tcPr>
            <w:tcW w:w="2161" w:type="dxa"/>
            <w:vMerge w:val="restart"/>
            <w:shd w:val="clear" w:color="auto" w:fill="auto"/>
            <w:tcMar>
              <w:top w:w="15" w:type="dxa"/>
              <w:left w:w="15" w:type="dxa"/>
              <w:right w:w="15" w:type="dxa"/>
            </w:tcMar>
            <w:vAlign w:val="center"/>
          </w:tcPr>
          <w:p w14:paraId="0B565F0F">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城镇新建居住建筑能效水平提升比例≥30%</w:t>
            </w:r>
          </w:p>
        </w:tc>
      </w:tr>
      <w:tr w14:paraId="1B7FB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76B49C13">
            <w:pPr>
              <w:pStyle w:val="48"/>
              <w:rPr>
                <w:rFonts w:hint="default" w:ascii="Times New Roman" w:hAnsi="Times New Roman" w:cs="Times New Roman"/>
                <w:b w:val="0"/>
                <w:bCs w:val="0"/>
                <w:color w:val="000000"/>
                <w:kern w:val="0"/>
                <w:sz w:val="21"/>
                <w:szCs w:val="21"/>
              </w:rPr>
            </w:pPr>
          </w:p>
        </w:tc>
        <w:tc>
          <w:tcPr>
            <w:tcW w:w="1580" w:type="dxa"/>
            <w:vMerge w:val="continue"/>
            <w:shd w:val="clear" w:color="auto" w:fill="auto"/>
            <w:tcMar>
              <w:top w:w="15" w:type="dxa"/>
              <w:left w:w="15" w:type="dxa"/>
              <w:right w:w="15" w:type="dxa"/>
            </w:tcMar>
            <w:vAlign w:val="center"/>
          </w:tcPr>
          <w:p w14:paraId="21153914">
            <w:pPr>
              <w:pStyle w:val="48"/>
              <w:rPr>
                <w:rFonts w:hint="default" w:ascii="Times New Roman" w:hAnsi="Times New Roman" w:cs="Times New Roman"/>
                <w:b w:val="0"/>
                <w:bCs w:val="0"/>
                <w:color w:val="000000"/>
                <w:kern w:val="0"/>
                <w:sz w:val="21"/>
                <w:szCs w:val="21"/>
              </w:rPr>
            </w:pPr>
          </w:p>
        </w:tc>
        <w:tc>
          <w:tcPr>
            <w:tcW w:w="1377" w:type="dxa"/>
            <w:vMerge w:val="restart"/>
            <w:shd w:val="clear" w:color="auto" w:fill="auto"/>
            <w:tcMar>
              <w:top w:w="15" w:type="dxa"/>
              <w:left w:w="15" w:type="dxa"/>
              <w:right w:w="15" w:type="dxa"/>
            </w:tcMar>
            <w:vAlign w:val="center"/>
          </w:tcPr>
          <w:p w14:paraId="4349F80B">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其他</w:t>
            </w:r>
          </w:p>
        </w:tc>
        <w:tc>
          <w:tcPr>
            <w:tcW w:w="1614" w:type="dxa"/>
            <w:shd w:val="clear" w:color="auto" w:fill="auto"/>
            <w:tcMar>
              <w:top w:w="15" w:type="dxa"/>
              <w:left w:w="15" w:type="dxa"/>
              <w:right w:w="15" w:type="dxa"/>
            </w:tcMar>
            <w:vAlign w:val="center"/>
          </w:tcPr>
          <w:p w14:paraId="03B19F23">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计容</w:t>
            </w:r>
            <w:r>
              <w:rPr>
                <w:rFonts w:hint="default" w:ascii="Times New Roman" w:hAnsi="Times New Roman" w:eastAsia="仿宋" w:cs="Times New Roman"/>
                <w:b w:val="0"/>
                <w:bCs w:val="0"/>
                <w:color w:val="000000"/>
                <w:kern w:val="0"/>
                <w:sz w:val="21"/>
                <w:szCs w:val="21"/>
              </w:rPr>
              <w:t>建筑面积＞10万平方米</w:t>
            </w:r>
          </w:p>
        </w:tc>
        <w:tc>
          <w:tcPr>
            <w:tcW w:w="1097" w:type="dxa"/>
            <w:shd w:val="clear" w:color="auto" w:fill="auto"/>
            <w:tcMar>
              <w:top w:w="15" w:type="dxa"/>
              <w:left w:w="15" w:type="dxa"/>
              <w:right w:w="15" w:type="dxa"/>
            </w:tcMar>
            <w:vAlign w:val="center"/>
          </w:tcPr>
          <w:p w14:paraId="53B7C0FB">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二星级</w:t>
            </w:r>
          </w:p>
        </w:tc>
        <w:tc>
          <w:tcPr>
            <w:tcW w:w="2161" w:type="dxa"/>
            <w:vMerge w:val="continue"/>
            <w:shd w:val="clear" w:color="auto" w:fill="auto"/>
            <w:tcMar>
              <w:top w:w="15" w:type="dxa"/>
              <w:left w:w="15" w:type="dxa"/>
              <w:right w:w="15" w:type="dxa"/>
            </w:tcMar>
            <w:vAlign w:val="center"/>
          </w:tcPr>
          <w:p w14:paraId="26FF834B">
            <w:pPr>
              <w:widowControl/>
              <w:jc w:val="center"/>
              <w:textAlignment w:val="center"/>
              <w:rPr>
                <w:rFonts w:hint="default" w:ascii="Times New Roman" w:hAnsi="Times New Roman" w:eastAsia="仿宋" w:cs="Times New Roman"/>
                <w:b w:val="0"/>
                <w:bCs w:val="0"/>
                <w:color w:val="000000"/>
                <w:kern w:val="0"/>
                <w:sz w:val="21"/>
                <w:szCs w:val="21"/>
              </w:rPr>
            </w:pPr>
          </w:p>
        </w:tc>
      </w:tr>
      <w:tr w14:paraId="5F15B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3B4FCF21">
            <w:pPr>
              <w:pStyle w:val="48"/>
              <w:rPr>
                <w:rFonts w:hint="default" w:ascii="Times New Roman" w:hAnsi="Times New Roman" w:cs="Times New Roman"/>
                <w:b w:val="0"/>
                <w:bCs w:val="0"/>
                <w:color w:val="000000"/>
                <w:kern w:val="0"/>
                <w:sz w:val="21"/>
                <w:szCs w:val="21"/>
              </w:rPr>
            </w:pPr>
          </w:p>
        </w:tc>
        <w:tc>
          <w:tcPr>
            <w:tcW w:w="1580" w:type="dxa"/>
            <w:vMerge w:val="continue"/>
            <w:shd w:val="clear" w:color="auto" w:fill="auto"/>
            <w:tcMar>
              <w:top w:w="15" w:type="dxa"/>
              <w:left w:w="15" w:type="dxa"/>
              <w:right w:w="15" w:type="dxa"/>
            </w:tcMar>
            <w:vAlign w:val="center"/>
          </w:tcPr>
          <w:p w14:paraId="03B8373E">
            <w:pPr>
              <w:pStyle w:val="48"/>
              <w:rPr>
                <w:rFonts w:hint="default" w:ascii="Times New Roman" w:hAnsi="Times New Roman" w:cs="Times New Roman"/>
                <w:b w:val="0"/>
                <w:bCs w:val="0"/>
                <w:color w:val="000000"/>
                <w:kern w:val="0"/>
                <w:sz w:val="21"/>
                <w:szCs w:val="21"/>
              </w:rPr>
            </w:pPr>
          </w:p>
        </w:tc>
        <w:tc>
          <w:tcPr>
            <w:tcW w:w="1377" w:type="dxa"/>
            <w:vMerge w:val="continue"/>
            <w:shd w:val="clear" w:color="auto" w:fill="auto"/>
            <w:tcMar>
              <w:top w:w="15" w:type="dxa"/>
              <w:left w:w="15" w:type="dxa"/>
              <w:right w:w="15" w:type="dxa"/>
            </w:tcMar>
            <w:vAlign w:val="center"/>
          </w:tcPr>
          <w:p w14:paraId="46BBEBA1">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p>
        </w:tc>
        <w:tc>
          <w:tcPr>
            <w:tcW w:w="1614" w:type="dxa"/>
            <w:shd w:val="clear" w:color="auto" w:fill="auto"/>
            <w:tcMar>
              <w:top w:w="15" w:type="dxa"/>
              <w:left w:w="15" w:type="dxa"/>
              <w:right w:w="15" w:type="dxa"/>
            </w:tcMar>
            <w:vAlign w:val="center"/>
          </w:tcPr>
          <w:p w14:paraId="4B439A97">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计容</w:t>
            </w:r>
            <w:r>
              <w:rPr>
                <w:rFonts w:hint="default" w:ascii="Times New Roman" w:hAnsi="Times New Roman" w:eastAsia="仿宋" w:cs="Times New Roman"/>
                <w:b w:val="0"/>
                <w:bCs w:val="0"/>
                <w:color w:val="000000"/>
                <w:kern w:val="0"/>
                <w:sz w:val="21"/>
                <w:szCs w:val="21"/>
              </w:rPr>
              <w:t>建筑面积≤10万平方米</w:t>
            </w:r>
          </w:p>
        </w:tc>
        <w:tc>
          <w:tcPr>
            <w:tcW w:w="1097" w:type="dxa"/>
            <w:shd w:val="clear" w:color="auto" w:fill="auto"/>
            <w:tcMar>
              <w:top w:w="15" w:type="dxa"/>
              <w:left w:w="15" w:type="dxa"/>
              <w:right w:w="15" w:type="dxa"/>
            </w:tcMar>
            <w:vAlign w:val="center"/>
          </w:tcPr>
          <w:p w14:paraId="5F59C60A">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一星级</w:t>
            </w:r>
          </w:p>
        </w:tc>
        <w:tc>
          <w:tcPr>
            <w:tcW w:w="2161" w:type="dxa"/>
            <w:vMerge w:val="continue"/>
            <w:shd w:val="clear" w:color="auto" w:fill="auto"/>
            <w:tcMar>
              <w:top w:w="15" w:type="dxa"/>
              <w:left w:w="15" w:type="dxa"/>
              <w:right w:w="15" w:type="dxa"/>
            </w:tcMar>
            <w:vAlign w:val="center"/>
          </w:tcPr>
          <w:p w14:paraId="0341C60A">
            <w:pPr>
              <w:widowControl/>
              <w:jc w:val="center"/>
              <w:textAlignment w:val="center"/>
              <w:rPr>
                <w:rFonts w:hint="default" w:ascii="Times New Roman" w:hAnsi="Times New Roman" w:eastAsia="仿宋" w:cs="Times New Roman"/>
                <w:b w:val="0"/>
                <w:bCs w:val="0"/>
                <w:color w:val="000000"/>
                <w:kern w:val="0"/>
                <w:sz w:val="21"/>
                <w:szCs w:val="21"/>
              </w:rPr>
            </w:pPr>
          </w:p>
        </w:tc>
      </w:tr>
      <w:tr w14:paraId="31531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4B617961">
            <w:pPr>
              <w:pStyle w:val="48"/>
              <w:rPr>
                <w:rFonts w:hint="default" w:ascii="Times New Roman" w:hAnsi="Times New Roman" w:cs="Times New Roman"/>
                <w:b w:val="0"/>
                <w:bCs w:val="0"/>
                <w:color w:val="000000"/>
                <w:kern w:val="0"/>
                <w:sz w:val="21"/>
                <w:szCs w:val="21"/>
              </w:rPr>
            </w:pPr>
          </w:p>
        </w:tc>
        <w:tc>
          <w:tcPr>
            <w:tcW w:w="1580" w:type="dxa"/>
            <w:vMerge w:val="restart"/>
            <w:shd w:val="clear" w:color="auto" w:fill="auto"/>
            <w:tcMar>
              <w:top w:w="15" w:type="dxa"/>
              <w:left w:w="15" w:type="dxa"/>
              <w:right w:w="15" w:type="dxa"/>
            </w:tcMar>
            <w:vAlign w:val="center"/>
          </w:tcPr>
          <w:p w14:paraId="4D332AEC">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公共建筑</w:t>
            </w:r>
          </w:p>
          <w:p w14:paraId="48E43D3A">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（包括工业用地范围内用于办公功能的建筑）</w:t>
            </w:r>
          </w:p>
        </w:tc>
        <w:tc>
          <w:tcPr>
            <w:tcW w:w="1377" w:type="dxa"/>
            <w:shd w:val="clear" w:color="auto" w:fill="auto"/>
            <w:tcMar>
              <w:top w:w="15" w:type="dxa"/>
              <w:left w:w="15" w:type="dxa"/>
              <w:right w:w="15" w:type="dxa"/>
            </w:tcMar>
            <w:vAlign w:val="center"/>
          </w:tcPr>
          <w:p w14:paraId="1FDE7315">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财政投资或国有资金参与投资</w:t>
            </w:r>
          </w:p>
        </w:tc>
        <w:tc>
          <w:tcPr>
            <w:tcW w:w="1614" w:type="dxa"/>
            <w:shd w:val="clear" w:color="auto" w:fill="auto"/>
            <w:tcMar>
              <w:top w:w="15" w:type="dxa"/>
              <w:left w:w="15" w:type="dxa"/>
              <w:right w:w="15" w:type="dxa"/>
            </w:tcMar>
            <w:vAlign w:val="center"/>
          </w:tcPr>
          <w:p w14:paraId="2BA2BA5E">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w:t>
            </w:r>
          </w:p>
        </w:tc>
        <w:tc>
          <w:tcPr>
            <w:tcW w:w="1097" w:type="dxa"/>
            <w:shd w:val="clear" w:color="auto" w:fill="auto"/>
            <w:tcMar>
              <w:top w:w="15" w:type="dxa"/>
              <w:left w:w="15" w:type="dxa"/>
              <w:right w:w="15" w:type="dxa"/>
            </w:tcMar>
            <w:vAlign w:val="center"/>
          </w:tcPr>
          <w:p w14:paraId="5A26F5CD">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二星级</w:t>
            </w:r>
          </w:p>
        </w:tc>
        <w:tc>
          <w:tcPr>
            <w:tcW w:w="2161" w:type="dxa"/>
            <w:vMerge w:val="restart"/>
            <w:shd w:val="clear" w:color="auto" w:fill="auto"/>
            <w:tcMar>
              <w:top w:w="15" w:type="dxa"/>
              <w:left w:w="15" w:type="dxa"/>
              <w:right w:w="15" w:type="dxa"/>
            </w:tcMar>
            <w:vAlign w:val="center"/>
          </w:tcPr>
          <w:p w14:paraId="113D289C">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城镇新建公共建筑能效水平提升比例≥20%</w:t>
            </w:r>
          </w:p>
        </w:tc>
      </w:tr>
      <w:tr w14:paraId="648B5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79E958EB">
            <w:pPr>
              <w:pStyle w:val="48"/>
              <w:spacing w:before="156" w:after="93"/>
              <w:rPr>
                <w:rFonts w:hint="default" w:ascii="Times New Roman" w:hAnsi="Times New Roman" w:eastAsia="仿宋" w:cs="Times New Roman"/>
                <w:b w:val="0"/>
                <w:bCs w:val="0"/>
                <w:sz w:val="21"/>
                <w:szCs w:val="21"/>
              </w:rPr>
            </w:pPr>
          </w:p>
        </w:tc>
        <w:tc>
          <w:tcPr>
            <w:tcW w:w="1580" w:type="dxa"/>
            <w:vMerge w:val="continue"/>
            <w:shd w:val="clear" w:color="auto" w:fill="auto"/>
            <w:tcMar>
              <w:top w:w="15" w:type="dxa"/>
              <w:left w:w="15" w:type="dxa"/>
              <w:right w:w="15" w:type="dxa"/>
            </w:tcMar>
            <w:vAlign w:val="center"/>
          </w:tcPr>
          <w:p w14:paraId="3E15A4C7">
            <w:pPr>
              <w:pStyle w:val="48"/>
              <w:spacing w:before="156" w:after="93"/>
              <w:rPr>
                <w:rFonts w:hint="default" w:ascii="Times New Roman" w:hAnsi="Times New Roman" w:eastAsia="仿宋" w:cs="Times New Roman"/>
                <w:b w:val="0"/>
                <w:bCs w:val="0"/>
                <w:sz w:val="21"/>
                <w:szCs w:val="21"/>
              </w:rPr>
            </w:pPr>
          </w:p>
        </w:tc>
        <w:tc>
          <w:tcPr>
            <w:tcW w:w="1377" w:type="dxa"/>
            <w:vMerge w:val="restart"/>
            <w:shd w:val="clear" w:color="auto" w:fill="auto"/>
            <w:tcMar>
              <w:top w:w="15" w:type="dxa"/>
              <w:left w:w="15" w:type="dxa"/>
              <w:right w:w="15" w:type="dxa"/>
            </w:tcMar>
            <w:vAlign w:val="center"/>
          </w:tcPr>
          <w:p w14:paraId="691C3F27">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其它</w:t>
            </w:r>
          </w:p>
        </w:tc>
        <w:tc>
          <w:tcPr>
            <w:tcW w:w="1614" w:type="dxa"/>
            <w:shd w:val="clear" w:color="auto" w:fill="auto"/>
            <w:tcMar>
              <w:top w:w="15" w:type="dxa"/>
              <w:left w:w="15" w:type="dxa"/>
              <w:right w:w="15" w:type="dxa"/>
            </w:tcMar>
            <w:vAlign w:val="center"/>
          </w:tcPr>
          <w:p w14:paraId="75285142">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eastAsia" w:ascii="Times New Roman" w:hAnsi="Times New Roman" w:eastAsia="仿宋" w:cs="Times New Roman"/>
                <w:b w:val="0"/>
                <w:bCs w:val="0"/>
                <w:color w:val="000000"/>
                <w:kern w:val="0"/>
                <w:sz w:val="21"/>
                <w:szCs w:val="21"/>
                <w:lang w:val="en-US" w:eastAsia="zh-CN"/>
              </w:rPr>
              <w:t>地上</w:t>
            </w:r>
            <w:r>
              <w:rPr>
                <w:rFonts w:hint="default" w:ascii="Times New Roman" w:hAnsi="Times New Roman" w:eastAsia="仿宋" w:cs="Times New Roman"/>
                <w:b w:val="0"/>
                <w:bCs w:val="0"/>
                <w:color w:val="000000"/>
                <w:kern w:val="0"/>
                <w:sz w:val="21"/>
                <w:szCs w:val="21"/>
              </w:rPr>
              <w:t>单体建筑面积＞2万平方米</w:t>
            </w:r>
          </w:p>
        </w:tc>
        <w:tc>
          <w:tcPr>
            <w:tcW w:w="1097" w:type="dxa"/>
            <w:shd w:val="clear" w:color="auto" w:fill="auto"/>
            <w:tcMar>
              <w:top w:w="15" w:type="dxa"/>
              <w:left w:w="15" w:type="dxa"/>
              <w:right w:w="15" w:type="dxa"/>
            </w:tcMar>
            <w:vAlign w:val="center"/>
          </w:tcPr>
          <w:p w14:paraId="28AC4112">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二星级</w:t>
            </w:r>
          </w:p>
        </w:tc>
        <w:tc>
          <w:tcPr>
            <w:tcW w:w="2161" w:type="dxa"/>
            <w:vMerge w:val="continue"/>
            <w:shd w:val="clear" w:color="auto" w:fill="auto"/>
            <w:tcMar>
              <w:top w:w="15" w:type="dxa"/>
              <w:left w:w="15" w:type="dxa"/>
              <w:right w:w="15" w:type="dxa"/>
            </w:tcMar>
            <w:vAlign w:val="center"/>
          </w:tcPr>
          <w:p w14:paraId="273626B3">
            <w:pPr>
              <w:widowControl/>
              <w:jc w:val="center"/>
              <w:textAlignment w:val="center"/>
              <w:rPr>
                <w:rFonts w:hint="default" w:ascii="Times New Roman" w:hAnsi="Times New Roman" w:eastAsia="仿宋" w:cs="Times New Roman"/>
                <w:b w:val="0"/>
                <w:bCs w:val="0"/>
                <w:color w:val="000000"/>
                <w:kern w:val="0"/>
                <w:sz w:val="21"/>
                <w:szCs w:val="21"/>
              </w:rPr>
            </w:pPr>
          </w:p>
        </w:tc>
      </w:tr>
      <w:tr w14:paraId="1C906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3110065A">
            <w:pPr>
              <w:pStyle w:val="48"/>
              <w:spacing w:before="156" w:after="93"/>
              <w:rPr>
                <w:rFonts w:hint="default" w:ascii="Times New Roman" w:hAnsi="Times New Roman" w:eastAsia="仿宋" w:cs="Times New Roman"/>
                <w:b w:val="0"/>
                <w:bCs w:val="0"/>
                <w:sz w:val="21"/>
                <w:szCs w:val="21"/>
              </w:rPr>
            </w:pPr>
          </w:p>
        </w:tc>
        <w:tc>
          <w:tcPr>
            <w:tcW w:w="1580" w:type="dxa"/>
            <w:vMerge w:val="continue"/>
            <w:shd w:val="clear" w:color="auto" w:fill="auto"/>
            <w:tcMar>
              <w:top w:w="15" w:type="dxa"/>
              <w:left w:w="15" w:type="dxa"/>
              <w:right w:w="15" w:type="dxa"/>
            </w:tcMar>
            <w:vAlign w:val="center"/>
          </w:tcPr>
          <w:p w14:paraId="6A4CC818">
            <w:pPr>
              <w:pStyle w:val="48"/>
              <w:spacing w:before="156" w:after="93"/>
              <w:rPr>
                <w:rFonts w:hint="default" w:ascii="Times New Roman" w:hAnsi="Times New Roman" w:eastAsia="仿宋" w:cs="Times New Roman"/>
                <w:b w:val="0"/>
                <w:bCs w:val="0"/>
                <w:sz w:val="21"/>
                <w:szCs w:val="21"/>
              </w:rPr>
            </w:pPr>
          </w:p>
        </w:tc>
        <w:tc>
          <w:tcPr>
            <w:tcW w:w="1377" w:type="dxa"/>
            <w:vMerge w:val="continue"/>
            <w:shd w:val="clear" w:color="auto" w:fill="auto"/>
            <w:tcMar>
              <w:top w:w="15" w:type="dxa"/>
              <w:left w:w="15" w:type="dxa"/>
              <w:right w:w="15" w:type="dxa"/>
            </w:tcMar>
            <w:vAlign w:val="center"/>
          </w:tcPr>
          <w:p w14:paraId="3F654F24">
            <w:pPr>
              <w:pStyle w:val="48"/>
              <w:keepNext w:val="0"/>
              <w:keepLines w:val="0"/>
              <w:pageBreakBefore w:val="0"/>
              <w:kinsoku/>
              <w:wordWrap/>
              <w:overflowPunct/>
              <w:topLinePunct w:val="0"/>
              <w:autoSpaceDE/>
              <w:autoSpaceDN/>
              <w:bidi w:val="0"/>
              <w:adjustRightInd/>
              <w:snapToGrid w:val="0"/>
              <w:spacing w:before="156" w:after="93" w:line="192" w:lineRule="auto"/>
              <w:rPr>
                <w:rFonts w:hint="default" w:ascii="Times New Roman" w:hAnsi="Times New Roman" w:eastAsia="仿宋" w:cs="Times New Roman"/>
                <w:b w:val="0"/>
                <w:bCs w:val="0"/>
                <w:sz w:val="21"/>
                <w:szCs w:val="21"/>
              </w:rPr>
            </w:pPr>
          </w:p>
        </w:tc>
        <w:tc>
          <w:tcPr>
            <w:tcW w:w="1614" w:type="dxa"/>
            <w:shd w:val="clear" w:color="auto" w:fill="auto"/>
            <w:tcMar>
              <w:top w:w="15" w:type="dxa"/>
              <w:left w:w="15" w:type="dxa"/>
              <w:right w:w="15" w:type="dxa"/>
            </w:tcMar>
            <w:vAlign w:val="center"/>
          </w:tcPr>
          <w:p w14:paraId="6689AA38">
            <w:pPr>
              <w:pStyle w:val="48"/>
              <w:keepNext w:val="0"/>
              <w:keepLines w:val="0"/>
              <w:pageBreakBefore w:val="0"/>
              <w:widowControl w:val="0"/>
              <w:kinsoku/>
              <w:wordWrap/>
              <w:overflowPunct/>
              <w:topLinePunct w:val="0"/>
              <w:autoSpaceDE/>
              <w:autoSpaceDN/>
              <w:bidi w:val="0"/>
              <w:adjustRightInd/>
              <w:snapToGrid w:val="0"/>
              <w:spacing w:line="192" w:lineRule="auto"/>
              <w:textAlignment w:val="auto"/>
              <w:rPr>
                <w:rFonts w:hint="default" w:ascii="Times New Roman" w:hAnsi="Times New Roman" w:eastAsia="仿宋" w:cs="Times New Roman"/>
                <w:b w:val="0"/>
                <w:bCs w:val="0"/>
                <w:sz w:val="21"/>
                <w:szCs w:val="21"/>
              </w:rPr>
            </w:pPr>
            <w:r>
              <w:rPr>
                <w:rFonts w:hint="eastAsia" w:ascii="Times New Roman" w:hAnsi="Times New Roman" w:eastAsia="仿宋" w:cs="Times New Roman"/>
                <w:b w:val="0"/>
                <w:bCs w:val="0"/>
                <w:sz w:val="21"/>
                <w:szCs w:val="21"/>
                <w:lang w:val="en-US" w:eastAsia="zh-CN"/>
              </w:rPr>
              <w:t>地上</w:t>
            </w:r>
            <w:r>
              <w:rPr>
                <w:rFonts w:hint="default" w:ascii="Times New Roman" w:hAnsi="Times New Roman" w:eastAsia="仿宋" w:cs="Times New Roman"/>
                <w:b w:val="0"/>
                <w:bCs w:val="0"/>
                <w:sz w:val="21"/>
                <w:szCs w:val="21"/>
              </w:rPr>
              <w:t>单体建筑面积≤2万平方米</w:t>
            </w:r>
          </w:p>
        </w:tc>
        <w:tc>
          <w:tcPr>
            <w:tcW w:w="1097" w:type="dxa"/>
            <w:shd w:val="clear" w:color="auto" w:fill="auto"/>
            <w:tcMar>
              <w:top w:w="15" w:type="dxa"/>
              <w:left w:w="15" w:type="dxa"/>
              <w:right w:w="15" w:type="dxa"/>
            </w:tcMar>
            <w:vAlign w:val="center"/>
          </w:tcPr>
          <w:p w14:paraId="408D5B2C">
            <w:pPr>
              <w:pStyle w:val="48"/>
              <w:keepNext w:val="0"/>
              <w:keepLines w:val="0"/>
              <w:pageBreakBefore w:val="0"/>
              <w:kinsoku/>
              <w:wordWrap/>
              <w:overflowPunct/>
              <w:topLinePunct w:val="0"/>
              <w:autoSpaceDE/>
              <w:autoSpaceDN/>
              <w:bidi w:val="0"/>
              <w:adjustRightInd/>
              <w:snapToGrid/>
              <w:rPr>
                <w:rFonts w:hint="default" w:ascii="Times New Roman" w:hAnsi="Times New Roman" w:eastAsia="仿宋" w:cs="Times New Roman"/>
                <w:b w:val="0"/>
                <w:bCs w:val="0"/>
                <w:sz w:val="21"/>
                <w:szCs w:val="21"/>
              </w:rPr>
            </w:pPr>
            <w:r>
              <w:rPr>
                <w:rFonts w:hint="default" w:ascii="Times New Roman" w:hAnsi="Times New Roman" w:eastAsia="仿宋" w:cs="Times New Roman"/>
                <w:b w:val="0"/>
                <w:bCs w:val="0"/>
                <w:sz w:val="21"/>
                <w:szCs w:val="21"/>
              </w:rPr>
              <w:t>一星级</w:t>
            </w:r>
          </w:p>
        </w:tc>
        <w:tc>
          <w:tcPr>
            <w:tcW w:w="2161" w:type="dxa"/>
            <w:vMerge w:val="continue"/>
            <w:shd w:val="clear" w:color="auto" w:fill="auto"/>
            <w:tcMar>
              <w:top w:w="15" w:type="dxa"/>
              <w:left w:w="15" w:type="dxa"/>
              <w:right w:w="15" w:type="dxa"/>
            </w:tcMar>
            <w:vAlign w:val="center"/>
          </w:tcPr>
          <w:p w14:paraId="684A4801">
            <w:pPr>
              <w:widowControl/>
              <w:jc w:val="center"/>
              <w:textAlignment w:val="center"/>
              <w:rPr>
                <w:rFonts w:hint="default" w:ascii="Times New Roman" w:hAnsi="Times New Roman" w:eastAsia="仿宋" w:cs="Times New Roman"/>
                <w:b w:val="0"/>
                <w:bCs w:val="0"/>
                <w:color w:val="000000"/>
                <w:kern w:val="0"/>
                <w:sz w:val="21"/>
                <w:szCs w:val="21"/>
              </w:rPr>
            </w:pPr>
          </w:p>
        </w:tc>
      </w:tr>
      <w:tr w14:paraId="25598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723" w:hRule="exact"/>
        </w:trPr>
        <w:tc>
          <w:tcPr>
            <w:tcW w:w="648" w:type="dxa"/>
            <w:vMerge w:val="continue"/>
            <w:vAlign w:val="center"/>
          </w:tcPr>
          <w:p w14:paraId="4A07613F">
            <w:pPr>
              <w:pStyle w:val="48"/>
              <w:rPr>
                <w:rFonts w:hint="default" w:ascii="Times New Roman" w:hAnsi="Times New Roman" w:cs="Times New Roman"/>
                <w:b w:val="0"/>
                <w:bCs w:val="0"/>
                <w:color w:val="000000"/>
                <w:kern w:val="0"/>
                <w:sz w:val="21"/>
                <w:szCs w:val="21"/>
              </w:rPr>
            </w:pPr>
          </w:p>
        </w:tc>
        <w:tc>
          <w:tcPr>
            <w:tcW w:w="1580" w:type="dxa"/>
            <w:shd w:val="clear" w:color="auto" w:fill="auto"/>
            <w:tcMar>
              <w:top w:w="15" w:type="dxa"/>
              <w:left w:w="15" w:type="dxa"/>
              <w:right w:w="15" w:type="dxa"/>
            </w:tcMar>
            <w:vAlign w:val="center"/>
          </w:tcPr>
          <w:p w14:paraId="603225D1">
            <w:pPr>
              <w:pStyle w:val="48"/>
              <w:rPr>
                <w:rFonts w:hint="default" w:ascii="Times New Roman" w:hAnsi="Times New Roman" w:eastAsia="仿宋" w:cs="Times New Roman"/>
                <w:b w:val="0"/>
                <w:bCs w:val="0"/>
                <w:sz w:val="21"/>
                <w:szCs w:val="21"/>
              </w:rPr>
            </w:pPr>
            <w:r>
              <w:rPr>
                <w:rFonts w:hint="default" w:ascii="Times New Roman" w:hAnsi="Times New Roman" w:cs="Times New Roman"/>
                <w:b w:val="0"/>
                <w:bCs w:val="0"/>
                <w:color w:val="000000"/>
                <w:kern w:val="0"/>
                <w:sz w:val="21"/>
                <w:szCs w:val="21"/>
              </w:rPr>
              <w:t>超高层建筑</w:t>
            </w:r>
          </w:p>
        </w:tc>
        <w:tc>
          <w:tcPr>
            <w:tcW w:w="1377" w:type="dxa"/>
            <w:shd w:val="clear" w:color="auto" w:fill="auto"/>
            <w:tcMar>
              <w:top w:w="15" w:type="dxa"/>
              <w:left w:w="15" w:type="dxa"/>
              <w:right w:w="15" w:type="dxa"/>
            </w:tcMar>
            <w:vAlign w:val="center"/>
          </w:tcPr>
          <w:p w14:paraId="5EE20395">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w:t>
            </w:r>
          </w:p>
        </w:tc>
        <w:tc>
          <w:tcPr>
            <w:tcW w:w="1614" w:type="dxa"/>
            <w:shd w:val="clear" w:color="auto" w:fill="auto"/>
            <w:tcMar>
              <w:top w:w="15" w:type="dxa"/>
              <w:left w:w="15" w:type="dxa"/>
              <w:right w:w="15" w:type="dxa"/>
            </w:tcMar>
            <w:vAlign w:val="center"/>
          </w:tcPr>
          <w:p w14:paraId="19C88302">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w:t>
            </w:r>
          </w:p>
        </w:tc>
        <w:tc>
          <w:tcPr>
            <w:tcW w:w="1097" w:type="dxa"/>
            <w:shd w:val="clear" w:color="auto" w:fill="auto"/>
            <w:tcMar>
              <w:top w:w="15" w:type="dxa"/>
              <w:left w:w="15" w:type="dxa"/>
              <w:right w:w="15" w:type="dxa"/>
            </w:tcMar>
            <w:vAlign w:val="center"/>
          </w:tcPr>
          <w:p w14:paraId="66BC0240">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三星级</w:t>
            </w:r>
          </w:p>
        </w:tc>
        <w:tc>
          <w:tcPr>
            <w:tcW w:w="2161" w:type="dxa"/>
            <w:shd w:val="clear" w:color="auto" w:fill="auto"/>
            <w:tcMar>
              <w:top w:w="15" w:type="dxa"/>
              <w:left w:w="15" w:type="dxa"/>
              <w:right w:w="15" w:type="dxa"/>
            </w:tcMar>
            <w:vAlign w:val="center"/>
          </w:tcPr>
          <w:p w14:paraId="01EA601B">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按项目实际情况，参照居住或公共建筑执行</w:t>
            </w:r>
          </w:p>
        </w:tc>
      </w:tr>
      <w:tr w14:paraId="174DF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restart"/>
            <w:vAlign w:val="center"/>
          </w:tcPr>
          <w:p w14:paraId="6A06750E">
            <w:pPr>
              <w:pStyle w:val="47"/>
              <w:spacing w:after="0" w:line="240" w:lineRule="auto"/>
              <w:ind w:left="0" w:leftChars="0"/>
              <w:jc w:val="center"/>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基础目标单元</w:t>
            </w:r>
          </w:p>
        </w:tc>
        <w:tc>
          <w:tcPr>
            <w:tcW w:w="7829" w:type="dxa"/>
            <w:gridSpan w:val="5"/>
            <w:shd w:val="clear" w:color="auto" w:fill="auto"/>
            <w:tcMar>
              <w:top w:w="15" w:type="dxa"/>
              <w:left w:w="15" w:type="dxa"/>
              <w:right w:w="15" w:type="dxa"/>
            </w:tcMar>
            <w:vAlign w:val="center"/>
          </w:tcPr>
          <w:p w14:paraId="6148A0F7">
            <w:pPr>
              <w:pStyle w:val="47"/>
              <w:spacing w:after="0" w:line="240" w:lineRule="auto"/>
              <w:ind w:left="0" w:leftChars="0"/>
              <w:jc w:val="center"/>
              <w:rPr>
                <w:rFonts w:hint="default" w:ascii="Times New Roman" w:hAnsi="Times New Roman" w:eastAsia="仿宋" w:cs="Times New Roman"/>
                <w:b w:val="0"/>
                <w:bCs w:val="0"/>
                <w:sz w:val="21"/>
                <w:szCs w:val="21"/>
              </w:rPr>
            </w:pPr>
            <w:r>
              <w:rPr>
                <w:rFonts w:hint="default" w:ascii="Times New Roman" w:hAnsi="Times New Roman" w:cs="Times New Roman"/>
                <w:b w:val="0"/>
                <w:bCs w:val="0"/>
                <w:color w:val="000000"/>
                <w:kern w:val="0"/>
                <w:sz w:val="21"/>
                <w:szCs w:val="21"/>
                <w:lang w:bidi="ar"/>
              </w:rPr>
              <w:t>新建民用建筑绿色建筑等级不低于基本</w:t>
            </w:r>
            <w:r>
              <w:rPr>
                <w:rFonts w:hint="default" w:ascii="Times New Roman" w:hAnsi="Times New Roman" w:cs="Times New Roman"/>
                <w:b w:val="0"/>
                <w:bCs w:val="0"/>
                <w:color w:val="000000"/>
                <w:kern w:val="0"/>
                <w:sz w:val="21"/>
                <w:szCs w:val="21"/>
              </w:rPr>
              <w:t>级</w:t>
            </w:r>
          </w:p>
        </w:tc>
      </w:tr>
      <w:tr w14:paraId="4528E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75D8B926">
            <w:pPr>
              <w:pStyle w:val="48"/>
              <w:rPr>
                <w:rFonts w:hint="default" w:ascii="Times New Roman" w:hAnsi="Times New Roman" w:cs="Times New Roman"/>
                <w:b w:val="0"/>
                <w:bCs w:val="0"/>
                <w:color w:val="000000"/>
                <w:kern w:val="0"/>
                <w:sz w:val="21"/>
                <w:szCs w:val="21"/>
              </w:rPr>
            </w:pPr>
          </w:p>
        </w:tc>
        <w:tc>
          <w:tcPr>
            <w:tcW w:w="1580" w:type="dxa"/>
            <w:vMerge w:val="restart"/>
            <w:shd w:val="clear" w:color="auto" w:fill="auto"/>
            <w:tcMar>
              <w:top w:w="15" w:type="dxa"/>
              <w:left w:w="15" w:type="dxa"/>
              <w:right w:w="15" w:type="dxa"/>
            </w:tcMar>
            <w:vAlign w:val="center"/>
          </w:tcPr>
          <w:p w14:paraId="79801D25">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居住建筑</w:t>
            </w:r>
          </w:p>
          <w:p w14:paraId="211BBD68">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（包括工业用地范围内用于居住功能的建筑）</w:t>
            </w:r>
          </w:p>
        </w:tc>
        <w:tc>
          <w:tcPr>
            <w:tcW w:w="1377" w:type="dxa"/>
            <w:shd w:val="clear" w:color="auto" w:fill="auto"/>
            <w:tcMar>
              <w:top w:w="15" w:type="dxa"/>
              <w:left w:w="15" w:type="dxa"/>
              <w:right w:w="15" w:type="dxa"/>
            </w:tcMar>
            <w:vAlign w:val="center"/>
          </w:tcPr>
          <w:p w14:paraId="3EB61014">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财政投资或国有资金参与投资</w:t>
            </w:r>
          </w:p>
        </w:tc>
        <w:tc>
          <w:tcPr>
            <w:tcW w:w="1614" w:type="dxa"/>
            <w:shd w:val="clear" w:color="auto" w:fill="auto"/>
            <w:tcMar>
              <w:top w:w="15" w:type="dxa"/>
              <w:left w:w="15" w:type="dxa"/>
              <w:right w:w="15" w:type="dxa"/>
            </w:tcMar>
            <w:vAlign w:val="center"/>
          </w:tcPr>
          <w:p w14:paraId="27AA2906">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w:t>
            </w:r>
          </w:p>
        </w:tc>
        <w:tc>
          <w:tcPr>
            <w:tcW w:w="1097" w:type="dxa"/>
            <w:shd w:val="clear" w:color="auto" w:fill="auto"/>
            <w:tcMar>
              <w:top w:w="15" w:type="dxa"/>
              <w:left w:w="15" w:type="dxa"/>
              <w:right w:w="15" w:type="dxa"/>
            </w:tcMar>
            <w:vAlign w:val="center"/>
          </w:tcPr>
          <w:p w14:paraId="46A3C23A">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一星级</w:t>
            </w:r>
          </w:p>
        </w:tc>
        <w:tc>
          <w:tcPr>
            <w:tcW w:w="2161" w:type="dxa"/>
            <w:vMerge w:val="restart"/>
            <w:shd w:val="clear" w:color="auto" w:fill="auto"/>
            <w:tcMar>
              <w:top w:w="15" w:type="dxa"/>
              <w:left w:w="15" w:type="dxa"/>
              <w:right w:w="15" w:type="dxa"/>
            </w:tcMar>
            <w:vAlign w:val="center"/>
          </w:tcPr>
          <w:p w14:paraId="14E1F411">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城镇新建居住建筑能效水平提升比例≥30%</w:t>
            </w:r>
          </w:p>
        </w:tc>
      </w:tr>
      <w:tr w14:paraId="28390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3F5F2838">
            <w:pPr>
              <w:pStyle w:val="48"/>
              <w:rPr>
                <w:rFonts w:hint="default" w:ascii="Times New Roman" w:hAnsi="Times New Roman" w:cs="Times New Roman"/>
                <w:b w:val="0"/>
                <w:bCs w:val="0"/>
                <w:color w:val="000000"/>
                <w:kern w:val="0"/>
                <w:sz w:val="21"/>
                <w:szCs w:val="21"/>
              </w:rPr>
            </w:pPr>
          </w:p>
        </w:tc>
        <w:tc>
          <w:tcPr>
            <w:tcW w:w="1580" w:type="dxa"/>
            <w:vMerge w:val="continue"/>
            <w:shd w:val="clear" w:color="auto" w:fill="auto"/>
            <w:tcMar>
              <w:top w:w="15" w:type="dxa"/>
              <w:left w:w="15" w:type="dxa"/>
              <w:right w:w="15" w:type="dxa"/>
            </w:tcMar>
            <w:vAlign w:val="center"/>
          </w:tcPr>
          <w:p w14:paraId="3521C9E4">
            <w:pPr>
              <w:pStyle w:val="48"/>
              <w:rPr>
                <w:rFonts w:hint="default" w:ascii="Times New Roman" w:hAnsi="Times New Roman" w:cs="Times New Roman"/>
                <w:b w:val="0"/>
                <w:bCs w:val="0"/>
                <w:color w:val="000000"/>
                <w:kern w:val="0"/>
                <w:sz w:val="21"/>
                <w:szCs w:val="21"/>
              </w:rPr>
            </w:pPr>
          </w:p>
        </w:tc>
        <w:tc>
          <w:tcPr>
            <w:tcW w:w="1377" w:type="dxa"/>
            <w:vMerge w:val="restart"/>
            <w:shd w:val="clear" w:color="auto" w:fill="auto"/>
            <w:tcMar>
              <w:top w:w="15" w:type="dxa"/>
              <w:left w:w="15" w:type="dxa"/>
              <w:right w:w="15" w:type="dxa"/>
            </w:tcMar>
            <w:vAlign w:val="center"/>
          </w:tcPr>
          <w:p w14:paraId="1CDFE47D">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其他</w:t>
            </w:r>
          </w:p>
        </w:tc>
        <w:tc>
          <w:tcPr>
            <w:tcW w:w="1614" w:type="dxa"/>
            <w:shd w:val="clear" w:color="auto" w:fill="auto"/>
            <w:tcMar>
              <w:top w:w="15" w:type="dxa"/>
              <w:left w:w="15" w:type="dxa"/>
              <w:right w:w="15" w:type="dxa"/>
            </w:tcMar>
            <w:vAlign w:val="center"/>
          </w:tcPr>
          <w:p w14:paraId="66FD3F02">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计容</w:t>
            </w:r>
            <w:r>
              <w:rPr>
                <w:rFonts w:hint="default" w:ascii="Times New Roman" w:hAnsi="Times New Roman" w:eastAsia="仿宋" w:cs="Times New Roman"/>
                <w:b w:val="0"/>
                <w:bCs w:val="0"/>
                <w:color w:val="000000"/>
                <w:kern w:val="0"/>
                <w:sz w:val="21"/>
                <w:szCs w:val="21"/>
              </w:rPr>
              <w:t>建筑面积＞10万平方米</w:t>
            </w:r>
          </w:p>
        </w:tc>
        <w:tc>
          <w:tcPr>
            <w:tcW w:w="1097" w:type="dxa"/>
            <w:shd w:val="clear" w:color="auto" w:fill="auto"/>
            <w:tcMar>
              <w:top w:w="15" w:type="dxa"/>
              <w:left w:w="15" w:type="dxa"/>
              <w:right w:w="15" w:type="dxa"/>
            </w:tcMar>
            <w:vAlign w:val="center"/>
          </w:tcPr>
          <w:p w14:paraId="03D07D59">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一星级</w:t>
            </w:r>
          </w:p>
        </w:tc>
        <w:tc>
          <w:tcPr>
            <w:tcW w:w="2161" w:type="dxa"/>
            <w:vMerge w:val="continue"/>
            <w:shd w:val="clear" w:color="auto" w:fill="auto"/>
            <w:tcMar>
              <w:top w:w="15" w:type="dxa"/>
              <w:left w:w="15" w:type="dxa"/>
              <w:right w:w="15" w:type="dxa"/>
            </w:tcMar>
            <w:vAlign w:val="center"/>
          </w:tcPr>
          <w:p w14:paraId="2D4CAA9D">
            <w:pPr>
              <w:widowControl/>
              <w:jc w:val="center"/>
              <w:textAlignment w:val="center"/>
              <w:rPr>
                <w:rFonts w:hint="default" w:ascii="Times New Roman" w:hAnsi="Times New Roman" w:eastAsia="仿宋" w:cs="Times New Roman"/>
                <w:b w:val="0"/>
                <w:bCs w:val="0"/>
                <w:color w:val="000000"/>
                <w:kern w:val="0"/>
                <w:sz w:val="21"/>
                <w:szCs w:val="21"/>
              </w:rPr>
            </w:pPr>
          </w:p>
        </w:tc>
      </w:tr>
      <w:tr w14:paraId="461D5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5A560D53">
            <w:pPr>
              <w:pStyle w:val="48"/>
              <w:rPr>
                <w:rFonts w:hint="default" w:ascii="Times New Roman" w:hAnsi="Times New Roman" w:cs="Times New Roman"/>
                <w:b w:val="0"/>
                <w:bCs w:val="0"/>
                <w:color w:val="000000"/>
                <w:kern w:val="0"/>
                <w:sz w:val="21"/>
                <w:szCs w:val="21"/>
              </w:rPr>
            </w:pPr>
          </w:p>
        </w:tc>
        <w:tc>
          <w:tcPr>
            <w:tcW w:w="1580" w:type="dxa"/>
            <w:vMerge w:val="continue"/>
            <w:shd w:val="clear" w:color="auto" w:fill="auto"/>
            <w:tcMar>
              <w:top w:w="15" w:type="dxa"/>
              <w:left w:w="15" w:type="dxa"/>
              <w:right w:w="15" w:type="dxa"/>
            </w:tcMar>
            <w:vAlign w:val="center"/>
          </w:tcPr>
          <w:p w14:paraId="2006D688">
            <w:pPr>
              <w:pStyle w:val="48"/>
              <w:rPr>
                <w:rFonts w:hint="default" w:ascii="Times New Roman" w:hAnsi="Times New Roman" w:cs="Times New Roman"/>
                <w:b w:val="0"/>
                <w:bCs w:val="0"/>
                <w:color w:val="000000"/>
                <w:kern w:val="0"/>
                <w:sz w:val="21"/>
                <w:szCs w:val="21"/>
              </w:rPr>
            </w:pPr>
          </w:p>
        </w:tc>
        <w:tc>
          <w:tcPr>
            <w:tcW w:w="1377" w:type="dxa"/>
            <w:vMerge w:val="continue"/>
            <w:shd w:val="clear" w:color="auto" w:fill="auto"/>
            <w:tcMar>
              <w:top w:w="15" w:type="dxa"/>
              <w:left w:w="15" w:type="dxa"/>
              <w:right w:w="15" w:type="dxa"/>
            </w:tcMar>
            <w:vAlign w:val="center"/>
          </w:tcPr>
          <w:p w14:paraId="6D046CA3">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p>
        </w:tc>
        <w:tc>
          <w:tcPr>
            <w:tcW w:w="1614" w:type="dxa"/>
            <w:shd w:val="clear" w:color="auto" w:fill="auto"/>
            <w:tcMar>
              <w:top w:w="15" w:type="dxa"/>
              <w:left w:w="15" w:type="dxa"/>
              <w:right w:w="15" w:type="dxa"/>
            </w:tcMar>
            <w:vAlign w:val="center"/>
          </w:tcPr>
          <w:p w14:paraId="08FB90B2">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计容</w:t>
            </w:r>
            <w:r>
              <w:rPr>
                <w:rFonts w:hint="default" w:ascii="Times New Roman" w:hAnsi="Times New Roman" w:eastAsia="仿宋" w:cs="Times New Roman"/>
                <w:b w:val="0"/>
                <w:bCs w:val="0"/>
                <w:color w:val="000000"/>
                <w:kern w:val="0"/>
                <w:sz w:val="21"/>
                <w:szCs w:val="21"/>
              </w:rPr>
              <w:t>建筑面积≤10万平方米</w:t>
            </w:r>
          </w:p>
        </w:tc>
        <w:tc>
          <w:tcPr>
            <w:tcW w:w="1097" w:type="dxa"/>
            <w:shd w:val="clear" w:color="auto" w:fill="auto"/>
            <w:tcMar>
              <w:top w:w="15" w:type="dxa"/>
              <w:left w:w="15" w:type="dxa"/>
              <w:right w:w="15" w:type="dxa"/>
            </w:tcMar>
            <w:vAlign w:val="center"/>
          </w:tcPr>
          <w:p w14:paraId="5D456D6D">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基本级</w:t>
            </w:r>
          </w:p>
        </w:tc>
        <w:tc>
          <w:tcPr>
            <w:tcW w:w="2161" w:type="dxa"/>
            <w:vMerge w:val="continue"/>
            <w:shd w:val="clear" w:color="auto" w:fill="auto"/>
            <w:tcMar>
              <w:top w:w="15" w:type="dxa"/>
              <w:left w:w="15" w:type="dxa"/>
              <w:right w:w="15" w:type="dxa"/>
            </w:tcMar>
            <w:vAlign w:val="center"/>
          </w:tcPr>
          <w:p w14:paraId="5EC64ABF">
            <w:pPr>
              <w:widowControl/>
              <w:jc w:val="center"/>
              <w:textAlignment w:val="center"/>
              <w:rPr>
                <w:rFonts w:hint="default" w:ascii="Times New Roman" w:hAnsi="Times New Roman" w:eastAsia="仿宋" w:cs="Times New Roman"/>
                <w:b w:val="0"/>
                <w:bCs w:val="0"/>
                <w:color w:val="000000"/>
                <w:kern w:val="0"/>
                <w:sz w:val="21"/>
                <w:szCs w:val="21"/>
              </w:rPr>
            </w:pPr>
          </w:p>
        </w:tc>
      </w:tr>
      <w:tr w14:paraId="27BC4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065CC527">
            <w:pPr>
              <w:pStyle w:val="48"/>
              <w:rPr>
                <w:rFonts w:hint="default" w:ascii="Times New Roman" w:hAnsi="Times New Roman" w:cs="Times New Roman"/>
                <w:b w:val="0"/>
                <w:bCs w:val="0"/>
                <w:color w:val="000000"/>
                <w:kern w:val="0"/>
                <w:sz w:val="21"/>
                <w:szCs w:val="21"/>
              </w:rPr>
            </w:pPr>
          </w:p>
        </w:tc>
        <w:tc>
          <w:tcPr>
            <w:tcW w:w="1580" w:type="dxa"/>
            <w:vMerge w:val="restart"/>
            <w:shd w:val="clear" w:color="auto" w:fill="auto"/>
            <w:tcMar>
              <w:top w:w="15" w:type="dxa"/>
              <w:left w:w="15" w:type="dxa"/>
              <w:right w:w="15" w:type="dxa"/>
            </w:tcMar>
            <w:vAlign w:val="center"/>
          </w:tcPr>
          <w:p w14:paraId="0A857E51">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公共建筑</w:t>
            </w:r>
          </w:p>
          <w:p w14:paraId="1C8E2CD1">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（包括工业用地范围内用于办公功能的建筑）</w:t>
            </w:r>
          </w:p>
        </w:tc>
        <w:tc>
          <w:tcPr>
            <w:tcW w:w="1377" w:type="dxa"/>
            <w:shd w:val="clear" w:color="auto" w:fill="auto"/>
            <w:tcMar>
              <w:top w:w="15" w:type="dxa"/>
              <w:left w:w="15" w:type="dxa"/>
              <w:right w:w="15" w:type="dxa"/>
            </w:tcMar>
            <w:vAlign w:val="center"/>
          </w:tcPr>
          <w:p w14:paraId="6A5FDE0C">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财政投资或国有资金参与投资</w:t>
            </w:r>
          </w:p>
        </w:tc>
        <w:tc>
          <w:tcPr>
            <w:tcW w:w="1614" w:type="dxa"/>
            <w:shd w:val="clear" w:color="auto" w:fill="auto"/>
            <w:tcMar>
              <w:top w:w="15" w:type="dxa"/>
              <w:left w:w="15" w:type="dxa"/>
              <w:right w:w="15" w:type="dxa"/>
            </w:tcMar>
            <w:vAlign w:val="center"/>
          </w:tcPr>
          <w:p w14:paraId="7B2CFBC5">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w:t>
            </w:r>
          </w:p>
        </w:tc>
        <w:tc>
          <w:tcPr>
            <w:tcW w:w="1097" w:type="dxa"/>
            <w:shd w:val="clear" w:color="auto" w:fill="auto"/>
            <w:tcMar>
              <w:top w:w="15" w:type="dxa"/>
              <w:left w:w="15" w:type="dxa"/>
              <w:right w:w="15" w:type="dxa"/>
            </w:tcMar>
            <w:vAlign w:val="center"/>
          </w:tcPr>
          <w:p w14:paraId="48034558">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一星级</w:t>
            </w:r>
          </w:p>
        </w:tc>
        <w:tc>
          <w:tcPr>
            <w:tcW w:w="2161" w:type="dxa"/>
            <w:vMerge w:val="restart"/>
            <w:shd w:val="clear" w:color="auto" w:fill="auto"/>
            <w:tcMar>
              <w:top w:w="15" w:type="dxa"/>
              <w:left w:w="15" w:type="dxa"/>
              <w:right w:w="15" w:type="dxa"/>
            </w:tcMar>
            <w:vAlign w:val="center"/>
          </w:tcPr>
          <w:p w14:paraId="67FB3BB4">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城镇新建公共建筑能效水平提升比例≥20%</w:t>
            </w:r>
          </w:p>
        </w:tc>
      </w:tr>
      <w:tr w14:paraId="75C07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7FF314DF">
            <w:pPr>
              <w:pStyle w:val="48"/>
              <w:spacing w:before="156" w:after="93"/>
              <w:rPr>
                <w:rFonts w:hint="default" w:ascii="Times New Roman" w:hAnsi="Times New Roman" w:eastAsia="仿宋" w:cs="Times New Roman"/>
                <w:b w:val="0"/>
                <w:bCs w:val="0"/>
                <w:sz w:val="21"/>
                <w:szCs w:val="21"/>
              </w:rPr>
            </w:pPr>
          </w:p>
        </w:tc>
        <w:tc>
          <w:tcPr>
            <w:tcW w:w="1580" w:type="dxa"/>
            <w:vMerge w:val="continue"/>
            <w:shd w:val="clear" w:color="auto" w:fill="auto"/>
            <w:tcMar>
              <w:top w:w="15" w:type="dxa"/>
              <w:left w:w="15" w:type="dxa"/>
              <w:right w:w="15" w:type="dxa"/>
            </w:tcMar>
            <w:vAlign w:val="center"/>
          </w:tcPr>
          <w:p w14:paraId="3E702940">
            <w:pPr>
              <w:pStyle w:val="48"/>
              <w:spacing w:before="156" w:after="93"/>
              <w:rPr>
                <w:rFonts w:hint="default" w:ascii="Times New Roman" w:hAnsi="Times New Roman" w:eastAsia="仿宋" w:cs="Times New Roman"/>
                <w:b w:val="0"/>
                <w:bCs w:val="0"/>
                <w:sz w:val="21"/>
                <w:szCs w:val="21"/>
              </w:rPr>
            </w:pPr>
          </w:p>
        </w:tc>
        <w:tc>
          <w:tcPr>
            <w:tcW w:w="1377" w:type="dxa"/>
            <w:vMerge w:val="restart"/>
            <w:shd w:val="clear" w:color="auto" w:fill="auto"/>
            <w:tcMar>
              <w:top w:w="15" w:type="dxa"/>
              <w:left w:w="15" w:type="dxa"/>
              <w:right w:w="15" w:type="dxa"/>
            </w:tcMar>
            <w:vAlign w:val="center"/>
          </w:tcPr>
          <w:p w14:paraId="0ED53C52">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其它</w:t>
            </w:r>
          </w:p>
        </w:tc>
        <w:tc>
          <w:tcPr>
            <w:tcW w:w="1614" w:type="dxa"/>
            <w:shd w:val="clear" w:color="auto" w:fill="auto"/>
            <w:tcMar>
              <w:top w:w="15" w:type="dxa"/>
              <w:left w:w="15" w:type="dxa"/>
              <w:right w:w="15" w:type="dxa"/>
            </w:tcMar>
            <w:vAlign w:val="center"/>
          </w:tcPr>
          <w:p w14:paraId="3E299386">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eastAsia" w:ascii="Times New Roman" w:hAnsi="Times New Roman" w:eastAsia="仿宋" w:cs="Times New Roman"/>
                <w:b w:val="0"/>
                <w:bCs w:val="0"/>
                <w:color w:val="000000"/>
                <w:kern w:val="0"/>
                <w:sz w:val="21"/>
                <w:szCs w:val="21"/>
                <w:lang w:val="en-US" w:eastAsia="zh-CN"/>
              </w:rPr>
              <w:t>地上</w:t>
            </w:r>
            <w:r>
              <w:rPr>
                <w:rFonts w:hint="default" w:ascii="Times New Roman" w:hAnsi="Times New Roman" w:eastAsia="仿宋" w:cs="Times New Roman"/>
                <w:b w:val="0"/>
                <w:bCs w:val="0"/>
                <w:color w:val="000000"/>
                <w:kern w:val="0"/>
                <w:sz w:val="21"/>
                <w:szCs w:val="21"/>
              </w:rPr>
              <w:t>单体建筑面积＞2万平方米</w:t>
            </w:r>
          </w:p>
        </w:tc>
        <w:tc>
          <w:tcPr>
            <w:tcW w:w="1097" w:type="dxa"/>
            <w:shd w:val="clear" w:color="auto" w:fill="auto"/>
            <w:tcMar>
              <w:top w:w="15" w:type="dxa"/>
              <w:left w:w="15" w:type="dxa"/>
              <w:right w:w="15" w:type="dxa"/>
            </w:tcMar>
            <w:vAlign w:val="center"/>
          </w:tcPr>
          <w:p w14:paraId="016C67EB">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一星级</w:t>
            </w:r>
          </w:p>
        </w:tc>
        <w:tc>
          <w:tcPr>
            <w:tcW w:w="2161" w:type="dxa"/>
            <w:vMerge w:val="continue"/>
            <w:shd w:val="clear" w:color="auto" w:fill="auto"/>
            <w:tcMar>
              <w:top w:w="15" w:type="dxa"/>
              <w:left w:w="15" w:type="dxa"/>
              <w:right w:w="15" w:type="dxa"/>
            </w:tcMar>
            <w:vAlign w:val="center"/>
          </w:tcPr>
          <w:p w14:paraId="2E54BEC2">
            <w:pPr>
              <w:widowControl/>
              <w:jc w:val="center"/>
              <w:textAlignment w:val="center"/>
              <w:rPr>
                <w:rFonts w:hint="default" w:ascii="Times New Roman" w:hAnsi="Times New Roman" w:eastAsia="仿宋" w:cs="Times New Roman"/>
                <w:b w:val="0"/>
                <w:bCs w:val="0"/>
                <w:color w:val="000000"/>
                <w:kern w:val="0"/>
                <w:sz w:val="21"/>
                <w:szCs w:val="21"/>
              </w:rPr>
            </w:pPr>
          </w:p>
        </w:tc>
      </w:tr>
      <w:tr w14:paraId="23CCC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5EA50476">
            <w:pPr>
              <w:pStyle w:val="48"/>
              <w:spacing w:before="156" w:after="93"/>
              <w:rPr>
                <w:rFonts w:hint="default" w:ascii="Times New Roman" w:hAnsi="Times New Roman" w:eastAsia="仿宋" w:cs="Times New Roman"/>
                <w:b w:val="0"/>
                <w:bCs w:val="0"/>
                <w:sz w:val="21"/>
                <w:szCs w:val="21"/>
              </w:rPr>
            </w:pPr>
          </w:p>
        </w:tc>
        <w:tc>
          <w:tcPr>
            <w:tcW w:w="1580" w:type="dxa"/>
            <w:vMerge w:val="continue"/>
            <w:shd w:val="clear" w:color="auto" w:fill="auto"/>
            <w:tcMar>
              <w:top w:w="15" w:type="dxa"/>
              <w:left w:w="15" w:type="dxa"/>
              <w:right w:w="15" w:type="dxa"/>
            </w:tcMar>
            <w:vAlign w:val="center"/>
          </w:tcPr>
          <w:p w14:paraId="26D58F01">
            <w:pPr>
              <w:pStyle w:val="48"/>
              <w:spacing w:before="156" w:after="93"/>
              <w:rPr>
                <w:rFonts w:hint="default" w:ascii="Times New Roman" w:hAnsi="Times New Roman" w:eastAsia="仿宋" w:cs="Times New Roman"/>
                <w:b w:val="0"/>
                <w:bCs w:val="0"/>
                <w:sz w:val="21"/>
                <w:szCs w:val="21"/>
              </w:rPr>
            </w:pPr>
          </w:p>
        </w:tc>
        <w:tc>
          <w:tcPr>
            <w:tcW w:w="1377" w:type="dxa"/>
            <w:vMerge w:val="continue"/>
            <w:shd w:val="clear" w:color="auto" w:fill="auto"/>
            <w:tcMar>
              <w:top w:w="15" w:type="dxa"/>
              <w:left w:w="15" w:type="dxa"/>
              <w:right w:w="15" w:type="dxa"/>
            </w:tcMar>
            <w:vAlign w:val="center"/>
          </w:tcPr>
          <w:p w14:paraId="17B57A38">
            <w:pPr>
              <w:pStyle w:val="48"/>
              <w:keepNext w:val="0"/>
              <w:keepLines w:val="0"/>
              <w:pageBreakBefore w:val="0"/>
              <w:kinsoku/>
              <w:wordWrap/>
              <w:overflowPunct/>
              <w:topLinePunct w:val="0"/>
              <w:autoSpaceDE/>
              <w:autoSpaceDN/>
              <w:bidi w:val="0"/>
              <w:adjustRightInd/>
              <w:snapToGrid w:val="0"/>
              <w:spacing w:line="192" w:lineRule="auto"/>
              <w:rPr>
                <w:rFonts w:hint="default" w:ascii="Times New Roman" w:hAnsi="Times New Roman" w:eastAsia="仿宋" w:cs="Times New Roman"/>
                <w:b w:val="0"/>
                <w:bCs w:val="0"/>
                <w:sz w:val="21"/>
                <w:szCs w:val="21"/>
              </w:rPr>
            </w:pPr>
          </w:p>
        </w:tc>
        <w:tc>
          <w:tcPr>
            <w:tcW w:w="1614" w:type="dxa"/>
            <w:shd w:val="clear" w:color="auto" w:fill="auto"/>
            <w:tcMar>
              <w:top w:w="15" w:type="dxa"/>
              <w:left w:w="15" w:type="dxa"/>
              <w:right w:w="15" w:type="dxa"/>
            </w:tcMar>
            <w:vAlign w:val="center"/>
          </w:tcPr>
          <w:p w14:paraId="78FB3F03">
            <w:pPr>
              <w:pStyle w:val="48"/>
              <w:keepNext w:val="0"/>
              <w:keepLines w:val="0"/>
              <w:pageBreakBefore w:val="0"/>
              <w:kinsoku/>
              <w:wordWrap/>
              <w:overflowPunct/>
              <w:topLinePunct w:val="0"/>
              <w:autoSpaceDE/>
              <w:autoSpaceDN/>
              <w:bidi w:val="0"/>
              <w:adjustRightInd/>
              <w:snapToGrid w:val="0"/>
              <w:spacing w:line="192" w:lineRule="auto"/>
              <w:rPr>
                <w:rFonts w:hint="default" w:ascii="Times New Roman" w:hAnsi="Times New Roman" w:eastAsia="仿宋" w:cs="Times New Roman"/>
                <w:b w:val="0"/>
                <w:bCs w:val="0"/>
                <w:sz w:val="21"/>
                <w:szCs w:val="21"/>
              </w:rPr>
            </w:pPr>
            <w:r>
              <w:rPr>
                <w:rFonts w:hint="eastAsia" w:ascii="Times New Roman" w:hAnsi="Times New Roman" w:eastAsia="仿宋" w:cs="Times New Roman"/>
                <w:b w:val="0"/>
                <w:bCs w:val="0"/>
                <w:sz w:val="21"/>
                <w:szCs w:val="21"/>
                <w:lang w:val="en-US" w:eastAsia="zh-CN"/>
              </w:rPr>
              <w:t>地上</w:t>
            </w:r>
            <w:r>
              <w:rPr>
                <w:rFonts w:hint="default" w:ascii="Times New Roman" w:hAnsi="Times New Roman" w:eastAsia="仿宋" w:cs="Times New Roman"/>
                <w:b w:val="0"/>
                <w:bCs w:val="0"/>
                <w:sz w:val="21"/>
                <w:szCs w:val="21"/>
              </w:rPr>
              <w:t>单体建筑面积≤2万平方米</w:t>
            </w:r>
          </w:p>
        </w:tc>
        <w:tc>
          <w:tcPr>
            <w:tcW w:w="1097" w:type="dxa"/>
            <w:shd w:val="clear" w:color="auto" w:fill="auto"/>
            <w:tcMar>
              <w:top w:w="15" w:type="dxa"/>
              <w:left w:w="15" w:type="dxa"/>
              <w:right w:w="15" w:type="dxa"/>
            </w:tcMar>
            <w:vAlign w:val="center"/>
          </w:tcPr>
          <w:p w14:paraId="425378A5">
            <w:pPr>
              <w:pStyle w:val="48"/>
              <w:keepNext w:val="0"/>
              <w:keepLines w:val="0"/>
              <w:pageBreakBefore w:val="0"/>
              <w:kinsoku/>
              <w:wordWrap/>
              <w:overflowPunct/>
              <w:topLinePunct w:val="0"/>
              <w:autoSpaceDE/>
              <w:autoSpaceDN/>
              <w:bidi w:val="0"/>
              <w:adjustRightInd/>
              <w:snapToGrid/>
              <w:rPr>
                <w:rFonts w:hint="default" w:ascii="Times New Roman" w:hAnsi="Times New Roman" w:eastAsia="仿宋" w:cs="Times New Roman"/>
                <w:b w:val="0"/>
                <w:bCs w:val="0"/>
                <w:sz w:val="21"/>
                <w:szCs w:val="21"/>
              </w:rPr>
            </w:pPr>
            <w:r>
              <w:rPr>
                <w:rFonts w:hint="default" w:ascii="Times New Roman" w:hAnsi="Times New Roman" w:eastAsia="仿宋" w:cs="Times New Roman"/>
                <w:b w:val="0"/>
                <w:bCs w:val="0"/>
                <w:sz w:val="21"/>
                <w:szCs w:val="21"/>
              </w:rPr>
              <w:t>基本级</w:t>
            </w:r>
          </w:p>
        </w:tc>
        <w:tc>
          <w:tcPr>
            <w:tcW w:w="2161" w:type="dxa"/>
            <w:vMerge w:val="continue"/>
            <w:shd w:val="clear" w:color="auto" w:fill="auto"/>
            <w:tcMar>
              <w:top w:w="15" w:type="dxa"/>
              <w:left w:w="15" w:type="dxa"/>
              <w:right w:w="15" w:type="dxa"/>
            </w:tcMar>
            <w:vAlign w:val="center"/>
          </w:tcPr>
          <w:p w14:paraId="2D91D7FD">
            <w:pPr>
              <w:widowControl/>
              <w:jc w:val="center"/>
              <w:textAlignment w:val="center"/>
              <w:rPr>
                <w:rFonts w:hint="default" w:ascii="Times New Roman" w:hAnsi="Times New Roman" w:eastAsia="仿宋" w:cs="Times New Roman"/>
                <w:b w:val="0"/>
                <w:bCs w:val="0"/>
                <w:color w:val="000000"/>
                <w:kern w:val="0"/>
                <w:sz w:val="21"/>
                <w:szCs w:val="21"/>
              </w:rPr>
            </w:pPr>
          </w:p>
        </w:tc>
      </w:tr>
      <w:tr w14:paraId="38F87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11" w:hRule="exact"/>
        </w:trPr>
        <w:tc>
          <w:tcPr>
            <w:tcW w:w="648" w:type="dxa"/>
            <w:vMerge w:val="continue"/>
            <w:vAlign w:val="center"/>
          </w:tcPr>
          <w:p w14:paraId="675FF95A">
            <w:pPr>
              <w:pStyle w:val="48"/>
              <w:rPr>
                <w:rFonts w:hint="default" w:ascii="Times New Roman" w:hAnsi="Times New Roman" w:cs="Times New Roman"/>
                <w:b w:val="0"/>
                <w:bCs w:val="0"/>
                <w:color w:val="000000"/>
                <w:kern w:val="0"/>
                <w:sz w:val="21"/>
                <w:szCs w:val="21"/>
              </w:rPr>
            </w:pPr>
          </w:p>
        </w:tc>
        <w:tc>
          <w:tcPr>
            <w:tcW w:w="1580" w:type="dxa"/>
            <w:shd w:val="clear" w:color="auto" w:fill="auto"/>
            <w:tcMar>
              <w:top w:w="15" w:type="dxa"/>
              <w:left w:w="15" w:type="dxa"/>
              <w:right w:w="15" w:type="dxa"/>
            </w:tcMar>
            <w:vAlign w:val="center"/>
          </w:tcPr>
          <w:p w14:paraId="4B87FA54">
            <w:pPr>
              <w:pStyle w:val="48"/>
              <w:rPr>
                <w:rFonts w:hint="default" w:ascii="Times New Roman" w:hAnsi="Times New Roman" w:eastAsia="仿宋" w:cs="Times New Roman"/>
                <w:b w:val="0"/>
                <w:bCs w:val="0"/>
                <w:sz w:val="21"/>
                <w:szCs w:val="21"/>
              </w:rPr>
            </w:pPr>
            <w:r>
              <w:rPr>
                <w:rFonts w:hint="default" w:ascii="Times New Roman" w:hAnsi="Times New Roman" w:cs="Times New Roman"/>
                <w:b w:val="0"/>
                <w:bCs w:val="0"/>
                <w:color w:val="000000"/>
                <w:kern w:val="0"/>
                <w:sz w:val="21"/>
                <w:szCs w:val="21"/>
              </w:rPr>
              <w:t>超高层建筑</w:t>
            </w:r>
          </w:p>
        </w:tc>
        <w:tc>
          <w:tcPr>
            <w:tcW w:w="1377" w:type="dxa"/>
            <w:shd w:val="clear" w:color="auto" w:fill="auto"/>
            <w:tcMar>
              <w:top w:w="15" w:type="dxa"/>
              <w:left w:w="15" w:type="dxa"/>
              <w:right w:w="15" w:type="dxa"/>
            </w:tcMar>
            <w:vAlign w:val="center"/>
          </w:tcPr>
          <w:p w14:paraId="129FB0A9">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w:t>
            </w:r>
          </w:p>
        </w:tc>
        <w:tc>
          <w:tcPr>
            <w:tcW w:w="1614" w:type="dxa"/>
            <w:shd w:val="clear" w:color="auto" w:fill="auto"/>
            <w:tcMar>
              <w:top w:w="15" w:type="dxa"/>
              <w:left w:w="15" w:type="dxa"/>
              <w:right w:w="15" w:type="dxa"/>
            </w:tcMar>
            <w:vAlign w:val="center"/>
          </w:tcPr>
          <w:p w14:paraId="47A56F66">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w:t>
            </w:r>
          </w:p>
        </w:tc>
        <w:tc>
          <w:tcPr>
            <w:tcW w:w="1097" w:type="dxa"/>
            <w:shd w:val="clear" w:color="auto" w:fill="auto"/>
            <w:tcMar>
              <w:top w:w="15" w:type="dxa"/>
              <w:left w:w="15" w:type="dxa"/>
              <w:right w:w="15" w:type="dxa"/>
            </w:tcMar>
            <w:vAlign w:val="center"/>
          </w:tcPr>
          <w:p w14:paraId="241EE9DE">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三星级</w:t>
            </w:r>
          </w:p>
        </w:tc>
        <w:tc>
          <w:tcPr>
            <w:tcW w:w="2167" w:type="dxa"/>
            <w:gridSpan w:val="2"/>
            <w:shd w:val="clear" w:color="auto" w:fill="auto"/>
            <w:tcMar>
              <w:top w:w="15" w:type="dxa"/>
              <w:left w:w="15" w:type="dxa"/>
              <w:right w:w="15" w:type="dxa"/>
            </w:tcMar>
            <w:vAlign w:val="center"/>
          </w:tcPr>
          <w:p w14:paraId="19393B18">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按项目实际情况，参照居住或公共建筑执行</w:t>
            </w:r>
          </w:p>
        </w:tc>
      </w:tr>
      <w:bookmarkEnd w:id="172"/>
    </w:tbl>
    <w:p w14:paraId="099FFAD8">
      <w:pPr>
        <w:pStyle w:val="48"/>
        <w:widowControl/>
        <w:adjustRightInd w:val="0"/>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表6-8目标单元预期性指标控制表</w:t>
      </w:r>
      <w:bookmarkEnd w:id="173"/>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13"/>
        <w:gridCol w:w="416"/>
        <w:gridCol w:w="1763"/>
        <w:gridCol w:w="4824"/>
      </w:tblGrid>
      <w:tr w14:paraId="18EC3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20921" w:type="dxa"/>
            <w:gridSpan w:val="4"/>
            <w:vAlign w:val="center"/>
          </w:tcPr>
          <w:p w14:paraId="3120B56A">
            <w:pPr>
              <w:pStyle w:val="47"/>
              <w:spacing w:after="0" w:line="240" w:lineRule="auto"/>
              <w:ind w:left="0" w:leftChars="0"/>
              <w:jc w:val="center"/>
              <w:rPr>
                <w:rFonts w:hint="default" w:ascii="Times New Roman" w:hAnsi="Times New Roman" w:eastAsia="仿宋" w:cs="Times New Roman"/>
                <w:b w:val="0"/>
                <w:bCs w:val="0"/>
                <w:color w:val="000000"/>
                <w:kern w:val="0"/>
                <w:sz w:val="21"/>
                <w:szCs w:val="21"/>
              </w:rPr>
            </w:pPr>
            <w:r>
              <w:rPr>
                <w:rFonts w:hint="default" w:ascii="Times New Roman" w:hAnsi="Times New Roman" w:cs="Times New Roman"/>
                <w:b w:val="0"/>
                <w:bCs w:val="0"/>
                <w:color w:val="000000"/>
                <w:kern w:val="0"/>
                <w:sz w:val="21"/>
                <w:szCs w:val="21"/>
              </w:rPr>
              <w:t>预期性指标</w:t>
            </w:r>
          </w:p>
        </w:tc>
      </w:tr>
      <w:tr w14:paraId="004A2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restart"/>
            <w:vAlign w:val="center"/>
          </w:tcPr>
          <w:p w14:paraId="1A0B5D4A">
            <w:pPr>
              <w:pStyle w:val="47"/>
              <w:spacing w:after="0" w:line="240" w:lineRule="auto"/>
              <w:ind w:left="0" w:leftChars="0"/>
              <w:jc w:val="center"/>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重点区域</w:t>
            </w:r>
          </w:p>
        </w:tc>
        <w:tc>
          <w:tcPr>
            <w:tcW w:w="1046" w:type="dxa"/>
            <w:vAlign w:val="center"/>
          </w:tcPr>
          <w:p w14:paraId="10611AC1">
            <w:pPr>
              <w:pStyle w:val="47"/>
              <w:spacing w:after="0" w:line="240" w:lineRule="auto"/>
              <w:ind w:left="0" w:leftChars="0"/>
              <w:jc w:val="center"/>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指标类型</w:t>
            </w:r>
          </w:p>
        </w:tc>
        <w:tc>
          <w:tcPr>
            <w:tcW w:w="4435" w:type="dxa"/>
            <w:vAlign w:val="center"/>
          </w:tcPr>
          <w:p w14:paraId="36D4E4FB">
            <w:pPr>
              <w:pStyle w:val="47"/>
              <w:spacing w:after="0" w:line="240" w:lineRule="auto"/>
              <w:ind w:left="0" w:leftChars="0"/>
              <w:jc w:val="center"/>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指标名称</w:t>
            </w:r>
          </w:p>
        </w:tc>
        <w:tc>
          <w:tcPr>
            <w:tcW w:w="12138" w:type="dxa"/>
            <w:vAlign w:val="center"/>
          </w:tcPr>
          <w:p w14:paraId="53C03114">
            <w:pPr>
              <w:pStyle w:val="47"/>
              <w:spacing w:after="0" w:line="240" w:lineRule="auto"/>
              <w:ind w:left="0" w:leftChars="0"/>
              <w:jc w:val="center"/>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指标要求</w:t>
            </w:r>
          </w:p>
        </w:tc>
      </w:tr>
      <w:tr w14:paraId="2DEBF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435C251F">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restart"/>
            <w:vAlign w:val="center"/>
          </w:tcPr>
          <w:p w14:paraId="4ECA964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土地利用</w:t>
            </w:r>
          </w:p>
        </w:tc>
        <w:tc>
          <w:tcPr>
            <w:tcW w:w="4435" w:type="dxa"/>
            <w:vAlign w:val="center"/>
          </w:tcPr>
          <w:p w14:paraId="729E5D2F">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拥有混合用地功能的街坊数量比例</w:t>
            </w:r>
          </w:p>
        </w:tc>
        <w:tc>
          <w:tcPr>
            <w:tcW w:w="12138" w:type="dxa"/>
            <w:vAlign w:val="center"/>
          </w:tcPr>
          <w:p w14:paraId="767F679E">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≥50%</w:t>
            </w:r>
          </w:p>
        </w:tc>
      </w:tr>
      <w:tr w14:paraId="1E8EA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09D56EBA">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640F9793">
            <w:pPr>
              <w:widowControl/>
              <w:jc w:val="center"/>
              <w:textAlignment w:val="center"/>
              <w:rPr>
                <w:rFonts w:hint="default" w:ascii="Times New Roman" w:hAnsi="Times New Roman" w:eastAsia="仿宋" w:cs="Times New Roman"/>
                <w:b w:val="0"/>
                <w:bCs w:val="0"/>
                <w:color w:val="000000"/>
                <w:kern w:val="0"/>
                <w:sz w:val="21"/>
                <w:szCs w:val="21"/>
              </w:rPr>
            </w:pPr>
          </w:p>
        </w:tc>
        <w:tc>
          <w:tcPr>
            <w:tcW w:w="4435" w:type="dxa"/>
            <w:vAlign w:val="center"/>
          </w:tcPr>
          <w:p w14:paraId="0803AF94">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公共服务设施覆盖率</w:t>
            </w:r>
          </w:p>
        </w:tc>
        <w:tc>
          <w:tcPr>
            <w:tcW w:w="12138" w:type="dxa"/>
            <w:vAlign w:val="center"/>
          </w:tcPr>
          <w:p w14:paraId="7A7ADE54">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≥95%</w:t>
            </w:r>
          </w:p>
        </w:tc>
      </w:tr>
      <w:tr w14:paraId="08866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3E40BC6E">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1A8BA648">
            <w:pPr>
              <w:widowControl/>
              <w:jc w:val="center"/>
              <w:textAlignment w:val="center"/>
              <w:rPr>
                <w:rFonts w:hint="default" w:ascii="Times New Roman" w:hAnsi="Times New Roman" w:eastAsia="仿宋" w:cs="Times New Roman"/>
                <w:b w:val="0"/>
                <w:bCs w:val="0"/>
                <w:color w:val="000000"/>
                <w:kern w:val="0"/>
                <w:sz w:val="21"/>
                <w:szCs w:val="21"/>
              </w:rPr>
            </w:pPr>
          </w:p>
        </w:tc>
        <w:tc>
          <w:tcPr>
            <w:tcW w:w="4435" w:type="dxa"/>
            <w:vAlign w:val="center"/>
          </w:tcPr>
          <w:p w14:paraId="342D536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开放空间500m覆盖率</w:t>
            </w:r>
          </w:p>
        </w:tc>
        <w:tc>
          <w:tcPr>
            <w:tcW w:w="12138" w:type="dxa"/>
            <w:vAlign w:val="center"/>
          </w:tcPr>
          <w:p w14:paraId="25BBF25B">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≥60%</w:t>
            </w:r>
          </w:p>
        </w:tc>
      </w:tr>
      <w:tr w14:paraId="485E6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7A4AE4EE">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25027855">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4435" w:type="dxa"/>
            <w:vAlign w:val="center"/>
          </w:tcPr>
          <w:p w14:paraId="4C1831B6">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地下空间开发利用率</w:t>
            </w:r>
          </w:p>
        </w:tc>
        <w:tc>
          <w:tcPr>
            <w:tcW w:w="12138" w:type="dxa"/>
            <w:vAlign w:val="center"/>
          </w:tcPr>
          <w:p w14:paraId="6B3BCBBF">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≥30%</w:t>
            </w:r>
          </w:p>
        </w:tc>
      </w:tr>
      <w:tr w14:paraId="6716E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1FB53F96">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1B0DC8AC">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4435" w:type="dxa"/>
            <w:vAlign w:val="center"/>
          </w:tcPr>
          <w:p w14:paraId="3DEF2D68">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通风架空率</w:t>
            </w:r>
          </w:p>
        </w:tc>
        <w:tc>
          <w:tcPr>
            <w:tcW w:w="12138" w:type="dxa"/>
            <w:vAlign w:val="center"/>
          </w:tcPr>
          <w:p w14:paraId="543E6CB8">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w:t>
            </w:r>
          </w:p>
        </w:tc>
      </w:tr>
      <w:tr w14:paraId="05170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1EC5E749">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restart"/>
            <w:vAlign w:val="center"/>
          </w:tcPr>
          <w:p w14:paraId="083C2623">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交通组织</w:t>
            </w:r>
          </w:p>
        </w:tc>
        <w:tc>
          <w:tcPr>
            <w:tcW w:w="4435" w:type="dxa"/>
            <w:vAlign w:val="center"/>
          </w:tcPr>
          <w:p w14:paraId="49766E3A">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路网密度</w:t>
            </w:r>
          </w:p>
        </w:tc>
        <w:tc>
          <w:tcPr>
            <w:tcW w:w="12138" w:type="dxa"/>
            <w:vAlign w:val="center"/>
          </w:tcPr>
          <w:p w14:paraId="582C4E91">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≥8km/km²</w:t>
            </w:r>
          </w:p>
        </w:tc>
      </w:tr>
      <w:tr w14:paraId="56A5F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4AA8A068">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060034BE">
            <w:pPr>
              <w:widowControl/>
              <w:jc w:val="center"/>
              <w:textAlignment w:val="center"/>
              <w:rPr>
                <w:rFonts w:hint="default" w:ascii="Times New Roman" w:hAnsi="Times New Roman" w:eastAsia="仿宋" w:cs="Times New Roman"/>
                <w:b w:val="0"/>
                <w:bCs w:val="0"/>
                <w:color w:val="000000"/>
                <w:kern w:val="0"/>
                <w:sz w:val="21"/>
                <w:szCs w:val="21"/>
              </w:rPr>
            </w:pPr>
          </w:p>
        </w:tc>
        <w:tc>
          <w:tcPr>
            <w:tcW w:w="4435" w:type="dxa"/>
            <w:vAlign w:val="center"/>
          </w:tcPr>
          <w:p w14:paraId="0CC5E251">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绿色交通出行率</w:t>
            </w:r>
          </w:p>
        </w:tc>
        <w:tc>
          <w:tcPr>
            <w:tcW w:w="12138" w:type="dxa"/>
            <w:vAlign w:val="center"/>
          </w:tcPr>
          <w:p w14:paraId="675C1EC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≥75%</w:t>
            </w:r>
          </w:p>
        </w:tc>
      </w:tr>
      <w:tr w14:paraId="4ADE1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02EA23B3">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3E780418">
            <w:pPr>
              <w:widowControl/>
              <w:jc w:val="center"/>
              <w:textAlignment w:val="center"/>
              <w:rPr>
                <w:rFonts w:hint="default" w:ascii="Times New Roman" w:hAnsi="Times New Roman" w:eastAsia="仿宋" w:cs="Times New Roman"/>
                <w:b w:val="0"/>
                <w:bCs w:val="0"/>
                <w:color w:val="000000"/>
                <w:kern w:val="0"/>
                <w:sz w:val="21"/>
                <w:szCs w:val="21"/>
              </w:rPr>
            </w:pPr>
          </w:p>
        </w:tc>
        <w:tc>
          <w:tcPr>
            <w:tcW w:w="4435" w:type="dxa"/>
            <w:vAlign w:val="center"/>
          </w:tcPr>
          <w:p w14:paraId="291D4494">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轨道交通站点800m覆盖率</w:t>
            </w:r>
          </w:p>
        </w:tc>
        <w:tc>
          <w:tcPr>
            <w:tcW w:w="12138" w:type="dxa"/>
            <w:vAlign w:val="center"/>
          </w:tcPr>
          <w:p w14:paraId="1C8C7D5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≥70%</w:t>
            </w:r>
          </w:p>
        </w:tc>
      </w:tr>
      <w:tr w14:paraId="547D2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664CE7D4">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113ADBF0">
            <w:pPr>
              <w:widowControl/>
              <w:jc w:val="center"/>
              <w:textAlignment w:val="center"/>
              <w:rPr>
                <w:rFonts w:hint="default" w:ascii="Times New Roman" w:hAnsi="Times New Roman" w:eastAsia="仿宋" w:cs="Times New Roman"/>
                <w:b w:val="0"/>
                <w:bCs w:val="0"/>
                <w:color w:val="000000"/>
                <w:kern w:val="0"/>
                <w:sz w:val="21"/>
                <w:szCs w:val="21"/>
              </w:rPr>
            </w:pPr>
          </w:p>
        </w:tc>
        <w:tc>
          <w:tcPr>
            <w:tcW w:w="4435" w:type="dxa"/>
            <w:vAlign w:val="center"/>
          </w:tcPr>
          <w:p w14:paraId="1A3898E9">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公共交通站点500m覆盖率</w:t>
            </w:r>
          </w:p>
        </w:tc>
        <w:tc>
          <w:tcPr>
            <w:tcW w:w="12138" w:type="dxa"/>
            <w:vAlign w:val="center"/>
          </w:tcPr>
          <w:p w14:paraId="6491C4B0">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100%</w:t>
            </w:r>
          </w:p>
        </w:tc>
      </w:tr>
      <w:tr w14:paraId="79456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73D82E91">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restart"/>
            <w:vAlign w:val="center"/>
          </w:tcPr>
          <w:p w14:paraId="436E2C41">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资源利用</w:t>
            </w:r>
          </w:p>
        </w:tc>
        <w:tc>
          <w:tcPr>
            <w:tcW w:w="4435" w:type="dxa"/>
            <w:vAlign w:val="center"/>
          </w:tcPr>
          <w:p w14:paraId="18317771">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可再生能源利用率</w:t>
            </w:r>
          </w:p>
        </w:tc>
        <w:tc>
          <w:tcPr>
            <w:tcW w:w="12138" w:type="dxa"/>
            <w:vAlign w:val="center"/>
          </w:tcPr>
          <w:p w14:paraId="5AF0EDE6">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w:t>
            </w:r>
          </w:p>
        </w:tc>
      </w:tr>
      <w:tr w14:paraId="05980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7475058A">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78DAA0AC">
            <w:pPr>
              <w:widowControl/>
              <w:jc w:val="center"/>
              <w:textAlignment w:val="center"/>
              <w:rPr>
                <w:rFonts w:hint="default" w:ascii="Times New Roman" w:hAnsi="Times New Roman" w:eastAsia="仿宋" w:cs="Times New Roman"/>
                <w:b w:val="0"/>
                <w:bCs w:val="0"/>
                <w:color w:val="000000"/>
                <w:kern w:val="0"/>
                <w:sz w:val="21"/>
                <w:szCs w:val="21"/>
              </w:rPr>
            </w:pPr>
          </w:p>
        </w:tc>
        <w:tc>
          <w:tcPr>
            <w:tcW w:w="4435" w:type="dxa"/>
            <w:vAlign w:val="center"/>
          </w:tcPr>
          <w:p w14:paraId="00970923">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雨水资源替代率</w:t>
            </w:r>
          </w:p>
        </w:tc>
        <w:tc>
          <w:tcPr>
            <w:tcW w:w="12138" w:type="dxa"/>
            <w:vAlign w:val="center"/>
          </w:tcPr>
          <w:p w14:paraId="0A5029DF">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≥3%</w:t>
            </w:r>
          </w:p>
        </w:tc>
      </w:tr>
      <w:tr w14:paraId="03E79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54B025C8">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718A6B25">
            <w:pPr>
              <w:widowControl/>
              <w:jc w:val="center"/>
              <w:textAlignment w:val="center"/>
              <w:rPr>
                <w:rFonts w:hint="default" w:ascii="Times New Roman" w:hAnsi="Times New Roman" w:eastAsia="仿宋" w:cs="Times New Roman"/>
                <w:b w:val="0"/>
                <w:bCs w:val="0"/>
                <w:color w:val="000000"/>
                <w:kern w:val="0"/>
                <w:sz w:val="21"/>
                <w:szCs w:val="21"/>
              </w:rPr>
            </w:pPr>
          </w:p>
        </w:tc>
        <w:tc>
          <w:tcPr>
            <w:tcW w:w="4435" w:type="dxa"/>
            <w:vAlign w:val="center"/>
          </w:tcPr>
          <w:p w14:paraId="6CF9EC4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生活垃圾分类收集率</w:t>
            </w:r>
          </w:p>
        </w:tc>
        <w:tc>
          <w:tcPr>
            <w:tcW w:w="12138" w:type="dxa"/>
            <w:vAlign w:val="center"/>
          </w:tcPr>
          <w:p w14:paraId="25E4027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100%</w:t>
            </w:r>
          </w:p>
        </w:tc>
      </w:tr>
      <w:tr w14:paraId="0D4D9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0B0BCCDE">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restart"/>
            <w:vAlign w:val="center"/>
          </w:tcPr>
          <w:p w14:paraId="48FBE7F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生态环境</w:t>
            </w:r>
          </w:p>
        </w:tc>
        <w:tc>
          <w:tcPr>
            <w:tcW w:w="4435" w:type="dxa"/>
            <w:vAlign w:val="center"/>
          </w:tcPr>
          <w:p w14:paraId="6387328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年径流总量控制率</w:t>
            </w:r>
          </w:p>
        </w:tc>
        <w:tc>
          <w:tcPr>
            <w:tcW w:w="12138" w:type="dxa"/>
            <w:vAlign w:val="center"/>
          </w:tcPr>
          <w:p w14:paraId="66EE6FF2">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≥70%</w:t>
            </w:r>
          </w:p>
        </w:tc>
      </w:tr>
      <w:tr w14:paraId="0FE19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2C873892">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54531F2E">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4435" w:type="dxa"/>
            <w:vAlign w:val="center"/>
          </w:tcPr>
          <w:p w14:paraId="174DB9B5">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公共空间300m覆盖率</w:t>
            </w:r>
          </w:p>
        </w:tc>
        <w:tc>
          <w:tcPr>
            <w:tcW w:w="12138" w:type="dxa"/>
            <w:vAlign w:val="center"/>
          </w:tcPr>
          <w:p w14:paraId="58F77896">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≥90%</w:t>
            </w:r>
          </w:p>
        </w:tc>
      </w:tr>
      <w:tr w14:paraId="520C0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0F19817A">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50020863">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4435" w:type="dxa"/>
            <w:vAlign w:val="center"/>
          </w:tcPr>
          <w:p w14:paraId="3ED06240">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环境空气质量优良天气</w:t>
            </w:r>
          </w:p>
        </w:tc>
        <w:tc>
          <w:tcPr>
            <w:tcW w:w="12138" w:type="dxa"/>
            <w:vAlign w:val="center"/>
          </w:tcPr>
          <w:p w14:paraId="5AD7ACD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≥310天</w:t>
            </w:r>
          </w:p>
        </w:tc>
      </w:tr>
      <w:tr w14:paraId="31468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3493935D">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1AEF717A">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4435" w:type="dxa"/>
            <w:vAlign w:val="center"/>
          </w:tcPr>
          <w:p w14:paraId="0B8C7FA9">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通风廊道控制</w:t>
            </w:r>
          </w:p>
        </w:tc>
        <w:tc>
          <w:tcPr>
            <w:tcW w:w="12138" w:type="dxa"/>
            <w:vAlign w:val="center"/>
          </w:tcPr>
          <w:p w14:paraId="3355ADDA">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利用河流、湿地、绿地、街道等形成连续的开敞空间打造通风廊道，廊道宽度不小于50m，长度不小于1000m</w:t>
            </w:r>
          </w:p>
        </w:tc>
      </w:tr>
      <w:tr w14:paraId="40003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restart"/>
            <w:vAlign w:val="center"/>
          </w:tcPr>
          <w:p w14:paraId="7B0796BE">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核心目标单元和基础目标单元</w:t>
            </w:r>
          </w:p>
        </w:tc>
        <w:tc>
          <w:tcPr>
            <w:tcW w:w="1046" w:type="dxa"/>
            <w:shd w:val="clear" w:color="auto" w:fill="auto"/>
            <w:tcMar>
              <w:top w:w="15" w:type="dxa"/>
              <w:left w:w="15" w:type="dxa"/>
              <w:right w:w="15" w:type="dxa"/>
            </w:tcMar>
            <w:vAlign w:val="center"/>
          </w:tcPr>
          <w:p w14:paraId="0C6021B8">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建筑类型</w:t>
            </w:r>
          </w:p>
        </w:tc>
        <w:tc>
          <w:tcPr>
            <w:tcW w:w="4435" w:type="dxa"/>
            <w:shd w:val="clear" w:color="auto" w:fill="auto"/>
            <w:tcMar>
              <w:top w:w="15" w:type="dxa"/>
              <w:left w:w="15" w:type="dxa"/>
              <w:right w:w="15" w:type="dxa"/>
            </w:tcMar>
            <w:vAlign w:val="center"/>
          </w:tcPr>
          <w:p w14:paraId="202D2A60">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指标名称</w:t>
            </w:r>
          </w:p>
        </w:tc>
        <w:tc>
          <w:tcPr>
            <w:tcW w:w="12138" w:type="dxa"/>
            <w:shd w:val="clear" w:color="auto" w:fill="auto"/>
            <w:tcMar>
              <w:top w:w="15" w:type="dxa"/>
              <w:left w:w="15" w:type="dxa"/>
              <w:right w:w="15" w:type="dxa"/>
            </w:tcMar>
            <w:vAlign w:val="center"/>
          </w:tcPr>
          <w:p w14:paraId="72971A7B">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指标要求</w:t>
            </w:r>
          </w:p>
        </w:tc>
      </w:tr>
      <w:tr w14:paraId="0D010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4807F508">
            <w:pPr>
              <w:pStyle w:val="48"/>
              <w:rPr>
                <w:rFonts w:hint="default" w:ascii="Times New Roman" w:hAnsi="Times New Roman" w:cs="Times New Roman"/>
                <w:b w:val="0"/>
                <w:bCs w:val="0"/>
                <w:color w:val="000000"/>
                <w:kern w:val="0"/>
                <w:sz w:val="21"/>
                <w:szCs w:val="21"/>
              </w:rPr>
            </w:pPr>
          </w:p>
        </w:tc>
        <w:tc>
          <w:tcPr>
            <w:tcW w:w="1046" w:type="dxa"/>
            <w:vMerge w:val="restart"/>
            <w:shd w:val="clear" w:color="auto" w:fill="auto"/>
            <w:tcMar>
              <w:top w:w="15" w:type="dxa"/>
              <w:left w:w="15" w:type="dxa"/>
              <w:right w:w="15" w:type="dxa"/>
            </w:tcMar>
            <w:vAlign w:val="center"/>
          </w:tcPr>
          <w:p w14:paraId="561461E1">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居住建筑</w:t>
            </w:r>
          </w:p>
        </w:tc>
        <w:tc>
          <w:tcPr>
            <w:tcW w:w="4435" w:type="dxa"/>
            <w:shd w:val="clear" w:color="auto" w:fill="auto"/>
            <w:tcMar>
              <w:top w:w="15" w:type="dxa"/>
              <w:left w:w="15" w:type="dxa"/>
              <w:right w:w="15" w:type="dxa"/>
            </w:tcMar>
            <w:vAlign w:val="center"/>
          </w:tcPr>
          <w:p w14:paraId="642B35B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绿色化改造</w:t>
            </w:r>
          </w:p>
        </w:tc>
        <w:tc>
          <w:tcPr>
            <w:tcW w:w="12138" w:type="dxa"/>
            <w:shd w:val="clear" w:color="auto" w:fill="auto"/>
            <w:tcMar>
              <w:top w:w="15" w:type="dxa"/>
              <w:left w:w="15" w:type="dxa"/>
              <w:right w:w="15" w:type="dxa"/>
            </w:tcMar>
            <w:vAlign w:val="center"/>
          </w:tcPr>
          <w:p w14:paraId="351615B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建筑改造鼓励采用节能绿色化技术</w:t>
            </w:r>
          </w:p>
        </w:tc>
      </w:tr>
      <w:tr w14:paraId="382BB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36072779">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6AF6230F">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411C94D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体育设施室外用地面积</w:t>
            </w:r>
          </w:p>
        </w:tc>
        <w:tc>
          <w:tcPr>
            <w:tcW w:w="12138" w:type="dxa"/>
            <w:shd w:val="clear" w:color="auto" w:fill="auto"/>
            <w:tcMar>
              <w:top w:w="15" w:type="dxa"/>
              <w:left w:w="15" w:type="dxa"/>
              <w:right w:w="15" w:type="dxa"/>
            </w:tcMar>
            <w:vAlign w:val="center"/>
          </w:tcPr>
          <w:p w14:paraId="2CBF73A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≥0.3㎡/人</w:t>
            </w:r>
          </w:p>
        </w:tc>
      </w:tr>
      <w:tr w14:paraId="6536B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33F1DA3C">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47CEC885">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223EFE3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场地声环境质量</w:t>
            </w:r>
          </w:p>
        </w:tc>
        <w:tc>
          <w:tcPr>
            <w:tcW w:w="12138" w:type="dxa"/>
            <w:shd w:val="clear" w:color="auto" w:fill="auto"/>
            <w:tcMar>
              <w:top w:w="15" w:type="dxa"/>
              <w:left w:w="15" w:type="dxa"/>
              <w:right w:w="15" w:type="dxa"/>
            </w:tcMar>
            <w:vAlign w:val="center"/>
          </w:tcPr>
          <w:p w14:paraId="3FA07530">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2类及以上</w:t>
            </w:r>
          </w:p>
        </w:tc>
      </w:tr>
      <w:tr w14:paraId="3BA13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3A601E2F">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2BB98D58">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40FD44A0">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电动汽车充电设施安装（预留）比例</w:t>
            </w:r>
          </w:p>
        </w:tc>
        <w:tc>
          <w:tcPr>
            <w:tcW w:w="12138" w:type="dxa"/>
            <w:shd w:val="clear" w:color="auto" w:fill="auto"/>
            <w:tcMar>
              <w:top w:w="15" w:type="dxa"/>
              <w:left w:w="15" w:type="dxa"/>
              <w:right w:w="15" w:type="dxa"/>
            </w:tcMar>
            <w:vAlign w:val="center"/>
          </w:tcPr>
          <w:p w14:paraId="1117C8AA">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100%</w:t>
            </w:r>
          </w:p>
        </w:tc>
      </w:tr>
      <w:tr w14:paraId="1DE5E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09429560">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7D1DCE6F">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7C6F7316">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节水器具普及率</w:t>
            </w:r>
          </w:p>
        </w:tc>
        <w:tc>
          <w:tcPr>
            <w:tcW w:w="12138" w:type="dxa"/>
            <w:shd w:val="clear" w:color="auto" w:fill="auto"/>
            <w:tcMar>
              <w:top w:w="15" w:type="dxa"/>
              <w:left w:w="15" w:type="dxa"/>
              <w:right w:w="15" w:type="dxa"/>
            </w:tcMar>
            <w:vAlign w:val="center"/>
          </w:tcPr>
          <w:p w14:paraId="5FB05C49">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100%</w:t>
            </w:r>
          </w:p>
        </w:tc>
      </w:tr>
      <w:tr w14:paraId="40EFC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285A35FD">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05A75F3E">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68184D82">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建筑外门窗可开启比例</w:t>
            </w:r>
          </w:p>
        </w:tc>
        <w:tc>
          <w:tcPr>
            <w:tcW w:w="12138" w:type="dxa"/>
            <w:shd w:val="clear" w:color="auto" w:fill="auto"/>
            <w:tcMar>
              <w:top w:w="15" w:type="dxa"/>
              <w:left w:w="15" w:type="dxa"/>
              <w:right w:w="15" w:type="dxa"/>
            </w:tcMar>
            <w:vAlign w:val="center"/>
          </w:tcPr>
          <w:p w14:paraId="0A436D9E">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≥35%</w:t>
            </w:r>
          </w:p>
        </w:tc>
      </w:tr>
      <w:tr w14:paraId="44CC9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613C9A29">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0C209CA1">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5A8755C0">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玻璃幕墙可开启比例</w:t>
            </w:r>
          </w:p>
        </w:tc>
        <w:tc>
          <w:tcPr>
            <w:tcW w:w="12138" w:type="dxa"/>
            <w:shd w:val="clear" w:color="auto" w:fill="auto"/>
            <w:tcMar>
              <w:top w:w="15" w:type="dxa"/>
              <w:left w:w="15" w:type="dxa"/>
              <w:right w:w="15" w:type="dxa"/>
            </w:tcMar>
            <w:vAlign w:val="center"/>
          </w:tcPr>
          <w:p w14:paraId="55DDD9D8">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w:t>
            </w:r>
          </w:p>
        </w:tc>
      </w:tr>
      <w:tr w14:paraId="0010B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33613AEB">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192D5FBF">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07CD8DC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地面停车位</w:t>
            </w:r>
          </w:p>
        </w:tc>
        <w:tc>
          <w:tcPr>
            <w:tcW w:w="12138" w:type="dxa"/>
            <w:shd w:val="clear" w:color="auto" w:fill="auto"/>
            <w:tcMar>
              <w:top w:w="15" w:type="dxa"/>
              <w:left w:w="15" w:type="dxa"/>
              <w:right w:w="15" w:type="dxa"/>
            </w:tcMar>
            <w:vAlign w:val="center"/>
          </w:tcPr>
          <w:p w14:paraId="20C0439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地面停车位数量与住宅总套数的比率＜10%</w:t>
            </w:r>
          </w:p>
        </w:tc>
      </w:tr>
      <w:tr w14:paraId="5A2FC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10C73C24">
            <w:pPr>
              <w:pStyle w:val="48"/>
              <w:rPr>
                <w:rFonts w:hint="default" w:ascii="Times New Roman" w:hAnsi="Times New Roman" w:cs="Times New Roman"/>
                <w:b w:val="0"/>
                <w:bCs w:val="0"/>
                <w:color w:val="000000"/>
                <w:kern w:val="0"/>
                <w:sz w:val="21"/>
                <w:szCs w:val="21"/>
              </w:rPr>
            </w:pPr>
          </w:p>
        </w:tc>
        <w:tc>
          <w:tcPr>
            <w:tcW w:w="1046" w:type="dxa"/>
            <w:vMerge w:val="restart"/>
            <w:shd w:val="clear" w:color="auto" w:fill="auto"/>
            <w:tcMar>
              <w:top w:w="15" w:type="dxa"/>
              <w:left w:w="15" w:type="dxa"/>
              <w:right w:w="15" w:type="dxa"/>
            </w:tcMar>
            <w:vAlign w:val="center"/>
          </w:tcPr>
          <w:p w14:paraId="26AA05CF">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公共建筑</w:t>
            </w:r>
          </w:p>
        </w:tc>
        <w:tc>
          <w:tcPr>
            <w:tcW w:w="4435" w:type="dxa"/>
            <w:shd w:val="clear" w:color="auto" w:fill="auto"/>
            <w:tcMar>
              <w:top w:w="15" w:type="dxa"/>
              <w:left w:w="15" w:type="dxa"/>
              <w:right w:w="15" w:type="dxa"/>
            </w:tcMar>
            <w:vAlign w:val="center"/>
          </w:tcPr>
          <w:p w14:paraId="76237A8C">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绿色化改造</w:t>
            </w:r>
          </w:p>
        </w:tc>
        <w:tc>
          <w:tcPr>
            <w:tcW w:w="12138" w:type="dxa"/>
            <w:shd w:val="clear" w:color="auto" w:fill="auto"/>
            <w:tcMar>
              <w:top w:w="15" w:type="dxa"/>
              <w:left w:w="15" w:type="dxa"/>
              <w:right w:w="15" w:type="dxa"/>
            </w:tcMar>
            <w:vAlign w:val="center"/>
          </w:tcPr>
          <w:p w14:paraId="3E1C755E">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建筑改造鼓励采用节能绿色化技术</w:t>
            </w:r>
          </w:p>
        </w:tc>
      </w:tr>
      <w:tr w14:paraId="47765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1F46BEEF">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51AD5770">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693024F6">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场地声环境质量</w:t>
            </w:r>
          </w:p>
        </w:tc>
        <w:tc>
          <w:tcPr>
            <w:tcW w:w="12138" w:type="dxa"/>
            <w:shd w:val="clear" w:color="auto" w:fill="auto"/>
            <w:tcMar>
              <w:top w:w="15" w:type="dxa"/>
              <w:left w:w="15" w:type="dxa"/>
              <w:right w:w="15" w:type="dxa"/>
            </w:tcMar>
            <w:vAlign w:val="center"/>
          </w:tcPr>
          <w:p w14:paraId="296C3199">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2类及以上</w:t>
            </w:r>
          </w:p>
        </w:tc>
      </w:tr>
      <w:tr w14:paraId="79A19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0C45B4C7">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2FEFD616">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7A4272C0">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电动汽车充电设施安装（预留）比例</w:t>
            </w:r>
          </w:p>
        </w:tc>
        <w:tc>
          <w:tcPr>
            <w:tcW w:w="12138" w:type="dxa"/>
            <w:shd w:val="clear" w:color="auto" w:fill="auto"/>
            <w:tcMar>
              <w:top w:w="15" w:type="dxa"/>
              <w:left w:w="15" w:type="dxa"/>
              <w:right w:w="15" w:type="dxa"/>
            </w:tcMar>
            <w:vAlign w:val="center"/>
          </w:tcPr>
          <w:p w14:paraId="7CE016B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30%</w:t>
            </w:r>
          </w:p>
        </w:tc>
      </w:tr>
      <w:tr w14:paraId="35EEE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04679713">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56491FEF">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126DA61F">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能耗监测覆盖率</w:t>
            </w:r>
          </w:p>
        </w:tc>
        <w:tc>
          <w:tcPr>
            <w:tcW w:w="12138" w:type="dxa"/>
            <w:shd w:val="clear" w:color="auto" w:fill="auto"/>
            <w:tcMar>
              <w:top w:w="15" w:type="dxa"/>
              <w:left w:w="15" w:type="dxa"/>
              <w:right w:w="15" w:type="dxa"/>
            </w:tcMar>
            <w:vAlign w:val="center"/>
          </w:tcPr>
          <w:p w14:paraId="61EB7658">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100%</w:t>
            </w:r>
          </w:p>
        </w:tc>
      </w:tr>
      <w:tr w14:paraId="0A233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4A401198">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7B5A9BC1">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12048B80">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建筑外门窗可开启比例</w:t>
            </w:r>
          </w:p>
        </w:tc>
        <w:tc>
          <w:tcPr>
            <w:tcW w:w="12138" w:type="dxa"/>
            <w:shd w:val="clear" w:color="auto" w:fill="auto"/>
            <w:tcMar>
              <w:top w:w="15" w:type="dxa"/>
              <w:left w:w="15" w:type="dxa"/>
              <w:right w:w="15" w:type="dxa"/>
            </w:tcMar>
            <w:vAlign w:val="center"/>
          </w:tcPr>
          <w:p w14:paraId="6FF8045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≥35%</w:t>
            </w:r>
          </w:p>
        </w:tc>
      </w:tr>
      <w:tr w14:paraId="07D59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6186EE90">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5BD57DB8">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2366F87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玻璃幕墙可开启比例</w:t>
            </w:r>
          </w:p>
        </w:tc>
        <w:tc>
          <w:tcPr>
            <w:tcW w:w="12138" w:type="dxa"/>
            <w:shd w:val="clear" w:color="auto" w:fill="auto"/>
            <w:tcMar>
              <w:top w:w="15" w:type="dxa"/>
              <w:left w:w="15" w:type="dxa"/>
              <w:right w:w="15" w:type="dxa"/>
            </w:tcMar>
            <w:vAlign w:val="center"/>
          </w:tcPr>
          <w:p w14:paraId="68318F48">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w:t>
            </w:r>
          </w:p>
        </w:tc>
      </w:tr>
      <w:tr w14:paraId="37CE2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1F21E439">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0FE0BB47">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7B76BAEC">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地面停车位</w:t>
            </w:r>
          </w:p>
        </w:tc>
        <w:tc>
          <w:tcPr>
            <w:tcW w:w="12138" w:type="dxa"/>
            <w:shd w:val="clear" w:color="auto" w:fill="auto"/>
            <w:tcMar>
              <w:top w:w="15" w:type="dxa"/>
              <w:left w:w="15" w:type="dxa"/>
              <w:right w:w="15" w:type="dxa"/>
            </w:tcMar>
            <w:vAlign w:val="center"/>
          </w:tcPr>
          <w:p w14:paraId="235B0244">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地面停车占地面积与其总建设用地面积的比率＜8%</w:t>
            </w:r>
          </w:p>
        </w:tc>
      </w:tr>
      <w:tr w14:paraId="16A01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4B1A478C">
            <w:pPr>
              <w:pStyle w:val="48"/>
              <w:rPr>
                <w:rFonts w:hint="default" w:ascii="Times New Roman" w:hAnsi="Times New Roman" w:cs="Times New Roman"/>
                <w:b w:val="0"/>
                <w:bCs w:val="0"/>
                <w:color w:val="000000"/>
                <w:kern w:val="0"/>
                <w:sz w:val="21"/>
                <w:szCs w:val="21"/>
              </w:rPr>
            </w:pPr>
          </w:p>
        </w:tc>
        <w:tc>
          <w:tcPr>
            <w:tcW w:w="1046" w:type="dxa"/>
            <w:vMerge w:val="restart"/>
            <w:shd w:val="clear" w:color="auto" w:fill="auto"/>
            <w:tcMar>
              <w:top w:w="15" w:type="dxa"/>
              <w:left w:w="15" w:type="dxa"/>
              <w:right w:w="15" w:type="dxa"/>
            </w:tcMar>
            <w:vAlign w:val="center"/>
          </w:tcPr>
          <w:p w14:paraId="52FC0FD6">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工业建筑</w:t>
            </w:r>
          </w:p>
        </w:tc>
        <w:tc>
          <w:tcPr>
            <w:tcW w:w="4435" w:type="dxa"/>
            <w:shd w:val="clear" w:color="auto" w:fill="auto"/>
            <w:tcMar>
              <w:top w:w="15" w:type="dxa"/>
              <w:left w:w="15" w:type="dxa"/>
              <w:right w:w="15" w:type="dxa"/>
            </w:tcMar>
            <w:vAlign w:val="center"/>
          </w:tcPr>
          <w:p w14:paraId="4012A68E">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屋顶面积大于2000平方米的光伏覆盖率</w:t>
            </w:r>
          </w:p>
        </w:tc>
        <w:tc>
          <w:tcPr>
            <w:tcW w:w="12138" w:type="dxa"/>
            <w:shd w:val="clear" w:color="auto" w:fill="auto"/>
            <w:tcMar>
              <w:top w:w="15" w:type="dxa"/>
              <w:left w:w="15" w:type="dxa"/>
              <w:right w:w="15" w:type="dxa"/>
            </w:tcMar>
            <w:vAlign w:val="center"/>
          </w:tcPr>
          <w:p w14:paraId="5CD4BF65">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≥50%</w:t>
            </w:r>
          </w:p>
        </w:tc>
      </w:tr>
      <w:tr w14:paraId="22249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12D9DE61">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3D9C6C72">
            <w:pPr>
              <w:widowControl/>
              <w:jc w:val="center"/>
              <w:textAlignment w:val="center"/>
              <w:rPr>
                <w:rFonts w:hint="default" w:ascii="Times New Roman" w:hAnsi="Times New Roman" w:eastAsia="仿宋"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112AE284">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电动汽车充电设施安装（预留）比例</w:t>
            </w:r>
          </w:p>
        </w:tc>
        <w:tc>
          <w:tcPr>
            <w:tcW w:w="12138" w:type="dxa"/>
            <w:shd w:val="clear" w:color="auto" w:fill="auto"/>
            <w:tcMar>
              <w:top w:w="15" w:type="dxa"/>
              <w:left w:w="15" w:type="dxa"/>
              <w:right w:w="15" w:type="dxa"/>
            </w:tcMar>
            <w:vAlign w:val="center"/>
          </w:tcPr>
          <w:p w14:paraId="466BC301">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w:t>
            </w:r>
          </w:p>
        </w:tc>
      </w:tr>
    </w:tbl>
    <w:p w14:paraId="412C8B2A">
      <w:pPr>
        <w:rPr>
          <w:rFonts w:hint="default" w:ascii="Times New Roman" w:hAnsi="Times New Roman" w:eastAsia="宋体" w:cs="Times New Roman"/>
          <w:sz w:val="28"/>
          <w:szCs w:val="28"/>
        </w:rPr>
        <w:sectPr>
          <w:pgSz w:w="11906" w:h="16838"/>
          <w:pgMar w:top="1440" w:right="1800" w:bottom="1440" w:left="1800" w:header="851" w:footer="992" w:gutter="0"/>
          <w:cols w:space="425" w:num="1"/>
          <w:docGrid w:type="lines" w:linePitch="312" w:charSpace="0"/>
        </w:sectPr>
      </w:pPr>
    </w:p>
    <w:p w14:paraId="71BF7C70">
      <w:pPr>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指标说明：</w:t>
      </w:r>
    </w:p>
    <w:p w14:paraId="367E3DEC">
      <w:pPr>
        <w:spacing w:line="360" w:lineRule="auto"/>
        <w:ind w:firstLine="562" w:firstLineChars="200"/>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①土地利用</w:t>
      </w:r>
    </w:p>
    <w:p w14:paraId="15B02284">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促进土地使用功能的有效混合，鼓励地下空间开发利用，节约集约使用土地，实现集约化用地发展理念。</w:t>
      </w:r>
    </w:p>
    <w:p w14:paraId="6FB7508A">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拥有混合用地功能的街坊数量比例</w:t>
      </w:r>
    </w:p>
    <w:p w14:paraId="4A3B5724">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以街坊为单元，包含居住用地（R类）、公共管理与公共服务设施用地（A类）及商业服务业设施用地（B类）中的两类或三类混合用地单元的面积之和占城区总建设用地面积的比例不低于50%。</w:t>
      </w:r>
    </w:p>
    <w:p w14:paraId="2A43A004">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公共服务设施覆盖率</w:t>
      </w:r>
    </w:p>
    <w:p w14:paraId="0C0243D6">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打造城市社区</w:t>
      </w:r>
      <w:r>
        <w:rPr>
          <w:rFonts w:hint="eastAsia" w:ascii="Times New Roman" w:hAnsi="Times New Roman" w:eastAsia="宋体" w:cs="Times New Roman"/>
          <w:sz w:val="24"/>
          <w:lang w:eastAsia="zh-CN"/>
        </w:rPr>
        <w:t>“</w:t>
      </w:r>
      <w:r>
        <w:rPr>
          <w:rFonts w:hint="default" w:ascii="Times New Roman" w:hAnsi="Times New Roman" w:eastAsia="宋体" w:cs="Times New Roman"/>
          <w:sz w:val="24"/>
        </w:rPr>
        <w:t>15分钟</w:t>
      </w:r>
      <w:r>
        <w:rPr>
          <w:rFonts w:hint="default" w:ascii="Times New Roman" w:hAnsi="Times New Roman" w:eastAsia="宋体" w:cs="Times New Roman"/>
          <w:sz w:val="24"/>
          <w:lang w:val="en-US" w:eastAsia="zh-CN"/>
        </w:rPr>
        <w:t>生活</w:t>
      </w:r>
      <w:r>
        <w:rPr>
          <w:rFonts w:hint="default" w:ascii="Times New Roman" w:hAnsi="Times New Roman" w:eastAsia="宋体" w:cs="Times New Roman"/>
          <w:sz w:val="24"/>
        </w:rPr>
        <w:t>圈</w:t>
      </w:r>
      <w:r>
        <w:rPr>
          <w:rFonts w:hint="eastAsia" w:ascii="Times New Roman" w:hAnsi="Times New Roman" w:eastAsia="宋体" w:cs="Times New Roman"/>
          <w:sz w:val="24"/>
          <w:lang w:eastAsia="zh-CN"/>
        </w:rPr>
        <w:t>”</w:t>
      </w:r>
      <w:r>
        <w:rPr>
          <w:rFonts w:hint="default" w:ascii="Times New Roman" w:hAnsi="Times New Roman" w:eastAsia="宋体" w:cs="Times New Roman"/>
          <w:sz w:val="24"/>
        </w:rPr>
        <w:t>，构建形成政府主导、覆盖城乡、可持续的基本公共服务体系。</w:t>
      </w:r>
    </w:p>
    <w:p w14:paraId="0DE16477">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开放空间500m覆盖率</w:t>
      </w:r>
    </w:p>
    <w:p w14:paraId="73E4AB55">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合理设置公共开放空间，单个公共开放空间的面积不应小于300m</w:t>
      </w:r>
      <w:r>
        <w:rPr>
          <w:rFonts w:hint="default" w:ascii="Times New Roman" w:hAnsi="Times New Roman" w:eastAsia="宋体" w:cs="Times New Roman"/>
          <w:sz w:val="24"/>
          <w:vertAlign w:val="superscript"/>
        </w:rPr>
        <w:t>2</w:t>
      </w:r>
      <w:r>
        <w:rPr>
          <w:rFonts w:hint="default" w:ascii="Times New Roman" w:hAnsi="Times New Roman" w:eastAsia="宋体" w:cs="Times New Roman"/>
          <w:sz w:val="24"/>
        </w:rPr>
        <w:t>，并具有均好性、连续性、可达性，公共开放空间500m服务范围覆盖城区的比例不低于60%。</w:t>
      </w:r>
    </w:p>
    <w:p w14:paraId="309DA2BF">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地下空间开发利用率</w:t>
      </w:r>
    </w:p>
    <w:p w14:paraId="071317D4">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新建工程要综合开发利用地下空间资源，地下空间开发与地上建筑、停车场库、商业餐饮、交通枢纽站等功能空间紧密结合，地下空间开发利用率不低于30%。</w:t>
      </w:r>
    </w:p>
    <w:p w14:paraId="3D09C1A8">
      <w:pPr>
        <w:rPr>
          <w:rFonts w:hint="default" w:ascii="Times New Roman" w:hAnsi="Times New Roman" w:cs="Times New Roman"/>
        </w:rPr>
      </w:pPr>
    </w:p>
    <w:p w14:paraId="74812DCA">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通风架空率</w:t>
      </w:r>
    </w:p>
    <w:p w14:paraId="3E2A3415">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架空层中，净高超过2.5m的可穿越式通风部分的建筑面积占建筑基底面积的比例成为通风架空率，也包括18m高度以下各层中可穿越式通风的架空楼层的建筑面积。架空层有助于提升场地的自然通风状况，减少通风阻力，提升散热能力，舒缓热岛效应，改善夏季、过渡季的</w:t>
      </w:r>
      <w:bookmarkStart w:id="209" w:name="_GoBack"/>
      <w:bookmarkEnd w:id="209"/>
      <w:r>
        <w:rPr>
          <w:rFonts w:hint="default" w:ascii="Times New Roman" w:hAnsi="Times New Roman" w:eastAsia="宋体" w:cs="Times New Roman"/>
          <w:sz w:val="24"/>
        </w:rPr>
        <w:t>热舒适性环境质量，底层架空空间灵活地与消防的人员疏散通道、消防车通道的设计相结合，与小区的休憩场所、游乐空间、停车场地等相结合，通风架空率达到10％。</w:t>
      </w:r>
    </w:p>
    <w:p w14:paraId="7510D77C">
      <w:pPr>
        <w:spacing w:line="360" w:lineRule="auto"/>
        <w:ind w:firstLine="482" w:firstLineChars="200"/>
        <w:rPr>
          <w:rFonts w:hint="default" w:ascii="Times New Roman" w:hAnsi="Times New Roman" w:eastAsia="宋体" w:cs="Times New Roman"/>
          <w:b/>
          <w:bCs/>
          <w:sz w:val="24"/>
        </w:rPr>
      </w:pPr>
    </w:p>
    <w:p w14:paraId="5437D976">
      <w:pPr>
        <w:spacing w:line="360" w:lineRule="auto"/>
        <w:ind w:firstLine="562" w:firstLineChars="200"/>
        <w:rPr>
          <w:rFonts w:hint="default" w:ascii="Times New Roman" w:hAnsi="Times New Roman" w:eastAsia="宋体" w:cs="Times New Roman"/>
          <w:b/>
          <w:bCs/>
          <w:sz w:val="28"/>
          <w:szCs w:val="24"/>
        </w:rPr>
      </w:pPr>
      <w:r>
        <w:rPr>
          <w:rFonts w:hint="default" w:ascii="Times New Roman" w:hAnsi="Times New Roman" w:eastAsia="宋体" w:cs="Times New Roman"/>
          <w:b/>
          <w:bCs/>
          <w:sz w:val="28"/>
          <w:szCs w:val="24"/>
        </w:rPr>
        <w:t>②交通组织</w:t>
      </w:r>
    </w:p>
    <w:p w14:paraId="286EA205">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构建以人为本、绿色生态的交通组织系统。</w:t>
      </w:r>
    </w:p>
    <w:p w14:paraId="5F1D38F6">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路网密度</w:t>
      </w:r>
    </w:p>
    <w:p w14:paraId="6A83A77A">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合理规划除工业用地以外的城区市政路网密度，路网密度达到8km/km</w:t>
      </w:r>
      <w:r>
        <w:rPr>
          <w:rFonts w:hint="default" w:ascii="Times New Roman" w:hAnsi="Times New Roman" w:eastAsia="宋体" w:cs="Times New Roman"/>
          <w:sz w:val="24"/>
          <w:vertAlign w:val="superscript"/>
        </w:rPr>
        <w:t>2</w:t>
      </w:r>
      <w:r>
        <w:rPr>
          <w:rFonts w:hint="default" w:ascii="Times New Roman" w:hAnsi="Times New Roman" w:eastAsia="宋体" w:cs="Times New Roman"/>
          <w:sz w:val="24"/>
        </w:rPr>
        <w:t>。</w:t>
      </w:r>
    </w:p>
    <w:p w14:paraId="4DB9C160">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绿色交通出行率</w:t>
      </w:r>
    </w:p>
    <w:p w14:paraId="4F695622">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完善公共交通系统，规划形成安全、连续、通达的自行车交通系统，规划形成安全、连续、环境良好的步行交通系统，合理配建机动车停车设施、电动车充电设施以及自行车停车设施，建立优先绿色交通出行的交通体系，实现绿色交通出行率达到75%。</w:t>
      </w:r>
    </w:p>
    <w:p w14:paraId="43690B58">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轨道交通站点覆盖率</w:t>
      </w:r>
    </w:p>
    <w:p w14:paraId="0EF78092">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以轨道交通站点为核心，在步行可达范围内（半径800m）综合配置多层次商业、办公、居住、活动等综合功能的城市区域，放大轨道交通站点的影响力，实现轨道交通站点800m覆盖率达到70%。</w:t>
      </w:r>
    </w:p>
    <w:p w14:paraId="6EE2E3BC">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公共交通站点500m覆盖率</w:t>
      </w:r>
    </w:p>
    <w:p w14:paraId="6D3DD929">
      <w:pPr>
        <w:pStyle w:val="33"/>
        <w:ind w:firstLine="520" w:firstLineChars="200"/>
        <w:rPr>
          <w:rFonts w:hint="default" w:ascii="Times New Roman" w:hAnsi="Times New Roman" w:eastAsia="宋体" w:cs="Times New Roman"/>
        </w:rPr>
      </w:pPr>
      <w:r>
        <w:rPr>
          <w:rFonts w:hint="default" w:ascii="Times New Roman" w:hAnsi="Times New Roman" w:eastAsia="宋体" w:cs="Times New Roman"/>
        </w:rPr>
        <w:t>构建完善的公共交通系统，实现轨道交通站点于公共交通站点的无缝衔接，打造骨干、支撑、接驳、辅助公交为一体的多层次公交网络，由传统</w:t>
      </w:r>
      <w:r>
        <w:rPr>
          <w:rFonts w:hint="eastAsia" w:ascii="Times New Roman" w:hAnsi="Times New Roman" w:eastAsia="宋体" w:cs="Times New Roman"/>
          <w:lang w:eastAsia="zh-CN"/>
        </w:rPr>
        <w:t>“</w:t>
      </w:r>
      <w:r>
        <w:rPr>
          <w:rFonts w:hint="default" w:ascii="Times New Roman" w:hAnsi="Times New Roman" w:eastAsia="宋体" w:cs="Times New Roman"/>
        </w:rPr>
        <w:t>直达</w:t>
      </w:r>
      <w:r>
        <w:rPr>
          <w:rFonts w:hint="eastAsia" w:ascii="Times New Roman" w:hAnsi="Times New Roman" w:eastAsia="宋体" w:cs="Times New Roman"/>
          <w:lang w:eastAsia="zh-CN"/>
        </w:rPr>
        <w:t>”</w:t>
      </w:r>
      <w:r>
        <w:rPr>
          <w:rFonts w:hint="default" w:ascii="Times New Roman" w:hAnsi="Times New Roman" w:eastAsia="宋体" w:cs="Times New Roman"/>
        </w:rPr>
        <w:t>变为</w:t>
      </w:r>
      <w:r>
        <w:rPr>
          <w:rFonts w:hint="eastAsia" w:ascii="Times New Roman" w:hAnsi="Times New Roman" w:eastAsia="宋体" w:cs="Times New Roman"/>
          <w:lang w:eastAsia="zh-CN"/>
        </w:rPr>
        <w:t>“</w:t>
      </w:r>
      <w:r>
        <w:rPr>
          <w:rFonts w:hint="default" w:ascii="Times New Roman" w:hAnsi="Times New Roman" w:eastAsia="宋体" w:cs="Times New Roman"/>
        </w:rPr>
        <w:t>可达</w:t>
      </w:r>
      <w:r>
        <w:rPr>
          <w:rFonts w:hint="eastAsia" w:ascii="Times New Roman" w:hAnsi="Times New Roman" w:eastAsia="宋体" w:cs="Times New Roman"/>
          <w:lang w:eastAsia="zh-CN"/>
        </w:rPr>
        <w:t>”</w:t>
      </w:r>
      <w:r>
        <w:rPr>
          <w:rFonts w:hint="default" w:ascii="Times New Roman" w:hAnsi="Times New Roman" w:eastAsia="宋体" w:cs="Times New Roman"/>
        </w:rPr>
        <w:t>，实现公交站点500m覆盖率100%。</w:t>
      </w:r>
    </w:p>
    <w:p w14:paraId="79B19B7B">
      <w:pPr>
        <w:pStyle w:val="33"/>
        <w:rPr>
          <w:rFonts w:hint="default" w:ascii="Times New Roman" w:hAnsi="Times New Roman" w:cs="Times New Roman"/>
        </w:rPr>
      </w:pPr>
    </w:p>
    <w:p w14:paraId="231DEC07">
      <w:pPr>
        <w:spacing w:line="360" w:lineRule="auto"/>
        <w:ind w:firstLine="562" w:firstLineChars="200"/>
        <w:rPr>
          <w:rFonts w:hint="default" w:ascii="Times New Roman" w:hAnsi="Times New Roman" w:eastAsia="宋体" w:cs="Times New Roman"/>
          <w:b/>
          <w:bCs/>
          <w:sz w:val="28"/>
          <w:szCs w:val="24"/>
        </w:rPr>
      </w:pPr>
      <w:r>
        <w:rPr>
          <w:rFonts w:hint="default" w:ascii="Times New Roman" w:hAnsi="Times New Roman" w:eastAsia="宋体" w:cs="Times New Roman"/>
          <w:b/>
          <w:bCs/>
          <w:sz w:val="28"/>
          <w:szCs w:val="24"/>
        </w:rPr>
        <w:t>③资源利用</w:t>
      </w:r>
    </w:p>
    <w:p w14:paraId="6F85A193">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考虑资源的合理使用和处置，减少资源的使用，力求使资源可再生利用。</w:t>
      </w:r>
    </w:p>
    <w:p w14:paraId="62626263">
      <w:pPr>
        <w:pStyle w:val="52"/>
        <w:numPr>
          <w:ilvl w:val="0"/>
          <w:numId w:val="3"/>
        </w:numPr>
        <w:spacing w:line="360" w:lineRule="auto"/>
        <w:ind w:left="357" w:firstLine="357" w:firstLineChars="0"/>
        <w:rPr>
          <w:rFonts w:hint="default" w:ascii="Times New Roman" w:hAnsi="Times New Roman" w:cs="Times New Roman"/>
          <w:b/>
        </w:rPr>
      </w:pPr>
      <w:r>
        <w:rPr>
          <w:rFonts w:hint="default" w:ascii="Times New Roman" w:hAnsi="Times New Roman" w:cs="Times New Roman"/>
          <w:b/>
          <w:bCs/>
          <w:sz w:val="28"/>
          <w:szCs w:val="28"/>
        </w:rPr>
        <w:t>可再生能源利用率</w:t>
      </w:r>
    </w:p>
    <w:p w14:paraId="5039B9E6">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推动清洁能源、新能源和可再生能源规模化应用，进一步调整和优化能源结构。鼓励氢能源、太阳能、生物质能和地热能等可再生能源的利用，实现可再生能源及</w:t>
      </w:r>
      <w:r>
        <w:rPr>
          <w:rFonts w:hint="default" w:ascii="Times New Roman" w:hAnsi="Times New Roman" w:eastAsia="宋体" w:cs="Times New Roman"/>
          <w:sz w:val="24"/>
          <w:lang w:val="en-US" w:eastAsia="zh-CN"/>
        </w:rPr>
        <w:t>清洁</w:t>
      </w:r>
      <w:r>
        <w:rPr>
          <w:rFonts w:hint="default" w:ascii="Times New Roman" w:hAnsi="Times New Roman" w:eastAsia="宋体" w:cs="Times New Roman"/>
          <w:sz w:val="24"/>
        </w:rPr>
        <w:t>能源利用率占城区一次能源消耗比例达到10%。</w:t>
      </w:r>
    </w:p>
    <w:p w14:paraId="765478BB">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雨水资源利用率</w:t>
      </w:r>
    </w:p>
    <w:p w14:paraId="2ABCC809">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综合考虑雨水径流污染控制、城市防洪以及生态环境的改善等要求，建立包括屋面雨水集蓄系统、雨水截污与渗透系统、生态小区雨水利用系统等，将雨水用作喷洒路面、灌溉绿地、蓄水冲厕等城市杂用水，实现雨水资源利用率达到3%。</w:t>
      </w:r>
    </w:p>
    <w:p w14:paraId="4D26ECF9">
      <w:pPr>
        <w:pStyle w:val="33"/>
        <w:rPr>
          <w:rFonts w:hint="default" w:ascii="Times New Roman" w:hAnsi="Times New Roman" w:cs="Times New Roman"/>
        </w:rPr>
      </w:pPr>
    </w:p>
    <w:p w14:paraId="5B64F2C6">
      <w:pPr>
        <w:spacing w:line="360" w:lineRule="auto"/>
        <w:ind w:firstLine="562" w:firstLineChars="200"/>
        <w:rPr>
          <w:rFonts w:hint="default" w:ascii="Times New Roman" w:hAnsi="Times New Roman" w:eastAsia="宋体" w:cs="Times New Roman"/>
          <w:b/>
          <w:bCs/>
          <w:sz w:val="28"/>
          <w:szCs w:val="24"/>
        </w:rPr>
      </w:pPr>
      <w:r>
        <w:rPr>
          <w:rFonts w:hint="default" w:ascii="Times New Roman" w:hAnsi="Times New Roman" w:eastAsia="宋体" w:cs="Times New Roman"/>
          <w:b/>
          <w:bCs/>
          <w:sz w:val="28"/>
          <w:szCs w:val="24"/>
        </w:rPr>
        <w:t>④生态环境</w:t>
      </w:r>
    </w:p>
    <w:p w14:paraId="7A0D4CD4">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构建以人为本、环境良好、生态宜居的自然环境。</w:t>
      </w:r>
    </w:p>
    <w:p w14:paraId="4352EFF3">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径流系数</w:t>
      </w:r>
    </w:p>
    <w:p w14:paraId="09813834">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通过渗、滞、蓄、净、用、排等多种技术实现城市良性水文循环，提高对径流雨水的渗透、调蓄、净化、利用和排放能力，维持或恢复城市的</w:t>
      </w:r>
      <w:r>
        <w:rPr>
          <w:rFonts w:hint="eastAsia" w:ascii="Times New Roman" w:hAnsi="Times New Roman" w:eastAsia="宋体" w:cs="Times New Roman"/>
          <w:sz w:val="24"/>
          <w:lang w:eastAsia="zh-CN"/>
        </w:rPr>
        <w:t>“</w:t>
      </w:r>
      <w:r>
        <w:rPr>
          <w:rFonts w:hint="default" w:ascii="Times New Roman" w:hAnsi="Times New Roman" w:eastAsia="宋体" w:cs="Times New Roman"/>
          <w:sz w:val="24"/>
        </w:rPr>
        <w:t>海绵</w:t>
      </w:r>
      <w:r>
        <w:rPr>
          <w:rFonts w:hint="eastAsia" w:ascii="Times New Roman" w:hAnsi="Times New Roman" w:eastAsia="宋体" w:cs="Times New Roman"/>
          <w:sz w:val="24"/>
          <w:lang w:eastAsia="zh-CN"/>
        </w:rPr>
        <w:t>”</w:t>
      </w:r>
      <w:r>
        <w:rPr>
          <w:rFonts w:hint="default" w:ascii="Times New Roman" w:hAnsi="Times New Roman" w:eastAsia="宋体" w:cs="Times New Roman"/>
          <w:sz w:val="24"/>
        </w:rPr>
        <w:t>功能。</w:t>
      </w:r>
    </w:p>
    <w:p w14:paraId="4759BB2D">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公共空间300m覆盖率</w:t>
      </w:r>
    </w:p>
    <w:p w14:paraId="59171345">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形成总量适宜、步行可达、系统化、网络化的公共空间布局，满足居民便捷使用公共空间的需求。实现400㎡以上公园绿地、广场周边300m半径范围覆盖的城区面积占城区总面积的比例不低于90%。</w:t>
      </w:r>
    </w:p>
    <w:p w14:paraId="3A008F7C">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城市通风廊道</w:t>
      </w:r>
    </w:p>
    <w:p w14:paraId="4A1F449E">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与市域通风廊道相衔接，规划四级通风廊道，利用河流、湿地、绿地、街道等形成连续的开敞空间打造通风廊道，廊道宽度不小于50m，长度不小于1000m。</w:t>
      </w:r>
    </w:p>
    <w:p w14:paraId="3E9339FC">
      <w:pPr>
        <w:rPr>
          <w:rFonts w:hint="default" w:ascii="Times New Roman" w:hAnsi="Times New Roman" w:cs="Times New Roman"/>
        </w:rPr>
        <w:sectPr>
          <w:type w:val="continuous"/>
          <w:pgSz w:w="11906" w:h="16838"/>
          <w:pgMar w:top="1440" w:right="1800" w:bottom="1440" w:left="1800" w:header="851" w:footer="992" w:gutter="0"/>
          <w:cols w:space="425" w:num="1"/>
          <w:docGrid w:type="lines" w:linePitch="312" w:charSpace="0"/>
        </w:sectPr>
      </w:pPr>
    </w:p>
    <w:p w14:paraId="369BB1DA">
      <w:pPr>
        <w:pStyle w:val="5"/>
        <w:numPr>
          <w:ilvl w:val="255"/>
          <w:numId w:val="0"/>
        </w:numPr>
        <w:rPr>
          <w:rFonts w:hint="default" w:ascii="Times New Roman" w:hAnsi="Times New Roman" w:cs="Times New Roman"/>
        </w:rPr>
      </w:pPr>
      <w:bookmarkStart w:id="174" w:name="_Toc124352546"/>
      <w:r>
        <w:rPr>
          <w:rFonts w:hint="default" w:ascii="Times New Roman" w:hAnsi="Times New Roman" w:cs="Times New Roman"/>
        </w:rPr>
        <w:t>6.3 指标校核</w:t>
      </w:r>
      <w:bookmarkEnd w:id="174"/>
    </w:p>
    <w:p w14:paraId="0AD33DF2">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为确保中山市</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一星级及以上等级绿色建筑占城镇新增绿色建筑比例</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的指标可达性和合理性，根据中山市住房和城乡建设局提供的资料，本规划结合2016~2022年中山市各镇街民用建筑施工许可建设量（统计结果详表6</w:t>
      </w:r>
      <w:r>
        <w:rPr>
          <w:rFonts w:hint="default" w:ascii="Times New Roman" w:hAnsi="Times New Roman" w:eastAsia="宋体" w:cs="Times New Roman"/>
          <w:sz w:val="28"/>
          <w:szCs w:val="28"/>
          <w:lang w:val="en-US" w:eastAsia="zh-CN"/>
        </w:rPr>
        <w:t>-9</w:t>
      </w:r>
      <w:r>
        <w:rPr>
          <w:rFonts w:hint="default" w:ascii="Times New Roman" w:hAnsi="Times New Roman" w:eastAsia="宋体" w:cs="Times New Roman"/>
          <w:sz w:val="28"/>
          <w:szCs w:val="28"/>
        </w:rPr>
        <w:t>），预测到2025年中山市民用建筑按照相同的趋势进行发展。故用2016~2022年中山市各镇街民用建筑施工许可建设量来进行指标校核。其中，2021年中山市撤销小榄镇、东升镇，设立新的小榄镇，故原东升镇的建设量均统计入小榄镇。</w:t>
      </w:r>
    </w:p>
    <w:p w14:paraId="0ED43153">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表6-9 中山市2016~2022年各镇街民用建筑施工许可建设量</w:t>
      </w:r>
    </w:p>
    <w:tbl>
      <w:tblPr>
        <w:tblStyle w:val="26"/>
        <w:tblW w:w="8278" w:type="dxa"/>
        <w:tblInd w:w="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8"/>
        <w:gridCol w:w="2412"/>
        <w:gridCol w:w="2297"/>
        <w:gridCol w:w="1801"/>
      </w:tblGrid>
      <w:tr w14:paraId="08B3F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4D7ADBD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镇街</w:t>
            </w:r>
          </w:p>
        </w:tc>
        <w:tc>
          <w:tcPr>
            <w:tcW w:w="2412" w:type="dxa"/>
            <w:vAlign w:val="center"/>
          </w:tcPr>
          <w:p w14:paraId="0388549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公共建筑总量（m</w:t>
            </w:r>
            <w:r>
              <w:rPr>
                <w:rFonts w:hint="default" w:ascii="Times New Roman" w:hAnsi="Times New Roman" w:cs="Times New Roman"/>
                <w:b w:val="0"/>
                <w:bCs/>
                <w:sz w:val="21"/>
                <w:szCs w:val="21"/>
                <w:vertAlign w:val="superscript"/>
              </w:rPr>
              <w:t>2</w:t>
            </w:r>
            <w:r>
              <w:rPr>
                <w:rFonts w:hint="default" w:ascii="Times New Roman" w:hAnsi="Times New Roman" w:cs="Times New Roman"/>
                <w:b w:val="0"/>
                <w:bCs/>
                <w:sz w:val="21"/>
                <w:szCs w:val="21"/>
              </w:rPr>
              <w:t>）</w:t>
            </w:r>
          </w:p>
        </w:tc>
        <w:tc>
          <w:tcPr>
            <w:tcW w:w="2297" w:type="dxa"/>
            <w:vAlign w:val="center"/>
          </w:tcPr>
          <w:p w14:paraId="48BD650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居住建筑总量（m</w:t>
            </w:r>
            <w:r>
              <w:rPr>
                <w:rFonts w:hint="default" w:ascii="Times New Roman" w:hAnsi="Times New Roman" w:cs="Times New Roman"/>
                <w:b w:val="0"/>
                <w:bCs/>
                <w:sz w:val="21"/>
                <w:szCs w:val="21"/>
                <w:vertAlign w:val="superscript"/>
              </w:rPr>
              <w:t>2</w:t>
            </w:r>
            <w:r>
              <w:rPr>
                <w:rFonts w:hint="default" w:ascii="Times New Roman" w:hAnsi="Times New Roman" w:cs="Times New Roman"/>
                <w:b w:val="0"/>
                <w:bCs/>
                <w:sz w:val="21"/>
                <w:szCs w:val="21"/>
              </w:rPr>
              <w:t>）</w:t>
            </w:r>
          </w:p>
        </w:tc>
        <w:tc>
          <w:tcPr>
            <w:tcW w:w="1801" w:type="dxa"/>
            <w:vAlign w:val="center"/>
          </w:tcPr>
          <w:p w14:paraId="369FA51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合计（m</w:t>
            </w:r>
            <w:r>
              <w:rPr>
                <w:rFonts w:hint="default" w:ascii="Times New Roman" w:hAnsi="Times New Roman" w:cs="Times New Roman"/>
                <w:b w:val="0"/>
                <w:bCs/>
                <w:sz w:val="21"/>
                <w:szCs w:val="21"/>
                <w:vertAlign w:val="superscript"/>
              </w:rPr>
              <w:t>2</w:t>
            </w:r>
            <w:r>
              <w:rPr>
                <w:rFonts w:hint="default" w:ascii="Times New Roman" w:hAnsi="Times New Roman" w:cs="Times New Roman"/>
                <w:b w:val="0"/>
                <w:bCs/>
                <w:sz w:val="21"/>
                <w:szCs w:val="21"/>
              </w:rPr>
              <w:t>）</w:t>
            </w:r>
          </w:p>
        </w:tc>
      </w:tr>
      <w:tr w14:paraId="25D21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2A1544B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石岐街道</w:t>
            </w:r>
          </w:p>
        </w:tc>
        <w:tc>
          <w:tcPr>
            <w:tcW w:w="2412" w:type="dxa"/>
            <w:vAlign w:val="center"/>
          </w:tcPr>
          <w:p w14:paraId="1D4562A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162054.42</w:t>
            </w:r>
          </w:p>
        </w:tc>
        <w:tc>
          <w:tcPr>
            <w:tcW w:w="2297" w:type="dxa"/>
            <w:vAlign w:val="center"/>
          </w:tcPr>
          <w:p w14:paraId="5CC58E9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2710427.62</w:t>
            </w:r>
          </w:p>
        </w:tc>
        <w:tc>
          <w:tcPr>
            <w:tcW w:w="1801" w:type="dxa"/>
            <w:vAlign w:val="center"/>
          </w:tcPr>
          <w:p w14:paraId="6D5E017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2872482.04</w:t>
            </w:r>
          </w:p>
        </w:tc>
      </w:tr>
      <w:tr w14:paraId="36E2D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43730B8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东区街道</w:t>
            </w:r>
          </w:p>
        </w:tc>
        <w:tc>
          <w:tcPr>
            <w:tcW w:w="2412" w:type="dxa"/>
            <w:vAlign w:val="center"/>
          </w:tcPr>
          <w:p w14:paraId="4C6DAAA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875079.09</w:t>
            </w:r>
          </w:p>
        </w:tc>
        <w:tc>
          <w:tcPr>
            <w:tcW w:w="2297" w:type="dxa"/>
            <w:vAlign w:val="center"/>
          </w:tcPr>
          <w:p w14:paraId="6E2109C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2975907.66</w:t>
            </w:r>
          </w:p>
        </w:tc>
        <w:tc>
          <w:tcPr>
            <w:tcW w:w="1801" w:type="dxa"/>
            <w:vAlign w:val="center"/>
          </w:tcPr>
          <w:p w14:paraId="3FD85E9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3850986.75</w:t>
            </w:r>
          </w:p>
        </w:tc>
      </w:tr>
      <w:tr w14:paraId="0DB83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438BD14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西区街道</w:t>
            </w:r>
          </w:p>
        </w:tc>
        <w:tc>
          <w:tcPr>
            <w:tcW w:w="2412" w:type="dxa"/>
            <w:vAlign w:val="center"/>
          </w:tcPr>
          <w:p w14:paraId="3B99364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317838.08</w:t>
            </w:r>
          </w:p>
        </w:tc>
        <w:tc>
          <w:tcPr>
            <w:tcW w:w="2297" w:type="dxa"/>
            <w:vAlign w:val="center"/>
          </w:tcPr>
          <w:p w14:paraId="36C3FDE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4911618.46</w:t>
            </w:r>
          </w:p>
        </w:tc>
        <w:tc>
          <w:tcPr>
            <w:tcW w:w="1801" w:type="dxa"/>
            <w:vAlign w:val="center"/>
          </w:tcPr>
          <w:p w14:paraId="1B44B96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5229456.54</w:t>
            </w:r>
          </w:p>
        </w:tc>
      </w:tr>
      <w:tr w14:paraId="223BF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335798F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南区街道</w:t>
            </w:r>
          </w:p>
        </w:tc>
        <w:tc>
          <w:tcPr>
            <w:tcW w:w="2412" w:type="dxa"/>
            <w:vAlign w:val="center"/>
          </w:tcPr>
          <w:p w14:paraId="033C0A1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317917.96</w:t>
            </w:r>
          </w:p>
        </w:tc>
        <w:tc>
          <w:tcPr>
            <w:tcW w:w="2297" w:type="dxa"/>
            <w:vAlign w:val="center"/>
          </w:tcPr>
          <w:p w14:paraId="369A00F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3490700.95</w:t>
            </w:r>
          </w:p>
        </w:tc>
        <w:tc>
          <w:tcPr>
            <w:tcW w:w="1801" w:type="dxa"/>
            <w:vAlign w:val="center"/>
          </w:tcPr>
          <w:p w14:paraId="2F33232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3808618.91</w:t>
            </w:r>
          </w:p>
        </w:tc>
      </w:tr>
      <w:tr w14:paraId="39866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6C07DFA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五桂山街道</w:t>
            </w:r>
          </w:p>
        </w:tc>
        <w:tc>
          <w:tcPr>
            <w:tcW w:w="2412" w:type="dxa"/>
            <w:vAlign w:val="center"/>
          </w:tcPr>
          <w:p w14:paraId="72F4DDE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67955.1</w:t>
            </w:r>
          </w:p>
        </w:tc>
        <w:tc>
          <w:tcPr>
            <w:tcW w:w="2297" w:type="dxa"/>
            <w:vAlign w:val="center"/>
          </w:tcPr>
          <w:p w14:paraId="0E7851C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1682427.81</w:t>
            </w:r>
          </w:p>
        </w:tc>
        <w:tc>
          <w:tcPr>
            <w:tcW w:w="1801" w:type="dxa"/>
            <w:vAlign w:val="center"/>
          </w:tcPr>
          <w:p w14:paraId="5935EA4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1750382.91</w:t>
            </w:r>
          </w:p>
        </w:tc>
      </w:tr>
      <w:tr w14:paraId="4CA9B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30EF0E1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港口镇</w:t>
            </w:r>
          </w:p>
        </w:tc>
        <w:tc>
          <w:tcPr>
            <w:tcW w:w="2412" w:type="dxa"/>
            <w:vAlign w:val="center"/>
          </w:tcPr>
          <w:p w14:paraId="50D4C30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80665.28</w:t>
            </w:r>
          </w:p>
        </w:tc>
        <w:tc>
          <w:tcPr>
            <w:tcW w:w="2297" w:type="dxa"/>
            <w:vAlign w:val="center"/>
          </w:tcPr>
          <w:p w14:paraId="40EB285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2062997.68</w:t>
            </w:r>
          </w:p>
        </w:tc>
        <w:tc>
          <w:tcPr>
            <w:tcW w:w="1801" w:type="dxa"/>
            <w:vAlign w:val="center"/>
          </w:tcPr>
          <w:p w14:paraId="4C11DA1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2143662.96</w:t>
            </w:r>
          </w:p>
        </w:tc>
      </w:tr>
      <w:tr w14:paraId="1148F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39415FB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南朗街道</w:t>
            </w:r>
          </w:p>
        </w:tc>
        <w:tc>
          <w:tcPr>
            <w:tcW w:w="2412" w:type="dxa"/>
            <w:vAlign w:val="center"/>
          </w:tcPr>
          <w:p w14:paraId="529F83D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171378.73</w:t>
            </w:r>
          </w:p>
        </w:tc>
        <w:tc>
          <w:tcPr>
            <w:tcW w:w="2297" w:type="dxa"/>
            <w:vAlign w:val="center"/>
          </w:tcPr>
          <w:p w14:paraId="2296721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4486859.39</w:t>
            </w:r>
          </w:p>
        </w:tc>
        <w:tc>
          <w:tcPr>
            <w:tcW w:w="1801" w:type="dxa"/>
            <w:vAlign w:val="center"/>
          </w:tcPr>
          <w:p w14:paraId="73F850E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4658238.12</w:t>
            </w:r>
          </w:p>
        </w:tc>
      </w:tr>
      <w:tr w14:paraId="706F4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4362B044">
            <w:pPr>
              <w:pStyle w:val="4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b w:val="0"/>
                <w:bCs/>
                <w:sz w:val="21"/>
                <w:szCs w:val="21"/>
              </w:rPr>
            </w:pPr>
            <w:r>
              <w:rPr>
                <w:rFonts w:hint="default" w:ascii="Times New Roman" w:hAnsi="Times New Roman" w:cs="Times New Roman"/>
                <w:b w:val="0"/>
                <w:bCs/>
                <w:sz w:val="21"/>
                <w:szCs w:val="21"/>
              </w:rPr>
              <w:t>中山港街道（火炬开发区）</w:t>
            </w:r>
          </w:p>
        </w:tc>
        <w:tc>
          <w:tcPr>
            <w:tcW w:w="2412" w:type="dxa"/>
            <w:vAlign w:val="center"/>
          </w:tcPr>
          <w:p w14:paraId="60E1C43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322141.14</w:t>
            </w:r>
          </w:p>
        </w:tc>
        <w:tc>
          <w:tcPr>
            <w:tcW w:w="2297" w:type="dxa"/>
            <w:vAlign w:val="center"/>
          </w:tcPr>
          <w:p w14:paraId="1A946CD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3994190.42</w:t>
            </w:r>
          </w:p>
        </w:tc>
        <w:tc>
          <w:tcPr>
            <w:tcW w:w="1801" w:type="dxa"/>
            <w:vAlign w:val="center"/>
          </w:tcPr>
          <w:p w14:paraId="6593F0A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4316331.56</w:t>
            </w:r>
          </w:p>
        </w:tc>
      </w:tr>
      <w:tr w14:paraId="040EA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6B955AC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民众街道</w:t>
            </w:r>
          </w:p>
        </w:tc>
        <w:tc>
          <w:tcPr>
            <w:tcW w:w="2412" w:type="dxa"/>
            <w:vAlign w:val="center"/>
          </w:tcPr>
          <w:p w14:paraId="4BA2F31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7299.48</w:t>
            </w:r>
          </w:p>
        </w:tc>
        <w:tc>
          <w:tcPr>
            <w:tcW w:w="2297" w:type="dxa"/>
            <w:vAlign w:val="center"/>
          </w:tcPr>
          <w:p w14:paraId="59939C2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1398974.19</w:t>
            </w:r>
          </w:p>
        </w:tc>
        <w:tc>
          <w:tcPr>
            <w:tcW w:w="1801" w:type="dxa"/>
            <w:vAlign w:val="center"/>
          </w:tcPr>
          <w:p w14:paraId="71E43D4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1406273.67</w:t>
            </w:r>
          </w:p>
        </w:tc>
      </w:tr>
      <w:tr w14:paraId="457C2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643BEA2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三角镇</w:t>
            </w:r>
          </w:p>
        </w:tc>
        <w:tc>
          <w:tcPr>
            <w:tcW w:w="2412" w:type="dxa"/>
            <w:vAlign w:val="center"/>
          </w:tcPr>
          <w:p w14:paraId="4466F17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114042.46</w:t>
            </w:r>
          </w:p>
        </w:tc>
        <w:tc>
          <w:tcPr>
            <w:tcW w:w="2297" w:type="dxa"/>
            <w:vAlign w:val="center"/>
          </w:tcPr>
          <w:p w14:paraId="647FDEF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1585631.44</w:t>
            </w:r>
          </w:p>
        </w:tc>
        <w:tc>
          <w:tcPr>
            <w:tcW w:w="1801" w:type="dxa"/>
            <w:vAlign w:val="center"/>
          </w:tcPr>
          <w:p w14:paraId="72BF795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1699673.9</w:t>
            </w:r>
          </w:p>
        </w:tc>
      </w:tr>
      <w:tr w14:paraId="141D1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3756538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阜沙镇</w:t>
            </w:r>
          </w:p>
        </w:tc>
        <w:tc>
          <w:tcPr>
            <w:tcW w:w="2412" w:type="dxa"/>
            <w:vAlign w:val="center"/>
          </w:tcPr>
          <w:p w14:paraId="63314AB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3744.26</w:t>
            </w:r>
          </w:p>
        </w:tc>
        <w:tc>
          <w:tcPr>
            <w:tcW w:w="2297" w:type="dxa"/>
            <w:vAlign w:val="center"/>
          </w:tcPr>
          <w:p w14:paraId="0969131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1656593.14</w:t>
            </w:r>
          </w:p>
        </w:tc>
        <w:tc>
          <w:tcPr>
            <w:tcW w:w="1801" w:type="dxa"/>
            <w:vAlign w:val="center"/>
          </w:tcPr>
          <w:p w14:paraId="560B173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1660337.4</w:t>
            </w:r>
          </w:p>
        </w:tc>
      </w:tr>
      <w:tr w14:paraId="4FAF4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438216B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黄圃镇</w:t>
            </w:r>
          </w:p>
        </w:tc>
        <w:tc>
          <w:tcPr>
            <w:tcW w:w="2412" w:type="dxa"/>
            <w:vAlign w:val="center"/>
          </w:tcPr>
          <w:p w14:paraId="33CF7A7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217091.63</w:t>
            </w:r>
          </w:p>
        </w:tc>
        <w:tc>
          <w:tcPr>
            <w:tcW w:w="2297" w:type="dxa"/>
            <w:vAlign w:val="center"/>
          </w:tcPr>
          <w:p w14:paraId="48815BF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2146358.98</w:t>
            </w:r>
          </w:p>
        </w:tc>
        <w:tc>
          <w:tcPr>
            <w:tcW w:w="1801" w:type="dxa"/>
            <w:vAlign w:val="center"/>
          </w:tcPr>
          <w:p w14:paraId="4091C1F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2363450.61</w:t>
            </w:r>
          </w:p>
        </w:tc>
      </w:tr>
      <w:tr w14:paraId="6FF40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64292F4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南头镇</w:t>
            </w:r>
          </w:p>
        </w:tc>
        <w:tc>
          <w:tcPr>
            <w:tcW w:w="2412" w:type="dxa"/>
            <w:vAlign w:val="center"/>
          </w:tcPr>
          <w:p w14:paraId="0B8330A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11664.06</w:t>
            </w:r>
          </w:p>
        </w:tc>
        <w:tc>
          <w:tcPr>
            <w:tcW w:w="2297" w:type="dxa"/>
            <w:vAlign w:val="center"/>
          </w:tcPr>
          <w:p w14:paraId="03656BE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2241948.83</w:t>
            </w:r>
          </w:p>
        </w:tc>
        <w:tc>
          <w:tcPr>
            <w:tcW w:w="1801" w:type="dxa"/>
            <w:vAlign w:val="center"/>
          </w:tcPr>
          <w:p w14:paraId="6A26301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2253612.89</w:t>
            </w:r>
          </w:p>
        </w:tc>
      </w:tr>
      <w:tr w14:paraId="4EA9E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6635273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东凤镇</w:t>
            </w:r>
          </w:p>
        </w:tc>
        <w:tc>
          <w:tcPr>
            <w:tcW w:w="2412" w:type="dxa"/>
            <w:vAlign w:val="center"/>
          </w:tcPr>
          <w:p w14:paraId="18426D1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354605.18</w:t>
            </w:r>
          </w:p>
        </w:tc>
        <w:tc>
          <w:tcPr>
            <w:tcW w:w="2297" w:type="dxa"/>
            <w:vAlign w:val="center"/>
          </w:tcPr>
          <w:p w14:paraId="48821B4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2526266.79</w:t>
            </w:r>
          </w:p>
        </w:tc>
        <w:tc>
          <w:tcPr>
            <w:tcW w:w="1801" w:type="dxa"/>
            <w:vAlign w:val="center"/>
          </w:tcPr>
          <w:p w14:paraId="7343E38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2880871.97</w:t>
            </w:r>
          </w:p>
        </w:tc>
      </w:tr>
      <w:tr w14:paraId="685AF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673A213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小榄镇</w:t>
            </w:r>
          </w:p>
        </w:tc>
        <w:tc>
          <w:tcPr>
            <w:tcW w:w="2412" w:type="dxa"/>
            <w:vAlign w:val="center"/>
          </w:tcPr>
          <w:p w14:paraId="275D6C0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58101.61</w:t>
            </w:r>
          </w:p>
        </w:tc>
        <w:tc>
          <w:tcPr>
            <w:tcW w:w="2297" w:type="dxa"/>
            <w:vAlign w:val="center"/>
          </w:tcPr>
          <w:p w14:paraId="0E83B58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3919203.83</w:t>
            </w:r>
          </w:p>
        </w:tc>
        <w:tc>
          <w:tcPr>
            <w:tcW w:w="1801" w:type="dxa"/>
            <w:vAlign w:val="center"/>
          </w:tcPr>
          <w:p w14:paraId="7B44BAA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3977305.44</w:t>
            </w:r>
          </w:p>
        </w:tc>
      </w:tr>
      <w:tr w14:paraId="78054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1469157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古镇镇</w:t>
            </w:r>
          </w:p>
        </w:tc>
        <w:tc>
          <w:tcPr>
            <w:tcW w:w="2412" w:type="dxa"/>
            <w:vAlign w:val="center"/>
          </w:tcPr>
          <w:p w14:paraId="448BCFE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630142.7</w:t>
            </w:r>
          </w:p>
        </w:tc>
        <w:tc>
          <w:tcPr>
            <w:tcW w:w="2297" w:type="dxa"/>
            <w:vAlign w:val="center"/>
          </w:tcPr>
          <w:p w14:paraId="42BE9EF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1337742.47</w:t>
            </w:r>
          </w:p>
        </w:tc>
        <w:tc>
          <w:tcPr>
            <w:tcW w:w="1801" w:type="dxa"/>
            <w:vAlign w:val="center"/>
          </w:tcPr>
          <w:p w14:paraId="2AF7F27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1967885.17</w:t>
            </w:r>
          </w:p>
        </w:tc>
      </w:tr>
      <w:tr w14:paraId="1B293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6FD955A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横栏镇</w:t>
            </w:r>
          </w:p>
        </w:tc>
        <w:tc>
          <w:tcPr>
            <w:tcW w:w="2412" w:type="dxa"/>
            <w:vAlign w:val="center"/>
          </w:tcPr>
          <w:p w14:paraId="5C09BB4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139342.74</w:t>
            </w:r>
          </w:p>
        </w:tc>
        <w:tc>
          <w:tcPr>
            <w:tcW w:w="2297" w:type="dxa"/>
            <w:vAlign w:val="center"/>
          </w:tcPr>
          <w:p w14:paraId="29FBD54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1893231.99</w:t>
            </w:r>
          </w:p>
        </w:tc>
        <w:tc>
          <w:tcPr>
            <w:tcW w:w="1801" w:type="dxa"/>
            <w:vAlign w:val="center"/>
          </w:tcPr>
          <w:p w14:paraId="47934DA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2032574.73</w:t>
            </w:r>
          </w:p>
        </w:tc>
      </w:tr>
      <w:tr w14:paraId="77C52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7688878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沙溪镇</w:t>
            </w:r>
          </w:p>
        </w:tc>
        <w:tc>
          <w:tcPr>
            <w:tcW w:w="2412" w:type="dxa"/>
            <w:vAlign w:val="center"/>
          </w:tcPr>
          <w:p w14:paraId="41BBF11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270152.855</w:t>
            </w:r>
          </w:p>
        </w:tc>
        <w:tc>
          <w:tcPr>
            <w:tcW w:w="2297" w:type="dxa"/>
            <w:vAlign w:val="center"/>
          </w:tcPr>
          <w:p w14:paraId="445A899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2064803.4</w:t>
            </w:r>
          </w:p>
        </w:tc>
        <w:tc>
          <w:tcPr>
            <w:tcW w:w="1801" w:type="dxa"/>
            <w:vAlign w:val="center"/>
          </w:tcPr>
          <w:p w14:paraId="30FA349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2334956.255</w:t>
            </w:r>
          </w:p>
        </w:tc>
      </w:tr>
      <w:tr w14:paraId="16092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0EC3846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大涌镇</w:t>
            </w:r>
          </w:p>
        </w:tc>
        <w:tc>
          <w:tcPr>
            <w:tcW w:w="2412" w:type="dxa"/>
            <w:vAlign w:val="center"/>
          </w:tcPr>
          <w:p w14:paraId="290FE7C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453317.16</w:t>
            </w:r>
          </w:p>
        </w:tc>
        <w:tc>
          <w:tcPr>
            <w:tcW w:w="2297" w:type="dxa"/>
            <w:vAlign w:val="center"/>
          </w:tcPr>
          <w:p w14:paraId="26F7A03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519177.08</w:t>
            </w:r>
          </w:p>
        </w:tc>
        <w:tc>
          <w:tcPr>
            <w:tcW w:w="1801" w:type="dxa"/>
            <w:vAlign w:val="center"/>
          </w:tcPr>
          <w:p w14:paraId="7235585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972494.24</w:t>
            </w:r>
          </w:p>
        </w:tc>
      </w:tr>
      <w:tr w14:paraId="31F3C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1617156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板芙镇</w:t>
            </w:r>
          </w:p>
        </w:tc>
        <w:tc>
          <w:tcPr>
            <w:tcW w:w="2412" w:type="dxa"/>
            <w:vAlign w:val="center"/>
          </w:tcPr>
          <w:p w14:paraId="50E134B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29113.9</w:t>
            </w:r>
          </w:p>
        </w:tc>
        <w:tc>
          <w:tcPr>
            <w:tcW w:w="2297" w:type="dxa"/>
            <w:vAlign w:val="center"/>
          </w:tcPr>
          <w:p w14:paraId="6BE9968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1507703.53</w:t>
            </w:r>
          </w:p>
        </w:tc>
        <w:tc>
          <w:tcPr>
            <w:tcW w:w="1801" w:type="dxa"/>
            <w:vAlign w:val="center"/>
          </w:tcPr>
          <w:p w14:paraId="2E2DA09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1536817.43</w:t>
            </w:r>
          </w:p>
        </w:tc>
      </w:tr>
      <w:tr w14:paraId="706DA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460AAC4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神湾镇</w:t>
            </w:r>
          </w:p>
        </w:tc>
        <w:tc>
          <w:tcPr>
            <w:tcW w:w="2412" w:type="dxa"/>
            <w:vAlign w:val="center"/>
          </w:tcPr>
          <w:p w14:paraId="5E38C5B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114457.38</w:t>
            </w:r>
          </w:p>
        </w:tc>
        <w:tc>
          <w:tcPr>
            <w:tcW w:w="2297" w:type="dxa"/>
            <w:vAlign w:val="center"/>
          </w:tcPr>
          <w:p w14:paraId="63D8FFE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2575406.33</w:t>
            </w:r>
          </w:p>
        </w:tc>
        <w:tc>
          <w:tcPr>
            <w:tcW w:w="1801" w:type="dxa"/>
            <w:vAlign w:val="center"/>
          </w:tcPr>
          <w:p w14:paraId="15312C7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2689863.71</w:t>
            </w:r>
          </w:p>
        </w:tc>
      </w:tr>
      <w:tr w14:paraId="7E162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2B75C7C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三乡镇</w:t>
            </w:r>
          </w:p>
        </w:tc>
        <w:tc>
          <w:tcPr>
            <w:tcW w:w="2412" w:type="dxa"/>
            <w:vAlign w:val="center"/>
          </w:tcPr>
          <w:p w14:paraId="36E176A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44828.43</w:t>
            </w:r>
          </w:p>
        </w:tc>
        <w:tc>
          <w:tcPr>
            <w:tcW w:w="2297" w:type="dxa"/>
            <w:vAlign w:val="center"/>
          </w:tcPr>
          <w:p w14:paraId="0AA60CD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4242256.53</w:t>
            </w:r>
          </w:p>
        </w:tc>
        <w:tc>
          <w:tcPr>
            <w:tcW w:w="1801" w:type="dxa"/>
            <w:vAlign w:val="center"/>
          </w:tcPr>
          <w:p w14:paraId="5372C03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4287084.96</w:t>
            </w:r>
          </w:p>
        </w:tc>
      </w:tr>
      <w:tr w14:paraId="49D88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00EBACE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坦洲镇</w:t>
            </w:r>
          </w:p>
        </w:tc>
        <w:tc>
          <w:tcPr>
            <w:tcW w:w="2412" w:type="dxa"/>
            <w:vAlign w:val="center"/>
          </w:tcPr>
          <w:p w14:paraId="44FB760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543829.67</w:t>
            </w:r>
          </w:p>
        </w:tc>
        <w:tc>
          <w:tcPr>
            <w:tcW w:w="2297" w:type="dxa"/>
            <w:vAlign w:val="center"/>
          </w:tcPr>
          <w:p w14:paraId="7E21DE3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5060349.78</w:t>
            </w:r>
          </w:p>
        </w:tc>
        <w:tc>
          <w:tcPr>
            <w:tcW w:w="1801" w:type="dxa"/>
            <w:vAlign w:val="center"/>
          </w:tcPr>
          <w:p w14:paraId="79649FB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5604179.45</w:t>
            </w:r>
          </w:p>
        </w:tc>
      </w:tr>
      <w:tr w14:paraId="6FED4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7D9925E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翠亨新区</w:t>
            </w:r>
          </w:p>
        </w:tc>
        <w:tc>
          <w:tcPr>
            <w:tcW w:w="2412" w:type="dxa"/>
            <w:vAlign w:val="center"/>
          </w:tcPr>
          <w:p w14:paraId="09B7A88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w:t>
            </w:r>
          </w:p>
        </w:tc>
        <w:tc>
          <w:tcPr>
            <w:tcW w:w="2297" w:type="dxa"/>
            <w:vAlign w:val="center"/>
          </w:tcPr>
          <w:p w14:paraId="6860966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28235.64</w:t>
            </w:r>
          </w:p>
        </w:tc>
        <w:tc>
          <w:tcPr>
            <w:tcW w:w="1801" w:type="dxa"/>
            <w:vAlign w:val="center"/>
          </w:tcPr>
          <w:p w14:paraId="6765A7A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28235.64</w:t>
            </w:r>
          </w:p>
        </w:tc>
      </w:tr>
      <w:tr w14:paraId="16198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601A2C5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全市合计（m2）</w:t>
            </w:r>
          </w:p>
        </w:tc>
        <w:tc>
          <w:tcPr>
            <w:tcW w:w="2412" w:type="dxa"/>
            <w:vAlign w:val="center"/>
          </w:tcPr>
          <w:p w14:paraId="43EDA37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5306763.315</w:t>
            </w:r>
          </w:p>
        </w:tc>
        <w:tc>
          <w:tcPr>
            <w:tcW w:w="2297" w:type="dxa"/>
            <w:vAlign w:val="center"/>
          </w:tcPr>
          <w:p w14:paraId="56FE51F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61019013.94</w:t>
            </w:r>
          </w:p>
        </w:tc>
        <w:tc>
          <w:tcPr>
            <w:tcW w:w="1801" w:type="dxa"/>
            <w:vAlign w:val="center"/>
          </w:tcPr>
          <w:p w14:paraId="2655392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66325777.26</w:t>
            </w:r>
          </w:p>
        </w:tc>
      </w:tr>
    </w:tbl>
    <w:p w14:paraId="37807C31">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1F5F455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根据第6.2节的要求，可知对于中山市，</w:t>
      </w:r>
      <w:bookmarkStart w:id="175" w:name="_Hlk124322366"/>
      <w:r>
        <w:rPr>
          <w:rFonts w:hint="default" w:ascii="Times New Roman" w:hAnsi="Times New Roman" w:eastAsia="宋体" w:cs="Times New Roman"/>
          <w:sz w:val="28"/>
          <w:szCs w:val="28"/>
        </w:rPr>
        <w:t>按本规划要求重点区域和核心目标单元范围内的民用建筑，均应按一星级及以上的绿色建筑等级要求进行建设</w:t>
      </w:r>
      <w:bookmarkEnd w:id="175"/>
      <w:r>
        <w:rPr>
          <w:rFonts w:hint="default" w:ascii="Times New Roman" w:hAnsi="Times New Roman" w:eastAsia="宋体" w:cs="Times New Roman"/>
          <w:sz w:val="28"/>
          <w:szCs w:val="28"/>
        </w:rPr>
        <w:t>。按照上面的要求并结合2016~2022年中山市各镇街民用建筑施工许可建设量进行统计，对中山市</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一星级及以上等级绿色建筑占城镇新增绿色建筑比例</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进行校核，结果如表6-10所示。</w:t>
      </w:r>
    </w:p>
    <w:p w14:paraId="3D8A41AA">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pacing w:val="1"/>
          <w:w w:val="96"/>
          <w:kern w:val="0"/>
          <w:sz w:val="21"/>
          <w:szCs w:val="21"/>
          <w:fitText w:val="8190" w:id="956521465"/>
        </w:rPr>
        <w:t>表6-10 中山市全市民用建筑</w:t>
      </w:r>
      <w:r>
        <w:rPr>
          <w:rFonts w:hint="eastAsia" w:ascii="Times New Roman" w:hAnsi="Times New Roman" w:cs="Times New Roman"/>
          <w:spacing w:val="1"/>
          <w:w w:val="96"/>
          <w:kern w:val="0"/>
          <w:sz w:val="21"/>
          <w:szCs w:val="21"/>
          <w:fitText w:val="8190" w:id="956521465"/>
          <w:lang w:eastAsia="zh-CN"/>
        </w:rPr>
        <w:t>“</w:t>
      </w:r>
      <w:r>
        <w:rPr>
          <w:rFonts w:hint="default" w:ascii="Times New Roman" w:hAnsi="Times New Roman" w:eastAsia="宋体" w:cs="Times New Roman"/>
          <w:spacing w:val="1"/>
          <w:w w:val="96"/>
          <w:kern w:val="0"/>
          <w:sz w:val="21"/>
          <w:szCs w:val="21"/>
          <w:fitText w:val="8190" w:id="956521465"/>
        </w:rPr>
        <w:t>一星级及以上等级绿色建筑占城镇新增绿色建筑比例</w:t>
      </w:r>
      <w:r>
        <w:rPr>
          <w:rFonts w:hint="eastAsia" w:ascii="Times New Roman" w:hAnsi="Times New Roman" w:cs="Times New Roman"/>
          <w:spacing w:val="1"/>
          <w:w w:val="96"/>
          <w:kern w:val="0"/>
          <w:sz w:val="21"/>
          <w:szCs w:val="21"/>
          <w:fitText w:val="8190" w:id="956521465"/>
          <w:lang w:eastAsia="zh-CN"/>
        </w:rPr>
        <w:t>”</w:t>
      </w:r>
      <w:r>
        <w:rPr>
          <w:rFonts w:hint="default" w:ascii="Times New Roman" w:hAnsi="Times New Roman" w:eastAsia="宋体" w:cs="Times New Roman"/>
          <w:spacing w:val="1"/>
          <w:w w:val="96"/>
          <w:kern w:val="0"/>
          <w:sz w:val="21"/>
          <w:szCs w:val="21"/>
          <w:fitText w:val="8190" w:id="956521465"/>
        </w:rPr>
        <w:t>校核</w:t>
      </w:r>
      <w:r>
        <w:rPr>
          <w:rFonts w:hint="default" w:ascii="Times New Roman" w:hAnsi="Times New Roman" w:eastAsia="宋体" w:cs="Times New Roman"/>
          <w:spacing w:val="-19"/>
          <w:w w:val="96"/>
          <w:kern w:val="0"/>
          <w:sz w:val="21"/>
          <w:szCs w:val="21"/>
          <w:fitText w:val="8190" w:id="956521465"/>
        </w:rPr>
        <w:t>表</w:t>
      </w:r>
    </w:p>
    <w:tbl>
      <w:tblPr>
        <w:tblStyle w:val="26"/>
        <w:tblW w:w="4899" w:type="pct"/>
        <w:tblInd w:w="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8"/>
        <w:gridCol w:w="1506"/>
        <w:gridCol w:w="1233"/>
        <w:gridCol w:w="1381"/>
        <w:gridCol w:w="1822"/>
      </w:tblGrid>
      <w:tr w14:paraId="36526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2408" w:type="dxa"/>
            <w:vMerge w:val="restart"/>
            <w:vAlign w:val="center"/>
          </w:tcPr>
          <w:p w14:paraId="6028879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镇街</w:t>
            </w:r>
          </w:p>
        </w:tc>
        <w:tc>
          <w:tcPr>
            <w:tcW w:w="1506" w:type="dxa"/>
            <w:vMerge w:val="restart"/>
            <w:vAlign w:val="center"/>
          </w:tcPr>
          <w:p w14:paraId="10AEDF5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目标单元等级</w:t>
            </w:r>
          </w:p>
        </w:tc>
        <w:tc>
          <w:tcPr>
            <w:tcW w:w="1233" w:type="dxa"/>
            <w:vMerge w:val="restart"/>
            <w:vAlign w:val="center"/>
          </w:tcPr>
          <w:p w14:paraId="5BB3487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建设量（m</w:t>
            </w:r>
            <w:r>
              <w:rPr>
                <w:rFonts w:hint="default" w:ascii="Times New Roman" w:hAnsi="Times New Roman" w:cs="Times New Roman"/>
                <w:b w:val="0"/>
                <w:bCs/>
                <w:sz w:val="21"/>
                <w:szCs w:val="21"/>
                <w:vertAlign w:val="superscript"/>
              </w:rPr>
              <w:t>2</w:t>
            </w:r>
            <w:r>
              <w:rPr>
                <w:rFonts w:hint="default" w:ascii="Times New Roman" w:hAnsi="Times New Roman" w:cs="Times New Roman"/>
                <w:b w:val="0"/>
                <w:bCs/>
                <w:sz w:val="21"/>
                <w:szCs w:val="21"/>
              </w:rPr>
              <w:t>）</w:t>
            </w:r>
          </w:p>
        </w:tc>
        <w:tc>
          <w:tcPr>
            <w:tcW w:w="3203" w:type="dxa"/>
            <w:gridSpan w:val="2"/>
            <w:vAlign w:val="center"/>
          </w:tcPr>
          <w:p w14:paraId="5AEEB7B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一星级及以上等级绿色建筑</w:t>
            </w:r>
          </w:p>
        </w:tc>
      </w:tr>
      <w:tr w14:paraId="056EE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2408" w:type="dxa"/>
            <w:vMerge w:val="continue"/>
            <w:vAlign w:val="center"/>
          </w:tcPr>
          <w:p w14:paraId="6AC45023">
            <w:pPr>
              <w:pStyle w:val="48"/>
              <w:rPr>
                <w:rFonts w:hint="default" w:ascii="Times New Roman" w:hAnsi="Times New Roman" w:cs="Times New Roman"/>
                <w:b w:val="0"/>
                <w:bCs/>
                <w:sz w:val="21"/>
                <w:szCs w:val="21"/>
              </w:rPr>
            </w:pPr>
          </w:p>
        </w:tc>
        <w:tc>
          <w:tcPr>
            <w:tcW w:w="1506" w:type="dxa"/>
            <w:vMerge w:val="continue"/>
            <w:vAlign w:val="center"/>
          </w:tcPr>
          <w:p w14:paraId="1E3FDB68">
            <w:pPr>
              <w:pStyle w:val="48"/>
              <w:rPr>
                <w:rFonts w:hint="default" w:ascii="Times New Roman" w:hAnsi="Times New Roman" w:cs="Times New Roman"/>
                <w:b w:val="0"/>
                <w:bCs/>
                <w:sz w:val="21"/>
                <w:szCs w:val="21"/>
              </w:rPr>
            </w:pPr>
          </w:p>
        </w:tc>
        <w:tc>
          <w:tcPr>
            <w:tcW w:w="1233" w:type="dxa"/>
            <w:vMerge w:val="continue"/>
            <w:vAlign w:val="center"/>
          </w:tcPr>
          <w:p w14:paraId="3A5727C7">
            <w:pPr>
              <w:pStyle w:val="48"/>
              <w:rPr>
                <w:rFonts w:hint="default" w:ascii="Times New Roman" w:hAnsi="Times New Roman" w:cs="Times New Roman"/>
                <w:b w:val="0"/>
                <w:bCs/>
                <w:sz w:val="21"/>
                <w:szCs w:val="21"/>
              </w:rPr>
            </w:pPr>
          </w:p>
        </w:tc>
        <w:tc>
          <w:tcPr>
            <w:tcW w:w="1381" w:type="dxa"/>
            <w:vAlign w:val="center"/>
          </w:tcPr>
          <w:p w14:paraId="3234C50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建筑面积（m</w:t>
            </w:r>
            <w:r>
              <w:rPr>
                <w:rFonts w:hint="default" w:ascii="Times New Roman" w:hAnsi="Times New Roman" w:cs="Times New Roman"/>
                <w:b w:val="0"/>
                <w:bCs/>
                <w:sz w:val="21"/>
                <w:szCs w:val="21"/>
                <w:vertAlign w:val="superscript"/>
              </w:rPr>
              <w:t>2</w:t>
            </w:r>
            <w:r>
              <w:rPr>
                <w:rFonts w:hint="default" w:ascii="Times New Roman" w:hAnsi="Times New Roman" w:cs="Times New Roman"/>
                <w:b w:val="0"/>
                <w:bCs/>
                <w:sz w:val="21"/>
                <w:szCs w:val="21"/>
              </w:rPr>
              <w:t>）</w:t>
            </w:r>
          </w:p>
        </w:tc>
        <w:tc>
          <w:tcPr>
            <w:tcW w:w="1822" w:type="dxa"/>
            <w:vAlign w:val="center"/>
          </w:tcPr>
          <w:p w14:paraId="3CD0136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占城镇新增绿色建筑比例</w:t>
            </w:r>
          </w:p>
        </w:tc>
      </w:tr>
      <w:tr w14:paraId="59244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3A9F018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石岐街道</w:t>
            </w:r>
          </w:p>
        </w:tc>
        <w:tc>
          <w:tcPr>
            <w:tcW w:w="1506" w:type="dxa"/>
            <w:vMerge w:val="restart"/>
            <w:vAlign w:val="center"/>
          </w:tcPr>
          <w:p w14:paraId="70C65D1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重点区域或核心目标单元</w:t>
            </w:r>
          </w:p>
        </w:tc>
        <w:tc>
          <w:tcPr>
            <w:tcW w:w="1233" w:type="dxa"/>
            <w:vAlign w:val="center"/>
          </w:tcPr>
          <w:p w14:paraId="529B22C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2872482.04</w:t>
            </w:r>
          </w:p>
        </w:tc>
        <w:tc>
          <w:tcPr>
            <w:tcW w:w="1381" w:type="dxa"/>
            <w:vMerge w:val="restart"/>
            <w:vAlign w:val="center"/>
          </w:tcPr>
          <w:p w14:paraId="24E0A36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32700791.53</w:t>
            </w:r>
          </w:p>
        </w:tc>
        <w:tc>
          <w:tcPr>
            <w:tcW w:w="1822" w:type="dxa"/>
            <w:vMerge w:val="restart"/>
            <w:vAlign w:val="center"/>
          </w:tcPr>
          <w:p w14:paraId="38A37B7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49.30%</w:t>
            </w:r>
          </w:p>
        </w:tc>
      </w:tr>
      <w:tr w14:paraId="543ED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74F40E4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东区街道</w:t>
            </w:r>
          </w:p>
        </w:tc>
        <w:tc>
          <w:tcPr>
            <w:tcW w:w="1506" w:type="dxa"/>
            <w:vMerge w:val="continue"/>
            <w:vAlign w:val="center"/>
          </w:tcPr>
          <w:p w14:paraId="5A25F335">
            <w:pPr>
              <w:pStyle w:val="48"/>
              <w:rPr>
                <w:rFonts w:hint="default" w:ascii="Times New Roman" w:hAnsi="Times New Roman" w:cs="Times New Roman"/>
                <w:b w:val="0"/>
                <w:bCs/>
                <w:sz w:val="21"/>
                <w:szCs w:val="21"/>
              </w:rPr>
            </w:pPr>
          </w:p>
        </w:tc>
        <w:tc>
          <w:tcPr>
            <w:tcW w:w="1233" w:type="dxa"/>
            <w:vAlign w:val="center"/>
          </w:tcPr>
          <w:p w14:paraId="3DE7421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3850986.75</w:t>
            </w:r>
          </w:p>
        </w:tc>
        <w:tc>
          <w:tcPr>
            <w:tcW w:w="1381" w:type="dxa"/>
            <w:vMerge w:val="continue"/>
            <w:vAlign w:val="center"/>
          </w:tcPr>
          <w:p w14:paraId="3C7727E5">
            <w:pPr>
              <w:pStyle w:val="48"/>
              <w:rPr>
                <w:rFonts w:hint="default" w:ascii="Times New Roman" w:hAnsi="Times New Roman" w:cs="Times New Roman"/>
                <w:b w:val="0"/>
                <w:bCs/>
                <w:sz w:val="21"/>
                <w:szCs w:val="21"/>
              </w:rPr>
            </w:pPr>
          </w:p>
        </w:tc>
        <w:tc>
          <w:tcPr>
            <w:tcW w:w="1822" w:type="dxa"/>
            <w:vMerge w:val="continue"/>
            <w:vAlign w:val="center"/>
          </w:tcPr>
          <w:p w14:paraId="2E3AAB3F">
            <w:pPr>
              <w:pStyle w:val="48"/>
              <w:rPr>
                <w:rFonts w:hint="default" w:ascii="Times New Roman" w:hAnsi="Times New Roman" w:cs="Times New Roman"/>
                <w:b w:val="0"/>
                <w:bCs/>
                <w:sz w:val="21"/>
                <w:szCs w:val="21"/>
              </w:rPr>
            </w:pPr>
          </w:p>
        </w:tc>
      </w:tr>
      <w:tr w14:paraId="160C0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6424CC2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南朗街道</w:t>
            </w:r>
          </w:p>
        </w:tc>
        <w:tc>
          <w:tcPr>
            <w:tcW w:w="1506" w:type="dxa"/>
            <w:vMerge w:val="continue"/>
            <w:vAlign w:val="center"/>
          </w:tcPr>
          <w:p w14:paraId="3D667141">
            <w:pPr>
              <w:pStyle w:val="48"/>
              <w:rPr>
                <w:rFonts w:hint="default" w:ascii="Times New Roman" w:hAnsi="Times New Roman" w:cs="Times New Roman"/>
                <w:b w:val="0"/>
                <w:bCs/>
                <w:sz w:val="21"/>
                <w:szCs w:val="21"/>
              </w:rPr>
            </w:pPr>
          </w:p>
        </w:tc>
        <w:tc>
          <w:tcPr>
            <w:tcW w:w="1233" w:type="dxa"/>
            <w:vAlign w:val="center"/>
          </w:tcPr>
          <w:p w14:paraId="6D101D9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4658238.12</w:t>
            </w:r>
          </w:p>
        </w:tc>
        <w:tc>
          <w:tcPr>
            <w:tcW w:w="1381" w:type="dxa"/>
            <w:vMerge w:val="continue"/>
            <w:vAlign w:val="center"/>
          </w:tcPr>
          <w:p w14:paraId="34F02B21">
            <w:pPr>
              <w:pStyle w:val="48"/>
              <w:rPr>
                <w:rFonts w:hint="default" w:ascii="Times New Roman" w:hAnsi="Times New Roman" w:cs="Times New Roman"/>
                <w:b w:val="0"/>
                <w:bCs/>
                <w:sz w:val="21"/>
                <w:szCs w:val="21"/>
              </w:rPr>
            </w:pPr>
          </w:p>
        </w:tc>
        <w:tc>
          <w:tcPr>
            <w:tcW w:w="1822" w:type="dxa"/>
            <w:vMerge w:val="continue"/>
            <w:vAlign w:val="center"/>
          </w:tcPr>
          <w:p w14:paraId="26BD7F34">
            <w:pPr>
              <w:pStyle w:val="48"/>
              <w:rPr>
                <w:rFonts w:hint="default" w:ascii="Times New Roman" w:hAnsi="Times New Roman" w:cs="Times New Roman"/>
                <w:b w:val="0"/>
                <w:bCs/>
                <w:sz w:val="21"/>
                <w:szCs w:val="21"/>
              </w:rPr>
            </w:pPr>
          </w:p>
        </w:tc>
      </w:tr>
      <w:tr w14:paraId="1B6E8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0314ECF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中山港街道（火炬开发区）</w:t>
            </w:r>
          </w:p>
        </w:tc>
        <w:tc>
          <w:tcPr>
            <w:tcW w:w="1506" w:type="dxa"/>
            <w:vMerge w:val="continue"/>
            <w:vAlign w:val="center"/>
          </w:tcPr>
          <w:p w14:paraId="6E02D938">
            <w:pPr>
              <w:pStyle w:val="48"/>
              <w:rPr>
                <w:rFonts w:hint="default" w:ascii="Times New Roman" w:hAnsi="Times New Roman" w:cs="Times New Roman"/>
                <w:b w:val="0"/>
                <w:bCs/>
                <w:sz w:val="21"/>
                <w:szCs w:val="21"/>
              </w:rPr>
            </w:pPr>
          </w:p>
        </w:tc>
        <w:tc>
          <w:tcPr>
            <w:tcW w:w="1233" w:type="dxa"/>
            <w:vAlign w:val="center"/>
          </w:tcPr>
          <w:p w14:paraId="3BB082E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4316331.56</w:t>
            </w:r>
          </w:p>
        </w:tc>
        <w:tc>
          <w:tcPr>
            <w:tcW w:w="1381" w:type="dxa"/>
            <w:vMerge w:val="continue"/>
            <w:vAlign w:val="center"/>
          </w:tcPr>
          <w:p w14:paraId="4FCCFB5A">
            <w:pPr>
              <w:pStyle w:val="48"/>
              <w:rPr>
                <w:rFonts w:hint="default" w:ascii="Times New Roman" w:hAnsi="Times New Roman" w:cs="Times New Roman"/>
                <w:b w:val="0"/>
                <w:bCs/>
                <w:sz w:val="21"/>
                <w:szCs w:val="21"/>
              </w:rPr>
            </w:pPr>
          </w:p>
        </w:tc>
        <w:tc>
          <w:tcPr>
            <w:tcW w:w="1822" w:type="dxa"/>
            <w:vMerge w:val="continue"/>
            <w:vAlign w:val="center"/>
          </w:tcPr>
          <w:p w14:paraId="10E1FCDA">
            <w:pPr>
              <w:pStyle w:val="48"/>
              <w:rPr>
                <w:rFonts w:hint="default" w:ascii="Times New Roman" w:hAnsi="Times New Roman" w:cs="Times New Roman"/>
                <w:b w:val="0"/>
                <w:bCs/>
                <w:sz w:val="21"/>
                <w:szCs w:val="21"/>
              </w:rPr>
            </w:pPr>
          </w:p>
        </w:tc>
      </w:tr>
      <w:tr w14:paraId="4C5ED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14587D4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民众街道</w:t>
            </w:r>
          </w:p>
        </w:tc>
        <w:tc>
          <w:tcPr>
            <w:tcW w:w="1506" w:type="dxa"/>
            <w:vMerge w:val="continue"/>
            <w:vAlign w:val="center"/>
          </w:tcPr>
          <w:p w14:paraId="27DD972C">
            <w:pPr>
              <w:pStyle w:val="48"/>
              <w:rPr>
                <w:rFonts w:hint="default" w:ascii="Times New Roman" w:hAnsi="Times New Roman" w:cs="Times New Roman"/>
                <w:b w:val="0"/>
                <w:bCs/>
                <w:sz w:val="21"/>
                <w:szCs w:val="21"/>
              </w:rPr>
            </w:pPr>
          </w:p>
        </w:tc>
        <w:tc>
          <w:tcPr>
            <w:tcW w:w="1233" w:type="dxa"/>
            <w:vAlign w:val="center"/>
          </w:tcPr>
          <w:p w14:paraId="1707BC6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1406273.67</w:t>
            </w:r>
          </w:p>
        </w:tc>
        <w:tc>
          <w:tcPr>
            <w:tcW w:w="1381" w:type="dxa"/>
            <w:vMerge w:val="continue"/>
            <w:vAlign w:val="center"/>
          </w:tcPr>
          <w:p w14:paraId="05097F1C">
            <w:pPr>
              <w:pStyle w:val="48"/>
              <w:rPr>
                <w:rFonts w:hint="default" w:ascii="Times New Roman" w:hAnsi="Times New Roman" w:cs="Times New Roman"/>
                <w:b w:val="0"/>
                <w:bCs/>
                <w:sz w:val="21"/>
                <w:szCs w:val="21"/>
              </w:rPr>
            </w:pPr>
          </w:p>
        </w:tc>
        <w:tc>
          <w:tcPr>
            <w:tcW w:w="1822" w:type="dxa"/>
            <w:vMerge w:val="continue"/>
            <w:vAlign w:val="center"/>
          </w:tcPr>
          <w:p w14:paraId="4AA0E4C9">
            <w:pPr>
              <w:pStyle w:val="48"/>
              <w:rPr>
                <w:rFonts w:hint="default" w:ascii="Times New Roman" w:hAnsi="Times New Roman" w:cs="Times New Roman"/>
                <w:b w:val="0"/>
                <w:bCs/>
                <w:sz w:val="21"/>
                <w:szCs w:val="21"/>
              </w:rPr>
            </w:pPr>
          </w:p>
        </w:tc>
      </w:tr>
      <w:tr w14:paraId="78828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49D8045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三角镇</w:t>
            </w:r>
          </w:p>
        </w:tc>
        <w:tc>
          <w:tcPr>
            <w:tcW w:w="1506" w:type="dxa"/>
            <w:vMerge w:val="continue"/>
            <w:vAlign w:val="center"/>
          </w:tcPr>
          <w:p w14:paraId="07FD0F26">
            <w:pPr>
              <w:pStyle w:val="48"/>
              <w:rPr>
                <w:rFonts w:hint="default" w:ascii="Times New Roman" w:hAnsi="Times New Roman" w:cs="Times New Roman"/>
                <w:b w:val="0"/>
                <w:bCs/>
                <w:sz w:val="21"/>
                <w:szCs w:val="21"/>
              </w:rPr>
            </w:pPr>
          </w:p>
        </w:tc>
        <w:tc>
          <w:tcPr>
            <w:tcW w:w="1233" w:type="dxa"/>
            <w:vAlign w:val="center"/>
          </w:tcPr>
          <w:p w14:paraId="6501D4A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1699673.9</w:t>
            </w:r>
          </w:p>
        </w:tc>
        <w:tc>
          <w:tcPr>
            <w:tcW w:w="1381" w:type="dxa"/>
            <w:vMerge w:val="continue"/>
            <w:vAlign w:val="center"/>
          </w:tcPr>
          <w:p w14:paraId="3B0A3FDD">
            <w:pPr>
              <w:pStyle w:val="48"/>
              <w:rPr>
                <w:rFonts w:hint="default" w:ascii="Times New Roman" w:hAnsi="Times New Roman" w:cs="Times New Roman"/>
                <w:b w:val="0"/>
                <w:bCs/>
                <w:sz w:val="21"/>
                <w:szCs w:val="21"/>
              </w:rPr>
            </w:pPr>
          </w:p>
        </w:tc>
        <w:tc>
          <w:tcPr>
            <w:tcW w:w="1822" w:type="dxa"/>
            <w:vMerge w:val="continue"/>
            <w:vAlign w:val="center"/>
          </w:tcPr>
          <w:p w14:paraId="6C7A24F0">
            <w:pPr>
              <w:pStyle w:val="48"/>
              <w:rPr>
                <w:rFonts w:hint="default" w:ascii="Times New Roman" w:hAnsi="Times New Roman" w:cs="Times New Roman"/>
                <w:b w:val="0"/>
                <w:bCs/>
                <w:sz w:val="21"/>
                <w:szCs w:val="21"/>
              </w:rPr>
            </w:pPr>
          </w:p>
        </w:tc>
      </w:tr>
      <w:tr w14:paraId="0354F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0945708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小榄镇</w:t>
            </w:r>
          </w:p>
        </w:tc>
        <w:tc>
          <w:tcPr>
            <w:tcW w:w="1506" w:type="dxa"/>
            <w:vMerge w:val="continue"/>
            <w:vAlign w:val="center"/>
          </w:tcPr>
          <w:p w14:paraId="74B01DA6">
            <w:pPr>
              <w:pStyle w:val="48"/>
              <w:rPr>
                <w:rFonts w:hint="default" w:ascii="Times New Roman" w:hAnsi="Times New Roman" w:cs="Times New Roman"/>
                <w:b w:val="0"/>
                <w:bCs/>
                <w:sz w:val="21"/>
                <w:szCs w:val="21"/>
              </w:rPr>
            </w:pPr>
          </w:p>
        </w:tc>
        <w:tc>
          <w:tcPr>
            <w:tcW w:w="1233" w:type="dxa"/>
            <w:vAlign w:val="center"/>
          </w:tcPr>
          <w:p w14:paraId="41C9584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3977305.44</w:t>
            </w:r>
          </w:p>
        </w:tc>
        <w:tc>
          <w:tcPr>
            <w:tcW w:w="1381" w:type="dxa"/>
            <w:vMerge w:val="continue"/>
            <w:vAlign w:val="center"/>
          </w:tcPr>
          <w:p w14:paraId="5256A05A">
            <w:pPr>
              <w:pStyle w:val="48"/>
              <w:rPr>
                <w:rFonts w:hint="default" w:ascii="Times New Roman" w:hAnsi="Times New Roman" w:cs="Times New Roman"/>
                <w:b w:val="0"/>
                <w:bCs/>
                <w:sz w:val="21"/>
                <w:szCs w:val="21"/>
              </w:rPr>
            </w:pPr>
          </w:p>
        </w:tc>
        <w:tc>
          <w:tcPr>
            <w:tcW w:w="1822" w:type="dxa"/>
            <w:vMerge w:val="continue"/>
            <w:vAlign w:val="center"/>
          </w:tcPr>
          <w:p w14:paraId="5C1C10B0">
            <w:pPr>
              <w:pStyle w:val="48"/>
              <w:rPr>
                <w:rFonts w:hint="default" w:ascii="Times New Roman" w:hAnsi="Times New Roman" w:cs="Times New Roman"/>
                <w:b w:val="0"/>
                <w:bCs/>
                <w:sz w:val="21"/>
                <w:szCs w:val="21"/>
              </w:rPr>
            </w:pPr>
          </w:p>
        </w:tc>
      </w:tr>
      <w:tr w14:paraId="54870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6238A5A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三乡镇</w:t>
            </w:r>
          </w:p>
        </w:tc>
        <w:tc>
          <w:tcPr>
            <w:tcW w:w="1506" w:type="dxa"/>
            <w:vMerge w:val="continue"/>
            <w:vAlign w:val="center"/>
          </w:tcPr>
          <w:p w14:paraId="42705AF4">
            <w:pPr>
              <w:pStyle w:val="48"/>
              <w:rPr>
                <w:rFonts w:hint="default" w:ascii="Times New Roman" w:hAnsi="Times New Roman" w:cs="Times New Roman"/>
                <w:b w:val="0"/>
                <w:bCs/>
                <w:sz w:val="21"/>
                <w:szCs w:val="21"/>
              </w:rPr>
            </w:pPr>
          </w:p>
        </w:tc>
        <w:tc>
          <w:tcPr>
            <w:tcW w:w="1233" w:type="dxa"/>
            <w:vAlign w:val="center"/>
          </w:tcPr>
          <w:p w14:paraId="3106F3D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4287084.96</w:t>
            </w:r>
          </w:p>
        </w:tc>
        <w:tc>
          <w:tcPr>
            <w:tcW w:w="1381" w:type="dxa"/>
            <w:vMerge w:val="continue"/>
            <w:vAlign w:val="center"/>
          </w:tcPr>
          <w:p w14:paraId="4FF3B5BA">
            <w:pPr>
              <w:pStyle w:val="48"/>
              <w:rPr>
                <w:rFonts w:hint="default" w:ascii="Times New Roman" w:hAnsi="Times New Roman" w:cs="Times New Roman"/>
                <w:b w:val="0"/>
                <w:bCs/>
                <w:sz w:val="21"/>
                <w:szCs w:val="21"/>
              </w:rPr>
            </w:pPr>
          </w:p>
        </w:tc>
        <w:tc>
          <w:tcPr>
            <w:tcW w:w="1822" w:type="dxa"/>
            <w:vMerge w:val="continue"/>
            <w:vAlign w:val="center"/>
          </w:tcPr>
          <w:p w14:paraId="4F3661F1">
            <w:pPr>
              <w:pStyle w:val="48"/>
              <w:rPr>
                <w:rFonts w:hint="default" w:ascii="Times New Roman" w:hAnsi="Times New Roman" w:cs="Times New Roman"/>
                <w:b w:val="0"/>
                <w:bCs/>
                <w:sz w:val="21"/>
                <w:szCs w:val="21"/>
              </w:rPr>
            </w:pPr>
          </w:p>
        </w:tc>
      </w:tr>
      <w:tr w14:paraId="780CA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7113006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坦洲镇</w:t>
            </w:r>
          </w:p>
        </w:tc>
        <w:tc>
          <w:tcPr>
            <w:tcW w:w="1506" w:type="dxa"/>
            <w:vMerge w:val="continue"/>
            <w:vAlign w:val="center"/>
          </w:tcPr>
          <w:p w14:paraId="2C1EA4E6">
            <w:pPr>
              <w:pStyle w:val="48"/>
              <w:rPr>
                <w:rFonts w:hint="default" w:ascii="Times New Roman" w:hAnsi="Times New Roman" w:cs="Times New Roman"/>
                <w:b w:val="0"/>
                <w:bCs/>
                <w:sz w:val="21"/>
                <w:szCs w:val="21"/>
              </w:rPr>
            </w:pPr>
          </w:p>
        </w:tc>
        <w:tc>
          <w:tcPr>
            <w:tcW w:w="1233" w:type="dxa"/>
            <w:vAlign w:val="center"/>
          </w:tcPr>
          <w:p w14:paraId="4A2FA95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5604179.45</w:t>
            </w:r>
          </w:p>
        </w:tc>
        <w:tc>
          <w:tcPr>
            <w:tcW w:w="1381" w:type="dxa"/>
            <w:vMerge w:val="continue"/>
            <w:vAlign w:val="center"/>
          </w:tcPr>
          <w:p w14:paraId="4017A970">
            <w:pPr>
              <w:pStyle w:val="48"/>
              <w:rPr>
                <w:rFonts w:hint="default" w:ascii="Times New Roman" w:hAnsi="Times New Roman" w:cs="Times New Roman"/>
                <w:b w:val="0"/>
                <w:bCs/>
                <w:sz w:val="21"/>
                <w:szCs w:val="21"/>
              </w:rPr>
            </w:pPr>
          </w:p>
        </w:tc>
        <w:tc>
          <w:tcPr>
            <w:tcW w:w="1822" w:type="dxa"/>
            <w:vMerge w:val="continue"/>
            <w:vAlign w:val="center"/>
          </w:tcPr>
          <w:p w14:paraId="3FC65636">
            <w:pPr>
              <w:pStyle w:val="48"/>
              <w:rPr>
                <w:rFonts w:hint="default" w:ascii="Times New Roman" w:hAnsi="Times New Roman" w:cs="Times New Roman"/>
                <w:b w:val="0"/>
                <w:bCs/>
                <w:sz w:val="21"/>
                <w:szCs w:val="21"/>
              </w:rPr>
            </w:pPr>
          </w:p>
        </w:tc>
      </w:tr>
      <w:tr w14:paraId="7DB10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7A965C8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翠亨新区</w:t>
            </w:r>
          </w:p>
        </w:tc>
        <w:tc>
          <w:tcPr>
            <w:tcW w:w="1506" w:type="dxa"/>
            <w:vMerge w:val="continue"/>
            <w:vAlign w:val="center"/>
          </w:tcPr>
          <w:p w14:paraId="5DA1CDC1">
            <w:pPr>
              <w:pStyle w:val="48"/>
              <w:rPr>
                <w:rFonts w:hint="default" w:ascii="Times New Roman" w:hAnsi="Times New Roman" w:cs="Times New Roman"/>
                <w:b w:val="0"/>
                <w:bCs/>
                <w:sz w:val="21"/>
                <w:szCs w:val="21"/>
              </w:rPr>
            </w:pPr>
          </w:p>
        </w:tc>
        <w:tc>
          <w:tcPr>
            <w:tcW w:w="1233" w:type="dxa"/>
            <w:vAlign w:val="center"/>
          </w:tcPr>
          <w:p w14:paraId="57BEB5F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28235.64</w:t>
            </w:r>
          </w:p>
        </w:tc>
        <w:tc>
          <w:tcPr>
            <w:tcW w:w="1381" w:type="dxa"/>
            <w:vMerge w:val="continue"/>
            <w:vAlign w:val="center"/>
          </w:tcPr>
          <w:p w14:paraId="6A8D6CC4">
            <w:pPr>
              <w:pStyle w:val="48"/>
              <w:rPr>
                <w:rFonts w:hint="default" w:ascii="Times New Roman" w:hAnsi="Times New Roman" w:cs="Times New Roman"/>
                <w:b w:val="0"/>
                <w:bCs/>
                <w:sz w:val="21"/>
                <w:szCs w:val="21"/>
              </w:rPr>
            </w:pPr>
          </w:p>
        </w:tc>
        <w:tc>
          <w:tcPr>
            <w:tcW w:w="1822" w:type="dxa"/>
            <w:vMerge w:val="continue"/>
            <w:vAlign w:val="center"/>
          </w:tcPr>
          <w:p w14:paraId="351FA5DE">
            <w:pPr>
              <w:pStyle w:val="48"/>
              <w:rPr>
                <w:rFonts w:hint="default" w:ascii="Times New Roman" w:hAnsi="Times New Roman" w:cs="Times New Roman"/>
                <w:b w:val="0"/>
                <w:bCs/>
                <w:sz w:val="21"/>
                <w:szCs w:val="21"/>
              </w:rPr>
            </w:pPr>
          </w:p>
        </w:tc>
      </w:tr>
      <w:tr w14:paraId="344BD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2E3EA7F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西区街道</w:t>
            </w:r>
          </w:p>
        </w:tc>
        <w:tc>
          <w:tcPr>
            <w:tcW w:w="1506" w:type="dxa"/>
            <w:vMerge w:val="restart"/>
            <w:vAlign w:val="center"/>
          </w:tcPr>
          <w:p w14:paraId="18AD068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基础目标单元</w:t>
            </w:r>
          </w:p>
        </w:tc>
        <w:tc>
          <w:tcPr>
            <w:tcW w:w="1233" w:type="dxa"/>
            <w:vAlign w:val="center"/>
          </w:tcPr>
          <w:p w14:paraId="4EAD89F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5229456.54</w:t>
            </w:r>
          </w:p>
        </w:tc>
        <w:tc>
          <w:tcPr>
            <w:tcW w:w="1381" w:type="dxa"/>
            <w:vMerge w:val="continue"/>
            <w:vAlign w:val="center"/>
          </w:tcPr>
          <w:p w14:paraId="6CCA7573">
            <w:pPr>
              <w:pStyle w:val="48"/>
              <w:rPr>
                <w:rFonts w:hint="default" w:ascii="Times New Roman" w:hAnsi="Times New Roman" w:cs="Times New Roman"/>
                <w:b w:val="0"/>
                <w:bCs/>
                <w:sz w:val="21"/>
                <w:szCs w:val="21"/>
              </w:rPr>
            </w:pPr>
          </w:p>
        </w:tc>
        <w:tc>
          <w:tcPr>
            <w:tcW w:w="1822" w:type="dxa"/>
            <w:vMerge w:val="continue"/>
            <w:vAlign w:val="center"/>
          </w:tcPr>
          <w:p w14:paraId="659DD3A2">
            <w:pPr>
              <w:pStyle w:val="48"/>
              <w:rPr>
                <w:rFonts w:hint="default" w:ascii="Times New Roman" w:hAnsi="Times New Roman" w:cs="Times New Roman"/>
                <w:b w:val="0"/>
                <w:bCs/>
                <w:sz w:val="21"/>
                <w:szCs w:val="21"/>
              </w:rPr>
            </w:pPr>
          </w:p>
        </w:tc>
      </w:tr>
      <w:tr w14:paraId="2B28C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3A9836F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南区街道</w:t>
            </w:r>
          </w:p>
        </w:tc>
        <w:tc>
          <w:tcPr>
            <w:tcW w:w="1506" w:type="dxa"/>
            <w:vMerge w:val="continue"/>
            <w:vAlign w:val="center"/>
          </w:tcPr>
          <w:p w14:paraId="3B83A6CA">
            <w:pPr>
              <w:pStyle w:val="48"/>
              <w:rPr>
                <w:rFonts w:hint="default" w:ascii="Times New Roman" w:hAnsi="Times New Roman" w:cs="Times New Roman"/>
                <w:b w:val="0"/>
                <w:bCs/>
                <w:sz w:val="21"/>
                <w:szCs w:val="21"/>
              </w:rPr>
            </w:pPr>
          </w:p>
        </w:tc>
        <w:tc>
          <w:tcPr>
            <w:tcW w:w="1233" w:type="dxa"/>
            <w:vAlign w:val="center"/>
          </w:tcPr>
          <w:p w14:paraId="610E23B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3808618.91</w:t>
            </w:r>
          </w:p>
        </w:tc>
        <w:tc>
          <w:tcPr>
            <w:tcW w:w="1381" w:type="dxa"/>
            <w:vMerge w:val="continue"/>
            <w:vAlign w:val="center"/>
          </w:tcPr>
          <w:p w14:paraId="1BFCB10C">
            <w:pPr>
              <w:pStyle w:val="48"/>
              <w:rPr>
                <w:rFonts w:hint="default" w:ascii="Times New Roman" w:hAnsi="Times New Roman" w:cs="Times New Roman"/>
                <w:b w:val="0"/>
                <w:bCs/>
                <w:sz w:val="21"/>
                <w:szCs w:val="21"/>
              </w:rPr>
            </w:pPr>
          </w:p>
        </w:tc>
        <w:tc>
          <w:tcPr>
            <w:tcW w:w="1822" w:type="dxa"/>
            <w:vMerge w:val="continue"/>
            <w:vAlign w:val="center"/>
          </w:tcPr>
          <w:p w14:paraId="116A77A1">
            <w:pPr>
              <w:pStyle w:val="48"/>
              <w:rPr>
                <w:rFonts w:hint="default" w:ascii="Times New Roman" w:hAnsi="Times New Roman" w:cs="Times New Roman"/>
                <w:b w:val="0"/>
                <w:bCs/>
                <w:sz w:val="21"/>
                <w:szCs w:val="21"/>
              </w:rPr>
            </w:pPr>
          </w:p>
        </w:tc>
      </w:tr>
      <w:tr w14:paraId="754C4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434AFC3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五桂山街道</w:t>
            </w:r>
          </w:p>
        </w:tc>
        <w:tc>
          <w:tcPr>
            <w:tcW w:w="1506" w:type="dxa"/>
            <w:vMerge w:val="continue"/>
            <w:vAlign w:val="center"/>
          </w:tcPr>
          <w:p w14:paraId="5847B3E7">
            <w:pPr>
              <w:pStyle w:val="48"/>
              <w:rPr>
                <w:rFonts w:hint="default" w:ascii="Times New Roman" w:hAnsi="Times New Roman" w:cs="Times New Roman"/>
                <w:b w:val="0"/>
                <w:bCs/>
                <w:sz w:val="21"/>
                <w:szCs w:val="21"/>
              </w:rPr>
            </w:pPr>
          </w:p>
        </w:tc>
        <w:tc>
          <w:tcPr>
            <w:tcW w:w="1233" w:type="dxa"/>
            <w:vAlign w:val="center"/>
          </w:tcPr>
          <w:p w14:paraId="3EEA596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1750382.91</w:t>
            </w:r>
          </w:p>
        </w:tc>
        <w:tc>
          <w:tcPr>
            <w:tcW w:w="1381" w:type="dxa"/>
            <w:vMerge w:val="continue"/>
            <w:vAlign w:val="center"/>
          </w:tcPr>
          <w:p w14:paraId="13D02A0E">
            <w:pPr>
              <w:pStyle w:val="48"/>
              <w:rPr>
                <w:rFonts w:hint="default" w:ascii="Times New Roman" w:hAnsi="Times New Roman" w:cs="Times New Roman"/>
                <w:b w:val="0"/>
                <w:bCs/>
                <w:sz w:val="21"/>
                <w:szCs w:val="21"/>
              </w:rPr>
            </w:pPr>
          </w:p>
        </w:tc>
        <w:tc>
          <w:tcPr>
            <w:tcW w:w="1822" w:type="dxa"/>
            <w:vMerge w:val="continue"/>
            <w:vAlign w:val="center"/>
          </w:tcPr>
          <w:p w14:paraId="72EA9215">
            <w:pPr>
              <w:pStyle w:val="48"/>
              <w:rPr>
                <w:rFonts w:hint="default" w:ascii="Times New Roman" w:hAnsi="Times New Roman" w:cs="Times New Roman"/>
                <w:b w:val="0"/>
                <w:bCs/>
                <w:sz w:val="21"/>
                <w:szCs w:val="21"/>
              </w:rPr>
            </w:pPr>
          </w:p>
        </w:tc>
      </w:tr>
      <w:tr w14:paraId="05C4C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373CC3A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港口镇</w:t>
            </w:r>
          </w:p>
        </w:tc>
        <w:tc>
          <w:tcPr>
            <w:tcW w:w="1506" w:type="dxa"/>
            <w:vMerge w:val="continue"/>
            <w:vAlign w:val="center"/>
          </w:tcPr>
          <w:p w14:paraId="073B0C68">
            <w:pPr>
              <w:pStyle w:val="48"/>
              <w:rPr>
                <w:rFonts w:hint="default" w:ascii="Times New Roman" w:hAnsi="Times New Roman" w:cs="Times New Roman"/>
                <w:b w:val="0"/>
                <w:bCs/>
                <w:sz w:val="21"/>
                <w:szCs w:val="21"/>
              </w:rPr>
            </w:pPr>
          </w:p>
        </w:tc>
        <w:tc>
          <w:tcPr>
            <w:tcW w:w="1233" w:type="dxa"/>
            <w:vAlign w:val="center"/>
          </w:tcPr>
          <w:p w14:paraId="7191015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2143662.96</w:t>
            </w:r>
          </w:p>
        </w:tc>
        <w:tc>
          <w:tcPr>
            <w:tcW w:w="1381" w:type="dxa"/>
            <w:vMerge w:val="continue"/>
            <w:vAlign w:val="center"/>
          </w:tcPr>
          <w:p w14:paraId="7D7CCE09">
            <w:pPr>
              <w:pStyle w:val="48"/>
              <w:rPr>
                <w:rFonts w:hint="default" w:ascii="Times New Roman" w:hAnsi="Times New Roman" w:cs="Times New Roman"/>
                <w:b w:val="0"/>
                <w:bCs/>
                <w:sz w:val="21"/>
                <w:szCs w:val="21"/>
              </w:rPr>
            </w:pPr>
          </w:p>
        </w:tc>
        <w:tc>
          <w:tcPr>
            <w:tcW w:w="1822" w:type="dxa"/>
            <w:vMerge w:val="continue"/>
            <w:vAlign w:val="center"/>
          </w:tcPr>
          <w:p w14:paraId="478DD2DF">
            <w:pPr>
              <w:pStyle w:val="48"/>
              <w:rPr>
                <w:rFonts w:hint="default" w:ascii="Times New Roman" w:hAnsi="Times New Roman" w:cs="Times New Roman"/>
                <w:b w:val="0"/>
                <w:bCs/>
                <w:sz w:val="21"/>
                <w:szCs w:val="21"/>
              </w:rPr>
            </w:pPr>
          </w:p>
        </w:tc>
      </w:tr>
      <w:tr w14:paraId="0E899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3A57845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阜沙镇</w:t>
            </w:r>
          </w:p>
        </w:tc>
        <w:tc>
          <w:tcPr>
            <w:tcW w:w="1506" w:type="dxa"/>
            <w:vMerge w:val="continue"/>
            <w:vAlign w:val="center"/>
          </w:tcPr>
          <w:p w14:paraId="3CF1E8A7">
            <w:pPr>
              <w:pStyle w:val="48"/>
              <w:rPr>
                <w:rFonts w:hint="default" w:ascii="Times New Roman" w:hAnsi="Times New Roman" w:cs="Times New Roman"/>
                <w:b w:val="0"/>
                <w:bCs/>
                <w:sz w:val="21"/>
                <w:szCs w:val="21"/>
              </w:rPr>
            </w:pPr>
          </w:p>
        </w:tc>
        <w:tc>
          <w:tcPr>
            <w:tcW w:w="1233" w:type="dxa"/>
            <w:vAlign w:val="center"/>
          </w:tcPr>
          <w:p w14:paraId="5A6B65B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1660337.4</w:t>
            </w:r>
          </w:p>
        </w:tc>
        <w:tc>
          <w:tcPr>
            <w:tcW w:w="1381" w:type="dxa"/>
            <w:vMerge w:val="continue"/>
            <w:vAlign w:val="center"/>
          </w:tcPr>
          <w:p w14:paraId="5A287244">
            <w:pPr>
              <w:pStyle w:val="48"/>
              <w:rPr>
                <w:rFonts w:hint="default" w:ascii="Times New Roman" w:hAnsi="Times New Roman" w:cs="Times New Roman"/>
                <w:b w:val="0"/>
                <w:bCs/>
                <w:sz w:val="21"/>
                <w:szCs w:val="21"/>
              </w:rPr>
            </w:pPr>
          </w:p>
        </w:tc>
        <w:tc>
          <w:tcPr>
            <w:tcW w:w="1822" w:type="dxa"/>
            <w:vMerge w:val="continue"/>
            <w:vAlign w:val="center"/>
          </w:tcPr>
          <w:p w14:paraId="78F9321F">
            <w:pPr>
              <w:pStyle w:val="48"/>
              <w:rPr>
                <w:rFonts w:hint="default" w:ascii="Times New Roman" w:hAnsi="Times New Roman" w:cs="Times New Roman"/>
                <w:b w:val="0"/>
                <w:bCs/>
                <w:sz w:val="21"/>
                <w:szCs w:val="21"/>
              </w:rPr>
            </w:pPr>
          </w:p>
        </w:tc>
      </w:tr>
      <w:tr w14:paraId="4A717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7DA5CA9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黄圃镇</w:t>
            </w:r>
          </w:p>
        </w:tc>
        <w:tc>
          <w:tcPr>
            <w:tcW w:w="1506" w:type="dxa"/>
            <w:vMerge w:val="continue"/>
            <w:vAlign w:val="center"/>
          </w:tcPr>
          <w:p w14:paraId="5B6C0D7A">
            <w:pPr>
              <w:pStyle w:val="48"/>
              <w:rPr>
                <w:rFonts w:hint="default" w:ascii="Times New Roman" w:hAnsi="Times New Roman" w:cs="Times New Roman"/>
                <w:b w:val="0"/>
                <w:bCs/>
                <w:sz w:val="21"/>
                <w:szCs w:val="21"/>
              </w:rPr>
            </w:pPr>
          </w:p>
        </w:tc>
        <w:tc>
          <w:tcPr>
            <w:tcW w:w="1233" w:type="dxa"/>
            <w:vAlign w:val="center"/>
          </w:tcPr>
          <w:p w14:paraId="089E0FE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2363450.61</w:t>
            </w:r>
          </w:p>
        </w:tc>
        <w:tc>
          <w:tcPr>
            <w:tcW w:w="1381" w:type="dxa"/>
            <w:vMerge w:val="continue"/>
            <w:vAlign w:val="center"/>
          </w:tcPr>
          <w:p w14:paraId="248FA031">
            <w:pPr>
              <w:pStyle w:val="48"/>
              <w:rPr>
                <w:rFonts w:hint="default" w:ascii="Times New Roman" w:hAnsi="Times New Roman" w:cs="Times New Roman"/>
                <w:b w:val="0"/>
                <w:bCs/>
                <w:sz w:val="21"/>
                <w:szCs w:val="21"/>
              </w:rPr>
            </w:pPr>
          </w:p>
        </w:tc>
        <w:tc>
          <w:tcPr>
            <w:tcW w:w="1822" w:type="dxa"/>
            <w:vMerge w:val="continue"/>
            <w:vAlign w:val="center"/>
          </w:tcPr>
          <w:p w14:paraId="5A888A51">
            <w:pPr>
              <w:pStyle w:val="48"/>
              <w:rPr>
                <w:rFonts w:hint="default" w:ascii="Times New Roman" w:hAnsi="Times New Roman" w:cs="Times New Roman"/>
                <w:b w:val="0"/>
                <w:bCs/>
                <w:sz w:val="21"/>
                <w:szCs w:val="21"/>
              </w:rPr>
            </w:pPr>
          </w:p>
        </w:tc>
      </w:tr>
      <w:tr w14:paraId="07638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116CCEF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南头镇</w:t>
            </w:r>
          </w:p>
        </w:tc>
        <w:tc>
          <w:tcPr>
            <w:tcW w:w="1506" w:type="dxa"/>
            <w:vMerge w:val="continue"/>
            <w:vAlign w:val="center"/>
          </w:tcPr>
          <w:p w14:paraId="6470E6CD">
            <w:pPr>
              <w:pStyle w:val="48"/>
              <w:rPr>
                <w:rFonts w:hint="default" w:ascii="Times New Roman" w:hAnsi="Times New Roman" w:cs="Times New Roman"/>
                <w:b w:val="0"/>
                <w:bCs/>
                <w:sz w:val="21"/>
                <w:szCs w:val="21"/>
              </w:rPr>
            </w:pPr>
          </w:p>
        </w:tc>
        <w:tc>
          <w:tcPr>
            <w:tcW w:w="1233" w:type="dxa"/>
            <w:vAlign w:val="center"/>
          </w:tcPr>
          <w:p w14:paraId="7B08690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2253612.89</w:t>
            </w:r>
          </w:p>
        </w:tc>
        <w:tc>
          <w:tcPr>
            <w:tcW w:w="1381" w:type="dxa"/>
            <w:vMerge w:val="continue"/>
            <w:vAlign w:val="center"/>
          </w:tcPr>
          <w:p w14:paraId="2BC9C791">
            <w:pPr>
              <w:pStyle w:val="48"/>
              <w:rPr>
                <w:rFonts w:hint="default" w:ascii="Times New Roman" w:hAnsi="Times New Roman" w:cs="Times New Roman"/>
                <w:b w:val="0"/>
                <w:bCs/>
                <w:sz w:val="21"/>
                <w:szCs w:val="21"/>
              </w:rPr>
            </w:pPr>
          </w:p>
        </w:tc>
        <w:tc>
          <w:tcPr>
            <w:tcW w:w="1822" w:type="dxa"/>
            <w:vMerge w:val="continue"/>
            <w:vAlign w:val="center"/>
          </w:tcPr>
          <w:p w14:paraId="06038885">
            <w:pPr>
              <w:pStyle w:val="48"/>
              <w:rPr>
                <w:rFonts w:hint="default" w:ascii="Times New Roman" w:hAnsi="Times New Roman" w:cs="Times New Roman"/>
                <w:b w:val="0"/>
                <w:bCs/>
                <w:sz w:val="21"/>
                <w:szCs w:val="21"/>
              </w:rPr>
            </w:pPr>
          </w:p>
        </w:tc>
      </w:tr>
      <w:tr w14:paraId="4580D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176E473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东凤镇</w:t>
            </w:r>
          </w:p>
        </w:tc>
        <w:tc>
          <w:tcPr>
            <w:tcW w:w="1506" w:type="dxa"/>
            <w:vMerge w:val="continue"/>
            <w:vAlign w:val="center"/>
          </w:tcPr>
          <w:p w14:paraId="24F97647">
            <w:pPr>
              <w:pStyle w:val="48"/>
              <w:rPr>
                <w:rFonts w:hint="default" w:ascii="Times New Roman" w:hAnsi="Times New Roman" w:cs="Times New Roman"/>
                <w:b w:val="0"/>
                <w:bCs/>
                <w:sz w:val="21"/>
                <w:szCs w:val="21"/>
              </w:rPr>
            </w:pPr>
          </w:p>
        </w:tc>
        <w:tc>
          <w:tcPr>
            <w:tcW w:w="1233" w:type="dxa"/>
            <w:vAlign w:val="center"/>
          </w:tcPr>
          <w:p w14:paraId="4BD44DC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2880871.97</w:t>
            </w:r>
          </w:p>
        </w:tc>
        <w:tc>
          <w:tcPr>
            <w:tcW w:w="1381" w:type="dxa"/>
            <w:vMerge w:val="continue"/>
            <w:vAlign w:val="center"/>
          </w:tcPr>
          <w:p w14:paraId="27F01375">
            <w:pPr>
              <w:pStyle w:val="48"/>
              <w:rPr>
                <w:rFonts w:hint="default" w:ascii="Times New Roman" w:hAnsi="Times New Roman" w:cs="Times New Roman"/>
                <w:b w:val="0"/>
                <w:bCs/>
                <w:sz w:val="21"/>
                <w:szCs w:val="21"/>
              </w:rPr>
            </w:pPr>
          </w:p>
        </w:tc>
        <w:tc>
          <w:tcPr>
            <w:tcW w:w="1822" w:type="dxa"/>
            <w:vMerge w:val="continue"/>
            <w:vAlign w:val="center"/>
          </w:tcPr>
          <w:p w14:paraId="229D6BE8">
            <w:pPr>
              <w:pStyle w:val="48"/>
              <w:rPr>
                <w:rFonts w:hint="default" w:ascii="Times New Roman" w:hAnsi="Times New Roman" w:cs="Times New Roman"/>
                <w:b w:val="0"/>
                <w:bCs/>
                <w:sz w:val="21"/>
                <w:szCs w:val="21"/>
              </w:rPr>
            </w:pPr>
          </w:p>
        </w:tc>
      </w:tr>
      <w:tr w14:paraId="390E7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1A23D7D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古镇镇</w:t>
            </w:r>
          </w:p>
        </w:tc>
        <w:tc>
          <w:tcPr>
            <w:tcW w:w="1506" w:type="dxa"/>
            <w:vMerge w:val="continue"/>
            <w:vAlign w:val="center"/>
          </w:tcPr>
          <w:p w14:paraId="73E48003">
            <w:pPr>
              <w:pStyle w:val="48"/>
              <w:rPr>
                <w:rFonts w:hint="default" w:ascii="Times New Roman" w:hAnsi="Times New Roman" w:cs="Times New Roman"/>
                <w:b w:val="0"/>
                <w:bCs/>
                <w:sz w:val="21"/>
                <w:szCs w:val="21"/>
              </w:rPr>
            </w:pPr>
          </w:p>
        </w:tc>
        <w:tc>
          <w:tcPr>
            <w:tcW w:w="1233" w:type="dxa"/>
            <w:vAlign w:val="center"/>
          </w:tcPr>
          <w:p w14:paraId="0DA6CDF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1967885.17</w:t>
            </w:r>
          </w:p>
        </w:tc>
        <w:tc>
          <w:tcPr>
            <w:tcW w:w="1381" w:type="dxa"/>
            <w:vMerge w:val="continue"/>
            <w:vAlign w:val="center"/>
          </w:tcPr>
          <w:p w14:paraId="524AA5FE">
            <w:pPr>
              <w:pStyle w:val="48"/>
              <w:rPr>
                <w:rFonts w:hint="default" w:ascii="Times New Roman" w:hAnsi="Times New Roman" w:cs="Times New Roman"/>
                <w:b w:val="0"/>
                <w:bCs/>
                <w:sz w:val="21"/>
                <w:szCs w:val="21"/>
              </w:rPr>
            </w:pPr>
          </w:p>
        </w:tc>
        <w:tc>
          <w:tcPr>
            <w:tcW w:w="1822" w:type="dxa"/>
            <w:vMerge w:val="continue"/>
            <w:vAlign w:val="center"/>
          </w:tcPr>
          <w:p w14:paraId="3EF7910B">
            <w:pPr>
              <w:pStyle w:val="48"/>
              <w:rPr>
                <w:rFonts w:hint="default" w:ascii="Times New Roman" w:hAnsi="Times New Roman" w:cs="Times New Roman"/>
                <w:b w:val="0"/>
                <w:bCs/>
                <w:sz w:val="21"/>
                <w:szCs w:val="21"/>
              </w:rPr>
            </w:pPr>
          </w:p>
        </w:tc>
      </w:tr>
      <w:tr w14:paraId="65F5E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4769D04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横栏镇</w:t>
            </w:r>
          </w:p>
        </w:tc>
        <w:tc>
          <w:tcPr>
            <w:tcW w:w="1506" w:type="dxa"/>
            <w:vMerge w:val="continue"/>
            <w:vAlign w:val="center"/>
          </w:tcPr>
          <w:p w14:paraId="47E460D8">
            <w:pPr>
              <w:pStyle w:val="48"/>
              <w:rPr>
                <w:rFonts w:hint="default" w:ascii="Times New Roman" w:hAnsi="Times New Roman" w:cs="Times New Roman"/>
                <w:b w:val="0"/>
                <w:bCs/>
                <w:sz w:val="21"/>
                <w:szCs w:val="21"/>
              </w:rPr>
            </w:pPr>
          </w:p>
        </w:tc>
        <w:tc>
          <w:tcPr>
            <w:tcW w:w="1233" w:type="dxa"/>
            <w:vAlign w:val="center"/>
          </w:tcPr>
          <w:p w14:paraId="44BA5B6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2032574.73</w:t>
            </w:r>
          </w:p>
        </w:tc>
        <w:tc>
          <w:tcPr>
            <w:tcW w:w="1381" w:type="dxa"/>
            <w:vMerge w:val="continue"/>
            <w:vAlign w:val="center"/>
          </w:tcPr>
          <w:p w14:paraId="7A8B50DF">
            <w:pPr>
              <w:pStyle w:val="48"/>
              <w:rPr>
                <w:rFonts w:hint="default" w:ascii="Times New Roman" w:hAnsi="Times New Roman" w:cs="Times New Roman"/>
                <w:b w:val="0"/>
                <w:bCs/>
                <w:sz w:val="21"/>
                <w:szCs w:val="21"/>
              </w:rPr>
            </w:pPr>
          </w:p>
        </w:tc>
        <w:tc>
          <w:tcPr>
            <w:tcW w:w="1822" w:type="dxa"/>
            <w:vMerge w:val="continue"/>
            <w:vAlign w:val="center"/>
          </w:tcPr>
          <w:p w14:paraId="25E7FD36">
            <w:pPr>
              <w:pStyle w:val="48"/>
              <w:rPr>
                <w:rFonts w:hint="default" w:ascii="Times New Roman" w:hAnsi="Times New Roman" w:cs="Times New Roman"/>
                <w:b w:val="0"/>
                <w:bCs/>
                <w:sz w:val="21"/>
                <w:szCs w:val="21"/>
              </w:rPr>
            </w:pPr>
          </w:p>
        </w:tc>
      </w:tr>
      <w:tr w14:paraId="5CFD0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36AEA6C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沙溪镇</w:t>
            </w:r>
          </w:p>
        </w:tc>
        <w:tc>
          <w:tcPr>
            <w:tcW w:w="1506" w:type="dxa"/>
            <w:vMerge w:val="continue"/>
            <w:vAlign w:val="center"/>
          </w:tcPr>
          <w:p w14:paraId="02F9F2B2">
            <w:pPr>
              <w:pStyle w:val="48"/>
              <w:rPr>
                <w:rFonts w:hint="default" w:ascii="Times New Roman" w:hAnsi="Times New Roman" w:cs="Times New Roman"/>
                <w:b w:val="0"/>
                <w:bCs/>
                <w:sz w:val="21"/>
                <w:szCs w:val="21"/>
              </w:rPr>
            </w:pPr>
          </w:p>
        </w:tc>
        <w:tc>
          <w:tcPr>
            <w:tcW w:w="1233" w:type="dxa"/>
            <w:vAlign w:val="center"/>
          </w:tcPr>
          <w:p w14:paraId="349CDDF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2334956.255</w:t>
            </w:r>
          </w:p>
        </w:tc>
        <w:tc>
          <w:tcPr>
            <w:tcW w:w="1381" w:type="dxa"/>
            <w:vMerge w:val="continue"/>
            <w:vAlign w:val="center"/>
          </w:tcPr>
          <w:p w14:paraId="0A42A2AC">
            <w:pPr>
              <w:pStyle w:val="48"/>
              <w:rPr>
                <w:rFonts w:hint="default" w:ascii="Times New Roman" w:hAnsi="Times New Roman" w:cs="Times New Roman"/>
                <w:b w:val="0"/>
                <w:bCs/>
                <w:sz w:val="21"/>
                <w:szCs w:val="21"/>
              </w:rPr>
            </w:pPr>
          </w:p>
        </w:tc>
        <w:tc>
          <w:tcPr>
            <w:tcW w:w="1822" w:type="dxa"/>
            <w:vMerge w:val="continue"/>
            <w:vAlign w:val="center"/>
          </w:tcPr>
          <w:p w14:paraId="4EA7CA0F">
            <w:pPr>
              <w:pStyle w:val="48"/>
              <w:rPr>
                <w:rFonts w:hint="default" w:ascii="Times New Roman" w:hAnsi="Times New Roman" w:cs="Times New Roman"/>
                <w:b w:val="0"/>
                <w:bCs/>
                <w:sz w:val="21"/>
                <w:szCs w:val="21"/>
              </w:rPr>
            </w:pPr>
          </w:p>
        </w:tc>
      </w:tr>
      <w:tr w14:paraId="0C78E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736C5C9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大涌镇</w:t>
            </w:r>
          </w:p>
        </w:tc>
        <w:tc>
          <w:tcPr>
            <w:tcW w:w="1506" w:type="dxa"/>
            <w:vMerge w:val="continue"/>
            <w:vAlign w:val="center"/>
          </w:tcPr>
          <w:p w14:paraId="1A5EFCD0">
            <w:pPr>
              <w:pStyle w:val="48"/>
              <w:rPr>
                <w:rFonts w:hint="default" w:ascii="Times New Roman" w:hAnsi="Times New Roman" w:cs="Times New Roman"/>
                <w:b w:val="0"/>
                <w:bCs/>
                <w:sz w:val="21"/>
                <w:szCs w:val="21"/>
              </w:rPr>
            </w:pPr>
          </w:p>
        </w:tc>
        <w:tc>
          <w:tcPr>
            <w:tcW w:w="1233" w:type="dxa"/>
            <w:vAlign w:val="center"/>
          </w:tcPr>
          <w:p w14:paraId="6743A9A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972494.24</w:t>
            </w:r>
          </w:p>
        </w:tc>
        <w:tc>
          <w:tcPr>
            <w:tcW w:w="1381" w:type="dxa"/>
            <w:vMerge w:val="continue"/>
            <w:vAlign w:val="center"/>
          </w:tcPr>
          <w:p w14:paraId="79974E9F">
            <w:pPr>
              <w:pStyle w:val="48"/>
              <w:rPr>
                <w:rFonts w:hint="default" w:ascii="Times New Roman" w:hAnsi="Times New Roman" w:cs="Times New Roman"/>
                <w:b w:val="0"/>
                <w:bCs/>
                <w:sz w:val="21"/>
                <w:szCs w:val="21"/>
              </w:rPr>
            </w:pPr>
          </w:p>
        </w:tc>
        <w:tc>
          <w:tcPr>
            <w:tcW w:w="1822" w:type="dxa"/>
            <w:vMerge w:val="continue"/>
            <w:vAlign w:val="center"/>
          </w:tcPr>
          <w:p w14:paraId="539C8148">
            <w:pPr>
              <w:pStyle w:val="48"/>
              <w:rPr>
                <w:rFonts w:hint="default" w:ascii="Times New Roman" w:hAnsi="Times New Roman" w:cs="Times New Roman"/>
                <w:b w:val="0"/>
                <w:bCs/>
                <w:sz w:val="21"/>
                <w:szCs w:val="21"/>
              </w:rPr>
            </w:pPr>
          </w:p>
        </w:tc>
      </w:tr>
      <w:tr w14:paraId="7B095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7F1CA5A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板芙镇</w:t>
            </w:r>
          </w:p>
        </w:tc>
        <w:tc>
          <w:tcPr>
            <w:tcW w:w="1506" w:type="dxa"/>
            <w:vMerge w:val="continue"/>
            <w:vAlign w:val="center"/>
          </w:tcPr>
          <w:p w14:paraId="05E5742B">
            <w:pPr>
              <w:pStyle w:val="48"/>
              <w:rPr>
                <w:rFonts w:hint="default" w:ascii="Times New Roman" w:hAnsi="Times New Roman" w:cs="Times New Roman"/>
                <w:b w:val="0"/>
                <w:bCs/>
                <w:sz w:val="21"/>
                <w:szCs w:val="21"/>
              </w:rPr>
            </w:pPr>
          </w:p>
        </w:tc>
        <w:tc>
          <w:tcPr>
            <w:tcW w:w="1233" w:type="dxa"/>
            <w:vAlign w:val="center"/>
          </w:tcPr>
          <w:p w14:paraId="4C5E510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1536817.43</w:t>
            </w:r>
          </w:p>
        </w:tc>
        <w:tc>
          <w:tcPr>
            <w:tcW w:w="1381" w:type="dxa"/>
            <w:vMerge w:val="continue"/>
            <w:vAlign w:val="center"/>
          </w:tcPr>
          <w:p w14:paraId="381C3C8B">
            <w:pPr>
              <w:pStyle w:val="48"/>
              <w:rPr>
                <w:rFonts w:hint="default" w:ascii="Times New Roman" w:hAnsi="Times New Roman" w:cs="Times New Roman"/>
                <w:b w:val="0"/>
                <w:bCs/>
                <w:sz w:val="21"/>
                <w:szCs w:val="21"/>
              </w:rPr>
            </w:pPr>
          </w:p>
        </w:tc>
        <w:tc>
          <w:tcPr>
            <w:tcW w:w="1822" w:type="dxa"/>
            <w:vMerge w:val="continue"/>
            <w:vAlign w:val="center"/>
          </w:tcPr>
          <w:p w14:paraId="3A6B108B">
            <w:pPr>
              <w:pStyle w:val="48"/>
              <w:rPr>
                <w:rFonts w:hint="default" w:ascii="Times New Roman" w:hAnsi="Times New Roman" w:cs="Times New Roman"/>
                <w:b w:val="0"/>
                <w:bCs/>
                <w:sz w:val="21"/>
                <w:szCs w:val="21"/>
              </w:rPr>
            </w:pPr>
          </w:p>
        </w:tc>
      </w:tr>
      <w:tr w14:paraId="1FB7A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1E49A75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神湾镇</w:t>
            </w:r>
          </w:p>
        </w:tc>
        <w:tc>
          <w:tcPr>
            <w:tcW w:w="1506" w:type="dxa"/>
            <w:vMerge w:val="continue"/>
            <w:vAlign w:val="center"/>
          </w:tcPr>
          <w:p w14:paraId="4C0F549C">
            <w:pPr>
              <w:pStyle w:val="48"/>
              <w:rPr>
                <w:rFonts w:hint="default" w:ascii="Times New Roman" w:hAnsi="Times New Roman" w:cs="Times New Roman"/>
                <w:b w:val="0"/>
                <w:bCs/>
                <w:sz w:val="21"/>
                <w:szCs w:val="21"/>
              </w:rPr>
            </w:pPr>
          </w:p>
        </w:tc>
        <w:tc>
          <w:tcPr>
            <w:tcW w:w="1233" w:type="dxa"/>
            <w:vAlign w:val="center"/>
          </w:tcPr>
          <w:p w14:paraId="415D827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2689863.71</w:t>
            </w:r>
          </w:p>
        </w:tc>
        <w:tc>
          <w:tcPr>
            <w:tcW w:w="1381" w:type="dxa"/>
            <w:vMerge w:val="continue"/>
            <w:vAlign w:val="center"/>
          </w:tcPr>
          <w:p w14:paraId="35AA5537">
            <w:pPr>
              <w:pStyle w:val="48"/>
              <w:rPr>
                <w:rFonts w:hint="default" w:ascii="Times New Roman" w:hAnsi="Times New Roman" w:cs="Times New Roman"/>
                <w:b w:val="0"/>
                <w:bCs/>
                <w:sz w:val="21"/>
                <w:szCs w:val="21"/>
              </w:rPr>
            </w:pPr>
          </w:p>
        </w:tc>
        <w:tc>
          <w:tcPr>
            <w:tcW w:w="1822" w:type="dxa"/>
            <w:vMerge w:val="continue"/>
            <w:vAlign w:val="center"/>
          </w:tcPr>
          <w:p w14:paraId="4317BC98">
            <w:pPr>
              <w:pStyle w:val="48"/>
              <w:rPr>
                <w:rFonts w:hint="default" w:ascii="Times New Roman" w:hAnsi="Times New Roman" w:cs="Times New Roman"/>
                <w:b w:val="0"/>
                <w:bCs/>
                <w:sz w:val="21"/>
                <w:szCs w:val="21"/>
              </w:rPr>
            </w:pPr>
          </w:p>
        </w:tc>
      </w:tr>
    </w:tbl>
    <w:p w14:paraId="76756746">
      <w:pPr>
        <w:rPr>
          <w:rFonts w:hint="default" w:ascii="Times New Roman" w:hAnsi="Times New Roman" w:cs="Times New Roman"/>
        </w:rPr>
      </w:pPr>
    </w:p>
    <w:p w14:paraId="6C71AE81">
      <w:pPr>
        <w:widowControl/>
        <w:adjustRightInd w:val="0"/>
        <w:snapToGrid w:val="0"/>
        <w:spacing w:line="360" w:lineRule="auto"/>
        <w:ind w:firstLine="560" w:firstLineChars="200"/>
        <w:rPr>
          <w:rFonts w:hint="default" w:ascii="Times New Roman" w:hAnsi="Times New Roman" w:eastAsia="宋体" w:cs="Times New Roman"/>
          <w:sz w:val="28"/>
          <w:szCs w:val="28"/>
        </w:rPr>
        <w:sectPr>
          <w:pgSz w:w="11906" w:h="16838"/>
          <w:pgMar w:top="1440" w:right="1800" w:bottom="1440" w:left="1800" w:header="851" w:footer="992" w:gutter="0"/>
          <w:cols w:space="425" w:num="1"/>
          <w:docGrid w:type="lines" w:linePitch="312" w:charSpace="0"/>
        </w:sectPr>
      </w:pPr>
      <w:r>
        <w:rPr>
          <w:rFonts w:hint="default" w:ascii="Times New Roman" w:hAnsi="Times New Roman" w:eastAsia="宋体" w:cs="Times New Roman"/>
          <w:sz w:val="28"/>
          <w:szCs w:val="28"/>
        </w:rPr>
        <w:t>由以上分析可知，按照</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本规划要求重点区域和核心目标单元范围内的民用建筑，均应按一星级及以上的绿色建筑等级要求进行建设</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的要求，结合2016~2022年中山市各镇街民用建筑施工许可建设量，对中山市全市的</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一星级及以上等级绿色建筑占城镇新增绿色建筑比例</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进行校核，可知中山市全市的</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一星级及以上等级绿色建筑占城镇新增绿色建筑比例</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可达到49.30%，满足不低于45%的要求。</w:t>
      </w:r>
    </w:p>
    <w:p w14:paraId="7C86CEED">
      <w:pPr>
        <w:pStyle w:val="4"/>
        <w:rPr>
          <w:rFonts w:hint="default" w:ascii="Times New Roman" w:hAnsi="Times New Roman" w:cs="Times New Roman"/>
        </w:rPr>
      </w:pPr>
      <w:bookmarkStart w:id="176" w:name="_Toc124352547"/>
      <w:r>
        <w:rPr>
          <w:rFonts w:hint="default" w:ascii="Times New Roman" w:hAnsi="Times New Roman" w:cs="Times New Roman"/>
        </w:rPr>
        <w:t>七、重点任务</w:t>
      </w:r>
      <w:bookmarkEnd w:id="176"/>
    </w:p>
    <w:p w14:paraId="49CD1E9E">
      <w:pPr>
        <w:pStyle w:val="5"/>
        <w:numPr>
          <w:ilvl w:val="255"/>
          <w:numId w:val="0"/>
        </w:numPr>
        <w:rPr>
          <w:rFonts w:hint="default" w:ascii="Times New Roman" w:hAnsi="Times New Roman" w:cs="Times New Roman"/>
        </w:rPr>
      </w:pPr>
      <w:bookmarkStart w:id="177" w:name="_Toc124352548"/>
      <w:r>
        <w:rPr>
          <w:rFonts w:hint="default" w:ascii="Times New Roman" w:hAnsi="Times New Roman" w:cs="Times New Roman"/>
        </w:rPr>
        <w:t>7.1 引领绿色建筑高品质发展</w:t>
      </w:r>
      <w:bookmarkEnd w:id="177"/>
    </w:p>
    <w:p w14:paraId="56052C16">
      <w:pPr>
        <w:widowControl/>
        <w:adjustRightInd w:val="0"/>
        <w:snapToGrid w:val="0"/>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1、全市形成</w:t>
      </w:r>
      <w:bookmarkStart w:id="178" w:name="_Hlk124330399"/>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三核两带一轴多点</w:t>
      </w:r>
      <w:bookmarkEnd w:id="178"/>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的新建绿色建筑发展格局</w:t>
      </w:r>
    </w:p>
    <w:p w14:paraId="112B61FA">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79" w:name="_Hlk124330298"/>
      <w:bookmarkStart w:id="180" w:name="_Hlk124330414"/>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三核</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即岐江新城、火炬开发区和翠亨新区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以</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三核</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为中山市绿色建筑重点发展平台，打造中山市高星级绿色建筑示范区；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两带</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即以小榄镇和三角镇为支撑，串联古镇镇和阜沙镇的东西向绿色建筑发展带，以及以坦洲镇、三乡镇、东区街道、石歧街道和小榄镇为核心</w:t>
      </w:r>
      <w:r>
        <w:rPr>
          <w:rFonts w:hint="default" w:ascii="Times New Roman" w:hAnsi="Times New Roman" w:eastAsia="宋体" w:cs="Times New Roman"/>
          <w:sz w:val="28"/>
          <w:szCs w:val="28"/>
          <w:lang w:val="en-US" w:eastAsia="zh-CN"/>
        </w:rPr>
        <w:t>节点</w:t>
      </w:r>
      <w:r>
        <w:rPr>
          <w:rFonts w:hint="default" w:ascii="Times New Roman" w:hAnsi="Times New Roman" w:eastAsia="宋体" w:cs="Times New Roman"/>
          <w:sz w:val="28"/>
          <w:szCs w:val="28"/>
        </w:rPr>
        <w:t>，贯穿五桂山街道和西区街道的南北向绿色建筑发展带。以香山新城、西部产业园、北部产业园和中山科学城等创新产业平台为基础，向北紧跟广州、佛山高速发展，向南与珠海紧密联系，稳步前进，形成中山与周边城市绿色建筑协同发展的新走廊；</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一轴</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即珠江东西两岸融合发展轴，打造贯通中心城区与岐江新城、火炬开发区、翠亨新区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三核</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，打造中山市绿色建筑高质量发展新通道。</w:t>
      </w:r>
      <w:bookmarkEnd w:id="179"/>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多点</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即以各个镇街为基础，以特色产业与科技创新平台为支撑，强化资源要素统筹，合力打造一批重</w:t>
      </w:r>
      <w:r>
        <w:rPr>
          <w:rFonts w:hint="eastAsia" w:ascii="Times New Roman" w:hAnsi="Times New Roman" w:eastAsia="宋体" w:cs="Times New Roman"/>
          <w:sz w:val="28"/>
          <w:szCs w:val="28"/>
          <w:lang w:val="en-US" w:eastAsia="zh-CN"/>
        </w:rPr>
        <w:t>点</w:t>
      </w:r>
      <w:r>
        <w:rPr>
          <w:rFonts w:hint="default" w:ascii="Times New Roman" w:hAnsi="Times New Roman" w:eastAsia="宋体" w:cs="Times New Roman"/>
          <w:sz w:val="28"/>
          <w:szCs w:val="28"/>
        </w:rPr>
        <w:t>平台，提升市镇产业平台承载能力，加快镇村产业园区改造和城市更新，释放发展新空间，打造支撑全市发展的多个支点，为全市绿色建筑高质量发展提供示范样本</w:t>
      </w:r>
      <w:bookmarkEnd w:id="180"/>
      <w:r>
        <w:rPr>
          <w:rFonts w:hint="default" w:ascii="Times New Roman" w:hAnsi="Times New Roman" w:eastAsia="宋体" w:cs="Times New Roman"/>
          <w:sz w:val="28"/>
          <w:szCs w:val="28"/>
        </w:rPr>
        <w:t>。</w:t>
      </w:r>
    </w:p>
    <w:p w14:paraId="551BE063">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758D6BD2">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4DE5407C">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336B7C08">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27E5366C">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3BC88958">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666D7B17">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0E2E6E99">
      <w:pPr>
        <w:pStyle w:val="33"/>
        <w:jc w:val="center"/>
        <w:rPr>
          <w:rFonts w:hint="default" w:ascii="Times New Roman" w:hAnsi="Times New Roman" w:cs="Times New Roman"/>
        </w:rPr>
      </w:pPr>
      <w:r>
        <w:rPr>
          <w:rFonts w:hint="default" w:ascii="Times New Roman" w:hAnsi="Times New Roman" w:cs="Times New Roman"/>
        </w:rPr>
        <w:drawing>
          <wp:inline distT="0" distB="0" distL="0" distR="0">
            <wp:extent cx="5399405" cy="7127875"/>
            <wp:effectExtent l="0" t="0" r="10795" b="158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9"/>
                    <a:stretch>
                      <a:fillRect/>
                    </a:stretch>
                  </pic:blipFill>
                  <pic:spPr>
                    <a:xfrm>
                      <a:off x="0" y="0"/>
                      <a:ext cx="5399405" cy="7127875"/>
                    </a:xfrm>
                    <a:prstGeom prst="rect">
                      <a:avLst/>
                    </a:prstGeom>
                  </pic:spPr>
                </pic:pic>
              </a:graphicData>
            </a:graphic>
          </wp:inline>
        </w:drawing>
      </w:r>
    </w:p>
    <w:p w14:paraId="73E2744C">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图7-1 中山绿色建筑发展格局图</w:t>
      </w:r>
    </w:p>
    <w:p w14:paraId="3EF435A5">
      <w:pPr>
        <w:pStyle w:val="33"/>
        <w:rPr>
          <w:rFonts w:hint="default" w:ascii="Times New Roman" w:hAnsi="Times New Roman" w:cs="Times New Roman"/>
        </w:rPr>
      </w:pPr>
    </w:p>
    <w:p w14:paraId="2894B954">
      <w:pPr>
        <w:widowControl/>
        <w:adjustRightInd w:val="0"/>
        <w:snapToGrid w:val="0"/>
        <w:spacing w:line="360" w:lineRule="auto"/>
        <w:rPr>
          <w:rFonts w:hint="default" w:ascii="Times New Roman" w:hAnsi="Times New Roman" w:eastAsia="宋体" w:cs="Times New Roman"/>
          <w:sz w:val="28"/>
          <w:szCs w:val="28"/>
        </w:rPr>
      </w:pPr>
    </w:p>
    <w:p w14:paraId="3C608D6F">
      <w:pPr>
        <w:widowControl/>
        <w:adjustRightInd w:val="0"/>
        <w:snapToGrid w:val="0"/>
        <w:spacing w:line="360" w:lineRule="auto"/>
        <w:rPr>
          <w:rFonts w:hint="default" w:ascii="Times New Roman" w:hAnsi="Times New Roman" w:eastAsia="宋体" w:cs="Times New Roman"/>
          <w:sz w:val="28"/>
          <w:szCs w:val="28"/>
        </w:rPr>
      </w:pPr>
    </w:p>
    <w:p w14:paraId="4DFF43B5">
      <w:pPr>
        <w:widowControl/>
        <w:adjustRightInd w:val="0"/>
        <w:snapToGrid w:val="0"/>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2、完善绿色建筑全流程管理</w:t>
      </w:r>
    </w:p>
    <w:p w14:paraId="3ED8AAD4">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81" w:name="_Hlk110097933"/>
      <w:r>
        <w:rPr>
          <w:rFonts w:hint="default" w:ascii="Times New Roman" w:hAnsi="Times New Roman" w:eastAsia="宋体" w:cs="Times New Roman"/>
          <w:sz w:val="28"/>
          <w:szCs w:val="28"/>
        </w:rPr>
        <w:t>各相关部门要结合实际，以贯彻执行《</w:t>
      </w:r>
      <w:r>
        <w:rPr>
          <w:rFonts w:hint="default" w:ascii="Times New Roman" w:hAnsi="Times New Roman" w:eastAsia="宋体" w:cs="Times New Roman"/>
          <w:sz w:val="28"/>
          <w:szCs w:val="28"/>
          <w:lang w:val="en-US" w:eastAsia="zh-CN"/>
        </w:rPr>
        <w:t>广东省绿色建筑</w:t>
      </w:r>
      <w:r>
        <w:rPr>
          <w:rFonts w:hint="default" w:ascii="Times New Roman" w:hAnsi="Times New Roman" w:eastAsia="宋体" w:cs="Times New Roman"/>
          <w:sz w:val="28"/>
          <w:szCs w:val="28"/>
        </w:rPr>
        <w:t>条例》为抓手，制定绿色建筑管理配套政策，建立绿色建筑规划和建设、运行和改造、技术发展和激励措施等全寿命期工作推进机制，压实建设、规划、设计、施工图审查、施工、监理、检测、验收等各方主体及相关部门监管责任，将绿色建筑发展纳入法治轨道。</w:t>
      </w:r>
    </w:p>
    <w:p w14:paraId="26E6A116">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市自然资源局在土地出让或者划拨时，要将建设用地规划条件中明确的绿色建筑等级要求纳入国有建设用地使用权出让合同或者国有土地划拨决定书。出具规划意见时，应在工程规划许可证或附件中注明绿色建筑等级要求，并由市住房和城乡建设局在项目设计和施工验收阶段进行绿色建筑设计施工图审查和绿色建筑验收。各部门应强化建设单位的首要责任，指导督促建设单位在组织编制可行性研究报告或项目申请报告时应明确绿色建筑等级、技术以及节能减排等内容，将绿色建筑的相关费用纳入工程投资概预算，按照建设用地规划条件中明确的绿色建筑等级，进行委托设计、施工和监理，并在合同中载明绿色建筑等级要求。</w:t>
      </w:r>
    </w:p>
    <w:p w14:paraId="463CADB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加强绿色建筑运行管理。强化绿色建筑所有权人或使用权人对绿色建筑的设施设备进行维护保养的主体责任，加强绿色建筑物业管理，保障绿色建筑运行满足要求；推广用能系统的智能管理，加强绿色建筑运行数据收集统计，建立健全建筑能耗统计、能源审计、能耗监测和能效测评制度，按年度开展碳排放核算，为科学、高效监管绿色建筑运行提供依据；对大型公共建筑和国家机关办公建筑、国有资金参与投资建设的其他公共建筑执行公共建筑能耗限额，对能耗水平进行评估和调适。</w:t>
      </w:r>
      <w:bookmarkEnd w:id="181"/>
    </w:p>
    <w:p w14:paraId="0F6393E0">
      <w:pPr>
        <w:widowControl/>
        <w:adjustRightInd w:val="0"/>
        <w:snapToGrid w:val="0"/>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3、不断提升绿色建筑品质</w:t>
      </w:r>
    </w:p>
    <w:p w14:paraId="332463CE">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82" w:name="_Hlk110097952"/>
      <w:r>
        <w:rPr>
          <w:rFonts w:hint="default" w:ascii="Times New Roman" w:hAnsi="Times New Roman" w:eastAsia="宋体" w:cs="Times New Roman"/>
          <w:sz w:val="28"/>
          <w:szCs w:val="28"/>
        </w:rPr>
        <w:t>强化住宅健康性能设计要求，关注全龄化需求、倡导气候适应性、突出岭南特色，注重通风采光、遮阳防潮，提升建筑视觉和心理舒适性，降低住宅用能需求。全面推动星级绿色建筑发展，建设二星级及以上高星级绿色建筑重点示范区，超高层建筑按不低于三星级标准进行建设。</w:t>
      </w:r>
    </w:p>
    <w:p w14:paraId="507D583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落实国家、省绿色建筑标识管理办法，明确组织管理、认定程序、监督管理等内容，配合省住房和城乡建设厅做好绿色建筑二星级、三星级标识推荐工作，做好一星级标识认定和授予工作。以</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广东省绿色建筑信息平台</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为依托，按照省要求落实绿色建筑标识工作管理。对绿色建筑实行动态管理，对不符合绿色建筑等级要求的，予以限期整改或直接撤销</w:t>
      </w:r>
      <w:bookmarkEnd w:id="182"/>
      <w:r>
        <w:rPr>
          <w:rFonts w:hint="default" w:ascii="Times New Roman" w:hAnsi="Times New Roman" w:eastAsia="宋体" w:cs="Times New Roman"/>
          <w:sz w:val="28"/>
          <w:szCs w:val="28"/>
        </w:rPr>
        <w:t>。</w:t>
      </w:r>
    </w:p>
    <w:p w14:paraId="5EAE66FE">
      <w:pPr>
        <w:pStyle w:val="2"/>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4、加快推动农村农房建筑绿色技术应用</w:t>
      </w:r>
    </w:p>
    <w:p w14:paraId="5EDDBBC6">
      <w:pPr>
        <w:widowControl/>
        <w:adjustRightInd w:val="0"/>
        <w:snapToGrid w:val="0"/>
        <w:spacing w:line="360" w:lineRule="auto"/>
        <w:ind w:firstLine="560" w:firstLineChars="200"/>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鼓励农村新建、改建和扩建的居住建筑按节能设计、绿色农房标准等进行设计和建造。鼓励政府投资的农村公共建筑、各类示范村镇农房建设项目率先执行节能及绿色农房标准、导则。结合农村医院、学校等公共建筑和农村危房改造，稳步推进农村建筑节能。鼓励可再生能源在农村建筑中的应用，进一步推广使用太阳能热水系统。</w:t>
      </w:r>
    </w:p>
    <w:p w14:paraId="4CA5D2D9">
      <w:pPr>
        <w:widowControl/>
        <w:adjustRightInd w:val="0"/>
        <w:snapToGrid w:val="0"/>
        <w:spacing w:line="360" w:lineRule="auto"/>
        <w:ind w:firstLine="560" w:firstLineChars="200"/>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促进室外环境整治，加强生活垃圾和污水处理力度，设置集中绿地、公共照明，完善乡村硬化道路。提升农房室内环境，改善室内采光与自然通风，采用遮阳、防潮措施；开展绿色建材下乡行动，促进绿色建材在农房建设的应用，积极采用原生材料，重点推广应用节能门窗、轻型自保温砌块、预制构件等绿色建材产品，支持新农村建设。</w:t>
      </w:r>
    </w:p>
    <w:p w14:paraId="4DB17B6C">
      <w:pPr>
        <w:pStyle w:val="5"/>
        <w:numPr>
          <w:ilvl w:val="255"/>
          <w:numId w:val="0"/>
        </w:numPr>
        <w:rPr>
          <w:rFonts w:hint="default" w:ascii="Times New Roman" w:hAnsi="Times New Roman" w:cs="Times New Roman"/>
        </w:rPr>
      </w:pPr>
      <w:bookmarkStart w:id="183" w:name="_Toc124352549"/>
      <w:r>
        <w:rPr>
          <w:rFonts w:hint="default" w:ascii="Times New Roman" w:hAnsi="Times New Roman" w:cs="Times New Roman"/>
        </w:rPr>
        <w:t>7.2 加快</w:t>
      </w:r>
      <w:r>
        <w:rPr>
          <w:rFonts w:hint="eastAsia" w:ascii="Times New Roman" w:hAnsi="Times New Roman" w:cs="Times New Roman"/>
          <w:lang w:eastAsia="zh-CN"/>
        </w:rPr>
        <w:t>既有民用建筑</w:t>
      </w:r>
      <w:r>
        <w:rPr>
          <w:rFonts w:hint="default" w:ascii="Times New Roman" w:hAnsi="Times New Roman" w:cs="Times New Roman"/>
        </w:rPr>
        <w:t>节能绿色化改造</w:t>
      </w:r>
      <w:bookmarkEnd w:id="183"/>
    </w:p>
    <w:p w14:paraId="5C059766">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绿色化改造是指以资源节约、环境友好、促进使用者身心健康为目标，以性能品直提升为结果的改造活动，改造内容可涉及社区规划与布局、环境质量、资源利用、交通与环卫设施、建筑性能和运营管理等方面。（来源：《既有社区绿色化改造技术标准》JGJ/T 425-2017），因此，对于节能绿色化改造的含义，可以延伸为，在项目改造过程中，采用节能、绿色相关技术，如：</w:t>
      </w:r>
    </w:p>
    <w:p w14:paraId="438482DA">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1、</w:t>
      </w:r>
      <w:r>
        <w:rPr>
          <w:rFonts w:hint="default" w:ascii="Times New Roman" w:hAnsi="Times New Roman" w:eastAsia="宋体" w:cs="Times New Roman"/>
          <w:sz w:val="28"/>
          <w:szCs w:val="28"/>
        </w:rPr>
        <w:t>围护结构（外墙、外窗、屋面）改造：外墙反射涂料、增加保温层，更换保温性能、隔声性能更好的窗，屋面增加保温层，增加反射涂料；</w:t>
      </w:r>
    </w:p>
    <w:p w14:paraId="41060DF0">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2、</w:t>
      </w:r>
      <w:r>
        <w:rPr>
          <w:rFonts w:hint="default" w:ascii="Times New Roman" w:hAnsi="Times New Roman" w:eastAsia="宋体" w:cs="Times New Roman"/>
          <w:sz w:val="28"/>
          <w:szCs w:val="28"/>
        </w:rPr>
        <w:t>空调系统改造：采用先进节能控制技术对中央空调冷却系统进行综合改造，使整个中央空调系统达到高效、节能、科学运行，更换水泵、风机为节能型产品，同对水泵及管路系统加装智能控制设备、水管温度传感器，根据回水温度及送水温度变化情况，动态调节水泵运行频率；</w:t>
      </w:r>
    </w:p>
    <w:p w14:paraId="17271347">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电梯改造：将原有存在节能潜力的电梯进行节能改造，通过安装电梯能量回馈装置来回收电能，并且可间接减省空调和降温设备的耗电量，同时也延长了电梯的使用寿命；</w:t>
      </w:r>
    </w:p>
    <w:p w14:paraId="0CADB6C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4</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照明改造：更换节能灯具，采用分区、分组、自熄灭等节能控制措施；</w:t>
      </w:r>
    </w:p>
    <w:p w14:paraId="03E9AEDB">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5</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节水改造：人工灌溉改为节水灌溉，更换用水效率更高的卫生器具；</w:t>
      </w:r>
    </w:p>
    <w:p w14:paraId="5EB92375">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6</w:t>
      </w:r>
      <w:r>
        <w:rPr>
          <w:rFonts w:hint="default" w:ascii="Times New Roman" w:hAnsi="Times New Roman" w:eastAsia="宋体" w:cs="Times New Roman"/>
          <w:sz w:val="28"/>
          <w:szCs w:val="28"/>
          <w:lang w:val="en-US" w:eastAsia="zh-CN"/>
        </w:rPr>
        <w:t>、</w:t>
      </w:r>
      <w:r>
        <w:rPr>
          <w:rFonts w:hint="default" w:ascii="Times New Roman" w:hAnsi="Times New Roman" w:eastAsia="宋体" w:cs="Times New Roman"/>
          <w:sz w:val="28"/>
          <w:szCs w:val="28"/>
        </w:rPr>
        <w:t>可再生能源利用：安装太阳能光伏系统、光热系统，使用空气源热泵提供集中热水；</w:t>
      </w:r>
    </w:p>
    <w:p w14:paraId="6872EC78">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7</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居住环境微改造：污废分流管道改造，增加绿植，加设遮</w:t>
      </w:r>
      <w:r>
        <w:rPr>
          <w:rFonts w:hint="default" w:ascii="Times New Roman" w:hAnsi="Times New Roman" w:eastAsia="宋体" w:cs="Times New Roman"/>
          <w:sz w:val="28"/>
          <w:szCs w:val="28"/>
          <w:lang w:val="en-US" w:eastAsia="zh-CN"/>
        </w:rPr>
        <w:t>阳</w:t>
      </w:r>
      <w:r>
        <w:rPr>
          <w:rFonts w:hint="default" w:ascii="Times New Roman" w:hAnsi="Times New Roman" w:eastAsia="宋体" w:cs="Times New Roman"/>
          <w:sz w:val="28"/>
          <w:szCs w:val="28"/>
        </w:rPr>
        <w:t>走廊，增加无障碍设施，小区路面防滑改造，楼梯间、地下室防潮防霉改造；</w:t>
      </w:r>
    </w:p>
    <w:p w14:paraId="7FC3F879">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8</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便民改造：增设电动机行车、电动车集中充电设施、加装快递柜、增设养老、托幼等公共服务点。</w:t>
      </w:r>
    </w:p>
    <w:p w14:paraId="495CE5D6">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摸清</w:t>
      </w:r>
      <w:r>
        <w:rPr>
          <w:rFonts w:hint="eastAsia" w:ascii="Times New Roman" w:hAnsi="Times New Roman" w:eastAsia="宋体" w:cs="Times New Roman"/>
          <w:sz w:val="28"/>
          <w:szCs w:val="28"/>
          <w:lang w:eastAsia="zh-CN"/>
        </w:rPr>
        <w:t>既有民用建筑</w:t>
      </w:r>
      <w:r>
        <w:rPr>
          <w:rFonts w:hint="default" w:ascii="Times New Roman" w:hAnsi="Times New Roman" w:eastAsia="宋体" w:cs="Times New Roman"/>
          <w:sz w:val="28"/>
          <w:szCs w:val="28"/>
        </w:rPr>
        <w:t>现状，完善改造路径。</w:t>
      </w:r>
      <w:bookmarkStart w:id="184" w:name="_Hlk110098025"/>
      <w:r>
        <w:rPr>
          <w:rFonts w:hint="default" w:ascii="Times New Roman" w:hAnsi="Times New Roman" w:eastAsia="宋体" w:cs="Times New Roman"/>
          <w:sz w:val="28"/>
          <w:szCs w:val="28"/>
        </w:rPr>
        <w:t>开展全市</w:t>
      </w:r>
      <w:r>
        <w:rPr>
          <w:rFonts w:hint="eastAsia" w:ascii="Times New Roman" w:hAnsi="Times New Roman" w:eastAsia="宋体" w:cs="Times New Roman"/>
          <w:sz w:val="28"/>
          <w:szCs w:val="28"/>
          <w:lang w:eastAsia="zh-CN"/>
        </w:rPr>
        <w:t>既有民用建筑</w:t>
      </w:r>
      <w:r>
        <w:rPr>
          <w:rFonts w:hint="default" w:ascii="Times New Roman" w:hAnsi="Times New Roman" w:eastAsia="宋体" w:cs="Times New Roman"/>
          <w:sz w:val="28"/>
          <w:szCs w:val="28"/>
        </w:rPr>
        <w:t>现状调研，统计</w:t>
      </w:r>
      <w:r>
        <w:rPr>
          <w:rFonts w:hint="eastAsia" w:ascii="Times New Roman" w:hAnsi="Times New Roman" w:eastAsia="宋体" w:cs="Times New Roman"/>
          <w:sz w:val="28"/>
          <w:szCs w:val="28"/>
          <w:lang w:eastAsia="zh-CN"/>
        </w:rPr>
        <w:t>既有民用建筑</w:t>
      </w:r>
      <w:r>
        <w:rPr>
          <w:rFonts w:hint="default" w:ascii="Times New Roman" w:hAnsi="Times New Roman" w:eastAsia="宋体" w:cs="Times New Roman"/>
          <w:sz w:val="28"/>
          <w:szCs w:val="28"/>
        </w:rPr>
        <w:t>类型及面积比例、建筑质量状况、建筑能耗水平、建筑使用特点及存在问题，确定各类建筑的节能潜力和改造重点。综合考虑各类建筑节能潜力大小、节能改造实施难易程度、项目示范作用来选取</w:t>
      </w:r>
      <w:r>
        <w:rPr>
          <w:rFonts w:hint="eastAsia" w:ascii="Times New Roman" w:hAnsi="Times New Roman" w:eastAsia="宋体" w:cs="Times New Roman"/>
          <w:sz w:val="28"/>
          <w:szCs w:val="28"/>
          <w:lang w:eastAsia="zh-CN"/>
        </w:rPr>
        <w:t>节能绿色化改造</w:t>
      </w:r>
      <w:r>
        <w:rPr>
          <w:rFonts w:hint="default" w:ascii="Times New Roman" w:hAnsi="Times New Roman" w:eastAsia="宋体" w:cs="Times New Roman"/>
          <w:sz w:val="28"/>
          <w:szCs w:val="28"/>
        </w:rPr>
        <w:t>对象。</w:t>
      </w:r>
      <w:bookmarkEnd w:id="184"/>
    </w:p>
    <w:p w14:paraId="46F483AB">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85" w:name="_Hlk110098045"/>
      <w:r>
        <w:rPr>
          <w:rFonts w:hint="default" w:ascii="Times New Roman" w:hAnsi="Times New Roman" w:eastAsia="宋体" w:cs="Times New Roman"/>
          <w:sz w:val="28"/>
          <w:szCs w:val="28"/>
        </w:rPr>
        <w:t>完善能耗监管。加快建筑能耗监测平台建设。实行能耗定额管理。建立既有绿色改造流动清单和进度计划。</w:t>
      </w:r>
    </w:p>
    <w:bookmarkEnd w:id="185"/>
    <w:p w14:paraId="0979E04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开展公共建筑</w:t>
      </w:r>
      <w:r>
        <w:rPr>
          <w:rFonts w:hint="eastAsia" w:ascii="Times New Roman" w:hAnsi="Times New Roman" w:eastAsia="宋体" w:cs="Times New Roman"/>
          <w:sz w:val="28"/>
          <w:szCs w:val="28"/>
          <w:lang w:eastAsia="zh-CN"/>
        </w:rPr>
        <w:t>节能绿色化改造</w:t>
      </w:r>
      <w:r>
        <w:rPr>
          <w:rFonts w:hint="default" w:ascii="Times New Roman" w:hAnsi="Times New Roman" w:eastAsia="宋体" w:cs="Times New Roman"/>
          <w:sz w:val="28"/>
          <w:szCs w:val="28"/>
        </w:rPr>
        <w:t>示范。</w:t>
      </w:r>
      <w:bookmarkStart w:id="186" w:name="_Hlk110098069"/>
      <w:r>
        <w:rPr>
          <w:rFonts w:hint="default" w:ascii="Times New Roman" w:hAnsi="Times New Roman" w:eastAsia="宋体" w:cs="Times New Roman"/>
          <w:sz w:val="28"/>
          <w:szCs w:val="28"/>
        </w:rPr>
        <w:t>支持有条件地区开展学校、医院节能改造试点，建设一批</w:t>
      </w:r>
      <w:r>
        <w:rPr>
          <w:rFonts w:hint="eastAsia" w:ascii="Times New Roman" w:hAnsi="Times New Roman" w:eastAsia="宋体" w:cs="Times New Roman"/>
          <w:sz w:val="28"/>
          <w:szCs w:val="28"/>
          <w:lang w:eastAsia="zh-CN"/>
        </w:rPr>
        <w:t>既有民用建筑</w:t>
      </w:r>
      <w:r>
        <w:rPr>
          <w:rFonts w:hint="default" w:ascii="Times New Roman" w:hAnsi="Times New Roman" w:eastAsia="宋体" w:cs="Times New Roman"/>
          <w:sz w:val="28"/>
          <w:szCs w:val="28"/>
        </w:rPr>
        <w:t>节能改造示范项目，包括：政府行政办公建筑，结合公共机构节能工作，推进节能改造示范；大型商业建筑的空调、照明系统节能改造与外墙节能改造；学校、工业厂房中的学生宿舍、医院、保健院、卫生中心及服务站等有稳定热水需求的</w:t>
      </w:r>
      <w:r>
        <w:rPr>
          <w:rFonts w:hint="eastAsia" w:ascii="Times New Roman" w:hAnsi="Times New Roman" w:eastAsia="宋体" w:cs="Times New Roman"/>
          <w:sz w:val="28"/>
          <w:szCs w:val="28"/>
          <w:lang w:eastAsia="zh-CN"/>
        </w:rPr>
        <w:t>既有民用建筑</w:t>
      </w:r>
      <w:r>
        <w:rPr>
          <w:rFonts w:hint="default" w:ascii="Times New Roman" w:hAnsi="Times New Roman" w:eastAsia="宋体" w:cs="Times New Roman"/>
          <w:sz w:val="28"/>
          <w:szCs w:val="28"/>
        </w:rPr>
        <w:t>中考虑安装太阳能热水；文化建筑应从提升能效，改善室内物理环境方面开展改造；福利院、敬老院等建筑应提升建筑人性化设计等。</w:t>
      </w:r>
      <w:bookmarkEnd w:id="186"/>
    </w:p>
    <w:p w14:paraId="44A32059">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87" w:name="_Hlk110098091"/>
      <w:r>
        <w:rPr>
          <w:rFonts w:hint="default" w:ascii="Times New Roman" w:hAnsi="Times New Roman" w:eastAsia="宋体" w:cs="Times New Roman"/>
          <w:sz w:val="28"/>
          <w:szCs w:val="28"/>
        </w:rPr>
        <w:t>结合《中山市城市更新（</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三旧</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改造）专项规划（2020-2035）》</w:t>
      </w:r>
      <w:r>
        <w:rPr>
          <w:rFonts w:hint="eastAsia" w:ascii="Times New Roman" w:hAnsi="Times New Roman" w:eastAsia="宋体" w:cs="Times New Roman"/>
          <w:sz w:val="28"/>
          <w:szCs w:val="28"/>
          <w:lang w:eastAsia="zh-CN"/>
        </w:rPr>
        <w:t>“三旧”改造</w:t>
      </w:r>
      <w:r>
        <w:rPr>
          <w:rFonts w:hint="default" w:ascii="Times New Roman" w:hAnsi="Times New Roman" w:eastAsia="宋体" w:cs="Times New Roman"/>
          <w:sz w:val="28"/>
          <w:szCs w:val="28"/>
        </w:rPr>
        <w:t>项目、城市更新重点区域，以及《中山市老旧小区2021-2025年改造规划》明确的老旧小区改造推进</w:t>
      </w:r>
      <w:r>
        <w:rPr>
          <w:rFonts w:hint="eastAsia" w:ascii="Times New Roman" w:hAnsi="Times New Roman" w:eastAsia="宋体" w:cs="Times New Roman"/>
          <w:sz w:val="28"/>
          <w:szCs w:val="28"/>
          <w:lang w:eastAsia="zh-CN"/>
        </w:rPr>
        <w:t>既有</w:t>
      </w:r>
      <w:r>
        <w:rPr>
          <w:rFonts w:hint="eastAsia" w:ascii="Times New Roman" w:hAnsi="Times New Roman" w:eastAsia="宋体" w:cs="Times New Roman"/>
          <w:sz w:val="28"/>
          <w:szCs w:val="28"/>
          <w:lang w:val="en-US" w:eastAsia="zh-CN"/>
        </w:rPr>
        <w:t>居住</w:t>
      </w:r>
      <w:r>
        <w:rPr>
          <w:rFonts w:hint="eastAsia" w:ascii="Times New Roman" w:hAnsi="Times New Roman" w:eastAsia="宋体" w:cs="Times New Roman"/>
          <w:sz w:val="28"/>
          <w:szCs w:val="28"/>
          <w:lang w:eastAsia="zh-CN"/>
        </w:rPr>
        <w:t>建筑</w:t>
      </w:r>
      <w:r>
        <w:rPr>
          <w:rFonts w:hint="default" w:ascii="Times New Roman" w:hAnsi="Times New Roman" w:eastAsia="宋体" w:cs="Times New Roman"/>
          <w:sz w:val="28"/>
          <w:szCs w:val="28"/>
        </w:rPr>
        <w:t>的</w:t>
      </w:r>
      <w:r>
        <w:rPr>
          <w:rFonts w:hint="eastAsia" w:ascii="Times New Roman" w:hAnsi="Times New Roman" w:eastAsia="宋体" w:cs="Times New Roman"/>
          <w:sz w:val="28"/>
          <w:szCs w:val="28"/>
          <w:lang w:eastAsia="zh-CN"/>
        </w:rPr>
        <w:t>节能绿色化改造</w:t>
      </w:r>
      <w:r>
        <w:rPr>
          <w:rFonts w:hint="default" w:ascii="Times New Roman" w:hAnsi="Times New Roman" w:eastAsia="宋体" w:cs="Times New Roman"/>
          <w:sz w:val="28"/>
          <w:szCs w:val="28"/>
        </w:rPr>
        <w:t>。以市级重点城市更新片区为</w:t>
      </w:r>
      <w:r>
        <w:rPr>
          <w:rFonts w:hint="eastAsia" w:ascii="Times New Roman" w:hAnsi="Times New Roman" w:eastAsia="宋体" w:cs="Times New Roman"/>
          <w:sz w:val="28"/>
          <w:szCs w:val="28"/>
          <w:lang w:val="en-US" w:eastAsia="zh-CN"/>
        </w:rPr>
        <w:t>支撑</w:t>
      </w:r>
      <w:r>
        <w:rPr>
          <w:rFonts w:hint="default" w:ascii="Times New Roman" w:hAnsi="Times New Roman" w:eastAsia="宋体" w:cs="Times New Roman"/>
          <w:sz w:val="28"/>
          <w:szCs w:val="28"/>
        </w:rPr>
        <w:t>，优先纳入年度实施计划重点执行；镇级重点城市更新片区内的城市更新单元按申报批次有序纳入年度计划。对于用地性质改变的改造，其绿色建筑要求与新建建筑一致；对于沿街沿江城市风貌改造，结合立面改造进行宜居环境提升。</w:t>
      </w:r>
    </w:p>
    <w:p w14:paraId="29DB3D8E">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在各区老旧小区改造中打造绿色化改造示范区，开展老旧小区</w:t>
      </w:r>
      <w:r>
        <w:rPr>
          <w:rFonts w:hint="eastAsia" w:ascii="Times New Roman" w:hAnsi="Times New Roman" w:eastAsia="宋体" w:cs="Times New Roman"/>
          <w:sz w:val="28"/>
          <w:szCs w:val="28"/>
          <w:lang w:val="en-US" w:eastAsia="zh-CN"/>
        </w:rPr>
        <w:t>节能</w:t>
      </w:r>
      <w:r>
        <w:rPr>
          <w:rFonts w:hint="default" w:ascii="Times New Roman" w:hAnsi="Times New Roman" w:eastAsia="宋体" w:cs="Times New Roman"/>
          <w:sz w:val="28"/>
          <w:szCs w:val="28"/>
        </w:rPr>
        <w:t>绿色化改造，提高居住建筑改造中建筑使用者的满意度。技术改造可选择以下内容：旧建筑的性能检测和抗震、立体绿化、加装太阳能屋顶、建筑绿化与雨水系统完善、住宅加装电梯、建立小区立体停车库、小区垃圾分类和LED照明改造、海绵社区整体设计改造、加装遮阳窗、厨房油烟集中过滤、老旧楼宇空旷场地的综合利用、基于节能减排的绿色物业管理和智慧社区等。</w:t>
      </w:r>
      <w:bookmarkEnd w:id="187"/>
    </w:p>
    <w:p w14:paraId="5C3A59E7">
      <w:pPr>
        <w:widowControl/>
        <w:adjustRightInd w:val="0"/>
        <w:snapToGrid w:val="0"/>
        <w:spacing w:line="360" w:lineRule="auto"/>
        <w:ind w:firstLine="560" w:firstLineChars="200"/>
        <w:rPr>
          <w:rFonts w:hint="default" w:ascii="Times New Roman" w:hAnsi="Times New Roman" w:cs="Times New Roman"/>
        </w:rPr>
      </w:pPr>
      <w:r>
        <w:rPr>
          <w:rFonts w:hint="default" w:ascii="Times New Roman" w:hAnsi="Times New Roman" w:eastAsia="宋体" w:cs="Times New Roman"/>
          <w:sz w:val="28"/>
          <w:szCs w:val="28"/>
        </w:rPr>
        <w:t>结合</w:t>
      </w:r>
      <w:r>
        <w:rPr>
          <w:rFonts w:hint="eastAsia" w:ascii="Times New Roman" w:hAnsi="Times New Roman" w:eastAsia="宋体" w:cs="Times New Roman"/>
          <w:sz w:val="28"/>
          <w:szCs w:val="28"/>
          <w:lang w:eastAsia="zh-CN"/>
        </w:rPr>
        <w:t>中山市人民政府“</w:t>
      </w:r>
      <w:r>
        <w:rPr>
          <w:rFonts w:hint="default" w:ascii="Times New Roman" w:hAnsi="Times New Roman" w:eastAsia="宋体" w:cs="Times New Roman"/>
          <w:sz w:val="28"/>
          <w:szCs w:val="28"/>
        </w:rPr>
        <w:t>工改</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项目进度，在</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工改</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项目中积极实施绿色低碳技术。鼓励工业建筑绿色化发展。研究出台工业建筑绿色发展相关政策文件，创新体制机制和工作模式，制定工业建筑绿色发展的相关规范要求，通过相关激励政策引导工业建筑绿色发展；开展绿色工业建筑试点示范，不断提升城市绿色化水平。鼓励新建工业建筑在设计阶段融入绿色建筑设计理念，兼顾工业建筑建设和环境保护，采用节约能源和资源的绿色技术，引进合同能源管理、碳交易等市场化服务机制，充分利用现代信息技术提高运营水平。引导既有工业建筑结合生产线改造升级、城市更新</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工改工</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等工作契机，探索开展工业建筑绿色化改造，注重提升资源能源节约水平，采取相关技术措施减轻对周边环境的影响，营造健康安全的室内工作环境。研究探索废旧工业厂房建筑空间改造适宜技术，合理进行建筑体型设计和节能改造，实现工业建筑节能降碳，推动老旧厂房在城市发展中焕发新的活力。</w:t>
      </w:r>
    </w:p>
    <w:p w14:paraId="7677AD81">
      <w:pPr>
        <w:pStyle w:val="5"/>
        <w:numPr>
          <w:ilvl w:val="255"/>
          <w:numId w:val="0"/>
        </w:numPr>
        <w:rPr>
          <w:rFonts w:hint="default" w:ascii="Times New Roman" w:hAnsi="Times New Roman" w:cs="Times New Roman"/>
        </w:rPr>
      </w:pPr>
      <w:bookmarkStart w:id="188" w:name="_Toc124352550"/>
      <w:r>
        <w:rPr>
          <w:rFonts w:hint="default" w:ascii="Times New Roman" w:hAnsi="Times New Roman" w:cs="Times New Roman"/>
        </w:rPr>
        <w:t>7.3建立绿色低碳技术体系</w:t>
      </w:r>
      <w:bookmarkEnd w:id="188"/>
    </w:p>
    <w:p w14:paraId="635DF23F">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1、大力发展节能低碳建筑</w:t>
      </w:r>
    </w:p>
    <w:p w14:paraId="5FEE01D6">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89" w:name="_Hlk110098117"/>
      <w:r>
        <w:rPr>
          <w:rFonts w:hint="default" w:ascii="Times New Roman" w:hAnsi="Times New Roman" w:eastAsia="宋体" w:cs="Times New Roman"/>
          <w:sz w:val="28"/>
          <w:szCs w:val="28"/>
          <w:lang w:val="en-US" w:eastAsia="zh-CN"/>
        </w:rPr>
        <w:t>按</w:t>
      </w:r>
      <w:r>
        <w:rPr>
          <w:rFonts w:hint="default" w:ascii="Times New Roman" w:hAnsi="Times New Roman" w:eastAsia="宋体" w:cs="Times New Roman"/>
          <w:sz w:val="28"/>
          <w:szCs w:val="28"/>
        </w:rPr>
        <w:t>照国家及省</w:t>
      </w:r>
      <w:r>
        <w:rPr>
          <w:rFonts w:hint="eastAsia" w:ascii="Times New Roman" w:hAnsi="Times New Roman" w:eastAsia="宋体" w:cs="Times New Roman"/>
          <w:sz w:val="28"/>
          <w:szCs w:val="28"/>
          <w:lang w:val="en-US" w:eastAsia="zh-CN"/>
        </w:rPr>
        <w:t>市</w:t>
      </w:r>
      <w:r>
        <w:rPr>
          <w:rFonts w:hint="default" w:ascii="Times New Roman" w:hAnsi="Times New Roman" w:eastAsia="宋体" w:cs="Times New Roman"/>
          <w:sz w:val="28"/>
          <w:szCs w:val="28"/>
        </w:rPr>
        <w:t>双碳工作要求，提升新建建筑节能水平。以《建筑节能与可再生能源利用通用规范》</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lang w:val="en-US" w:eastAsia="zh-CN"/>
        </w:rPr>
        <w:t>GB55015</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确定的节能指标为基线，提高建筑门窗等关键部品节能性能要求，研究实施高于广东省现行标准要求的建筑节能标准。加快发展超低能耗、近零能耗建筑，进一步提升绿色建筑室内空气、水质、隔声等方面的健康性能。探索岭南特色超低能耗建筑建设，力争建成1栋岭南特色超低能耗建筑项目。</w:t>
      </w:r>
    </w:p>
    <w:bookmarkEnd w:id="189"/>
    <w:p w14:paraId="16E35377">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2、应用绿色建材和可再生能源</w:t>
      </w:r>
    </w:p>
    <w:p w14:paraId="7A57296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按《广东省绿色建材产品认证及推广应用实施方案》推进绿色建材产品认证，推进绿色建材产品应用。探索绿色建材推广应用模式，建立绿色建材试点项目应用全过程监督管理体制机制，打造绿色建材应用试点示范项目，加强示范引领，逐步建立绿色建材发展长效机制，推动本地绿色建材企业绿色化发展。加强可再生能源建筑应用。新建建筑应安装太阳能系统，中低层住宅、酒店、学校建筑应用太阳能光热系统，大型公共建筑、工业厂房建筑应用太阳能光伏发电技术。鼓励有条件、屋顶面积适宜的大型公共建筑、工业厂房建筑应用太阳能光伏发电技术，进一步加大太阳能光热系统在中低层住宅、酒店、学校建筑中的应用。开展各类可再生能源建筑应用技术研究与后评估，结合本地实际，制定可再生能源规模化应用研究与技术指南。探索在高性能绿色建筑、超低能耗建筑等各类示范项目中，将可再生能源建筑应用比例作为约束性指标，进一步促进可再生能源在建筑中的应用。</w:t>
      </w:r>
    </w:p>
    <w:p w14:paraId="27136A52">
      <w:pPr>
        <w:pStyle w:val="5"/>
        <w:numPr>
          <w:ilvl w:val="255"/>
          <w:numId w:val="0"/>
        </w:numPr>
        <w:rPr>
          <w:rFonts w:hint="default" w:ascii="Times New Roman" w:hAnsi="Times New Roman" w:cs="Times New Roman"/>
        </w:rPr>
      </w:pPr>
      <w:bookmarkStart w:id="190" w:name="_Toc124352551"/>
      <w:r>
        <w:rPr>
          <w:rFonts w:hint="default" w:ascii="Times New Roman" w:hAnsi="Times New Roman" w:cs="Times New Roman"/>
        </w:rPr>
        <w:t>7.4 推动绿色产业发展</w:t>
      </w:r>
      <w:bookmarkEnd w:id="190"/>
    </w:p>
    <w:p w14:paraId="3815B2F9">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1、大力推动光伏建筑一体化</w:t>
      </w:r>
    </w:p>
    <w:p w14:paraId="4E425049">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光伏建筑一体化产品集成到建筑上的技术，简单地讲就是将太阳能光伏发电方阵安装在建筑的围护结构外表面来提供电力。光伏建筑一体化可分为两大类：一类是光伏方阵与建筑的结合。另一类是光伏方阵与建筑的集成。如光电瓦屋顶、光电幕墙和光电采光顶等。在这两种方式中，光伏方阵与建筑的结合是一种常用的形式，特别是与建筑屋面的结合。光伏建筑一体化具有绿色节能、减少碳排放，提升建筑美学、替代部分建筑材料、降低建筑物造价、提高用电效率、节约土地资源、减少大气和固废污染，保护生态环境等巨大优势。光伏建筑一体化有利于削减电力尖峰负荷，有利于节约优化配电网投资，有利于引导居民绿色能源消费。</w:t>
      </w:r>
    </w:p>
    <w:p w14:paraId="7DBC008F">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推动光伏建筑一体化规模应用。充分利用工业园区、企业厂房、物流仓储基地、公共建筑、交通设施和居民住宅等建筑物屋顶、外立面或其他适宜场地，积极开展光伏项目建设，大力推广建筑光伏一体化（BIPV），重点推动工业园区规模化布局光伏项目，引导大型企业集团积极开展光伏项目建设，支持国有企业规模化建设光伏项目。各镇街要强化光伏项目建设主体责任意识，支持以镇街为建设单元整体推进，做好光伏项目全链条、全生命周期建设运营工作。鼓励各镇街出台针对性扶持政策，建立光伏发电应用协调工作机制，引导建筑业主单位（含使用单位）建设光伏项目，择优选取专业化企业开展项目的建设运营，有序推进项目建设。</w:t>
      </w:r>
    </w:p>
    <w:p w14:paraId="7036FCF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完善光伏项目建设管理工作。加强建筑安装光伏发电设施的安全性评价和管理工作，市发展和改革局负责制定光伏项目管理操作办法，建立简便高效规范的项目申报流程，明确项目备案、建设、验收、运维等工作要求。项目主体应在建设前向所在镇街的发改部门申请项目备案</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各镇街政府要主动协调项目备案、建设管理等工作。项目建成后，项目主体应根据国家相关规定和技术标准组织项目验收工作。</w:t>
      </w:r>
    </w:p>
    <w:p w14:paraId="3720EE0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培育光伏产业和骨干企业。支持企业和科研机构持续提升光伏材料、组件及配套设备等技术水平，强化光伏装备、电池片及组件、系统集成、电站建设运维产业链条。做大做优光伏逆变器、太阳能电池制造装备等优势领域，着力推动光伏逆变器向高功率密度化、电网友好化和高度智能化方向发展，积极开发新一代晶硅太阳能电池制造设备。加强政策引导与支持，建立光伏产业骨干企业培育机制，重点支持技术水平高、市场竞争力强的光伏设备制造企业和光伏能源建设运营管理企业快速发展，努力形成一批光伏制造、运维龙头企业。</w:t>
      </w:r>
    </w:p>
    <w:p w14:paraId="75BCC910">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2、积极推进装配式建筑发展</w:t>
      </w:r>
    </w:p>
    <w:p w14:paraId="3CEEC497">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91" w:name="_Hlk110098144"/>
      <w:r>
        <w:rPr>
          <w:rFonts w:hint="default" w:ascii="Times New Roman" w:hAnsi="Times New Roman" w:eastAsia="宋体" w:cs="Times New Roman"/>
          <w:sz w:val="28"/>
          <w:szCs w:val="28"/>
        </w:rPr>
        <w:t>装配式建筑是指把传统建造方式中的大量现场作业工作转移到工厂进行，在工厂加工制作好建筑用构件和配件（如楼板、墙板、楼梯、阳台等），运输到建筑施工现场，通过可靠的连接方式在现场装配安装而成的建筑。装配式建筑主要包括预制装配式混凝土结构、钢结构、现代木结构建筑等，因为采用标准化设计、工厂化生产、装配化施工、信息化管理、智能化应用，是现代工业化生产方式的代表。为贯彻落实《广东省人民政府办公厅关于大力发展装配式建筑的实施意见》</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粤府办〔2017〕28号</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中山市人民政府办公室关于加快发展装配式建筑的实施意见》（中府办〔2018〕47号）和《中山市装配式建筑（2021-2025年）发展规划》等政策文件要求，中山市应大力发展以装配式建筑为代表的新型建筑工业化。</w:t>
      </w:r>
    </w:p>
    <w:p w14:paraId="7ED4F38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落实法规政策制度，推广技术标准。健全法规政策。以我市装配式建筑发展需求为基础，出台市政府层面的土地政策、金融政策等装配式建筑促进政策，落实相关税收优惠政策，明确政策导向，为全市装配式建筑发展提供政策支持。优化管理制度。完善装配式建筑工程项目管理，优化装配式建筑工程项目在立项申请、规划设计、技术认定、施工图审查、工程监理、监督检测、工程造价、工程验收等阶段的管理流程。推广技术标准。引导企业技术创新，促进关键技术和成套技术研究成果转化为标准规范，提高装配式建筑覆盖设计、生产、施工、检测、验收和运营维护等全过程标准化。</w:t>
      </w:r>
    </w:p>
    <w:p w14:paraId="0B93C95E">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科学统筹规划布局，培育产业发展。科学统筹用地规划。以土地环节为重要抓手，将装配式建筑相关要求备注在各地块的土地规划要点中，并落实到土地出让合同。自然资源部门可根据全市装配式建筑发展规划和年度建设计划，优先办理有关装配式建筑用地手续，重点保障部品部件生产基地的建设用地。合理布局产业发展。充分利用周边地区部品部件、绿色建材、环保设备等方面的产业配套资源，综合考虑地域空间、产能需求、产业基础等要素，按照</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合理布局、突出特色</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的原则，科学测算和规划装配式建筑生产基地及产能，构建装配式产业配套生产基地，推动装配式建筑产业的发展及市场应用。培育推广技术服务。充分利用现有装配式建筑服务企业，搭建技术交流平台，构建装配式建筑技术服务体系。鼓励技术经验丰富的装配式建筑企业开拓技术咨询服务业务，推广成熟可靠的装配式建筑技术。积极引进先进装配式建筑技术咨询服务企业，充分发挥专家技术服务与咨询指导作用，提升我市装配式建筑技术水平。</w:t>
      </w:r>
    </w:p>
    <w:p w14:paraId="3A581C8E">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优化建设管理模式，提升施工水平。推广适宜建设方式。在居住建筑、工业建筑和大型公共建筑建造中积极推广装配式混凝土建筑和装配式钢结构建筑；在风景名胜区及园林景观、仿古建筑等领域，倡导发展现代装配式木结构建筑；在农房建造中积极推广轻钢结构建筑；在临时建筑、管道管廊等建造中积极推广采用可装配、可重复使用的部品部件。推行工程总承包模式。装配式建筑原则上应采用工程总承包模式，可按照技术复杂类工程项目投投标，工程总承包企业要对工程质量、安全、进度、造价负总责。要健全与装配式建筑总承包相适应的发包承包、施工许可、分包管理、工程造价、质量安全监管、竣工验收等制度，实现工程设计、部品部件生产、施工与采购的统一管理和深度融合，优化项目管理方式。支持大型设计、施工和部品部件生产企业通过调整组织架构、健全管理体系，向具有工程管理、设计、施工、生产、采购能力的工程总承包企业转型。提升装配化施工水平。规模化发展绿色建筑，全面推广绿色建造，引导企业研发应用与装配式施工相适应的技术、设备和机具，应用结构工程与分部分项工程协同施工新模式，提高部品部件的装配式施工连接质量和建筑安全性能。鼓励企业创新施工组织方式，提高现场施工和组织管理的能力和水平，广泛采用高效率、低损耗、可回收的模板体系和降尘、降噪的施工方法，严控建筑垃圾产生。</w:t>
      </w:r>
    </w:p>
    <w:p w14:paraId="184DBFF9">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3、加强推广绿色建材应用</w:t>
      </w:r>
    </w:p>
    <w:p w14:paraId="4B072BD7">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绿色建材指在全生命期内减少对自然资源消耗和生态环境影响，具有</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节能、减排、安全、便利和可循环</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特征的建材产品。推广应用绿色建材，是推动城乡建设发展绿色低碳转型，促进绿色生产生活方式形成的重要举措。推动绿色建材发展，应坚持政府引导、市场主导，坚持创新驱动、系统观念，加大绿色建材推广应用力度，提高绿色建材应用比例，更好满足人民群众对绿色、宜居、健康、舒适生活环境的需要，推动住房城乡建设绿色低碳高质量发展</w:t>
      </w:r>
    </w:p>
    <w:p w14:paraId="60683823">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加大工程应用力度。建议政府投资工程率先采用绿色建材，其中，政府投资或政府投资为主的城镇新建民用建筑建议全面推广采用绿色建材，星级绿色建筑项目绿色建材应用比例不低于30%。鼓励社会投资工程建设项目采用绿色建材，引导新建、改建农村住房采用绿色建材。大力发展绿色建筑和装配式建筑。</w:t>
      </w:r>
    </w:p>
    <w:p w14:paraId="6446276F">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推广适宜技术产品。分批次编制发布中山市建设领域推广应用和限制、禁止使用技术产品目录，重点推广高强钢筋、高性能混凝土、高性能砌体材料、结构保温一体化墙板、节能系统门窗、可再生能源利用、装配式建筑部品部件、装配化装修、建筑垃圾循环再生等绿色建材，积极推广自然采光、通风、雨水收集、中水利用、节能、节水、隔声、减隔震等适宜配套技术产品。鼓励优先选用获得认证标识的绿色建材产品，严禁使用国家、省市明令淘汰的建材和产品。</w:t>
      </w:r>
    </w:p>
    <w:p w14:paraId="57937A96">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完善技术标准体系。按照国家和广东省的要求，建议组织编制中山市绿色建材工程应用相关技术标准和导则，明确绿色建材应用比例计算办法及不同类型建筑项目绿色建材应用比例要求。细化星级绿色建筑评价中绿色建材应用评分要求，将绿色建材应用情况纳入装配式建筑、健康住宅等评价标准内容。加强绿色建材生产标准与工程建设设计规范及相关工程应用标准的衔接配套，鼓励指导绿色建材生产企业主编参编国家、行业、地方和团体工程应用技术标准。尽快形成满足工程设计、施工、验收需求的绿色建材应用技术标准体系。</w:t>
      </w:r>
    </w:p>
    <w:p w14:paraId="353DDBDD">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强化科技创新驱动。支持企业发挥创新主体作用，联合领域内高校、科研院所、金融机构等，组建绿色建材推广应用创新创业联合体或技术创新中心，协同开展绿色建材产品技术研究，推进绿色建材创新技术成果转化。将绿色建材技术产品研究作为城乡建设科技计划重点方向，支持开展高性能混凝土和预拌砂浆、高强钢筋、装配式建筑部品部件、装配化装修、节能门窗、高效节能保温材料、结构保温一体化墙板、建筑垃圾再生建材等工程应用技术攻关。组建绿色建材推广应用专业委员会，为开展绿色建材产品推广应用提供决策咨询和技术服务。</w:t>
      </w:r>
    </w:p>
    <w:p w14:paraId="5F8E339A">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推进绿色建材认证。会同有关部门，积极推进绿色建材产品认证工作，支持具备建筑节能、绿色建筑、装配式建筑等有关技术产品应用推广能力和经验的机构，申请绿色建材产品认证资质；加大国家绿色建材产品认证目录和绿色建材产品认证实施规则解读</w:t>
      </w:r>
      <w:r>
        <w:rPr>
          <w:rFonts w:hint="default" w:ascii="Times New Roman" w:hAnsi="Times New Roman" w:eastAsia="宋体" w:cs="Times New Roman"/>
          <w:sz w:val="28"/>
          <w:szCs w:val="28"/>
          <w:lang w:eastAsia="zh-CN"/>
        </w:rPr>
        <w:t>的</w:t>
      </w:r>
      <w:r>
        <w:rPr>
          <w:rFonts w:hint="default" w:ascii="Times New Roman" w:hAnsi="Times New Roman" w:eastAsia="宋体" w:cs="Times New Roman"/>
          <w:sz w:val="28"/>
          <w:szCs w:val="28"/>
        </w:rPr>
        <w:t>宣传力度，引导绿色建材生产企业向具备资质的认证机构申请绿色建材产品认证。</w:t>
      </w:r>
    </w:p>
    <w:p w14:paraId="1805384E">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2DB1D5B9">
      <w:pPr>
        <w:widowControl/>
        <w:adjustRightInd w:val="0"/>
        <w:snapToGrid w:val="0"/>
        <w:spacing w:line="360" w:lineRule="auto"/>
        <w:ind w:firstLine="420" w:firstLineChars="200"/>
        <w:rPr>
          <w:rFonts w:hint="default" w:ascii="Times New Roman" w:hAnsi="Times New Roman" w:cs="Times New Roman"/>
        </w:rPr>
      </w:pPr>
    </w:p>
    <w:bookmarkEnd w:id="191"/>
    <w:p w14:paraId="562F23B0">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br w:type="page"/>
      </w:r>
    </w:p>
    <w:p w14:paraId="766AD031">
      <w:pPr>
        <w:pStyle w:val="4"/>
        <w:rPr>
          <w:rFonts w:hint="default" w:ascii="Times New Roman" w:hAnsi="Times New Roman" w:cs="Times New Roman"/>
        </w:rPr>
      </w:pPr>
      <w:bookmarkStart w:id="192" w:name="_Toc124352552"/>
      <w:r>
        <w:rPr>
          <w:rFonts w:hint="default" w:ascii="Times New Roman" w:hAnsi="Times New Roman" w:cs="Times New Roman"/>
        </w:rPr>
        <w:t>八、保障措施</w:t>
      </w:r>
      <w:bookmarkEnd w:id="192"/>
    </w:p>
    <w:p w14:paraId="7F312EF5">
      <w:pPr>
        <w:pStyle w:val="5"/>
        <w:numPr>
          <w:ilvl w:val="255"/>
          <w:numId w:val="0"/>
        </w:numPr>
        <w:rPr>
          <w:rFonts w:hint="default" w:ascii="Times New Roman" w:hAnsi="Times New Roman" w:cs="Times New Roman"/>
        </w:rPr>
      </w:pPr>
      <w:bookmarkStart w:id="193" w:name="_Toc124352553"/>
      <w:r>
        <w:rPr>
          <w:rFonts w:hint="default" w:ascii="Times New Roman" w:hAnsi="Times New Roman" w:cs="Times New Roman"/>
        </w:rPr>
        <w:t>8.1国内外经验分析</w:t>
      </w:r>
      <w:bookmarkEnd w:id="193"/>
    </w:p>
    <w:p w14:paraId="29C804CC">
      <w:pPr>
        <w:pStyle w:val="6"/>
        <w:numPr>
          <w:ilvl w:val="255"/>
          <w:numId w:val="0"/>
        </w:numPr>
        <w:ind w:firstLine="561"/>
        <w:rPr>
          <w:rFonts w:hint="default" w:ascii="Times New Roman" w:hAnsi="Times New Roman" w:cs="Times New Roman"/>
        </w:rPr>
      </w:pPr>
      <w:bookmarkStart w:id="194" w:name="_Toc124352554"/>
      <w:r>
        <w:rPr>
          <w:rFonts w:hint="default" w:ascii="Times New Roman" w:hAnsi="Times New Roman" w:cs="Times New Roman"/>
        </w:rPr>
        <w:t>8.1.1国外绿色建筑发展机制</w:t>
      </w:r>
      <w:bookmarkEnd w:id="194"/>
    </w:p>
    <w:p w14:paraId="14F970D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美国通过完善能源管理体制，加强法律约束，配套经济激励措施等方式推进绿色建筑发展。具体包括：节能建材认证方面，规定相关建材的质量标准和健康标准，定量规定建材的散发物和内含物；经济激励方面，包括现金补贴、税收减免和低息贷款；立法方面，采用强制性的能源政策法案、评价标准结合自愿性的如LEED认证、能源之星认证等，政府、市场、第三方机构共同推进。</w:t>
      </w:r>
    </w:p>
    <w:p w14:paraId="2647FFE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德国以单行法规范建筑节能的相关行为，构建完善的法治框架，推行认证标识，并配套相关政策。具体包括：建筑节能标准，考察温室气体的排放量指标、建筑外围护结构各部位的热工指标和建筑材料的生产耗能；建筑能耗标识，要求建筑开发商列明建筑能耗及建材生产过程中耗能量并出具</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建筑能耗证书</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；既有建筑改造，设立专项基金鼓励老建筑进行节能技术改造，实行强制报废措施，并设定了清晰的衡量标准。</w:t>
      </w:r>
    </w:p>
    <w:p w14:paraId="306BC41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英国以家庭为单位促进住宅建筑节能。在建筑能效标识方面，要求在建筑物的建设、买卖及租赁过程中出示建筑能源证书；推广绿色建筑理念，实施</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绿色家庭</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计划。</w:t>
      </w:r>
    </w:p>
    <w:p w14:paraId="551CE9F1">
      <w:pPr>
        <w:pStyle w:val="6"/>
        <w:numPr>
          <w:ilvl w:val="255"/>
          <w:numId w:val="0"/>
        </w:numPr>
        <w:ind w:firstLine="561"/>
        <w:rPr>
          <w:rFonts w:hint="default" w:ascii="Times New Roman" w:hAnsi="Times New Roman" w:cs="Times New Roman"/>
        </w:rPr>
      </w:pPr>
      <w:bookmarkStart w:id="195" w:name="_Toc124352555"/>
      <w:r>
        <w:rPr>
          <w:rFonts w:hint="default" w:ascii="Times New Roman" w:hAnsi="Times New Roman" w:cs="Times New Roman"/>
        </w:rPr>
        <w:t>8.1.2国内绿色建筑发展机制</w:t>
      </w:r>
      <w:bookmarkEnd w:id="195"/>
    </w:p>
    <w:p w14:paraId="0AF87287">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江苏省以城市示范区、保障性住房和政府投资项目为重点工作领域，规模化推进绿色建筑事业。采取绿色建筑创新奖等若干有效的鼓励措施；在建筑节能专项设计和施工图专项审查方面，要求审图机构进行专项审查，确定建筑节能专职审查人员，定期接受相关专业学习培训，确保审查质量；在节能工程施工质量验收方面。印发了标准格式化文本，提高了建筑节能专项施工方案和建筑节能专项监理细则的编制水平，从而正确指导施工。</w:t>
      </w:r>
    </w:p>
    <w:p w14:paraId="3BD52B4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广州市加大部门协调力度，强化市区两级联动，建立规划落实情况检查机制，实施责任制和问责制，对未能实现目标的相关单位进行责任追究。通过落实税收优惠、城市基础设施配套费等经济激励政策，激发建设高星级绿色建筑超低能耗建筑、既有建筑节能绿色化改造等项目的市场积极性，提高建筑绿色发展的市场需求，发挥政府和市场双轮驱动作用，促进绿色建筑高质量发展。</w:t>
      </w:r>
    </w:p>
    <w:p w14:paraId="651DB9B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深圳市推行绿色建筑全流程管理，建设主管部门协同</w:t>
      </w:r>
      <w:r>
        <w:rPr>
          <w:rFonts w:hint="default" w:ascii="Times New Roman" w:hAnsi="Times New Roman" w:eastAsia="宋体" w:cs="Times New Roman"/>
          <w:sz w:val="28"/>
          <w:szCs w:val="28"/>
          <w:lang w:val="en-US" w:eastAsia="zh-CN"/>
        </w:rPr>
        <w:t>发展改革</w:t>
      </w:r>
      <w:r>
        <w:rPr>
          <w:rFonts w:hint="default" w:ascii="Times New Roman" w:hAnsi="Times New Roman" w:eastAsia="宋体" w:cs="Times New Roman"/>
          <w:sz w:val="28"/>
          <w:szCs w:val="28"/>
        </w:rPr>
        <w:t>部门、自然资源部门共同推进绿色建筑发展。要求建设主管部门起到主要监管责任，通过施工报建、竣工验收两个节点对新建建筑进行管控，跟进建设全过程。对设计单位、施工单位、开发单位提出工作要求，在方案设计、监理合同、竣工验收、房屋销售和使用等阶段提出要求。既有建筑节能改造方面，提出建立能耗定额、统计调查、改造计划和改造实施几个阶段的路径。</w:t>
      </w:r>
    </w:p>
    <w:p w14:paraId="4721876F">
      <w:pPr>
        <w:pStyle w:val="5"/>
        <w:numPr>
          <w:ilvl w:val="255"/>
          <w:numId w:val="0"/>
        </w:numPr>
        <w:rPr>
          <w:rFonts w:hint="default" w:ascii="Times New Roman" w:hAnsi="Times New Roman" w:cs="Times New Roman"/>
        </w:rPr>
      </w:pPr>
      <w:bookmarkStart w:id="196" w:name="_Toc124352556"/>
      <w:r>
        <w:rPr>
          <w:rFonts w:hint="default" w:ascii="Times New Roman" w:hAnsi="Times New Roman" w:cs="Times New Roman"/>
        </w:rPr>
        <w:t>8.2 具体措施</w:t>
      </w:r>
      <w:bookmarkEnd w:id="196"/>
    </w:p>
    <w:p w14:paraId="33F60F7F">
      <w:pPr>
        <w:pStyle w:val="6"/>
        <w:numPr>
          <w:ilvl w:val="255"/>
          <w:numId w:val="0"/>
        </w:numPr>
        <w:ind w:firstLine="561"/>
        <w:rPr>
          <w:rFonts w:hint="default" w:ascii="Times New Roman" w:hAnsi="Times New Roman" w:cs="Times New Roman"/>
        </w:rPr>
      </w:pPr>
      <w:bookmarkStart w:id="197" w:name="_Toc124352557"/>
      <w:r>
        <w:rPr>
          <w:rFonts w:hint="default" w:ascii="Times New Roman" w:hAnsi="Times New Roman" w:cs="Times New Roman"/>
        </w:rPr>
        <w:t>8.2.1</w:t>
      </w:r>
      <w:bookmarkStart w:id="198" w:name="_Hlk110100170"/>
      <w:r>
        <w:rPr>
          <w:rFonts w:hint="default" w:ascii="Times New Roman" w:hAnsi="Times New Roman" w:cs="Times New Roman"/>
        </w:rPr>
        <w:t>加强组织领导</w:t>
      </w:r>
      <w:bookmarkEnd w:id="197"/>
      <w:bookmarkEnd w:id="198"/>
    </w:p>
    <w:p w14:paraId="055DD7B7">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99" w:name="_Hlk110100180"/>
      <w:r>
        <w:rPr>
          <w:rFonts w:hint="default" w:ascii="Times New Roman" w:hAnsi="Times New Roman" w:eastAsia="宋体" w:cs="Times New Roman"/>
          <w:sz w:val="28"/>
          <w:szCs w:val="28"/>
        </w:rPr>
        <w:t>中山市住房和城乡建设局会同发展改革、自然资源、财政局等主管部门，出台配套支持政策，推动建立中山市建筑节能与绿色建筑发展工作领导小组，密切协作配合，形成工作合力，共同推动城乡建设领域绿色低碳发展。同时，住房城乡建设主管部门要加强组织领导，依托中山地区散装水泥主管机构、墙材革新与建筑节能机构和工程质量安全监督机构等相关部门，建立跨部门间的工作协调联动机制，强化工作责任，加强监督管理，通过双方签订协商契约、推行承诺制等方式，健全以信用为基础的新型监管机制，将信用分等级进行监管，公布实行承诺制的工程建设项目审批事项清单及具体要求。申请人按照要求作出书面承诺的，审批部门可以根据申请人信用等情况直接作出审批决定；对已经实施区域评估范围内的工程建设项目，相应的审批事项实行告知承诺制。对未履行承诺的申请人进行相应处罚，促进事中事后监管，推动各项工作的落实，推进中山市绿色建筑高质量发展。</w:t>
      </w:r>
      <w:bookmarkEnd w:id="199"/>
    </w:p>
    <w:p w14:paraId="49EDFAEA">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 8-1 新建建筑绿色发展</w:t>
      </w:r>
    </w:p>
    <w:tbl>
      <w:tblPr>
        <w:tblStyle w:val="26"/>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09"/>
        <w:gridCol w:w="1411"/>
      </w:tblGrid>
      <w:tr w14:paraId="4E612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 w:hRule="atLeast"/>
          <w:tblHeader/>
        </w:trPr>
        <w:tc>
          <w:tcPr>
            <w:tcW w:w="4172" w:type="pct"/>
            <w:shd w:val="clear" w:color="auto" w:fill="auto"/>
            <w:vAlign w:val="center"/>
          </w:tcPr>
          <w:p w14:paraId="66C150ED">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主要管理工作内容</w:t>
            </w:r>
          </w:p>
        </w:tc>
        <w:tc>
          <w:tcPr>
            <w:tcW w:w="828" w:type="pct"/>
            <w:shd w:val="clear" w:color="auto" w:fill="auto"/>
            <w:vAlign w:val="center"/>
          </w:tcPr>
          <w:p w14:paraId="6AE72C1B">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政府职能部门</w:t>
            </w:r>
          </w:p>
        </w:tc>
      </w:tr>
      <w:tr w14:paraId="5F2B9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7" w:hRule="atLeast"/>
        </w:trPr>
        <w:tc>
          <w:tcPr>
            <w:tcW w:w="4172" w:type="pct"/>
            <w:shd w:val="clear" w:color="auto" w:fill="auto"/>
            <w:vAlign w:val="center"/>
          </w:tcPr>
          <w:p w14:paraId="4DC2E6A4">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lang w:val="en-US" w:eastAsia="zh-CN"/>
              </w:rPr>
              <w:t>可行性研究</w:t>
            </w:r>
            <w:r>
              <w:rPr>
                <w:rFonts w:hint="default" w:ascii="Times New Roman" w:hAnsi="Times New Roman" w:eastAsia="宋体" w:cs="Times New Roman"/>
                <w:b w:val="0"/>
                <w:bCs w:val="0"/>
                <w:kern w:val="0"/>
                <w:sz w:val="21"/>
                <w:szCs w:val="21"/>
              </w:rPr>
              <w:t>或核准阶段：</w:t>
            </w:r>
          </w:p>
          <w:p w14:paraId="7755893F">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1、对于绿色建筑项目，要求项目可行性研究报告中包含绿色建筑相关内容，明确绿色建筑等级、技术以及节能减排等内容，并将绿色建筑的相关费用纳入工程投资概预算；对拟采用的绿色建筑技术进行可行性分析。进行可行性研究报告审查时，组织专家对绿色建筑专项内容中的绿色建筑技术进行论证，不具备可行性或者未按要求执行绿色建筑标准的，不得审批或核准。</w:t>
            </w:r>
          </w:p>
          <w:p w14:paraId="1022514A">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2、按规定需进行节能评估的项目，节能评估应严格按绿色建筑星级标准把关，在节能评估意见中明确应达到的绿色建筑星级标准。</w:t>
            </w:r>
          </w:p>
        </w:tc>
        <w:tc>
          <w:tcPr>
            <w:tcW w:w="828" w:type="pct"/>
            <w:shd w:val="clear" w:color="auto" w:fill="auto"/>
            <w:vAlign w:val="center"/>
          </w:tcPr>
          <w:p w14:paraId="4661F568">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市发展和改革局</w:t>
            </w:r>
          </w:p>
        </w:tc>
      </w:tr>
      <w:tr w14:paraId="3DF05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trPr>
        <w:tc>
          <w:tcPr>
            <w:tcW w:w="4172" w:type="pct"/>
            <w:shd w:val="clear" w:color="auto" w:fill="auto"/>
            <w:vAlign w:val="center"/>
          </w:tcPr>
          <w:p w14:paraId="3A8D0782">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规划阶段：</w:t>
            </w:r>
          </w:p>
          <w:p w14:paraId="7E45AAA9">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sz w:val="21"/>
                <w:szCs w:val="21"/>
              </w:rPr>
              <w:t>将绿色建筑发展专项规划相关指标内容纳入国土空间规划；将《中山市绿色建筑发展专项规划》相关要求纳入控制性详细规划；在建设用地规划条件中注明</w:t>
            </w:r>
            <w:r>
              <w:rPr>
                <w:rFonts w:hint="eastAsia" w:ascii="Times New Roman" w:hAnsi="Times New Roman" w:eastAsia="宋体" w:cs="Times New Roman"/>
                <w:b w:val="0"/>
                <w:bCs w:val="0"/>
                <w:sz w:val="21"/>
                <w:szCs w:val="21"/>
                <w:lang w:eastAsia="zh-CN"/>
              </w:rPr>
              <w:t>“</w:t>
            </w:r>
            <w:r>
              <w:rPr>
                <w:rFonts w:hint="default" w:ascii="Times New Roman" w:hAnsi="Times New Roman" w:eastAsia="宋体" w:cs="Times New Roman"/>
                <w:b w:val="0"/>
                <w:bCs w:val="0"/>
                <w:sz w:val="21"/>
                <w:szCs w:val="21"/>
              </w:rPr>
              <w:t>项目绿色建筑等级应按《中山市绿色建筑发展专项规划》要求执行</w:t>
            </w:r>
            <w:r>
              <w:rPr>
                <w:rFonts w:hint="eastAsia" w:ascii="Times New Roman" w:hAnsi="Times New Roman" w:eastAsia="宋体" w:cs="Times New Roman"/>
                <w:b w:val="0"/>
                <w:bCs w:val="0"/>
                <w:sz w:val="21"/>
                <w:szCs w:val="21"/>
                <w:lang w:eastAsia="zh-CN"/>
              </w:rPr>
              <w:t>”</w:t>
            </w:r>
            <w:r>
              <w:rPr>
                <w:rFonts w:hint="default" w:ascii="Times New Roman" w:hAnsi="Times New Roman" w:eastAsia="宋体" w:cs="Times New Roman"/>
                <w:b w:val="0"/>
                <w:bCs w:val="0"/>
                <w:sz w:val="21"/>
                <w:szCs w:val="21"/>
              </w:rPr>
              <w:t>，并落实装配式建筑相关要求。</w:t>
            </w:r>
          </w:p>
          <w:p w14:paraId="4726BF2B">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土地划拨、出让阶段：</w:t>
            </w:r>
          </w:p>
          <w:p w14:paraId="1285E64B">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将规划决策的绿色建筑星级、绿地率、年径流总量控制率指标列为土地出让的基本条件并作为土地使用权出让合同的组成部分，并在国有建设用地使用权出让合同或者国有建设用地使用权划拨决定书中注明，可考虑可再生能源应用量、非传统水源利用率、用地用电、建筑材料回用率等其它绿色建筑指标。</w:t>
            </w:r>
          </w:p>
        </w:tc>
        <w:tc>
          <w:tcPr>
            <w:tcW w:w="828" w:type="pct"/>
            <w:shd w:val="clear" w:color="auto" w:fill="auto"/>
            <w:vAlign w:val="center"/>
          </w:tcPr>
          <w:p w14:paraId="29231BFF">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市自然资源局、</w:t>
            </w:r>
            <w:r>
              <w:rPr>
                <w:rFonts w:hint="default" w:ascii="Times New Roman" w:hAnsi="Times New Roman" w:eastAsia="宋体" w:cs="Times New Roman"/>
                <w:b w:val="0"/>
                <w:bCs w:val="0"/>
                <w:sz w:val="21"/>
                <w:szCs w:val="21"/>
              </w:rPr>
              <w:t>各镇街自然资源分局和规划部门</w:t>
            </w:r>
          </w:p>
        </w:tc>
      </w:tr>
      <w:tr w14:paraId="270E6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5" w:hRule="atLeast"/>
        </w:trPr>
        <w:tc>
          <w:tcPr>
            <w:tcW w:w="4172" w:type="pct"/>
            <w:shd w:val="clear" w:color="auto" w:fill="auto"/>
            <w:vAlign w:val="center"/>
          </w:tcPr>
          <w:p w14:paraId="7EC4F433">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设计审查阶段：</w:t>
            </w:r>
          </w:p>
          <w:p w14:paraId="7FAF7192">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1、依法招标的项目应将绿色建筑内容作为评标的重要内容；</w:t>
            </w:r>
          </w:p>
          <w:p w14:paraId="114391FD">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2、在方案设计、初步设计审查中增加绿色建筑星级及相关指标审查；</w:t>
            </w:r>
          </w:p>
          <w:p w14:paraId="4CB6819D">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3、在施工图审查中要求审查机构按相关要求出具审查意见，不符合绿色建筑等级标准的，不予颁发</w:t>
            </w:r>
            <w:r>
              <w:rPr>
                <w:rFonts w:hint="default" w:ascii="Times New Roman" w:hAnsi="Times New Roman" w:eastAsia="宋体" w:cs="Times New Roman"/>
                <w:b w:val="0"/>
                <w:bCs w:val="0"/>
                <w:kern w:val="0"/>
                <w:sz w:val="21"/>
                <w:szCs w:val="21"/>
                <w:lang w:val="en-US" w:eastAsia="zh-CN"/>
              </w:rPr>
              <w:t>建筑工程</w:t>
            </w:r>
            <w:r>
              <w:rPr>
                <w:rFonts w:hint="default" w:ascii="Times New Roman" w:hAnsi="Times New Roman" w:eastAsia="宋体" w:cs="Times New Roman"/>
                <w:b w:val="0"/>
                <w:bCs w:val="0"/>
                <w:kern w:val="0"/>
                <w:sz w:val="21"/>
                <w:szCs w:val="21"/>
              </w:rPr>
              <w:t>施工许可证。</w:t>
            </w:r>
            <w:r>
              <w:rPr>
                <w:rFonts w:hint="default" w:ascii="Times New Roman" w:hAnsi="Times New Roman" w:eastAsia="宋体" w:cs="Times New Roman"/>
                <w:b w:val="0"/>
                <w:bCs w:val="0"/>
                <w:sz w:val="21"/>
                <w:szCs w:val="21"/>
              </w:rPr>
              <w:t>加强对施工图审查机构的审查监管及定期抽查。</w:t>
            </w:r>
          </w:p>
          <w:p w14:paraId="019F6E30">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施工及竣工验收阶段：</w:t>
            </w:r>
          </w:p>
          <w:p w14:paraId="3A32BDEB">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1、绿色建筑项目施工招标时，在招标文件中应要求投标人编制绿色施工专篇，并将其作为技术标评审条件</w:t>
            </w:r>
            <w:r>
              <w:rPr>
                <w:rFonts w:hint="default" w:ascii="Times New Roman" w:hAnsi="Times New Roman" w:eastAsia="宋体" w:cs="Times New Roman"/>
                <w:b w:val="0"/>
                <w:bCs w:val="0"/>
                <w:kern w:val="0"/>
                <w:sz w:val="21"/>
                <w:szCs w:val="21"/>
                <w:lang w:eastAsia="zh-CN"/>
              </w:rPr>
              <w:t>；</w:t>
            </w:r>
          </w:p>
          <w:p w14:paraId="551529B4">
            <w:pPr>
              <w:widowControl/>
              <w:jc w:val="left"/>
              <w:textAlignment w:val="center"/>
              <w:rPr>
                <w:rFonts w:hint="default" w:ascii="Times New Roman" w:hAnsi="Times New Roman" w:eastAsia="宋体" w:cs="Times New Roman"/>
                <w:b w:val="0"/>
                <w:bCs w:val="0"/>
                <w:kern w:val="0"/>
                <w:sz w:val="21"/>
                <w:szCs w:val="21"/>
                <w:lang w:eastAsia="zh-CN"/>
              </w:rPr>
            </w:pPr>
            <w:r>
              <w:rPr>
                <w:rFonts w:hint="default" w:ascii="Times New Roman" w:hAnsi="Times New Roman" w:eastAsia="宋体" w:cs="Times New Roman"/>
                <w:b w:val="0"/>
                <w:bCs w:val="0"/>
                <w:kern w:val="0"/>
                <w:sz w:val="21"/>
                <w:szCs w:val="21"/>
              </w:rPr>
              <w:t>2、建议要求施工单位在工程开工前根据绿色建筑相关标准、规范在施工组织设计中制定详细的专项施工方案，确定施工控制流程，并报监理单位审批后执行</w:t>
            </w:r>
            <w:r>
              <w:rPr>
                <w:rFonts w:hint="default" w:ascii="Times New Roman" w:hAnsi="Times New Roman" w:eastAsia="宋体" w:cs="Times New Roman"/>
                <w:b w:val="0"/>
                <w:bCs w:val="0"/>
                <w:kern w:val="0"/>
                <w:sz w:val="21"/>
                <w:szCs w:val="21"/>
                <w:lang w:eastAsia="zh-CN"/>
              </w:rPr>
              <w:t>；</w:t>
            </w:r>
          </w:p>
          <w:p w14:paraId="012CD6A5">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3、组织编制绿色建筑验收管理办法、竣工验收导则及相关验收文件，并要求建设单位提交绿色建筑相关资料，建筑节能专项验收应与竣工验收同步进行。对未按照绿色建筑标准、施工图设计文件和绿色施工专篇施工的项目，不得通过节能专项验收。</w:t>
            </w:r>
          </w:p>
          <w:p w14:paraId="127B3EB2">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销售和运行管理阶段：</w:t>
            </w:r>
          </w:p>
          <w:p w14:paraId="559ACEC7">
            <w:pPr>
              <w:widowControl/>
              <w:jc w:val="left"/>
              <w:textAlignment w:val="center"/>
              <w:rPr>
                <w:rFonts w:hint="default" w:ascii="Times New Roman" w:hAnsi="Times New Roman" w:eastAsia="宋体" w:cs="Times New Roman"/>
                <w:b w:val="0"/>
                <w:bCs w:val="0"/>
                <w:kern w:val="0"/>
                <w:sz w:val="21"/>
                <w:szCs w:val="21"/>
                <w:lang w:eastAsia="zh-CN"/>
              </w:rPr>
            </w:pPr>
            <w:r>
              <w:rPr>
                <w:rFonts w:hint="default" w:ascii="Times New Roman" w:hAnsi="Times New Roman" w:eastAsia="宋体" w:cs="Times New Roman"/>
                <w:b w:val="0"/>
                <w:bCs w:val="0"/>
                <w:kern w:val="0"/>
                <w:sz w:val="21"/>
                <w:szCs w:val="21"/>
              </w:rPr>
              <w:t>1、要求房地产开发企业明示所售房屋建筑节能设计和绿建要求，按国家要求在商品房买卖合同和住宅质量保证书、住宅使用说明书中载明</w:t>
            </w:r>
            <w:r>
              <w:rPr>
                <w:rFonts w:hint="default" w:ascii="Times New Roman" w:hAnsi="Times New Roman" w:eastAsia="宋体" w:cs="Times New Roman"/>
                <w:b w:val="0"/>
                <w:bCs w:val="0"/>
                <w:kern w:val="0"/>
                <w:sz w:val="21"/>
                <w:szCs w:val="21"/>
                <w:lang w:eastAsia="zh-CN"/>
              </w:rPr>
              <w:t>；</w:t>
            </w:r>
          </w:p>
          <w:p w14:paraId="2253841C">
            <w:pPr>
              <w:widowControl/>
              <w:jc w:val="left"/>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kern w:val="0"/>
                <w:sz w:val="21"/>
                <w:szCs w:val="21"/>
              </w:rPr>
              <w:t>2、要求物业管理部门上报能耗数据，建设主管部门按建设单位申报材料不定期抽查，对超过规划制定的用地用电指标上限的建筑，由建设主管部门会同电力部门进行评定、处理，并要求如期改正。</w:t>
            </w:r>
          </w:p>
        </w:tc>
        <w:tc>
          <w:tcPr>
            <w:tcW w:w="828" w:type="pct"/>
            <w:shd w:val="clear" w:color="auto" w:fill="auto"/>
            <w:vAlign w:val="center"/>
          </w:tcPr>
          <w:p w14:paraId="02DE635B">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市住房和城乡建设局、市城市管理和综合执法局</w:t>
            </w:r>
          </w:p>
        </w:tc>
      </w:tr>
    </w:tbl>
    <w:p w14:paraId="1A7F3F78">
      <w:pPr>
        <w:pStyle w:val="3"/>
        <w:rPr>
          <w:rFonts w:hint="default" w:ascii="Times New Roman" w:hAnsi="Times New Roman" w:cs="Times New Roman"/>
        </w:rPr>
      </w:pPr>
    </w:p>
    <w:p w14:paraId="094F6A81">
      <w:pPr>
        <w:adjustRightInd w:val="0"/>
        <w:snapToGrid w:val="0"/>
        <w:spacing w:line="360" w:lineRule="auto"/>
        <w:jc w:val="center"/>
        <w:rPr>
          <w:rFonts w:hint="default" w:ascii="Times New Roman" w:hAnsi="Times New Roman" w:eastAsia="宋体" w:cs="Times New Roman"/>
          <w:b/>
          <w:kern w:val="0"/>
          <w:szCs w:val="21"/>
        </w:rPr>
      </w:pPr>
      <w:r>
        <w:rPr>
          <w:rFonts w:hint="default" w:ascii="Times New Roman" w:hAnsi="Times New Roman" w:eastAsia="宋体" w:cs="Times New Roman"/>
          <w:b/>
          <w:kern w:val="0"/>
          <w:szCs w:val="21"/>
        </w:rPr>
        <w:t>表</w:t>
      </w:r>
      <w:r>
        <w:rPr>
          <w:rFonts w:hint="default" w:ascii="Times New Roman" w:hAnsi="Times New Roman" w:eastAsia="宋体" w:cs="Times New Roman"/>
          <w:b/>
          <w:kern w:val="2"/>
          <w:sz w:val="21"/>
          <w:szCs w:val="21"/>
          <w:lang w:val="en-US" w:eastAsia="zh-CN" w:bidi="ar-SA"/>
        </w:rPr>
        <w:t xml:space="preserve"> 8-2 既有建筑节能绿色化改</w:t>
      </w:r>
      <w:r>
        <w:rPr>
          <w:rFonts w:hint="default" w:ascii="Times New Roman" w:hAnsi="Times New Roman" w:eastAsia="宋体" w:cs="Times New Roman"/>
          <w:b/>
          <w:kern w:val="0"/>
          <w:szCs w:val="21"/>
        </w:rPr>
        <w:t>造</w:t>
      </w:r>
    </w:p>
    <w:tbl>
      <w:tblPr>
        <w:tblStyle w:val="26"/>
        <w:tblW w:w="4999" w:type="pct"/>
        <w:tblInd w:w="0" w:type="dxa"/>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6456"/>
        <w:gridCol w:w="2064"/>
      </w:tblGrid>
      <w:tr w14:paraId="32AB4F54">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trHeight w:val="454" w:hRule="atLeast"/>
          <w:tblHeader/>
        </w:trPr>
        <w:tc>
          <w:tcPr>
            <w:tcW w:w="3789" w:type="pct"/>
            <w:tcBorders>
              <w:top w:val="single" w:color="auto" w:sz="4" w:space="0"/>
              <w:left w:val="single" w:color="auto" w:sz="4" w:space="0"/>
              <w:right w:val="single" w:color="auto" w:sz="4" w:space="0"/>
            </w:tcBorders>
            <w:shd w:val="clear" w:color="auto" w:fill="auto"/>
            <w:vAlign w:val="center"/>
          </w:tcPr>
          <w:p w14:paraId="40724D07">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主要管理工作内容</w:t>
            </w:r>
          </w:p>
        </w:tc>
        <w:tc>
          <w:tcPr>
            <w:tcW w:w="1211" w:type="pct"/>
            <w:tcBorders>
              <w:top w:val="single" w:color="auto" w:sz="4" w:space="0"/>
              <w:left w:val="single" w:color="auto" w:sz="4" w:space="0"/>
              <w:right w:val="single" w:color="auto" w:sz="4" w:space="0"/>
            </w:tcBorders>
            <w:shd w:val="clear" w:color="auto" w:fill="auto"/>
            <w:vAlign w:val="center"/>
          </w:tcPr>
          <w:p w14:paraId="31B7D591">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政府职能部门</w:t>
            </w:r>
          </w:p>
        </w:tc>
      </w:tr>
      <w:tr w14:paraId="5C3FDD37">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437" w:hRule="atLeast"/>
        </w:trPr>
        <w:tc>
          <w:tcPr>
            <w:tcW w:w="3789" w:type="pct"/>
            <w:tcBorders>
              <w:left w:val="single" w:color="auto" w:sz="4" w:space="0"/>
              <w:right w:val="single" w:color="auto" w:sz="4" w:space="0"/>
            </w:tcBorders>
            <w:vAlign w:val="center"/>
          </w:tcPr>
          <w:p w14:paraId="769D7741">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编制并推广既有建筑节能改造、绿色化改造相关技术规范标准。</w:t>
            </w:r>
          </w:p>
        </w:tc>
        <w:tc>
          <w:tcPr>
            <w:tcW w:w="1211" w:type="pct"/>
            <w:tcBorders>
              <w:left w:val="single" w:color="auto" w:sz="4" w:space="0"/>
              <w:right w:val="single" w:color="auto" w:sz="4" w:space="0"/>
            </w:tcBorders>
            <w:vAlign w:val="center"/>
          </w:tcPr>
          <w:p w14:paraId="52C6ACB9">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市住房和城乡建设局</w:t>
            </w:r>
          </w:p>
        </w:tc>
      </w:tr>
      <w:tr w14:paraId="14A9134B">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110" w:hRule="atLeast"/>
        </w:trPr>
        <w:tc>
          <w:tcPr>
            <w:tcW w:w="3789" w:type="pct"/>
            <w:tcBorders>
              <w:left w:val="single" w:color="auto" w:sz="4" w:space="0"/>
              <w:right w:val="single" w:color="auto" w:sz="4" w:space="0"/>
            </w:tcBorders>
            <w:vAlign w:val="center"/>
          </w:tcPr>
          <w:p w14:paraId="08AADF7A">
            <w:pPr>
              <w:widowControl/>
              <w:jc w:val="left"/>
              <w:textAlignment w:val="center"/>
              <w:rPr>
                <w:rFonts w:hint="default" w:ascii="Times New Roman" w:hAnsi="Times New Roman" w:eastAsia="宋体" w:cs="Times New Roman"/>
                <w:b w:val="0"/>
                <w:bCs w:val="0"/>
                <w:kern w:val="0"/>
                <w:sz w:val="21"/>
                <w:szCs w:val="21"/>
                <w:lang w:eastAsia="zh-CN"/>
              </w:rPr>
            </w:pPr>
            <w:r>
              <w:rPr>
                <w:rFonts w:hint="default" w:ascii="Times New Roman" w:hAnsi="Times New Roman" w:eastAsia="宋体" w:cs="Times New Roman"/>
                <w:b w:val="0"/>
                <w:bCs w:val="0"/>
                <w:kern w:val="0"/>
                <w:sz w:val="21"/>
                <w:szCs w:val="21"/>
              </w:rPr>
              <w:t>1、开展全市既有建筑现状调查，制订既有建筑节能绿色化改造工作目标与实施方案；结合建筑能耗统计情况，依托</w:t>
            </w:r>
            <w:r>
              <w:rPr>
                <w:rFonts w:hint="eastAsia" w:ascii="Times New Roman" w:hAnsi="Times New Roman" w:eastAsia="宋体" w:cs="Times New Roman"/>
                <w:b w:val="0"/>
                <w:bCs w:val="0"/>
                <w:kern w:val="0"/>
                <w:sz w:val="21"/>
                <w:szCs w:val="21"/>
                <w:lang w:eastAsia="zh-CN"/>
              </w:rPr>
              <w:t>“三旧”改造</w:t>
            </w:r>
            <w:r>
              <w:rPr>
                <w:rFonts w:hint="default" w:ascii="Times New Roman" w:hAnsi="Times New Roman" w:eastAsia="宋体" w:cs="Times New Roman"/>
                <w:b w:val="0"/>
                <w:bCs w:val="0"/>
                <w:kern w:val="0"/>
                <w:sz w:val="21"/>
                <w:szCs w:val="21"/>
              </w:rPr>
              <w:t>、老旧小区改造、城市更新工作计划，推广应用</w:t>
            </w:r>
            <w:r>
              <w:rPr>
                <w:rFonts w:hint="eastAsia" w:ascii="Times New Roman" w:hAnsi="Times New Roman" w:eastAsia="宋体" w:cs="Times New Roman"/>
                <w:b w:val="0"/>
                <w:bCs w:val="0"/>
                <w:kern w:val="0"/>
                <w:sz w:val="21"/>
                <w:szCs w:val="21"/>
                <w:lang w:eastAsia="zh-CN"/>
              </w:rPr>
              <w:t>节能绿色化改造</w:t>
            </w:r>
            <w:r>
              <w:rPr>
                <w:rFonts w:hint="default" w:ascii="Times New Roman" w:hAnsi="Times New Roman" w:eastAsia="宋体" w:cs="Times New Roman"/>
                <w:b w:val="0"/>
                <w:bCs w:val="0"/>
                <w:kern w:val="0"/>
                <w:sz w:val="21"/>
                <w:szCs w:val="21"/>
              </w:rPr>
              <w:t>，对于改造潜力较大的国家机关办公建筑、以政府投资为主的建筑、大型公共建筑，优先纳入改造计划</w:t>
            </w:r>
            <w:r>
              <w:rPr>
                <w:rFonts w:hint="default" w:ascii="Times New Roman" w:hAnsi="Times New Roman" w:eastAsia="宋体" w:cs="Times New Roman"/>
                <w:b w:val="0"/>
                <w:bCs w:val="0"/>
                <w:kern w:val="0"/>
                <w:sz w:val="21"/>
                <w:szCs w:val="21"/>
                <w:lang w:eastAsia="zh-CN"/>
              </w:rPr>
              <w:t>。</w:t>
            </w:r>
          </w:p>
          <w:p w14:paraId="0411B981">
            <w:pPr>
              <w:widowControl/>
              <w:jc w:val="left"/>
              <w:textAlignment w:val="center"/>
              <w:rPr>
                <w:rFonts w:hint="default" w:ascii="Times New Roman" w:hAnsi="Times New Roman" w:eastAsia="宋体" w:cs="Times New Roman"/>
                <w:b w:val="0"/>
                <w:bCs w:val="0"/>
                <w:kern w:val="0"/>
                <w:sz w:val="21"/>
                <w:szCs w:val="21"/>
                <w:lang w:eastAsia="zh-CN"/>
              </w:rPr>
            </w:pPr>
            <w:r>
              <w:rPr>
                <w:rFonts w:hint="default" w:ascii="Times New Roman" w:hAnsi="Times New Roman" w:eastAsia="宋体" w:cs="Times New Roman"/>
                <w:b w:val="0"/>
                <w:bCs w:val="0"/>
                <w:kern w:val="0"/>
                <w:sz w:val="21"/>
                <w:szCs w:val="21"/>
              </w:rPr>
              <w:t>2、开展党政机关集中办公区、学校、医院、场馆等进行试点改造</w:t>
            </w:r>
            <w:r>
              <w:rPr>
                <w:rFonts w:hint="default" w:ascii="Times New Roman" w:hAnsi="Times New Roman" w:eastAsia="宋体" w:cs="Times New Roman"/>
                <w:b w:val="0"/>
                <w:bCs w:val="0"/>
                <w:kern w:val="0"/>
                <w:sz w:val="21"/>
                <w:szCs w:val="21"/>
                <w:lang w:eastAsia="zh-CN"/>
              </w:rPr>
              <w:t>。</w:t>
            </w:r>
          </w:p>
        </w:tc>
        <w:tc>
          <w:tcPr>
            <w:tcW w:w="1211" w:type="pct"/>
            <w:tcBorders>
              <w:left w:val="single" w:color="auto" w:sz="4" w:space="0"/>
              <w:right w:val="single" w:color="auto" w:sz="4" w:space="0"/>
            </w:tcBorders>
            <w:vAlign w:val="center"/>
          </w:tcPr>
          <w:p w14:paraId="07208F84">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市发展和改革局、市住房和城乡建设局</w:t>
            </w:r>
          </w:p>
        </w:tc>
      </w:tr>
      <w:tr w14:paraId="7D3E252E">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627" w:hRule="atLeast"/>
        </w:trPr>
        <w:tc>
          <w:tcPr>
            <w:tcW w:w="3789" w:type="pct"/>
            <w:tcBorders>
              <w:left w:val="single" w:color="auto" w:sz="4" w:space="0"/>
              <w:bottom w:val="single" w:color="auto" w:sz="4" w:space="0"/>
              <w:right w:val="single" w:color="auto" w:sz="4" w:space="0"/>
            </w:tcBorders>
            <w:vAlign w:val="center"/>
          </w:tcPr>
          <w:p w14:paraId="610C6FDF">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1、推进政府既有公共建筑节能、绿色化改造工作；</w:t>
            </w:r>
          </w:p>
          <w:p w14:paraId="6E279CE5">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2、落实大型政府公共建筑能耗监测。</w:t>
            </w:r>
          </w:p>
        </w:tc>
        <w:tc>
          <w:tcPr>
            <w:tcW w:w="1211" w:type="pct"/>
            <w:tcBorders>
              <w:left w:val="single" w:color="auto" w:sz="4" w:space="0"/>
              <w:bottom w:val="single" w:color="auto" w:sz="4" w:space="0"/>
              <w:right w:val="single" w:color="auto" w:sz="4" w:space="0"/>
            </w:tcBorders>
            <w:vAlign w:val="center"/>
          </w:tcPr>
          <w:p w14:paraId="79E96C93">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市发展和改革局、市住房和城乡建设局</w:t>
            </w:r>
          </w:p>
        </w:tc>
      </w:tr>
    </w:tbl>
    <w:p w14:paraId="164F9D2D">
      <w:pPr>
        <w:pStyle w:val="2"/>
        <w:rPr>
          <w:rFonts w:hint="default" w:ascii="Times New Roman" w:hAnsi="Times New Roman" w:cs="Times New Roman"/>
        </w:rPr>
      </w:pPr>
    </w:p>
    <w:p w14:paraId="7FC97507">
      <w:pPr>
        <w:pStyle w:val="6"/>
        <w:numPr>
          <w:ilvl w:val="255"/>
          <w:numId w:val="0"/>
        </w:numPr>
        <w:ind w:firstLine="561"/>
        <w:rPr>
          <w:rFonts w:hint="default" w:ascii="Times New Roman" w:hAnsi="Times New Roman" w:cs="Times New Roman"/>
        </w:rPr>
      </w:pPr>
      <w:bookmarkStart w:id="200" w:name="_Toc124352558"/>
      <w:r>
        <w:rPr>
          <w:rFonts w:hint="default" w:ascii="Times New Roman" w:hAnsi="Times New Roman" w:cs="Times New Roman"/>
        </w:rPr>
        <w:t>8.2.2 强化规划衔接</w:t>
      </w:r>
      <w:bookmarkEnd w:id="200"/>
    </w:p>
    <w:p w14:paraId="42D199C3">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按照中山市控制性详细规划编制情况，分以下三种情况在规划阶段落实本规划的绿色建筑相关要求。本规划发布后：</w:t>
      </w:r>
    </w:p>
    <w:p w14:paraId="3EBAF010">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1、在编或正在修编的控制性详细规划片区，在法定图则或管理图则中明确绿色建筑要求，绿色建筑要求按照本规划对应的目标单元指标要求执行；</w:t>
      </w:r>
    </w:p>
    <w:p w14:paraId="15221CBF">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2、已编控制性详细规划暂未计划修编的，在控规技术规范或规划用地条件中明确绿色建筑要求，绿色建筑要求按照本规划对应的目标单元指标要求执行；</w:t>
      </w:r>
    </w:p>
    <w:p w14:paraId="40512B5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3、未开展编制控制性详细规划的，在规划用地条件中明确绿色建筑要求，绿色建筑要求按照本规划对应的目标单元指标要求执行。</w:t>
      </w:r>
    </w:p>
    <w:p w14:paraId="1B435D28">
      <w:pPr>
        <w:pStyle w:val="6"/>
        <w:numPr>
          <w:ilvl w:val="255"/>
          <w:numId w:val="0"/>
        </w:numPr>
        <w:ind w:firstLine="561"/>
        <w:rPr>
          <w:rFonts w:hint="default" w:ascii="Times New Roman" w:hAnsi="Times New Roman" w:cs="Times New Roman"/>
        </w:rPr>
      </w:pPr>
      <w:bookmarkStart w:id="201" w:name="_Toc124352559"/>
      <w:r>
        <w:rPr>
          <w:rFonts w:hint="default" w:ascii="Times New Roman" w:hAnsi="Times New Roman" w:cs="Times New Roman"/>
        </w:rPr>
        <w:t>8.2.</w:t>
      </w:r>
      <w:bookmarkStart w:id="202" w:name="_Hlk110100195"/>
      <w:r>
        <w:rPr>
          <w:rFonts w:hint="default" w:ascii="Times New Roman" w:hAnsi="Times New Roman" w:cs="Times New Roman"/>
        </w:rPr>
        <w:t>3完善考核机制</w:t>
      </w:r>
      <w:bookmarkEnd w:id="201"/>
      <w:bookmarkEnd w:id="202"/>
    </w:p>
    <w:p w14:paraId="57EF30C6">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203" w:name="_Hlk110100211"/>
      <w:r>
        <w:rPr>
          <w:rFonts w:hint="default" w:ascii="Times New Roman" w:hAnsi="Times New Roman" w:eastAsia="宋体" w:cs="Times New Roman"/>
          <w:sz w:val="28"/>
          <w:szCs w:val="28"/>
        </w:rPr>
        <w:t>中山市住房和城乡建设局会同有关部门加强对本专项规划落实情况的指导监督，将相关工作完成情况纳入市人民政府节能目标责任评价考核范围。各镇街积极配合住房城乡建设主管部门推进绿色建筑发展的相关工作，健全工作反馈机制，分解落实年度目标，将绿色建筑发展任务和计划执行情况纳入镇街考核体系，合理设置分值权重，按年度对各镇街进行考核评价，考评结果纳入各镇街节能目标责任评价的重要内容</w:t>
      </w:r>
      <w:bookmarkEnd w:id="203"/>
      <w:r>
        <w:rPr>
          <w:rFonts w:hint="default" w:ascii="Times New Roman" w:hAnsi="Times New Roman" w:eastAsia="宋体" w:cs="Times New Roman"/>
          <w:sz w:val="28"/>
          <w:szCs w:val="28"/>
        </w:rPr>
        <w:t>。</w:t>
      </w:r>
    </w:p>
    <w:p w14:paraId="5CA573DF">
      <w:pPr>
        <w:pStyle w:val="6"/>
        <w:numPr>
          <w:ilvl w:val="255"/>
          <w:numId w:val="0"/>
        </w:numPr>
        <w:ind w:firstLine="561"/>
        <w:rPr>
          <w:rFonts w:hint="default" w:ascii="Times New Roman" w:hAnsi="Times New Roman" w:cs="Times New Roman"/>
        </w:rPr>
      </w:pPr>
      <w:bookmarkStart w:id="204" w:name="_Toc124352560"/>
      <w:r>
        <w:rPr>
          <w:rFonts w:hint="default" w:ascii="Times New Roman" w:hAnsi="Times New Roman" w:cs="Times New Roman"/>
        </w:rPr>
        <w:t>8.2.</w:t>
      </w:r>
      <w:bookmarkStart w:id="205" w:name="_Hlk110100225"/>
      <w:r>
        <w:rPr>
          <w:rFonts w:hint="default" w:ascii="Times New Roman" w:hAnsi="Times New Roman" w:cs="Times New Roman"/>
        </w:rPr>
        <w:t>4制定激励政策</w:t>
      </w:r>
      <w:bookmarkEnd w:id="204"/>
    </w:p>
    <w:p w14:paraId="1EFA4A13">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按规定因采取绿色建筑技术措施增加的建筑面积不计入容积率核算。使用住房公积金贷款购买星级绿色建筑自住房的，贷款额度可以按照不超过百分之二十的比例上浮。积极创造条件开展绿色金融试点，通过绿色信贷、绿色保险、绿色债券等多种方式为绿色建筑、既有建筑节能改造提供绿色金融服务。采用最高等级标准建设项目，在各类建筑工程奖项评审中可以优先推荐。</w:t>
      </w:r>
    </w:p>
    <w:p w14:paraId="25A4EA8C">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表8-3 中山市可考虑采取的绿色建筑激励政策</w:t>
      </w:r>
    </w:p>
    <w:tbl>
      <w:tblPr>
        <w:tblStyle w:val="26"/>
        <w:tblW w:w="496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3"/>
        <w:gridCol w:w="1207"/>
        <w:gridCol w:w="6589"/>
      </w:tblGrid>
      <w:tr w14:paraId="66952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3" w:type="dxa"/>
            <w:shd w:val="clear" w:color="auto" w:fill="auto"/>
            <w:vAlign w:val="center"/>
          </w:tcPr>
          <w:p w14:paraId="740E6D2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1207" w:type="dxa"/>
            <w:shd w:val="clear" w:color="auto" w:fill="auto"/>
            <w:vAlign w:val="center"/>
          </w:tcPr>
          <w:p w14:paraId="550DD85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政策类别</w:t>
            </w:r>
          </w:p>
        </w:tc>
        <w:tc>
          <w:tcPr>
            <w:tcW w:w="6589" w:type="dxa"/>
            <w:shd w:val="clear" w:color="auto" w:fill="auto"/>
            <w:vAlign w:val="center"/>
          </w:tcPr>
          <w:p w14:paraId="788FD86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主要内容</w:t>
            </w:r>
          </w:p>
        </w:tc>
      </w:tr>
      <w:tr w14:paraId="1360A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3" w:type="dxa"/>
            <w:shd w:val="clear" w:color="auto" w:fill="auto"/>
            <w:vAlign w:val="center"/>
          </w:tcPr>
          <w:p w14:paraId="458BF7D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1207" w:type="dxa"/>
            <w:shd w:val="clear" w:color="auto" w:fill="auto"/>
            <w:vAlign w:val="center"/>
          </w:tcPr>
          <w:p w14:paraId="4C3C82EE">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容积率奖励</w:t>
            </w:r>
          </w:p>
        </w:tc>
        <w:tc>
          <w:tcPr>
            <w:tcW w:w="6589" w:type="dxa"/>
            <w:shd w:val="clear" w:color="auto" w:fill="auto"/>
            <w:vAlign w:val="center"/>
          </w:tcPr>
          <w:p w14:paraId="3634C9E9">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建议对因实施高星级绿色建筑相关技术而增加的建筑面积（不超过3%）予以不计容。</w:t>
            </w:r>
          </w:p>
        </w:tc>
      </w:tr>
      <w:tr w14:paraId="2144C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3" w:type="dxa"/>
            <w:shd w:val="clear" w:color="auto" w:fill="auto"/>
            <w:vAlign w:val="center"/>
          </w:tcPr>
          <w:p w14:paraId="5FD8433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1207" w:type="dxa"/>
            <w:shd w:val="clear" w:color="auto" w:fill="auto"/>
            <w:vAlign w:val="center"/>
          </w:tcPr>
          <w:p w14:paraId="30FAF74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公积金贷款比例提升</w:t>
            </w:r>
          </w:p>
        </w:tc>
        <w:tc>
          <w:tcPr>
            <w:tcW w:w="6589" w:type="dxa"/>
            <w:shd w:val="clear" w:color="auto" w:fill="auto"/>
            <w:vAlign w:val="center"/>
          </w:tcPr>
          <w:p w14:paraId="0BAE7306">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建议使用住房公积金贷款购买星级绿色建筑自住房，贷款额度可以按照不超过百分之二十的比例上浮。</w:t>
            </w:r>
          </w:p>
        </w:tc>
      </w:tr>
      <w:tr w14:paraId="07C25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3" w:type="dxa"/>
            <w:shd w:val="clear" w:color="auto" w:fill="auto"/>
            <w:vAlign w:val="center"/>
          </w:tcPr>
          <w:p w14:paraId="3ABFD69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w:t>
            </w:r>
          </w:p>
        </w:tc>
        <w:tc>
          <w:tcPr>
            <w:tcW w:w="1207" w:type="dxa"/>
            <w:shd w:val="clear" w:color="auto" w:fill="auto"/>
            <w:vAlign w:val="center"/>
          </w:tcPr>
          <w:p w14:paraId="2339958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绿色金融激励</w:t>
            </w:r>
          </w:p>
        </w:tc>
        <w:tc>
          <w:tcPr>
            <w:tcW w:w="6589" w:type="dxa"/>
            <w:shd w:val="clear" w:color="auto" w:fill="auto"/>
            <w:vAlign w:val="center"/>
          </w:tcPr>
          <w:p w14:paraId="7CA60D3D">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积极创造条件开展绿色金融试点，通过绿色信贷、绿色保险、绿色债券等多种方式为绿色建筑、既有建筑节能改造提供绿色金融服务。</w:t>
            </w:r>
          </w:p>
        </w:tc>
      </w:tr>
      <w:tr w14:paraId="0BB58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663" w:type="dxa"/>
            <w:shd w:val="clear" w:color="auto" w:fill="auto"/>
            <w:vAlign w:val="center"/>
          </w:tcPr>
          <w:p w14:paraId="3CF116B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4</w:t>
            </w:r>
          </w:p>
        </w:tc>
        <w:tc>
          <w:tcPr>
            <w:tcW w:w="1207" w:type="dxa"/>
            <w:shd w:val="clear" w:color="auto" w:fill="auto"/>
            <w:vAlign w:val="center"/>
          </w:tcPr>
          <w:p w14:paraId="739A30F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评奖优先</w:t>
            </w:r>
          </w:p>
        </w:tc>
        <w:tc>
          <w:tcPr>
            <w:tcW w:w="6589" w:type="dxa"/>
            <w:shd w:val="clear" w:color="auto" w:fill="auto"/>
            <w:vAlign w:val="center"/>
          </w:tcPr>
          <w:p w14:paraId="2FE55E04">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建议将实施绿色建筑的项目在</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华夏奖</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全国绿色建筑创新奖</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等评优评奖活动具有优先推荐权；开展绿色建筑设计专项评奖，表彰优秀的绿色建筑设计作品和设计团队。</w:t>
            </w:r>
          </w:p>
        </w:tc>
      </w:tr>
      <w:tr w14:paraId="2A9C0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3" w:type="dxa"/>
            <w:shd w:val="clear" w:color="auto" w:fill="auto"/>
            <w:vAlign w:val="center"/>
          </w:tcPr>
          <w:p w14:paraId="2732BB4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5</w:t>
            </w:r>
          </w:p>
        </w:tc>
        <w:tc>
          <w:tcPr>
            <w:tcW w:w="1207" w:type="dxa"/>
            <w:shd w:val="clear" w:color="auto" w:fill="auto"/>
            <w:vAlign w:val="center"/>
          </w:tcPr>
          <w:p w14:paraId="713AF19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配套设施费用优惠</w:t>
            </w:r>
          </w:p>
        </w:tc>
        <w:tc>
          <w:tcPr>
            <w:tcW w:w="6589" w:type="dxa"/>
            <w:shd w:val="clear" w:color="auto" w:fill="auto"/>
            <w:vAlign w:val="center"/>
          </w:tcPr>
          <w:p w14:paraId="54F2DFE4">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建议对满足绿色建筑星级要求的住宅项目，减免建设单位应缴纳的城市基础设施配套费用。</w:t>
            </w:r>
          </w:p>
        </w:tc>
      </w:tr>
    </w:tbl>
    <w:p w14:paraId="53B7FA0E">
      <w:pPr>
        <w:pStyle w:val="6"/>
        <w:keepNext/>
        <w:keepLines/>
        <w:pageBreakBefore w:val="0"/>
        <w:widowControl w:val="0"/>
        <w:numPr>
          <w:ilvl w:val="255"/>
          <w:numId w:val="0"/>
        </w:numPr>
        <w:kinsoku/>
        <w:wordWrap/>
        <w:overflowPunct/>
        <w:topLinePunct w:val="0"/>
        <w:autoSpaceDE/>
        <w:autoSpaceDN/>
        <w:bidi w:val="0"/>
        <w:adjustRightInd/>
        <w:snapToGrid/>
        <w:ind w:firstLine="562" w:firstLineChars="200"/>
        <w:textAlignment w:val="auto"/>
        <w:rPr>
          <w:rFonts w:hint="default" w:ascii="Times New Roman" w:hAnsi="Times New Roman" w:cs="Times New Roman"/>
        </w:rPr>
      </w:pPr>
      <w:bookmarkStart w:id="206" w:name="_Toc124352561"/>
      <w:r>
        <w:rPr>
          <w:rFonts w:hint="default" w:ascii="Times New Roman" w:hAnsi="Times New Roman" w:cs="Times New Roman"/>
        </w:rPr>
        <w:t>8.2.5强化宣传培训</w:t>
      </w:r>
      <w:bookmarkEnd w:id="205"/>
      <w:bookmarkEnd w:id="206"/>
    </w:p>
    <w:p w14:paraId="7A254F5D">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207" w:name="_Hlk110100239"/>
      <w:r>
        <w:rPr>
          <w:rFonts w:hint="default" w:ascii="Times New Roman" w:hAnsi="Times New Roman" w:eastAsia="宋体" w:cs="Times New Roman"/>
          <w:sz w:val="28"/>
          <w:szCs w:val="28"/>
        </w:rPr>
        <w:t>结合</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全国节能宣传周</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全民节能行动</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节能宣传月</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世界环境日</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等活动，通过</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线上+线下</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传媒+新媒</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等多种方式构建立体化宣传体系，向企业和社会公众普及绿色建筑知识，广泛宣传建筑节能、绿色建筑等政策措施和技术标准，充分展示中山市绿色建筑建设成果，大力推广中山市示范性成功经验，让居民感受绿色建筑技术的效果，身临其境的体会绿色建筑的魅力，引导社会公众绿色生产生活方式，助力拓展绿色建筑供需市场。积极探索绿色社区建设模式，充分发挥镇街、社区等基层组织作用，积极组织群众参与共谋共建共管共评共享，营造有利于绿色低碳发展的社会氛围。</w:t>
      </w:r>
    </w:p>
    <w:p w14:paraId="1CEF2C6D">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大力推动绿色建筑技术与装配式、智能建造技术深度融合发展，积极推动中山市与国内外先进科研机构、高等院校、龙头企业及行业协会等交流合作，推进产学研联合模式与机制，建立重点领域技术创新联合体，开展关键技术、新型材料设备的科研攻关和研发。推进全方位、多层次、宽领域的国际合作，学习借鉴国际先进经验，建立适合本地的绿色建筑、装配式建筑和超低能耗建筑的技术发展模式。加强绿色建筑人才培养，创建绿色建筑全过程从业人员、管理人员专业培训基地，定期开展绿色建筑相关技术、技能的宣贯和培训，提高规划、设计、施工、管理、评价、运行等人员的技术水平，优化强化中山市绿色建筑发展人才队伍建设</w:t>
      </w:r>
      <w:bookmarkEnd w:id="207"/>
      <w:r>
        <w:rPr>
          <w:rFonts w:hint="default" w:ascii="Times New Roman" w:hAnsi="Times New Roman" w:eastAsia="宋体" w:cs="Times New Roman"/>
          <w:sz w:val="28"/>
          <w:szCs w:val="28"/>
        </w:rPr>
        <w:t>。</w:t>
      </w:r>
    </w:p>
    <w:p w14:paraId="3CA18F6C">
      <w:pPr>
        <w:rPr>
          <w:rFonts w:hint="default" w:ascii="Times New Roman" w:hAnsi="Times New Roman" w:cs="Times New Roman"/>
        </w:rPr>
      </w:pPr>
      <w:bookmarkStart w:id="208" w:name="_Toc124352562"/>
      <w:r>
        <w:rPr>
          <w:rFonts w:hint="default" w:ascii="Times New Roman" w:hAnsi="Times New Roman" w:cs="Times New Roman"/>
        </w:rPr>
        <w:br w:type="page"/>
      </w:r>
    </w:p>
    <w:p w14:paraId="02B314F9">
      <w:pPr>
        <w:pStyle w:val="4"/>
        <w:rPr>
          <w:rFonts w:hint="default" w:ascii="Times New Roman" w:hAnsi="Times New Roman" w:cs="Times New Roman"/>
        </w:rPr>
      </w:pPr>
      <w:r>
        <w:rPr>
          <w:rFonts w:hint="default" w:ascii="Times New Roman" w:hAnsi="Times New Roman" w:cs="Times New Roman"/>
        </w:rPr>
        <w:t>附件：历次意见及回复</w:t>
      </w:r>
      <w:bookmarkEnd w:id="208"/>
    </w:p>
    <w:p w14:paraId="4275D8A8">
      <w:pPr>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（1）部门征求意见及回复</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3"/>
        <w:gridCol w:w="730"/>
        <w:gridCol w:w="5005"/>
        <w:gridCol w:w="1075"/>
        <w:gridCol w:w="1054"/>
      </w:tblGrid>
      <w:tr w14:paraId="04592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593" w:type="dxa"/>
            <w:vAlign w:val="center"/>
          </w:tcPr>
          <w:p w14:paraId="4582C0A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730" w:type="dxa"/>
            <w:vAlign w:val="center"/>
          </w:tcPr>
          <w:p w14:paraId="14A1B6D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部门</w:t>
            </w:r>
          </w:p>
        </w:tc>
        <w:tc>
          <w:tcPr>
            <w:tcW w:w="5005" w:type="dxa"/>
            <w:vAlign w:val="center"/>
          </w:tcPr>
          <w:p w14:paraId="063E4A3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反馈意见情况</w:t>
            </w:r>
          </w:p>
        </w:tc>
        <w:tc>
          <w:tcPr>
            <w:tcW w:w="1075" w:type="dxa"/>
            <w:vAlign w:val="center"/>
          </w:tcPr>
          <w:p w14:paraId="4FF3FAB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是否采纳</w:t>
            </w:r>
          </w:p>
        </w:tc>
        <w:tc>
          <w:tcPr>
            <w:tcW w:w="1054" w:type="dxa"/>
            <w:vAlign w:val="center"/>
          </w:tcPr>
          <w:p w14:paraId="7E6A9C1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修改回复</w:t>
            </w:r>
          </w:p>
        </w:tc>
      </w:tr>
      <w:tr w14:paraId="0EEF7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3" w:hRule="atLeast"/>
          <w:jc w:val="center"/>
        </w:trPr>
        <w:tc>
          <w:tcPr>
            <w:tcW w:w="593" w:type="dxa"/>
            <w:vAlign w:val="center"/>
          </w:tcPr>
          <w:p w14:paraId="711A02DE">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730" w:type="dxa"/>
            <w:vAlign w:val="center"/>
          </w:tcPr>
          <w:p w14:paraId="05D0686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中山市财政局</w:t>
            </w:r>
          </w:p>
        </w:tc>
        <w:tc>
          <w:tcPr>
            <w:tcW w:w="5005" w:type="dxa"/>
            <w:vAlign w:val="center"/>
          </w:tcPr>
          <w:p w14:paraId="1AA05FE5">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按照财政制度的相关规定，建议删除：</w:t>
            </w:r>
          </w:p>
          <w:p w14:paraId="0980FF4A">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（1）第18页第五章16条保障措施的表29第三项</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完善绿色建筑专项资金奖励办法，规范资金使用方式，确保专款专用</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w:t>
            </w:r>
          </w:p>
          <w:p w14:paraId="21EABF64">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（2）表30《既有建筑节能绿色化改造》第二项</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补充建筑节能、绿色建筑专项资金奖励对既有建筑节能绿色化改造奖励具体措施，规划资金使用方式、确保专款专用</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w:t>
            </w:r>
          </w:p>
          <w:p w14:paraId="188D95F3">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（3）表31第1项</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专项资金</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的有关表述。</w:t>
            </w:r>
          </w:p>
        </w:tc>
        <w:tc>
          <w:tcPr>
            <w:tcW w:w="1075" w:type="dxa"/>
            <w:vAlign w:val="center"/>
          </w:tcPr>
          <w:p w14:paraId="3197324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采纳</w:t>
            </w:r>
          </w:p>
        </w:tc>
        <w:tc>
          <w:tcPr>
            <w:tcW w:w="1054" w:type="dxa"/>
            <w:vAlign w:val="center"/>
          </w:tcPr>
          <w:p w14:paraId="04225EB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按要求修改</w:t>
            </w:r>
          </w:p>
        </w:tc>
      </w:tr>
      <w:tr w14:paraId="4C533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jc w:val="center"/>
        </w:trPr>
        <w:tc>
          <w:tcPr>
            <w:tcW w:w="593" w:type="dxa"/>
            <w:vAlign w:val="center"/>
          </w:tcPr>
          <w:p w14:paraId="4F72006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730" w:type="dxa"/>
            <w:vAlign w:val="center"/>
          </w:tcPr>
          <w:p w14:paraId="36D4088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中山翠亨新区管理委员会</w:t>
            </w:r>
          </w:p>
        </w:tc>
        <w:tc>
          <w:tcPr>
            <w:tcW w:w="5005" w:type="dxa"/>
            <w:vAlign w:val="center"/>
          </w:tcPr>
          <w:p w14:paraId="0B022CA6">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关于征求意见稿中的翠亨新区NL-1921、NL1922单元，在《翠亨新区起步区控制项详细规划（2019）—空间结构规划图》中为产研一体示范区，为衔接控规方案，统一建设标准，建议两单元统一调整为重点区域。</w:t>
            </w:r>
          </w:p>
        </w:tc>
        <w:tc>
          <w:tcPr>
            <w:tcW w:w="1075" w:type="dxa"/>
            <w:vAlign w:val="center"/>
          </w:tcPr>
          <w:p w14:paraId="398CBD8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采纳</w:t>
            </w:r>
          </w:p>
        </w:tc>
        <w:tc>
          <w:tcPr>
            <w:tcW w:w="1054" w:type="dxa"/>
            <w:vAlign w:val="center"/>
          </w:tcPr>
          <w:p w14:paraId="5F76D0E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按要求修改</w:t>
            </w:r>
          </w:p>
        </w:tc>
      </w:tr>
      <w:tr w14:paraId="1B980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6" w:hRule="atLeast"/>
          <w:jc w:val="center"/>
        </w:trPr>
        <w:tc>
          <w:tcPr>
            <w:tcW w:w="593" w:type="dxa"/>
            <w:vAlign w:val="center"/>
          </w:tcPr>
          <w:p w14:paraId="2A8E3B0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w:t>
            </w:r>
          </w:p>
        </w:tc>
        <w:tc>
          <w:tcPr>
            <w:tcW w:w="730" w:type="dxa"/>
            <w:vAlign w:val="center"/>
          </w:tcPr>
          <w:p w14:paraId="0BD3AF15">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中山市自然资源局</w:t>
            </w:r>
          </w:p>
        </w:tc>
        <w:tc>
          <w:tcPr>
            <w:tcW w:w="5005" w:type="dxa"/>
            <w:vAlign w:val="center"/>
          </w:tcPr>
          <w:p w14:paraId="42359976">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文本中第10条第2点：</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应在工程规划许可证或附件中注明绿色建筑等级要求</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。建议明确我局在建设工程规划许可证审批阶段是否需要对绿色建筑相关内容进行审查，如需要审查，建议明确审查的内容和审查的具体要求。</w:t>
            </w:r>
          </w:p>
        </w:tc>
        <w:tc>
          <w:tcPr>
            <w:tcW w:w="1075" w:type="dxa"/>
            <w:vAlign w:val="center"/>
          </w:tcPr>
          <w:p w14:paraId="4A7E70F7">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采纳</w:t>
            </w:r>
          </w:p>
        </w:tc>
        <w:tc>
          <w:tcPr>
            <w:tcW w:w="1054" w:type="dxa"/>
            <w:vAlign w:val="center"/>
          </w:tcPr>
          <w:p w14:paraId="66AD02C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按要求在文本中进行明确</w:t>
            </w:r>
          </w:p>
        </w:tc>
      </w:tr>
    </w:tbl>
    <w:p w14:paraId="6DA3FC41">
      <w:pPr>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br w:type="column"/>
      </w:r>
      <w:r>
        <w:rPr>
          <w:rFonts w:hint="default" w:ascii="Times New Roman" w:hAnsi="Times New Roman" w:eastAsia="宋体" w:cs="Times New Roman"/>
          <w:sz w:val="28"/>
          <w:szCs w:val="28"/>
        </w:rPr>
        <w:t>（2）专家评审会专家意见及回复</w:t>
      </w:r>
    </w:p>
    <w:tbl>
      <w:tblPr>
        <w:tblStyle w:val="25"/>
        <w:tblW w:w="503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99"/>
        <w:gridCol w:w="1655"/>
        <w:gridCol w:w="1118"/>
        <w:gridCol w:w="5203"/>
      </w:tblGrid>
      <w:tr w14:paraId="64F92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tblHeader/>
        </w:trPr>
        <w:tc>
          <w:tcPr>
            <w:tcW w:w="238" w:type="pct"/>
            <w:shd w:val="clear" w:color="auto" w:fill="auto"/>
            <w:vAlign w:val="center"/>
          </w:tcPr>
          <w:p w14:paraId="6110FD57">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988" w:type="pct"/>
            <w:shd w:val="clear" w:color="auto" w:fill="auto"/>
            <w:tcMar>
              <w:top w:w="12" w:type="dxa"/>
              <w:left w:w="12" w:type="dxa"/>
              <w:right w:w="12" w:type="dxa"/>
            </w:tcMar>
            <w:vAlign w:val="center"/>
          </w:tcPr>
          <w:p w14:paraId="07FEA25E">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专家意见</w:t>
            </w:r>
          </w:p>
        </w:tc>
        <w:tc>
          <w:tcPr>
            <w:tcW w:w="667" w:type="pct"/>
            <w:shd w:val="clear" w:color="auto" w:fill="auto"/>
            <w:tcMar>
              <w:top w:w="12" w:type="dxa"/>
              <w:left w:w="12" w:type="dxa"/>
              <w:right w:w="12" w:type="dxa"/>
            </w:tcMar>
            <w:vAlign w:val="center"/>
          </w:tcPr>
          <w:p w14:paraId="396B268C">
            <w:pPr>
              <w:widowControl/>
              <w:jc w:val="center"/>
              <w:textAlignment w:val="center"/>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是否采纳</w:t>
            </w:r>
          </w:p>
        </w:tc>
        <w:tc>
          <w:tcPr>
            <w:tcW w:w="3105" w:type="pct"/>
            <w:shd w:val="clear" w:color="auto" w:fill="auto"/>
            <w:tcMar>
              <w:top w:w="12" w:type="dxa"/>
              <w:left w:w="12" w:type="dxa"/>
              <w:right w:w="12" w:type="dxa"/>
            </w:tcMar>
            <w:vAlign w:val="center"/>
          </w:tcPr>
          <w:p w14:paraId="5327AD5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意见回复</w:t>
            </w:r>
          </w:p>
        </w:tc>
      </w:tr>
      <w:tr w14:paraId="57D57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0" w:hRule="atLeast"/>
        </w:trPr>
        <w:tc>
          <w:tcPr>
            <w:tcW w:w="238" w:type="pct"/>
            <w:vAlign w:val="center"/>
          </w:tcPr>
          <w:p w14:paraId="442A735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988" w:type="pct"/>
            <w:shd w:val="clear" w:color="auto" w:fill="auto"/>
            <w:tcMar>
              <w:top w:w="12" w:type="dxa"/>
              <w:left w:w="12" w:type="dxa"/>
              <w:right w:w="12" w:type="dxa"/>
            </w:tcMar>
            <w:vAlign w:val="center"/>
          </w:tcPr>
          <w:p w14:paraId="7B6744AD">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加强与控制性详细规划的衔接，验证指标合理性。</w:t>
            </w:r>
          </w:p>
        </w:tc>
        <w:tc>
          <w:tcPr>
            <w:tcW w:w="667" w:type="pct"/>
            <w:shd w:val="clear" w:color="auto" w:fill="auto"/>
            <w:tcMar>
              <w:top w:w="12" w:type="dxa"/>
              <w:left w:w="12" w:type="dxa"/>
              <w:right w:w="12" w:type="dxa"/>
            </w:tcMar>
            <w:vAlign w:val="center"/>
          </w:tcPr>
          <w:p w14:paraId="7E003524">
            <w:pPr>
              <w:widowControl/>
              <w:jc w:val="center"/>
              <w:textAlignment w:val="center"/>
              <w:rPr>
                <w:rFonts w:hint="eastAsia"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1B82C601">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考虑中山控规编制的实际情况，调整本规划的分区，将目标单元划分至各镇街，对镇街划分不同的等级，提出相应的绿色建筑要求，便于在控规中予以落实。</w:t>
            </w:r>
          </w:p>
          <w:p w14:paraId="04EF5170">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按照专家要求，在规划说明书中补充任务指标的验证内容，确保规划任务指标的合理性。</w:t>
            </w:r>
          </w:p>
        </w:tc>
      </w:tr>
      <w:tr w14:paraId="2FC3C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0" w:hRule="atLeast"/>
        </w:trPr>
        <w:tc>
          <w:tcPr>
            <w:tcW w:w="238" w:type="pct"/>
            <w:vAlign w:val="center"/>
          </w:tcPr>
          <w:p w14:paraId="3C88587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988" w:type="pct"/>
            <w:shd w:val="clear" w:color="auto" w:fill="auto"/>
            <w:tcMar>
              <w:top w:w="12" w:type="dxa"/>
              <w:left w:w="12" w:type="dxa"/>
              <w:right w:w="12" w:type="dxa"/>
            </w:tcMar>
            <w:vAlign w:val="center"/>
          </w:tcPr>
          <w:p w14:paraId="719638DE">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多关注绿色产业发展。</w:t>
            </w:r>
          </w:p>
        </w:tc>
        <w:tc>
          <w:tcPr>
            <w:tcW w:w="667" w:type="pct"/>
            <w:shd w:val="clear" w:color="auto" w:fill="auto"/>
            <w:tcMar>
              <w:top w:w="12" w:type="dxa"/>
              <w:left w:w="12" w:type="dxa"/>
              <w:right w:w="12" w:type="dxa"/>
            </w:tcMar>
            <w:vAlign w:val="center"/>
          </w:tcPr>
          <w:p w14:paraId="4663C79B">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7615918C">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结合太阳能光伏应用、装配式建筑应用、绿色建材发展应用等绿色产业发展，在规划的重点任务中丰富完善相关重点工作内容。</w:t>
            </w:r>
          </w:p>
        </w:tc>
      </w:tr>
      <w:tr w14:paraId="6EDEC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0" w:hRule="atLeast"/>
        </w:trPr>
        <w:tc>
          <w:tcPr>
            <w:tcW w:w="238" w:type="pct"/>
            <w:vAlign w:val="center"/>
          </w:tcPr>
          <w:p w14:paraId="2FF3859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w:t>
            </w:r>
          </w:p>
        </w:tc>
        <w:tc>
          <w:tcPr>
            <w:tcW w:w="988" w:type="pct"/>
            <w:shd w:val="clear" w:color="auto" w:fill="auto"/>
            <w:tcMar>
              <w:top w:w="12" w:type="dxa"/>
              <w:left w:w="12" w:type="dxa"/>
              <w:right w:w="12" w:type="dxa"/>
            </w:tcMar>
            <w:vAlign w:val="center"/>
          </w:tcPr>
          <w:p w14:paraId="38C0183E">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建议保障措施实施</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严惩多奖</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，参考国外成功经验，采用备案制、承诺制，做到</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事前备案、事后抽查、明确奖惩</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w:t>
            </w:r>
          </w:p>
        </w:tc>
        <w:tc>
          <w:tcPr>
            <w:tcW w:w="667" w:type="pct"/>
            <w:shd w:val="clear" w:color="auto" w:fill="auto"/>
            <w:tcMar>
              <w:top w:w="12" w:type="dxa"/>
              <w:left w:w="12" w:type="dxa"/>
              <w:right w:w="12" w:type="dxa"/>
            </w:tcMar>
            <w:vAlign w:val="center"/>
          </w:tcPr>
          <w:p w14:paraId="50382211">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6DE95D5C">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按照专家要求，结合美国的LEED体系、WELL体系，英国的BREAM认证的成功经验，并结合国内已有的备案制、承诺制机制的应用情况，在保障措施中探索切实可行的绿色建筑相关备案制度，确保绿色建筑的落地实施。</w:t>
            </w:r>
          </w:p>
        </w:tc>
      </w:tr>
      <w:tr w14:paraId="1CC71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3" w:hRule="atLeast"/>
        </w:trPr>
        <w:tc>
          <w:tcPr>
            <w:tcW w:w="238" w:type="pct"/>
            <w:vAlign w:val="center"/>
          </w:tcPr>
          <w:p w14:paraId="45D75B6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4</w:t>
            </w:r>
          </w:p>
        </w:tc>
        <w:tc>
          <w:tcPr>
            <w:tcW w:w="988" w:type="pct"/>
            <w:shd w:val="clear" w:color="auto" w:fill="auto"/>
            <w:tcMar>
              <w:top w:w="12" w:type="dxa"/>
              <w:left w:w="12" w:type="dxa"/>
              <w:right w:w="12" w:type="dxa"/>
            </w:tcMar>
            <w:vAlign w:val="center"/>
          </w:tcPr>
          <w:p w14:paraId="32AF5202">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补充最新上位规划。增加《中山市绿色建筑创建行动实施方案（2021-2023）》、《中山市装配式建筑（2021-2025 年）发展规划》对本规划的相关性，做好规划衔接，补充中山市住房发展规划，更新国土空间总体规划和专项规划等相关内容。</w:t>
            </w:r>
          </w:p>
        </w:tc>
        <w:tc>
          <w:tcPr>
            <w:tcW w:w="667" w:type="pct"/>
            <w:shd w:val="clear" w:color="auto" w:fill="auto"/>
            <w:tcMar>
              <w:top w:w="12" w:type="dxa"/>
              <w:left w:w="12" w:type="dxa"/>
              <w:right w:w="12" w:type="dxa"/>
            </w:tcMar>
            <w:vAlign w:val="center"/>
          </w:tcPr>
          <w:p w14:paraId="7B11A63E">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32487CA2">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按照专家要求，加强规划的衔接。本规划参考《中山市绿色建筑创建行动实施方案（2021-2023）》进行了绿色建筑星级要求的设置，《中山市装配式建筑（2021-2025 年）发展规划》中2025年的指标要求作为目标单元潜力分析因子进行了分析。后期将按照中山市住房发展规划、国土空间规划等内容，加强规划的衔接。</w:t>
            </w:r>
          </w:p>
        </w:tc>
      </w:tr>
      <w:tr w14:paraId="1A1C2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9" w:hRule="atLeast"/>
        </w:trPr>
        <w:tc>
          <w:tcPr>
            <w:tcW w:w="238" w:type="pct"/>
            <w:vAlign w:val="center"/>
          </w:tcPr>
          <w:p w14:paraId="6D0B204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5</w:t>
            </w:r>
          </w:p>
        </w:tc>
        <w:tc>
          <w:tcPr>
            <w:tcW w:w="988" w:type="pct"/>
            <w:shd w:val="clear" w:color="auto" w:fill="auto"/>
            <w:tcMar>
              <w:top w:w="12" w:type="dxa"/>
              <w:left w:w="12" w:type="dxa"/>
              <w:right w:w="12" w:type="dxa"/>
            </w:tcMar>
            <w:vAlign w:val="center"/>
          </w:tcPr>
          <w:p w14:paraId="5E1D836D">
            <w:pPr>
              <w:widowControl/>
              <w:ind w:leftChars="2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衔接最新的控规管理单元。说明书</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图4-25南朗街道管理分区目标单元划分图</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是翠亨新区马鞍岛范围，缺南朗街道单元。管理分区尽量衔接行政管理事权，避免同一个行政区不同的管理区。特别需要衔接好岐江新城范围内镇街的管理单元及控制指标，避免岐江新城内项目审批出现各式各样。</w:t>
            </w:r>
          </w:p>
        </w:tc>
        <w:tc>
          <w:tcPr>
            <w:tcW w:w="667" w:type="pct"/>
            <w:shd w:val="clear" w:color="auto" w:fill="auto"/>
            <w:tcMar>
              <w:top w:w="12" w:type="dxa"/>
              <w:left w:w="12" w:type="dxa"/>
              <w:right w:w="12" w:type="dxa"/>
            </w:tcMar>
            <w:vAlign w:val="center"/>
          </w:tcPr>
          <w:p w14:paraId="00206401">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1FB5A7D9">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考虑中山控规编制的实际情况，调整本规划的分区，将目标单元划分至各镇街，对镇街划分不同的等级，提出相应的绿色建筑要求，便于在控规中予以落实。</w:t>
            </w:r>
          </w:p>
        </w:tc>
      </w:tr>
      <w:tr w14:paraId="7BDD2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47" w:hRule="atLeast"/>
        </w:trPr>
        <w:tc>
          <w:tcPr>
            <w:tcW w:w="238" w:type="pct"/>
            <w:vAlign w:val="center"/>
          </w:tcPr>
          <w:p w14:paraId="6B851A6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6</w:t>
            </w:r>
          </w:p>
        </w:tc>
        <w:tc>
          <w:tcPr>
            <w:tcW w:w="988" w:type="pct"/>
            <w:shd w:val="clear" w:color="auto" w:fill="auto"/>
            <w:tcMar>
              <w:top w:w="12" w:type="dxa"/>
              <w:left w:w="12" w:type="dxa"/>
              <w:right w:w="12" w:type="dxa"/>
            </w:tcMar>
            <w:vAlign w:val="center"/>
          </w:tcPr>
          <w:p w14:paraId="231BE25D">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加强绿色建筑发展的支撑体系研究，通过案例研究，分析管控指标设置子项和基础数据合理性，达到指标的所需要的支撑条件。增加</w:t>
            </w:r>
            <w:r>
              <w:rPr>
                <w:rFonts w:hint="default" w:ascii="Times New Roman" w:hAnsi="Times New Roman" w:eastAsia="宋体" w:cs="Times New Roman"/>
                <w:b w:val="0"/>
                <w:bCs w:val="0"/>
                <w:color w:val="000000"/>
                <w:kern w:val="0"/>
                <w:sz w:val="21"/>
                <w:szCs w:val="21"/>
                <w:lang w:val="en-US" w:eastAsia="zh-CN"/>
              </w:rPr>
              <w:t>文本</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表</w:t>
            </w:r>
            <w:r>
              <w:rPr>
                <w:rFonts w:hint="default" w:ascii="Times New Roman" w:hAnsi="Times New Roman" w:eastAsia="宋体" w:cs="Times New Roman"/>
                <w:b w:val="0"/>
                <w:bCs w:val="0"/>
                <w:color w:val="000000"/>
                <w:kern w:val="0"/>
                <w:sz w:val="21"/>
                <w:szCs w:val="21"/>
                <w:lang w:val="en-US" w:eastAsia="zh-CN"/>
              </w:rPr>
              <w:t>12</w:t>
            </w:r>
            <w:r>
              <w:rPr>
                <w:rFonts w:hint="default" w:ascii="Times New Roman" w:hAnsi="Times New Roman" w:eastAsia="宋体" w:cs="Times New Roman"/>
                <w:b w:val="0"/>
                <w:bCs w:val="0"/>
                <w:color w:val="000000"/>
                <w:kern w:val="0"/>
                <w:sz w:val="21"/>
                <w:szCs w:val="21"/>
              </w:rPr>
              <w:t xml:space="preserve"> 目标单元引导性指标控制表</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的计算规则，如重点区域公共空间300米覆盖率≥90%；开放空间500米覆盖率≥60%；轨道站点800米覆盖率≥70%（暂无轨道规划）；公共服务设施覆盖率≥95%等，如何计算，确保指标可操作性。</w:t>
            </w:r>
          </w:p>
        </w:tc>
        <w:tc>
          <w:tcPr>
            <w:tcW w:w="667" w:type="pct"/>
            <w:shd w:val="clear" w:color="auto" w:fill="auto"/>
            <w:tcMar>
              <w:top w:w="12" w:type="dxa"/>
              <w:left w:w="12" w:type="dxa"/>
              <w:right w:w="12" w:type="dxa"/>
            </w:tcMar>
            <w:vAlign w:val="center"/>
          </w:tcPr>
          <w:p w14:paraId="3043C472">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2C9B725F">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1、按照专家意见，补充绿色建筑相关技术案例分析，提取汇总适宜中山特色的绿色技术体系和指标；</w:t>
            </w:r>
          </w:p>
          <w:p w14:paraId="744B3832">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2、在本规划说明书第6章指标要求中，结合《绿色建筑评价标准》（GB/T 50378-2019）、《绿色生态城区评价标准》（GB/T 51255）相关标准，明确</w:t>
            </w:r>
            <w:r>
              <w:rPr>
                <w:rFonts w:hint="default" w:ascii="Times New Roman" w:hAnsi="Times New Roman" w:eastAsia="宋体" w:cs="Times New Roman"/>
                <w:b w:val="0"/>
                <w:bCs w:val="0"/>
                <w:color w:val="000000"/>
                <w:kern w:val="0"/>
                <w:sz w:val="21"/>
                <w:szCs w:val="21"/>
                <w:lang w:val="en-US" w:eastAsia="zh-CN"/>
              </w:rPr>
              <w:t>文本</w:t>
            </w:r>
            <w:r>
              <w:rPr>
                <w:rFonts w:hint="default" w:ascii="Times New Roman" w:hAnsi="Times New Roman" w:eastAsia="宋体" w:cs="Times New Roman"/>
                <w:b w:val="0"/>
                <w:bCs w:val="0"/>
                <w:color w:val="000000"/>
                <w:kern w:val="0"/>
                <w:sz w:val="21"/>
                <w:szCs w:val="21"/>
              </w:rPr>
              <w:t>表</w:t>
            </w:r>
            <w:r>
              <w:rPr>
                <w:rFonts w:hint="default" w:ascii="Times New Roman" w:hAnsi="Times New Roman" w:eastAsia="宋体" w:cs="Times New Roman"/>
                <w:b w:val="0"/>
                <w:bCs w:val="0"/>
                <w:color w:val="000000"/>
                <w:kern w:val="0"/>
                <w:sz w:val="21"/>
                <w:szCs w:val="21"/>
                <w:lang w:val="en-US" w:eastAsia="zh-CN"/>
              </w:rPr>
              <w:t>12</w:t>
            </w:r>
            <w:r>
              <w:rPr>
                <w:rFonts w:hint="default" w:ascii="Times New Roman" w:hAnsi="Times New Roman" w:eastAsia="宋体" w:cs="Times New Roman"/>
                <w:b w:val="0"/>
                <w:bCs w:val="0"/>
                <w:color w:val="000000"/>
                <w:kern w:val="0"/>
                <w:sz w:val="21"/>
                <w:szCs w:val="21"/>
              </w:rPr>
              <w:t>中各类指标的意义和计算方法。确保指标的可操作性。并</w:t>
            </w:r>
            <w:r>
              <w:rPr>
                <w:rFonts w:hint="default" w:ascii="Times New Roman" w:hAnsi="Times New Roman" w:eastAsia="宋体" w:cs="Times New Roman"/>
                <w:b w:val="0"/>
                <w:bCs w:val="0"/>
                <w:color w:val="000000"/>
                <w:kern w:val="0"/>
                <w:sz w:val="21"/>
                <w:szCs w:val="21"/>
                <w:lang w:val="en-US" w:eastAsia="zh-CN"/>
              </w:rPr>
              <w:t>结合</w:t>
            </w:r>
            <w:r>
              <w:rPr>
                <w:rFonts w:hint="default" w:ascii="Times New Roman" w:hAnsi="Times New Roman" w:eastAsia="宋体" w:cs="Times New Roman"/>
                <w:b w:val="0"/>
                <w:bCs w:val="0"/>
                <w:color w:val="000000"/>
                <w:kern w:val="0"/>
                <w:sz w:val="21"/>
                <w:szCs w:val="21"/>
              </w:rPr>
              <w:t>中山本地情况，提出适宜中山特色的指标要求。</w:t>
            </w:r>
          </w:p>
        </w:tc>
      </w:tr>
      <w:tr w14:paraId="20B87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0" w:hRule="atLeast"/>
        </w:trPr>
        <w:tc>
          <w:tcPr>
            <w:tcW w:w="238" w:type="pct"/>
            <w:vAlign w:val="center"/>
          </w:tcPr>
          <w:p w14:paraId="3B39E91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7</w:t>
            </w:r>
          </w:p>
        </w:tc>
        <w:tc>
          <w:tcPr>
            <w:tcW w:w="988" w:type="pct"/>
            <w:shd w:val="clear" w:color="auto" w:fill="auto"/>
            <w:tcMar>
              <w:top w:w="12" w:type="dxa"/>
              <w:left w:w="12" w:type="dxa"/>
              <w:right w:w="12" w:type="dxa"/>
            </w:tcMar>
            <w:vAlign w:val="center"/>
          </w:tcPr>
          <w:p w14:paraId="5AF3A9AE">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说明书</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图5-6中山市绿色建筑潜力分析图</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，需要围绕中山市重大平台、十大主题产业园、市政府</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工改</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重点项目、深中合作产业园等重点地区做修正。文本修正：中山行政区行政辖区陆域面积1781平方公里。</w:t>
            </w:r>
          </w:p>
        </w:tc>
        <w:tc>
          <w:tcPr>
            <w:tcW w:w="667" w:type="pct"/>
            <w:shd w:val="clear" w:color="auto" w:fill="auto"/>
            <w:tcMar>
              <w:top w:w="12" w:type="dxa"/>
              <w:left w:w="12" w:type="dxa"/>
              <w:right w:w="12" w:type="dxa"/>
            </w:tcMar>
            <w:vAlign w:val="center"/>
          </w:tcPr>
          <w:p w14:paraId="63638A94">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77D806D4">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1、本规划目标单元潜力分析中，在上位规划的</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区位条件</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因子中按照中山市国土空间总体规划中的开发格局规划，按不同发展等级进行了潜力分析。按照专家要求，结合中山市重大平台、十大产业园、市政府</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工改</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重点项目等，丰富潜力分析。</w:t>
            </w:r>
          </w:p>
          <w:p w14:paraId="46ADB93D">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2、按专家意见，在规划范围中明确陆域面积。</w:t>
            </w:r>
          </w:p>
        </w:tc>
      </w:tr>
      <w:tr w14:paraId="25272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238" w:type="pct"/>
            <w:vAlign w:val="center"/>
          </w:tcPr>
          <w:p w14:paraId="16537EE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8</w:t>
            </w:r>
          </w:p>
        </w:tc>
        <w:tc>
          <w:tcPr>
            <w:tcW w:w="988" w:type="pct"/>
            <w:shd w:val="clear" w:color="auto" w:fill="auto"/>
            <w:tcMar>
              <w:top w:w="12" w:type="dxa"/>
              <w:left w:w="12" w:type="dxa"/>
              <w:right w:w="12" w:type="dxa"/>
            </w:tcMar>
            <w:vAlign w:val="center"/>
          </w:tcPr>
          <w:p w14:paraId="580FA3EA">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加强与国土部门沟通，确保规划落地。</w:t>
            </w:r>
          </w:p>
        </w:tc>
        <w:tc>
          <w:tcPr>
            <w:tcW w:w="667" w:type="pct"/>
            <w:shd w:val="clear" w:color="auto" w:fill="auto"/>
            <w:tcMar>
              <w:top w:w="12" w:type="dxa"/>
              <w:left w:w="12" w:type="dxa"/>
              <w:right w:w="12" w:type="dxa"/>
            </w:tcMar>
            <w:vAlign w:val="center"/>
          </w:tcPr>
          <w:p w14:paraId="46335ADA">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23783B85">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规划成果前期已征求自然资源部门的意见，并按照自然资源部门意见进行修改完善，后期将继续积极与国土部门沟通交流，确保规划的落地实施。</w:t>
            </w:r>
          </w:p>
        </w:tc>
      </w:tr>
      <w:tr w14:paraId="01BB9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238" w:type="pct"/>
            <w:vAlign w:val="center"/>
          </w:tcPr>
          <w:p w14:paraId="17F8269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9</w:t>
            </w:r>
          </w:p>
        </w:tc>
        <w:tc>
          <w:tcPr>
            <w:tcW w:w="988" w:type="pct"/>
            <w:shd w:val="clear" w:color="auto" w:fill="auto"/>
            <w:tcMar>
              <w:top w:w="12" w:type="dxa"/>
              <w:left w:w="12" w:type="dxa"/>
              <w:right w:w="12" w:type="dxa"/>
            </w:tcMar>
            <w:vAlign w:val="center"/>
          </w:tcPr>
          <w:p w14:paraId="194145DC">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控规单元仍在编制，之前的多项规划会有所改动，因此只能根据现状评估中山市。</w:t>
            </w:r>
          </w:p>
        </w:tc>
        <w:tc>
          <w:tcPr>
            <w:tcW w:w="667" w:type="pct"/>
            <w:shd w:val="clear" w:color="auto" w:fill="auto"/>
            <w:tcMar>
              <w:top w:w="12" w:type="dxa"/>
              <w:left w:w="12" w:type="dxa"/>
              <w:right w:w="12" w:type="dxa"/>
            </w:tcMar>
            <w:vAlign w:val="center"/>
          </w:tcPr>
          <w:p w14:paraId="4C66D4BE">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5EFFB20E">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本规划的潜力分析一方面结合中山市现状，从</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经济、人口</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以及</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教育、体育设施、公交分布</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等因素进行分析；另一方面也考虑中山市未来发展，结合国土空间总体规划和其它相关规划，从</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区域发展定位、装配式建筑发展、城市更新建设、海绵城市建设</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等角度进行分析，综合考虑中山市内各区域的发展潜力。按照专家意见，本规划将结合中山市重大平台、十大产业园、市政府</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工改</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重点项目等，丰富潜力分析。</w:t>
            </w:r>
          </w:p>
        </w:tc>
      </w:tr>
      <w:tr w14:paraId="28528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0" w:hRule="atLeast"/>
        </w:trPr>
        <w:tc>
          <w:tcPr>
            <w:tcW w:w="238" w:type="pct"/>
            <w:vAlign w:val="center"/>
          </w:tcPr>
          <w:p w14:paraId="77767AD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10</w:t>
            </w:r>
          </w:p>
        </w:tc>
        <w:tc>
          <w:tcPr>
            <w:tcW w:w="988" w:type="pct"/>
            <w:shd w:val="clear" w:color="auto" w:fill="auto"/>
            <w:tcMar>
              <w:top w:w="12" w:type="dxa"/>
              <w:left w:w="12" w:type="dxa"/>
              <w:right w:w="12" w:type="dxa"/>
            </w:tcMar>
            <w:vAlign w:val="center"/>
          </w:tcPr>
          <w:p w14:paraId="73D3D3C3">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控规单元内不止新建建筑情况，还包含微改造情况。建议参考微改造指引，完善成果内容。</w:t>
            </w:r>
          </w:p>
        </w:tc>
        <w:tc>
          <w:tcPr>
            <w:tcW w:w="667" w:type="pct"/>
            <w:shd w:val="clear" w:color="auto" w:fill="auto"/>
            <w:tcMar>
              <w:top w:w="12" w:type="dxa"/>
              <w:left w:w="12" w:type="dxa"/>
              <w:right w:w="12" w:type="dxa"/>
            </w:tcMar>
            <w:vAlign w:val="center"/>
          </w:tcPr>
          <w:p w14:paraId="7CB9CAAD">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5A156A10">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按照专家意见，结合中山市城市更新、微改造项目计划等，提出相关绿色建设指标，丰富规划成果。</w:t>
            </w:r>
          </w:p>
        </w:tc>
      </w:tr>
      <w:tr w14:paraId="546CC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0" w:hRule="atLeast"/>
        </w:trPr>
        <w:tc>
          <w:tcPr>
            <w:tcW w:w="238" w:type="pct"/>
            <w:vAlign w:val="center"/>
          </w:tcPr>
          <w:p w14:paraId="2F42A19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11</w:t>
            </w:r>
          </w:p>
        </w:tc>
        <w:tc>
          <w:tcPr>
            <w:tcW w:w="988" w:type="pct"/>
            <w:shd w:val="clear" w:color="auto" w:fill="auto"/>
            <w:tcMar>
              <w:top w:w="12" w:type="dxa"/>
              <w:left w:w="12" w:type="dxa"/>
              <w:right w:w="12" w:type="dxa"/>
            </w:tcMar>
            <w:vAlign w:val="center"/>
          </w:tcPr>
          <w:p w14:paraId="6E73E9DC">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目前指标分类较少，仅公共建筑和居住建筑。实际上，两类建筑仍存在差异，公共建筑包括卫生建筑、商业建筑等。建议考虑按各类建筑细化指标。</w:t>
            </w:r>
          </w:p>
        </w:tc>
        <w:tc>
          <w:tcPr>
            <w:tcW w:w="667" w:type="pct"/>
            <w:shd w:val="clear" w:color="auto" w:fill="auto"/>
            <w:tcMar>
              <w:top w:w="12" w:type="dxa"/>
              <w:left w:w="12" w:type="dxa"/>
              <w:right w:w="12" w:type="dxa"/>
            </w:tcMar>
            <w:vAlign w:val="center"/>
          </w:tcPr>
          <w:p w14:paraId="186F208E">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588F0933">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按照专家要求，结合中山特色的绿色建筑技术体系，按建筑类别提出适宜中山的推荐绿色建筑技术体系，按不同建筑类型进行绿色建筑建设指引，引导绿色建筑建设。</w:t>
            </w:r>
          </w:p>
        </w:tc>
      </w:tr>
      <w:tr w14:paraId="05F4A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0" w:hRule="atLeast"/>
        </w:trPr>
        <w:tc>
          <w:tcPr>
            <w:tcW w:w="238" w:type="pct"/>
            <w:vAlign w:val="center"/>
          </w:tcPr>
          <w:p w14:paraId="53601B5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12</w:t>
            </w:r>
          </w:p>
        </w:tc>
        <w:tc>
          <w:tcPr>
            <w:tcW w:w="988" w:type="pct"/>
            <w:shd w:val="clear" w:color="auto" w:fill="auto"/>
            <w:tcMar>
              <w:top w:w="12" w:type="dxa"/>
              <w:left w:w="12" w:type="dxa"/>
              <w:right w:w="12" w:type="dxa"/>
            </w:tcMar>
            <w:vAlign w:val="center"/>
          </w:tcPr>
          <w:p w14:paraId="4794419D">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完善成果内容，专项规划应有近期项目、预算、疑难表等内容。</w:t>
            </w:r>
          </w:p>
        </w:tc>
        <w:tc>
          <w:tcPr>
            <w:tcW w:w="667" w:type="pct"/>
            <w:shd w:val="clear" w:color="auto" w:fill="auto"/>
            <w:tcMar>
              <w:top w:w="12" w:type="dxa"/>
              <w:left w:w="12" w:type="dxa"/>
              <w:right w:w="12" w:type="dxa"/>
            </w:tcMar>
            <w:vAlign w:val="center"/>
          </w:tcPr>
          <w:p w14:paraId="51DF3C96">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28C9BB57">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在远期目标中，分阶段（至2030年、至2035年）设置阶段目标，并完善近期工作内容。</w:t>
            </w:r>
          </w:p>
        </w:tc>
      </w:tr>
      <w:tr w14:paraId="04DE6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0" w:hRule="atLeast"/>
        </w:trPr>
        <w:tc>
          <w:tcPr>
            <w:tcW w:w="238" w:type="pct"/>
            <w:vAlign w:val="center"/>
          </w:tcPr>
          <w:p w14:paraId="562EE44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13</w:t>
            </w:r>
          </w:p>
        </w:tc>
        <w:tc>
          <w:tcPr>
            <w:tcW w:w="988" w:type="pct"/>
            <w:shd w:val="clear" w:color="auto" w:fill="auto"/>
            <w:tcMar>
              <w:top w:w="12" w:type="dxa"/>
              <w:left w:w="12" w:type="dxa"/>
              <w:right w:w="12" w:type="dxa"/>
            </w:tcMar>
            <w:vAlign w:val="center"/>
          </w:tcPr>
          <w:p w14:paraId="588F67DB">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参考一下中山技术标准中停车配建做法，对建设项目的绿建要求，有利于项目立项、设计、审批、验收等过程中，各方都能清楚明确。</w:t>
            </w:r>
          </w:p>
        </w:tc>
        <w:tc>
          <w:tcPr>
            <w:tcW w:w="667" w:type="pct"/>
            <w:shd w:val="clear" w:color="auto" w:fill="auto"/>
            <w:tcMar>
              <w:top w:w="12" w:type="dxa"/>
              <w:left w:w="12" w:type="dxa"/>
              <w:right w:w="12" w:type="dxa"/>
            </w:tcMar>
            <w:vAlign w:val="center"/>
          </w:tcPr>
          <w:p w14:paraId="3B0534E1">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37B0E981">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按照专家要求，参考中山技术标准中停车配建做法，完善梳理中山市绿色建筑全流程管控环节，明确各环节的工作和要求。</w:t>
            </w:r>
          </w:p>
        </w:tc>
      </w:tr>
      <w:tr w14:paraId="64A65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5" w:hRule="atLeast"/>
        </w:trPr>
        <w:tc>
          <w:tcPr>
            <w:tcW w:w="238" w:type="pct"/>
            <w:vAlign w:val="center"/>
          </w:tcPr>
          <w:p w14:paraId="6250CF9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14</w:t>
            </w:r>
          </w:p>
        </w:tc>
        <w:tc>
          <w:tcPr>
            <w:tcW w:w="988" w:type="pct"/>
            <w:shd w:val="clear" w:color="auto" w:fill="auto"/>
            <w:tcMar>
              <w:top w:w="12" w:type="dxa"/>
              <w:left w:w="12" w:type="dxa"/>
              <w:right w:w="12" w:type="dxa"/>
            </w:tcMar>
            <w:vAlign w:val="center"/>
          </w:tcPr>
          <w:p w14:paraId="50142E47">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进一步剖析中山绿色建筑实践中存在的问题和痛点，增加先进城市绿色建筑发展的成功经验分析，并提出相应的对策</w:t>
            </w:r>
            <w:r>
              <w:rPr>
                <w:rFonts w:hint="default" w:ascii="Times New Roman" w:hAnsi="Times New Roman" w:eastAsia="宋体" w:cs="Times New Roman"/>
                <w:b w:val="0"/>
                <w:bCs w:val="0"/>
                <w:color w:val="000000"/>
                <w:kern w:val="0"/>
                <w:sz w:val="21"/>
                <w:szCs w:val="21"/>
                <w:lang w:eastAsia="zh-CN"/>
              </w:rPr>
              <w:t>。</w:t>
            </w:r>
          </w:p>
        </w:tc>
        <w:tc>
          <w:tcPr>
            <w:tcW w:w="667" w:type="pct"/>
            <w:shd w:val="clear" w:color="auto" w:fill="auto"/>
            <w:tcMar>
              <w:top w:w="12" w:type="dxa"/>
              <w:left w:w="12" w:type="dxa"/>
              <w:right w:w="12" w:type="dxa"/>
            </w:tcMar>
            <w:vAlign w:val="center"/>
          </w:tcPr>
          <w:p w14:paraId="3693C36D">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5D24F979">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按照专家要求积极分析中山市绿建发展的问题，并参照深圳、广州、东莞、佛山等地的成功经验，提出解决对策。</w:t>
            </w:r>
          </w:p>
        </w:tc>
      </w:tr>
      <w:tr w14:paraId="7306F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5" w:hRule="atLeast"/>
        </w:trPr>
        <w:tc>
          <w:tcPr>
            <w:tcW w:w="238" w:type="pct"/>
            <w:vAlign w:val="center"/>
          </w:tcPr>
          <w:p w14:paraId="57AC6C3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15</w:t>
            </w:r>
          </w:p>
        </w:tc>
        <w:tc>
          <w:tcPr>
            <w:tcW w:w="988" w:type="pct"/>
            <w:shd w:val="clear" w:color="auto" w:fill="auto"/>
            <w:tcMar>
              <w:top w:w="12" w:type="dxa"/>
              <w:left w:w="12" w:type="dxa"/>
              <w:right w:w="12" w:type="dxa"/>
            </w:tcMar>
            <w:vAlign w:val="center"/>
          </w:tcPr>
          <w:p w14:paraId="206E1988">
            <w:pPr>
              <w:widowControl/>
              <w:ind w:leftChars="100"/>
              <w:jc w:val="left"/>
              <w:textAlignment w:val="center"/>
              <w:rPr>
                <w:rFonts w:hint="default" w:ascii="Times New Roman" w:hAnsi="Times New Roman" w:eastAsia="宋体" w:cs="Times New Roman"/>
                <w:b w:val="0"/>
                <w:bCs w:val="0"/>
                <w:color w:val="000000"/>
                <w:kern w:val="0"/>
                <w:sz w:val="21"/>
                <w:szCs w:val="21"/>
                <w:lang w:eastAsia="zh-CN"/>
              </w:rPr>
            </w:pPr>
            <w:r>
              <w:rPr>
                <w:rFonts w:hint="default" w:ascii="Times New Roman" w:hAnsi="Times New Roman" w:eastAsia="宋体" w:cs="Times New Roman"/>
                <w:b w:val="0"/>
                <w:bCs w:val="0"/>
                <w:color w:val="000000"/>
                <w:kern w:val="0"/>
                <w:sz w:val="21"/>
                <w:szCs w:val="21"/>
              </w:rPr>
              <w:t>针对现实中重构造技术、轻设计理念的情况，建议提出加强对中山所处亚热带地区夏热冬暖的气候特点分析内容，结合建筑功能，加强对建筑朝向、自然通风采光、建筑遮阳等适应气候的合理性设计研究分析，在方案环节更有效地实现节能减排的绿色建筑设计理念，并建议在评分机制中加大以上设计要点的权重</w:t>
            </w:r>
            <w:r>
              <w:rPr>
                <w:rFonts w:hint="default" w:ascii="Times New Roman" w:hAnsi="Times New Roman" w:eastAsia="宋体" w:cs="Times New Roman"/>
                <w:b w:val="0"/>
                <w:bCs w:val="0"/>
                <w:color w:val="000000"/>
                <w:kern w:val="0"/>
                <w:sz w:val="21"/>
                <w:szCs w:val="21"/>
                <w:lang w:eastAsia="zh-CN"/>
              </w:rPr>
              <w:t>。</w:t>
            </w:r>
          </w:p>
        </w:tc>
        <w:tc>
          <w:tcPr>
            <w:tcW w:w="667" w:type="pct"/>
            <w:shd w:val="clear" w:color="auto" w:fill="auto"/>
            <w:tcMar>
              <w:top w:w="12" w:type="dxa"/>
              <w:left w:w="12" w:type="dxa"/>
              <w:right w:w="12" w:type="dxa"/>
            </w:tcMar>
            <w:vAlign w:val="center"/>
          </w:tcPr>
          <w:p w14:paraId="59B75EEF">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3347504D">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按照专家意见，梳理现有绿色建筑技术体系，结合中山市的地方特点，筛选形成适宜中山市的绿色建筑技术体系，技术体系应侧重利用中山的环境优势，被动优先。</w:t>
            </w:r>
          </w:p>
        </w:tc>
      </w:tr>
      <w:tr w14:paraId="77154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5" w:hRule="atLeast"/>
        </w:trPr>
        <w:tc>
          <w:tcPr>
            <w:tcW w:w="238" w:type="pct"/>
            <w:vAlign w:val="center"/>
          </w:tcPr>
          <w:p w14:paraId="27FDB7E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16</w:t>
            </w:r>
          </w:p>
        </w:tc>
        <w:tc>
          <w:tcPr>
            <w:tcW w:w="988" w:type="pct"/>
            <w:shd w:val="clear" w:color="auto" w:fill="auto"/>
            <w:tcMar>
              <w:top w:w="12" w:type="dxa"/>
              <w:left w:w="12" w:type="dxa"/>
              <w:right w:w="12" w:type="dxa"/>
            </w:tcMar>
            <w:vAlign w:val="center"/>
          </w:tcPr>
          <w:p w14:paraId="11F95C04">
            <w:pPr>
              <w:widowControl/>
              <w:ind w:leftChars="100"/>
              <w:jc w:val="left"/>
              <w:textAlignment w:val="center"/>
              <w:rPr>
                <w:rFonts w:hint="default" w:ascii="Times New Roman" w:hAnsi="Times New Roman" w:eastAsia="宋体" w:cs="Times New Roman"/>
                <w:b w:val="0"/>
                <w:bCs w:val="0"/>
                <w:color w:val="000000"/>
                <w:kern w:val="0"/>
                <w:sz w:val="21"/>
                <w:szCs w:val="21"/>
                <w:lang w:eastAsia="zh-CN"/>
              </w:rPr>
            </w:pPr>
            <w:r>
              <w:rPr>
                <w:rFonts w:hint="default" w:ascii="Times New Roman" w:hAnsi="Times New Roman" w:eastAsia="宋体" w:cs="Times New Roman"/>
                <w:b w:val="0"/>
                <w:bCs w:val="0"/>
                <w:color w:val="000000"/>
                <w:kern w:val="0"/>
                <w:sz w:val="21"/>
                <w:szCs w:val="21"/>
              </w:rPr>
              <w:t>针对现实中存在的设计市场低价无序竞争的情况，建议加强设计市场管理，对政府类和非政府项目都提出绿色建筑专项设计的要求和收费指引规定，在设计资源上保证绿色建筑设计的正常实施，并开展绿色建筑设计专项评奖，表彰优秀的绿色建筑设计作品和设计团队，提高设计作为绿色建筑重要环节的主动性和积极性</w:t>
            </w:r>
            <w:r>
              <w:rPr>
                <w:rFonts w:hint="default" w:ascii="Times New Roman" w:hAnsi="Times New Roman" w:eastAsia="宋体" w:cs="Times New Roman"/>
                <w:b w:val="0"/>
                <w:bCs w:val="0"/>
                <w:color w:val="000000"/>
                <w:kern w:val="0"/>
                <w:sz w:val="21"/>
                <w:szCs w:val="21"/>
                <w:lang w:eastAsia="zh-CN"/>
              </w:rPr>
              <w:t>。</w:t>
            </w:r>
          </w:p>
        </w:tc>
        <w:tc>
          <w:tcPr>
            <w:tcW w:w="667" w:type="pct"/>
            <w:shd w:val="clear" w:color="auto" w:fill="auto"/>
            <w:tcMar>
              <w:top w:w="12" w:type="dxa"/>
              <w:left w:w="12" w:type="dxa"/>
              <w:right w:w="12" w:type="dxa"/>
            </w:tcMar>
            <w:vAlign w:val="center"/>
          </w:tcPr>
          <w:p w14:paraId="7DFF8814">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05917859">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按照专家意见，在保障措施中提出相关的改善措施。</w:t>
            </w:r>
          </w:p>
        </w:tc>
      </w:tr>
      <w:tr w14:paraId="50E27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0" w:hRule="atLeast"/>
        </w:trPr>
        <w:tc>
          <w:tcPr>
            <w:tcW w:w="238" w:type="pct"/>
            <w:vAlign w:val="center"/>
          </w:tcPr>
          <w:p w14:paraId="3225C7C9">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17</w:t>
            </w:r>
          </w:p>
        </w:tc>
        <w:tc>
          <w:tcPr>
            <w:tcW w:w="988" w:type="pct"/>
            <w:shd w:val="clear" w:color="auto" w:fill="auto"/>
            <w:tcMar>
              <w:top w:w="12" w:type="dxa"/>
              <w:left w:w="12" w:type="dxa"/>
              <w:right w:w="12" w:type="dxa"/>
            </w:tcMar>
            <w:vAlign w:val="center"/>
          </w:tcPr>
          <w:p w14:paraId="11AB7FDE">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针对社会公众对绿色建筑认知不足的情况，建议借鉴国际绿色建筑认证体系（绿建标识显著），对新建或改造建筑赋与不同等级的认证标识，加强社会公众对绿色建筑理念的认知，提高实施主体的积极性。</w:t>
            </w:r>
          </w:p>
        </w:tc>
        <w:tc>
          <w:tcPr>
            <w:tcW w:w="667" w:type="pct"/>
            <w:shd w:val="clear" w:color="auto" w:fill="auto"/>
            <w:tcMar>
              <w:top w:w="12" w:type="dxa"/>
              <w:left w:w="12" w:type="dxa"/>
              <w:right w:w="12" w:type="dxa"/>
            </w:tcMar>
            <w:vAlign w:val="center"/>
          </w:tcPr>
          <w:p w14:paraId="351422DC">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50E36C71">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意见，在保障措施中补充相关内容。借鉴美国LEED、WELL认证体系对新建和既有建筑的不同认证要求，结合国内的实际情况（国内目前对既有建筑的绿色认证还不完善），在保障措施中酌情提出建议，加强绿色建筑的群众感知。</w:t>
            </w:r>
          </w:p>
        </w:tc>
      </w:tr>
      <w:tr w14:paraId="1F9CC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238" w:type="pct"/>
            <w:vAlign w:val="center"/>
          </w:tcPr>
          <w:p w14:paraId="7F08D38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18</w:t>
            </w:r>
          </w:p>
        </w:tc>
        <w:tc>
          <w:tcPr>
            <w:tcW w:w="988" w:type="pct"/>
            <w:shd w:val="clear" w:color="auto" w:fill="auto"/>
            <w:tcMar>
              <w:top w:w="12" w:type="dxa"/>
              <w:left w:w="12" w:type="dxa"/>
              <w:right w:w="12" w:type="dxa"/>
            </w:tcMar>
            <w:vAlign w:val="center"/>
          </w:tcPr>
          <w:p w14:paraId="29B29094">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核心单元</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和</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核心控规</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难以分辨。</w:t>
            </w:r>
          </w:p>
        </w:tc>
        <w:tc>
          <w:tcPr>
            <w:tcW w:w="667" w:type="pct"/>
            <w:shd w:val="clear" w:color="auto" w:fill="auto"/>
            <w:tcMar>
              <w:top w:w="12" w:type="dxa"/>
              <w:left w:w="12" w:type="dxa"/>
              <w:right w:w="12" w:type="dxa"/>
            </w:tcMar>
            <w:vAlign w:val="center"/>
          </w:tcPr>
          <w:p w14:paraId="7D465BE5">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318FEE75">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考虑中山控规编制的实际情况，调整本规划的分区，将目标单元划分至各镇街，对镇街划分不同的等级（核心单元和基础单元），提出相应的绿色建筑要求，便于在控规中予以落实。</w:t>
            </w:r>
          </w:p>
        </w:tc>
      </w:tr>
      <w:tr w14:paraId="2D5FF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238" w:type="pct"/>
            <w:vAlign w:val="center"/>
          </w:tcPr>
          <w:p w14:paraId="5871EBC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19</w:t>
            </w:r>
          </w:p>
        </w:tc>
        <w:tc>
          <w:tcPr>
            <w:tcW w:w="988" w:type="pct"/>
            <w:shd w:val="clear" w:color="auto" w:fill="auto"/>
            <w:tcMar>
              <w:top w:w="12" w:type="dxa"/>
              <w:left w:w="12" w:type="dxa"/>
              <w:right w:w="12" w:type="dxa"/>
            </w:tcMar>
            <w:vAlign w:val="center"/>
          </w:tcPr>
          <w:p w14:paraId="28A4952F">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成果内容中用词准确性有待提高，重新排版只有1条的章节。</w:t>
            </w:r>
          </w:p>
        </w:tc>
        <w:tc>
          <w:tcPr>
            <w:tcW w:w="667" w:type="pct"/>
            <w:shd w:val="clear" w:color="auto" w:fill="auto"/>
            <w:tcMar>
              <w:top w:w="12" w:type="dxa"/>
              <w:left w:w="12" w:type="dxa"/>
              <w:right w:w="12" w:type="dxa"/>
            </w:tcMar>
            <w:vAlign w:val="center"/>
          </w:tcPr>
          <w:p w14:paraId="0E5CFDA5">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018D0A4D">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按照专家要求，复核优化文本内容。</w:t>
            </w:r>
          </w:p>
        </w:tc>
      </w:tr>
      <w:tr w14:paraId="4DF00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238" w:type="pct"/>
            <w:vAlign w:val="center"/>
          </w:tcPr>
          <w:p w14:paraId="6A3BAD4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20</w:t>
            </w:r>
          </w:p>
        </w:tc>
        <w:tc>
          <w:tcPr>
            <w:tcW w:w="988" w:type="pct"/>
            <w:shd w:val="clear" w:color="auto" w:fill="auto"/>
            <w:tcMar>
              <w:top w:w="12" w:type="dxa"/>
              <w:left w:w="12" w:type="dxa"/>
              <w:right w:w="12" w:type="dxa"/>
            </w:tcMar>
            <w:vAlign w:val="center"/>
          </w:tcPr>
          <w:p w14:paraId="44B8555F">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建议增加关于指标可达性、科学性、合理性的论述。</w:t>
            </w:r>
          </w:p>
        </w:tc>
        <w:tc>
          <w:tcPr>
            <w:tcW w:w="667" w:type="pct"/>
            <w:shd w:val="clear" w:color="auto" w:fill="auto"/>
            <w:tcMar>
              <w:top w:w="12" w:type="dxa"/>
              <w:left w:w="12" w:type="dxa"/>
              <w:right w:w="12" w:type="dxa"/>
            </w:tcMar>
            <w:vAlign w:val="center"/>
          </w:tcPr>
          <w:p w14:paraId="33CE805E">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314D668F">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按照专家要求，在规划说明书中补充任务指标的验证内容，确保规划任务指标的合理性。</w:t>
            </w:r>
          </w:p>
        </w:tc>
      </w:tr>
      <w:tr w14:paraId="398C9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238" w:type="pct"/>
            <w:vAlign w:val="center"/>
          </w:tcPr>
          <w:p w14:paraId="654C51BE">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21</w:t>
            </w:r>
          </w:p>
        </w:tc>
        <w:tc>
          <w:tcPr>
            <w:tcW w:w="988" w:type="pct"/>
            <w:shd w:val="clear" w:color="auto" w:fill="auto"/>
            <w:tcMar>
              <w:top w:w="12" w:type="dxa"/>
              <w:left w:w="12" w:type="dxa"/>
              <w:right w:w="12" w:type="dxa"/>
            </w:tcMar>
            <w:vAlign w:val="center"/>
          </w:tcPr>
          <w:p w14:paraId="1C38C39B">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建议按照建设规划指引，细化各类建筑的指标。</w:t>
            </w:r>
          </w:p>
        </w:tc>
        <w:tc>
          <w:tcPr>
            <w:tcW w:w="667" w:type="pct"/>
            <w:shd w:val="clear" w:color="auto" w:fill="auto"/>
            <w:tcMar>
              <w:top w:w="12" w:type="dxa"/>
              <w:left w:w="12" w:type="dxa"/>
              <w:right w:w="12" w:type="dxa"/>
            </w:tcMar>
            <w:vAlign w:val="center"/>
          </w:tcPr>
          <w:p w14:paraId="67C7FDAC">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32C220BF">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按照专家意见，参照建设规划指引，按建筑类别提出适宜中山的推荐绿色建筑技术体系，按不同建筑类型进行绿色建筑建设指引，引导绿色建筑建设。</w:t>
            </w:r>
          </w:p>
        </w:tc>
      </w:tr>
      <w:tr w14:paraId="552B5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238" w:type="pct"/>
            <w:vAlign w:val="center"/>
          </w:tcPr>
          <w:p w14:paraId="2CAC83A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22</w:t>
            </w:r>
          </w:p>
        </w:tc>
        <w:tc>
          <w:tcPr>
            <w:tcW w:w="988" w:type="pct"/>
            <w:shd w:val="clear" w:color="auto" w:fill="auto"/>
            <w:tcMar>
              <w:top w:w="12" w:type="dxa"/>
              <w:left w:w="12" w:type="dxa"/>
              <w:right w:w="12" w:type="dxa"/>
            </w:tcMar>
            <w:vAlign w:val="center"/>
          </w:tcPr>
          <w:p w14:paraId="1F55BE98">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规划范围建议统一删去海域。</w:t>
            </w:r>
          </w:p>
        </w:tc>
        <w:tc>
          <w:tcPr>
            <w:tcW w:w="667" w:type="pct"/>
            <w:shd w:val="clear" w:color="auto" w:fill="auto"/>
            <w:tcMar>
              <w:top w:w="12" w:type="dxa"/>
              <w:left w:w="12" w:type="dxa"/>
              <w:right w:w="12" w:type="dxa"/>
            </w:tcMar>
            <w:vAlign w:val="center"/>
          </w:tcPr>
          <w:p w14:paraId="74A85E96">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2438F9F1">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按照专家要求，删除规划内容中的</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海域</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w:t>
            </w:r>
          </w:p>
        </w:tc>
      </w:tr>
      <w:tr w14:paraId="568CE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99" w:hRule="atLeast"/>
        </w:trPr>
        <w:tc>
          <w:tcPr>
            <w:tcW w:w="238" w:type="pct"/>
            <w:vAlign w:val="center"/>
          </w:tcPr>
          <w:p w14:paraId="0508445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23</w:t>
            </w:r>
          </w:p>
        </w:tc>
        <w:tc>
          <w:tcPr>
            <w:tcW w:w="988" w:type="pct"/>
            <w:shd w:val="clear" w:color="auto" w:fill="auto"/>
            <w:tcMar>
              <w:top w:w="12" w:type="dxa"/>
              <w:left w:w="12" w:type="dxa"/>
              <w:right w:w="12" w:type="dxa"/>
            </w:tcMar>
            <w:vAlign w:val="center"/>
          </w:tcPr>
          <w:p w14:paraId="396570DA">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建议进一步做好与国家、省的相关政策要求，以及有关上位规划充分对接，包括城市建设领域有关碳达峰碳中和的政策导向性要求等。如：今年3月公布的《广东省建筑节能与绿色建筑发展</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十四五</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规划》的有关指标要求，再如：与在编的《中山市国土空间总体规划》的衔接（在本规划文本中规划范围的总面积表述为1899 平方公里）等。</w:t>
            </w:r>
          </w:p>
        </w:tc>
        <w:tc>
          <w:tcPr>
            <w:tcW w:w="667" w:type="pct"/>
            <w:shd w:val="clear" w:color="auto" w:fill="auto"/>
            <w:tcMar>
              <w:top w:w="12" w:type="dxa"/>
              <w:left w:w="12" w:type="dxa"/>
              <w:right w:w="12" w:type="dxa"/>
            </w:tcMar>
            <w:vAlign w:val="center"/>
          </w:tcPr>
          <w:p w14:paraId="366306C9">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4AA33712">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按照专家要求，在规划内容和指标要求上加强与上位规划的衔接，结合国家和广东省双碳目标的要求，丰富规划内容。</w:t>
            </w:r>
          </w:p>
        </w:tc>
      </w:tr>
      <w:tr w14:paraId="06A76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3" w:hRule="atLeast"/>
        </w:trPr>
        <w:tc>
          <w:tcPr>
            <w:tcW w:w="238" w:type="pct"/>
            <w:vAlign w:val="center"/>
          </w:tcPr>
          <w:p w14:paraId="756522F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24</w:t>
            </w:r>
          </w:p>
        </w:tc>
        <w:tc>
          <w:tcPr>
            <w:tcW w:w="988" w:type="pct"/>
            <w:shd w:val="clear" w:color="auto" w:fill="auto"/>
            <w:tcMar>
              <w:top w:w="12" w:type="dxa"/>
              <w:left w:w="12" w:type="dxa"/>
              <w:right w:w="12" w:type="dxa"/>
            </w:tcMar>
            <w:vAlign w:val="center"/>
          </w:tcPr>
          <w:p w14:paraId="6EAB6064">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建议明确规划的指导思想和基本原则。规划的发展定位需要再推敲，</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标杆市</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的定位是否合适？有待斟酌。也需要再规划的发展目标、重点发展区域、绿色建造（改造）技术路径中体现</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标杆</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内容，且与周边城市进行横向比较。</w:t>
            </w:r>
          </w:p>
        </w:tc>
        <w:tc>
          <w:tcPr>
            <w:tcW w:w="667" w:type="pct"/>
            <w:shd w:val="clear" w:color="auto" w:fill="auto"/>
            <w:tcMar>
              <w:top w:w="12" w:type="dxa"/>
              <w:left w:w="12" w:type="dxa"/>
              <w:right w:w="12" w:type="dxa"/>
            </w:tcMar>
            <w:vAlign w:val="center"/>
          </w:tcPr>
          <w:p w14:paraId="2B5B2D62">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0188335E">
            <w:pPr>
              <w:widowControl/>
              <w:ind w:leftChars="100"/>
              <w:jc w:val="left"/>
              <w:textAlignment w:val="center"/>
              <w:rPr>
                <w:rFonts w:hint="default" w:ascii="Times New Roman" w:hAnsi="Times New Roman" w:eastAsia="宋体" w:cs="Times New Roman"/>
                <w:b w:val="0"/>
                <w:bCs w:val="0"/>
                <w:color w:val="000000"/>
                <w:kern w:val="0"/>
                <w:sz w:val="21"/>
                <w:szCs w:val="21"/>
                <w:lang w:eastAsia="zh-CN"/>
              </w:rPr>
            </w:pPr>
            <w:r>
              <w:rPr>
                <w:rFonts w:hint="default" w:ascii="Times New Roman" w:hAnsi="Times New Roman" w:eastAsia="宋体" w:cs="Times New Roman"/>
                <w:b w:val="0"/>
                <w:bCs w:val="0"/>
                <w:color w:val="000000"/>
                <w:kern w:val="0"/>
                <w:sz w:val="21"/>
                <w:szCs w:val="21"/>
              </w:rPr>
              <w:t>按照专家要求，增加与横向城市的对比分析，明确自身的发展定位。进行适度调整，目前修改为</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将中山市打造成珠江西岸绿色建筑高质量发展</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桥头堡</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lang w:eastAsia="zh-CN"/>
              </w:rPr>
              <w:t>。</w:t>
            </w:r>
          </w:p>
        </w:tc>
      </w:tr>
      <w:tr w14:paraId="29308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9" w:hRule="atLeast"/>
        </w:trPr>
        <w:tc>
          <w:tcPr>
            <w:tcW w:w="238" w:type="pct"/>
            <w:vAlign w:val="center"/>
          </w:tcPr>
          <w:p w14:paraId="7BABE19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25</w:t>
            </w:r>
          </w:p>
        </w:tc>
        <w:tc>
          <w:tcPr>
            <w:tcW w:w="988" w:type="pct"/>
            <w:shd w:val="clear" w:color="auto" w:fill="auto"/>
            <w:tcMar>
              <w:top w:w="12" w:type="dxa"/>
              <w:left w:w="12" w:type="dxa"/>
              <w:right w:w="12" w:type="dxa"/>
            </w:tcMar>
            <w:vAlign w:val="center"/>
          </w:tcPr>
          <w:p w14:paraId="36A07002">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在市控规划单元中区落实规划的目标数量，思路是对的，体现了规划的传递性和实施的指导性。但是，如何因地制宜地、分类分阶段地落地？有待结合中山</w:t>
            </w:r>
            <w:r>
              <w:rPr>
                <w:rFonts w:hint="default" w:ascii="Times New Roman" w:hAnsi="Times New Roman" w:eastAsia="宋体" w:cs="Times New Roman"/>
                <w:b w:val="0"/>
                <w:bCs w:val="0"/>
                <w:color w:val="000000"/>
                <w:kern w:val="0"/>
                <w:sz w:val="21"/>
                <w:szCs w:val="21"/>
                <w:lang w:val="en-US" w:eastAsia="zh-CN"/>
              </w:rPr>
              <w:t>市</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工改</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的产业空间布局和城镇建设情况要来落实。</w:t>
            </w:r>
          </w:p>
        </w:tc>
        <w:tc>
          <w:tcPr>
            <w:tcW w:w="667" w:type="pct"/>
            <w:shd w:val="clear" w:color="auto" w:fill="auto"/>
            <w:tcMar>
              <w:top w:w="12" w:type="dxa"/>
              <w:left w:w="12" w:type="dxa"/>
              <w:right w:w="12" w:type="dxa"/>
            </w:tcMar>
            <w:vAlign w:val="center"/>
          </w:tcPr>
          <w:p w14:paraId="3A4FB9D8">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35B82859">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按照专家意见，与工改产业空间布局结合，完善本规划。</w:t>
            </w:r>
          </w:p>
        </w:tc>
      </w:tr>
      <w:tr w14:paraId="3BF99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trPr>
        <w:tc>
          <w:tcPr>
            <w:tcW w:w="238" w:type="pct"/>
            <w:vAlign w:val="center"/>
          </w:tcPr>
          <w:p w14:paraId="6B67583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26</w:t>
            </w:r>
          </w:p>
        </w:tc>
        <w:tc>
          <w:tcPr>
            <w:tcW w:w="988" w:type="pct"/>
            <w:shd w:val="clear" w:color="auto" w:fill="auto"/>
            <w:tcMar>
              <w:top w:w="12" w:type="dxa"/>
              <w:left w:w="12" w:type="dxa"/>
              <w:right w:w="12" w:type="dxa"/>
            </w:tcMar>
            <w:vAlign w:val="center"/>
          </w:tcPr>
          <w:p w14:paraId="6076650F">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 xml:space="preserve">建议加强 </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装配式建筑</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规划的相关内容与指标要求。</w:t>
            </w:r>
          </w:p>
        </w:tc>
        <w:tc>
          <w:tcPr>
            <w:tcW w:w="667" w:type="pct"/>
            <w:shd w:val="clear" w:color="auto" w:fill="auto"/>
            <w:tcMar>
              <w:top w:w="12" w:type="dxa"/>
              <w:left w:w="12" w:type="dxa"/>
              <w:right w:w="12" w:type="dxa"/>
            </w:tcMar>
            <w:vAlign w:val="center"/>
          </w:tcPr>
          <w:p w14:paraId="004CCA3E">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7C25DAD1">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本规划按照《广东省绿色建筑发展专项规划编制技术导则》的要求进行编制，主要从全市层面提出了装配式建筑的指标要求。装配式规划的具体要求主要按照《中山市装配式建筑（2021-2025 年）发展规划》来执行。</w:t>
            </w:r>
          </w:p>
        </w:tc>
      </w:tr>
      <w:tr w14:paraId="57D96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5" w:hRule="atLeast"/>
        </w:trPr>
        <w:tc>
          <w:tcPr>
            <w:tcW w:w="238" w:type="pct"/>
            <w:vAlign w:val="center"/>
          </w:tcPr>
          <w:p w14:paraId="711CC03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27</w:t>
            </w:r>
          </w:p>
        </w:tc>
        <w:tc>
          <w:tcPr>
            <w:tcW w:w="988" w:type="pct"/>
            <w:shd w:val="clear" w:color="auto" w:fill="auto"/>
            <w:tcMar>
              <w:top w:w="12" w:type="dxa"/>
              <w:left w:w="12" w:type="dxa"/>
              <w:right w:w="12" w:type="dxa"/>
            </w:tcMar>
            <w:vAlign w:val="center"/>
          </w:tcPr>
          <w:p w14:paraId="434AA611">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加强与上位规划的衔接，按新的国土空间规划表述，如全市发展格局的表述。（三核一轴两带双圈多片？）</w:t>
            </w:r>
          </w:p>
        </w:tc>
        <w:tc>
          <w:tcPr>
            <w:tcW w:w="667" w:type="pct"/>
            <w:shd w:val="clear" w:color="auto" w:fill="auto"/>
            <w:tcMar>
              <w:top w:w="12" w:type="dxa"/>
              <w:left w:w="12" w:type="dxa"/>
              <w:right w:w="12" w:type="dxa"/>
            </w:tcMar>
            <w:vAlign w:val="center"/>
          </w:tcPr>
          <w:p w14:paraId="5EED7678">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22D2F942">
            <w:pPr>
              <w:widowControl/>
              <w:ind w:leftChars="100"/>
              <w:jc w:val="left"/>
              <w:textAlignment w:val="center"/>
              <w:rPr>
                <w:rFonts w:hint="default" w:ascii="Times New Roman" w:hAnsi="Times New Roman" w:eastAsia="宋体" w:cs="Times New Roman"/>
                <w:b w:val="0"/>
                <w:bCs w:val="0"/>
                <w:color w:val="000000"/>
                <w:kern w:val="0"/>
                <w:sz w:val="21"/>
                <w:szCs w:val="21"/>
                <w:lang w:eastAsia="zh-CN"/>
              </w:rPr>
            </w:pPr>
            <w:r>
              <w:rPr>
                <w:rFonts w:hint="default" w:ascii="Times New Roman" w:hAnsi="Times New Roman" w:eastAsia="宋体" w:cs="Times New Roman"/>
                <w:b w:val="0"/>
                <w:bCs w:val="0"/>
                <w:color w:val="000000"/>
                <w:kern w:val="0"/>
                <w:sz w:val="21"/>
                <w:szCs w:val="21"/>
                <w:lang w:eastAsia="zh-CN"/>
              </w:rPr>
              <w:t>按照专家意见，结合上位规划完善中山市绿色建筑发展布局的内容。提出“三核两带一轴多点”的绿色建筑发展格局。</w:t>
            </w:r>
          </w:p>
        </w:tc>
      </w:tr>
      <w:tr w14:paraId="7C9B9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9" w:hRule="atLeast"/>
        </w:trPr>
        <w:tc>
          <w:tcPr>
            <w:tcW w:w="238" w:type="pct"/>
            <w:vAlign w:val="center"/>
          </w:tcPr>
          <w:p w14:paraId="67A5A67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28</w:t>
            </w:r>
          </w:p>
        </w:tc>
        <w:tc>
          <w:tcPr>
            <w:tcW w:w="988" w:type="pct"/>
            <w:shd w:val="clear" w:color="auto" w:fill="auto"/>
            <w:tcMar>
              <w:top w:w="12" w:type="dxa"/>
              <w:left w:w="12" w:type="dxa"/>
              <w:right w:w="12" w:type="dxa"/>
            </w:tcMar>
            <w:vAlign w:val="center"/>
          </w:tcPr>
          <w:p w14:paraId="24BE98D8">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五桂山区作为重点生态保护区，民众、南朗作为对接新发展区域的镇街，建议增大约束性指标的要求。</w:t>
            </w:r>
          </w:p>
        </w:tc>
        <w:tc>
          <w:tcPr>
            <w:tcW w:w="667" w:type="pct"/>
            <w:shd w:val="clear" w:color="auto" w:fill="auto"/>
            <w:tcMar>
              <w:top w:w="12" w:type="dxa"/>
              <w:left w:w="12" w:type="dxa"/>
              <w:right w:w="12" w:type="dxa"/>
            </w:tcMar>
            <w:vAlign w:val="center"/>
          </w:tcPr>
          <w:p w14:paraId="13C4512C">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53AA6472">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按照专家要求，提升相关指标要求。</w:t>
            </w:r>
          </w:p>
        </w:tc>
      </w:tr>
      <w:tr w14:paraId="0192E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238" w:type="pct"/>
            <w:vAlign w:val="center"/>
          </w:tcPr>
          <w:p w14:paraId="26ED7107">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29</w:t>
            </w:r>
          </w:p>
        </w:tc>
        <w:tc>
          <w:tcPr>
            <w:tcW w:w="988" w:type="pct"/>
            <w:shd w:val="clear" w:color="auto" w:fill="auto"/>
            <w:tcMar>
              <w:top w:w="12" w:type="dxa"/>
              <w:left w:w="12" w:type="dxa"/>
              <w:right w:w="12" w:type="dxa"/>
            </w:tcMar>
            <w:vAlign w:val="center"/>
          </w:tcPr>
          <w:p w14:paraId="522862BD">
            <w:pPr>
              <w:widowControl/>
              <w:ind w:leftChars="100"/>
              <w:jc w:val="left"/>
              <w:textAlignment w:val="center"/>
              <w:rPr>
                <w:rFonts w:hint="default" w:ascii="Times New Roman" w:hAnsi="Times New Roman" w:eastAsia="宋体" w:cs="Times New Roman"/>
                <w:b w:val="0"/>
                <w:bCs w:val="0"/>
                <w:color w:val="000000"/>
                <w:kern w:val="0"/>
                <w:sz w:val="21"/>
                <w:szCs w:val="21"/>
                <w:lang w:eastAsia="zh-CN"/>
              </w:rPr>
            </w:pPr>
            <w:r>
              <w:rPr>
                <w:rFonts w:hint="default" w:ascii="Times New Roman" w:hAnsi="Times New Roman" w:eastAsia="宋体" w:cs="Times New Roman"/>
                <w:b w:val="0"/>
                <w:bCs w:val="0"/>
                <w:color w:val="000000"/>
                <w:kern w:val="0"/>
                <w:sz w:val="21"/>
                <w:szCs w:val="21"/>
              </w:rPr>
              <w:t>复核检查文字谬误，如说明书14页，</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统筹兼顾，应以完成广东省和惠州市下达的…</w:t>
            </w:r>
            <w:r>
              <w:rPr>
                <w:rFonts w:hint="eastAsia" w:ascii="Times New Roman" w:hAnsi="Times New Roman" w:eastAsia="宋体" w:cs="Times New Roman"/>
                <w:b w:val="0"/>
                <w:bCs w:val="0"/>
                <w:color w:val="000000"/>
                <w:kern w:val="0"/>
                <w:sz w:val="21"/>
                <w:szCs w:val="21"/>
                <w:lang w:eastAsia="zh-CN"/>
              </w:rPr>
              <w:t>”</w:t>
            </w:r>
          </w:p>
        </w:tc>
        <w:tc>
          <w:tcPr>
            <w:tcW w:w="667" w:type="pct"/>
            <w:shd w:val="clear" w:color="auto" w:fill="auto"/>
            <w:tcMar>
              <w:top w:w="12" w:type="dxa"/>
              <w:left w:w="12" w:type="dxa"/>
              <w:right w:w="12" w:type="dxa"/>
            </w:tcMar>
            <w:vAlign w:val="center"/>
          </w:tcPr>
          <w:p w14:paraId="21FEF538">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36AF9958">
            <w:pPr>
              <w:widowControl/>
              <w:ind w:leftChars="100"/>
              <w:jc w:val="left"/>
              <w:textAlignment w:val="center"/>
              <w:rPr>
                <w:rFonts w:hint="default" w:ascii="Times New Roman" w:hAnsi="Times New Roman" w:eastAsia="宋体" w:cs="Times New Roman"/>
                <w:b w:val="0"/>
                <w:bCs w:val="0"/>
                <w:color w:val="000000"/>
                <w:kern w:val="0"/>
                <w:sz w:val="21"/>
                <w:szCs w:val="21"/>
                <w:lang w:eastAsia="zh-CN"/>
              </w:rPr>
            </w:pPr>
            <w:r>
              <w:rPr>
                <w:rFonts w:hint="default" w:ascii="Times New Roman" w:hAnsi="Times New Roman" w:eastAsia="宋体" w:cs="Times New Roman"/>
                <w:b w:val="0"/>
                <w:bCs w:val="0"/>
                <w:color w:val="000000"/>
                <w:kern w:val="0"/>
                <w:sz w:val="21"/>
                <w:szCs w:val="21"/>
              </w:rPr>
              <w:t>按专家要求进行文本复核</w:t>
            </w:r>
            <w:r>
              <w:rPr>
                <w:rFonts w:hint="default" w:ascii="Times New Roman" w:hAnsi="Times New Roman" w:eastAsia="宋体" w:cs="Times New Roman"/>
                <w:b w:val="0"/>
                <w:bCs w:val="0"/>
                <w:color w:val="000000"/>
                <w:kern w:val="0"/>
                <w:sz w:val="21"/>
                <w:szCs w:val="21"/>
                <w:lang w:eastAsia="zh-CN"/>
              </w:rPr>
              <w:t>。</w:t>
            </w:r>
          </w:p>
        </w:tc>
      </w:tr>
      <w:tr w14:paraId="1C826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238" w:type="pct"/>
            <w:vAlign w:val="center"/>
          </w:tcPr>
          <w:p w14:paraId="0A782B4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30</w:t>
            </w:r>
          </w:p>
        </w:tc>
        <w:tc>
          <w:tcPr>
            <w:tcW w:w="988" w:type="pct"/>
            <w:shd w:val="clear" w:color="auto" w:fill="auto"/>
            <w:tcMar>
              <w:top w:w="12" w:type="dxa"/>
              <w:left w:w="12" w:type="dxa"/>
              <w:right w:w="12" w:type="dxa"/>
            </w:tcMar>
            <w:vAlign w:val="center"/>
          </w:tcPr>
          <w:p w14:paraId="38551296">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建议参考中山修建性详细规划，有无参考小区规划要求？有无建模验证指标合理性？</w:t>
            </w:r>
          </w:p>
        </w:tc>
        <w:tc>
          <w:tcPr>
            <w:tcW w:w="667" w:type="pct"/>
            <w:shd w:val="clear" w:color="auto" w:fill="auto"/>
            <w:tcMar>
              <w:top w:w="12" w:type="dxa"/>
              <w:left w:w="12" w:type="dxa"/>
              <w:right w:w="12" w:type="dxa"/>
            </w:tcMar>
            <w:vAlign w:val="center"/>
          </w:tcPr>
          <w:p w14:paraId="5EFA93A9">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7C62F4F9">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结合《城市居住区规划设计标准》GB50180，丰富规划内容。同时，在规划说明书中补充任务指标的验证内容，确保规划任务指标的合理性。</w:t>
            </w:r>
          </w:p>
        </w:tc>
      </w:tr>
      <w:tr w14:paraId="1D0DB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5" w:hRule="atLeast"/>
        </w:trPr>
        <w:tc>
          <w:tcPr>
            <w:tcW w:w="238" w:type="pct"/>
            <w:vAlign w:val="center"/>
          </w:tcPr>
          <w:p w14:paraId="443A462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31</w:t>
            </w:r>
          </w:p>
        </w:tc>
        <w:tc>
          <w:tcPr>
            <w:tcW w:w="988" w:type="pct"/>
            <w:shd w:val="clear" w:color="auto" w:fill="auto"/>
            <w:tcMar>
              <w:top w:w="12" w:type="dxa"/>
              <w:left w:w="12" w:type="dxa"/>
              <w:right w:w="12" w:type="dxa"/>
            </w:tcMar>
            <w:vAlign w:val="center"/>
          </w:tcPr>
          <w:p w14:paraId="41984EBE">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该专项规划没有什么创新，放在哪个城市都可以用，不能叫规划，只能算计划分解；区分国家要求和中山特色两部分进行描述。</w:t>
            </w:r>
          </w:p>
        </w:tc>
        <w:tc>
          <w:tcPr>
            <w:tcW w:w="667" w:type="pct"/>
            <w:shd w:val="clear" w:color="auto" w:fill="auto"/>
            <w:tcMar>
              <w:top w:w="12" w:type="dxa"/>
              <w:left w:w="12" w:type="dxa"/>
              <w:right w:w="12" w:type="dxa"/>
            </w:tcMar>
            <w:vAlign w:val="center"/>
          </w:tcPr>
          <w:p w14:paraId="19E7B47F">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1D9CA2AE">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本规划按照《广东省绿色建筑发展专项规划编制技术导则》的要求进行编制，主要解决在规划阶段明确绿色建筑等级要求的问题。按照专家要求，结合中山的发展定位和发展现状，在满足国家和广东省的要求的前提下，提出符合中山实情的任务指标，并丰富中山特色的技术措施，体现中山特色。</w:t>
            </w:r>
          </w:p>
        </w:tc>
      </w:tr>
      <w:tr w14:paraId="19853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9" w:hRule="atLeast"/>
        </w:trPr>
        <w:tc>
          <w:tcPr>
            <w:tcW w:w="238" w:type="pct"/>
            <w:vAlign w:val="center"/>
          </w:tcPr>
          <w:p w14:paraId="3722E3E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32</w:t>
            </w:r>
          </w:p>
        </w:tc>
        <w:tc>
          <w:tcPr>
            <w:tcW w:w="988" w:type="pct"/>
            <w:shd w:val="clear" w:color="auto" w:fill="auto"/>
            <w:tcMar>
              <w:top w:w="12" w:type="dxa"/>
              <w:left w:w="12" w:type="dxa"/>
              <w:right w:w="12" w:type="dxa"/>
            </w:tcMar>
            <w:vAlign w:val="center"/>
          </w:tcPr>
          <w:p w14:paraId="23D1B2AF">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该专项规划没有利用中山市地理位置和风向等指导建筑布局，以达到节能等措施达到绿色建筑要求；</w:t>
            </w:r>
          </w:p>
        </w:tc>
        <w:tc>
          <w:tcPr>
            <w:tcW w:w="667" w:type="pct"/>
            <w:shd w:val="clear" w:color="auto" w:fill="auto"/>
            <w:tcMar>
              <w:top w:w="12" w:type="dxa"/>
              <w:left w:w="12" w:type="dxa"/>
              <w:right w:w="12" w:type="dxa"/>
            </w:tcMar>
            <w:vAlign w:val="center"/>
          </w:tcPr>
          <w:p w14:paraId="1445EEAE">
            <w:pPr>
              <w:widowControl/>
              <w:jc w:val="center"/>
              <w:textAlignment w:val="center"/>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部分采纳</w:t>
            </w:r>
          </w:p>
        </w:tc>
        <w:tc>
          <w:tcPr>
            <w:tcW w:w="3105" w:type="pct"/>
            <w:shd w:val="clear" w:color="auto" w:fill="auto"/>
            <w:tcMar>
              <w:top w:w="12" w:type="dxa"/>
              <w:left w:w="12" w:type="dxa"/>
              <w:right w:w="12" w:type="dxa"/>
            </w:tcMar>
            <w:vAlign w:val="center"/>
          </w:tcPr>
          <w:p w14:paraId="449B49ED">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按照专家要求，结合中山的地理位置和通风廊道，在技术指标中完善利用中山市自然通风的内容。</w:t>
            </w:r>
          </w:p>
        </w:tc>
      </w:tr>
      <w:tr w14:paraId="0AC55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5" w:hRule="atLeast"/>
        </w:trPr>
        <w:tc>
          <w:tcPr>
            <w:tcW w:w="238" w:type="pct"/>
            <w:vAlign w:val="center"/>
          </w:tcPr>
          <w:p w14:paraId="64E6FE9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33</w:t>
            </w:r>
          </w:p>
        </w:tc>
        <w:tc>
          <w:tcPr>
            <w:tcW w:w="988" w:type="pct"/>
            <w:shd w:val="clear" w:color="auto" w:fill="auto"/>
            <w:tcMar>
              <w:top w:w="12" w:type="dxa"/>
              <w:left w:w="12" w:type="dxa"/>
              <w:right w:w="12" w:type="dxa"/>
            </w:tcMar>
            <w:vAlign w:val="center"/>
          </w:tcPr>
          <w:p w14:paraId="424B560E">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该专项规划没有从中山产业布局入手，研究如何提高职住比，从而缩短通勤时间，以达到绿色出行</w:t>
            </w:r>
            <w:r>
              <w:rPr>
                <w:rFonts w:hint="default"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等等。建议立足中山市绿色产业，促进产业集群发展。</w:t>
            </w:r>
          </w:p>
        </w:tc>
        <w:tc>
          <w:tcPr>
            <w:tcW w:w="667" w:type="pct"/>
            <w:shd w:val="clear" w:color="auto" w:fill="auto"/>
            <w:tcMar>
              <w:top w:w="12" w:type="dxa"/>
              <w:left w:w="12" w:type="dxa"/>
              <w:right w:w="12" w:type="dxa"/>
            </w:tcMar>
            <w:vAlign w:val="center"/>
          </w:tcPr>
          <w:p w14:paraId="7236FA2A">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417CF19B">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根据专家意见，在潜力分析中加入中山产业布局因素，并提出绿色出行相关指标，指导中山城市的绿色发展。</w:t>
            </w:r>
          </w:p>
        </w:tc>
      </w:tr>
      <w:tr w14:paraId="07DD4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trPr>
        <w:tc>
          <w:tcPr>
            <w:tcW w:w="238" w:type="pct"/>
            <w:vAlign w:val="center"/>
          </w:tcPr>
          <w:p w14:paraId="3D42AE8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34</w:t>
            </w:r>
          </w:p>
        </w:tc>
        <w:tc>
          <w:tcPr>
            <w:tcW w:w="988" w:type="pct"/>
            <w:shd w:val="clear" w:color="auto" w:fill="auto"/>
            <w:tcMar>
              <w:top w:w="12" w:type="dxa"/>
              <w:left w:w="12" w:type="dxa"/>
              <w:right w:w="12" w:type="dxa"/>
            </w:tcMar>
            <w:vAlign w:val="center"/>
          </w:tcPr>
          <w:p w14:paraId="1257CFE4">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建议增加示范项目，深化具体激励方法，从如何鼓励发展商积极参与绿建计划方面多想办法：如达标，提前预售，城市基础设施配套费减免等，存量居住用地公建设施配套面优惠多少等等。</w:t>
            </w:r>
          </w:p>
        </w:tc>
        <w:tc>
          <w:tcPr>
            <w:tcW w:w="667" w:type="pct"/>
            <w:shd w:val="clear" w:color="auto" w:fill="auto"/>
            <w:tcMar>
              <w:top w:w="12" w:type="dxa"/>
              <w:left w:w="12" w:type="dxa"/>
              <w:right w:w="12" w:type="dxa"/>
            </w:tcMar>
            <w:vAlign w:val="center"/>
          </w:tcPr>
          <w:p w14:paraId="0A93EF2A">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7C654D6C">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按照专家要求，分析提前预售，城市基础设施配套费减免等措施的操作性和可实施性，酌情在规划的保障措施中，增加示范项目、绿色住宅预售、城市基础设施配套费减免等激励政策内容。</w:t>
            </w:r>
          </w:p>
        </w:tc>
      </w:tr>
      <w:tr w14:paraId="43D93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trPr>
        <w:tc>
          <w:tcPr>
            <w:tcW w:w="238" w:type="pct"/>
            <w:vAlign w:val="center"/>
          </w:tcPr>
          <w:p w14:paraId="3825E680">
            <w:pPr>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35</w:t>
            </w:r>
          </w:p>
        </w:tc>
        <w:tc>
          <w:tcPr>
            <w:tcW w:w="988" w:type="pct"/>
            <w:shd w:val="clear" w:color="auto" w:fill="auto"/>
            <w:tcMar>
              <w:top w:w="12" w:type="dxa"/>
              <w:left w:w="12" w:type="dxa"/>
              <w:right w:w="12" w:type="dxa"/>
            </w:tcMar>
            <w:vAlign w:val="center"/>
          </w:tcPr>
          <w:p w14:paraId="0E521B87">
            <w:pPr>
              <w:ind w:leftChars="100"/>
              <w:jc w:val="left"/>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加强与控规衔接。</w:t>
            </w:r>
          </w:p>
        </w:tc>
        <w:tc>
          <w:tcPr>
            <w:tcW w:w="667" w:type="pct"/>
            <w:shd w:val="clear" w:color="auto" w:fill="auto"/>
            <w:tcMar>
              <w:top w:w="12" w:type="dxa"/>
              <w:left w:w="12" w:type="dxa"/>
              <w:right w:w="12" w:type="dxa"/>
            </w:tcMar>
            <w:vAlign w:val="center"/>
          </w:tcPr>
          <w:p w14:paraId="50DB35A3">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06B502A8">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考虑中山控规编制的实际情况，调整本规划的分区，将目标单元划分至各镇街，对镇街划分不同的等级（核心单元和基础单元），提出相应的绿色建筑要求，便于在控规中予以落实。</w:t>
            </w:r>
          </w:p>
        </w:tc>
      </w:tr>
      <w:tr w14:paraId="15A96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trPr>
        <w:tc>
          <w:tcPr>
            <w:tcW w:w="238" w:type="pct"/>
            <w:vAlign w:val="center"/>
          </w:tcPr>
          <w:p w14:paraId="41A49A2D">
            <w:pPr>
              <w:jc w:val="center"/>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36</w:t>
            </w:r>
          </w:p>
        </w:tc>
        <w:tc>
          <w:tcPr>
            <w:tcW w:w="988" w:type="pct"/>
            <w:shd w:val="clear" w:color="auto" w:fill="auto"/>
            <w:tcMar>
              <w:top w:w="12" w:type="dxa"/>
              <w:left w:w="12" w:type="dxa"/>
              <w:right w:w="12" w:type="dxa"/>
            </w:tcMar>
            <w:vAlign w:val="center"/>
          </w:tcPr>
          <w:p w14:paraId="76295985">
            <w:pPr>
              <w:ind w:leftChars="100"/>
              <w:jc w:val="left"/>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进一步完善规划传导和可操作性策略分研究。</w:t>
            </w:r>
          </w:p>
        </w:tc>
        <w:tc>
          <w:tcPr>
            <w:tcW w:w="667" w:type="pct"/>
            <w:shd w:val="clear" w:color="auto" w:fill="auto"/>
            <w:tcMar>
              <w:top w:w="12" w:type="dxa"/>
              <w:left w:w="12" w:type="dxa"/>
              <w:right w:w="12" w:type="dxa"/>
            </w:tcMar>
            <w:vAlign w:val="center"/>
          </w:tcPr>
          <w:p w14:paraId="704DF9FF">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2B051FE0">
            <w:pPr>
              <w:widowControl/>
              <w:ind w:leftChars="100"/>
              <w:jc w:val="left"/>
              <w:textAlignment w:val="center"/>
              <w:rPr>
                <w:rFonts w:hint="eastAsia" w:ascii="Times New Roman" w:hAnsi="Times New Roman" w:eastAsia="宋体" w:cs="Times New Roman"/>
                <w:b w:val="0"/>
                <w:bCs w:val="0"/>
                <w:color w:val="000000"/>
                <w:kern w:val="0"/>
                <w:sz w:val="21"/>
                <w:szCs w:val="21"/>
                <w:lang w:eastAsia="zh-CN"/>
              </w:rPr>
            </w:pPr>
            <w:r>
              <w:rPr>
                <w:rFonts w:hint="default" w:ascii="Times New Roman" w:hAnsi="Times New Roman" w:eastAsia="宋体" w:cs="Times New Roman"/>
                <w:b w:val="0"/>
                <w:bCs w:val="0"/>
                <w:color w:val="000000"/>
                <w:kern w:val="0"/>
                <w:sz w:val="21"/>
                <w:szCs w:val="21"/>
              </w:rPr>
              <w:t>考虑中山控规编制的实际情况，调整本规划的分区，将目标单元划分至各镇街，对镇街划分不同的等级（核心单元和基础单元），提出相应的绿色建筑要求，便于在控规中予以落实</w:t>
            </w:r>
            <w:r>
              <w:rPr>
                <w:rFonts w:hint="eastAsia" w:ascii="Times New Roman" w:hAnsi="Times New Roman" w:eastAsia="宋体" w:cs="Times New Roman"/>
                <w:b w:val="0"/>
                <w:bCs w:val="0"/>
                <w:color w:val="000000"/>
                <w:kern w:val="0"/>
                <w:sz w:val="21"/>
                <w:szCs w:val="21"/>
                <w:lang w:eastAsia="zh-CN"/>
              </w:rPr>
              <w:t>。</w:t>
            </w:r>
          </w:p>
        </w:tc>
      </w:tr>
      <w:tr w14:paraId="5798D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trPr>
        <w:tc>
          <w:tcPr>
            <w:tcW w:w="238" w:type="pct"/>
            <w:vAlign w:val="center"/>
          </w:tcPr>
          <w:p w14:paraId="29B17732">
            <w:pPr>
              <w:jc w:val="center"/>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37</w:t>
            </w:r>
          </w:p>
        </w:tc>
        <w:tc>
          <w:tcPr>
            <w:tcW w:w="988" w:type="pct"/>
            <w:shd w:val="clear" w:color="auto" w:fill="auto"/>
            <w:tcMar>
              <w:top w:w="12" w:type="dxa"/>
              <w:left w:w="12" w:type="dxa"/>
              <w:right w:w="12" w:type="dxa"/>
            </w:tcMar>
            <w:vAlign w:val="center"/>
          </w:tcPr>
          <w:p w14:paraId="242F1F28">
            <w:pPr>
              <w:ind w:leftChars="100"/>
              <w:jc w:val="left"/>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加强合理性分析，提高指标的科学性。</w:t>
            </w:r>
          </w:p>
        </w:tc>
        <w:tc>
          <w:tcPr>
            <w:tcW w:w="667" w:type="pct"/>
            <w:shd w:val="clear" w:color="auto" w:fill="auto"/>
            <w:tcMar>
              <w:top w:w="12" w:type="dxa"/>
              <w:left w:w="12" w:type="dxa"/>
              <w:right w:w="12" w:type="dxa"/>
            </w:tcMar>
            <w:vAlign w:val="center"/>
          </w:tcPr>
          <w:p w14:paraId="367DC865">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216C8C31">
            <w:pPr>
              <w:widowControl/>
              <w:ind w:leftChars="100"/>
              <w:jc w:val="left"/>
              <w:textAlignment w:val="center"/>
              <w:rPr>
                <w:rFonts w:hint="eastAsia" w:ascii="Times New Roman" w:hAnsi="Times New Roman" w:eastAsia="宋体" w:cs="Times New Roman"/>
                <w:b w:val="0"/>
                <w:bCs w:val="0"/>
                <w:color w:val="000000"/>
                <w:kern w:val="0"/>
                <w:sz w:val="21"/>
                <w:szCs w:val="21"/>
                <w:lang w:val="en-US" w:eastAsia="zh-CN"/>
              </w:rPr>
            </w:pPr>
            <w:r>
              <w:rPr>
                <w:rFonts w:hint="default" w:ascii="Times New Roman" w:hAnsi="Times New Roman" w:eastAsia="宋体" w:cs="Times New Roman"/>
                <w:b w:val="0"/>
                <w:bCs w:val="0"/>
                <w:color w:val="000000"/>
                <w:kern w:val="0"/>
                <w:sz w:val="21"/>
                <w:szCs w:val="21"/>
              </w:rPr>
              <w:t>在规划内容和指标要求上加强与上位规划的衔接，结合国家和广东省双碳目标的要求，丰富规划内容。</w:t>
            </w:r>
            <w:r>
              <w:rPr>
                <w:rFonts w:hint="eastAsia" w:ascii="Times New Roman" w:hAnsi="Times New Roman" w:eastAsia="宋体" w:cs="Times New Roman"/>
                <w:b w:val="0"/>
                <w:bCs w:val="0"/>
                <w:color w:val="000000"/>
                <w:kern w:val="0"/>
                <w:sz w:val="21"/>
                <w:szCs w:val="21"/>
                <w:lang w:val="en-US" w:eastAsia="zh-CN"/>
              </w:rPr>
              <w:t>同时，在规划说明书中补充任务指标的验证内容，确保规划任务指标的合理性。</w:t>
            </w:r>
          </w:p>
        </w:tc>
      </w:tr>
      <w:tr w14:paraId="293CB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trPr>
        <w:tc>
          <w:tcPr>
            <w:tcW w:w="238" w:type="pct"/>
            <w:vAlign w:val="center"/>
          </w:tcPr>
          <w:p w14:paraId="6A7445FD">
            <w:pPr>
              <w:jc w:val="center"/>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38</w:t>
            </w:r>
          </w:p>
        </w:tc>
        <w:tc>
          <w:tcPr>
            <w:tcW w:w="988" w:type="pct"/>
            <w:shd w:val="clear" w:color="auto" w:fill="auto"/>
            <w:tcMar>
              <w:top w:w="12" w:type="dxa"/>
              <w:left w:w="12" w:type="dxa"/>
              <w:right w:w="12" w:type="dxa"/>
            </w:tcMar>
            <w:vAlign w:val="center"/>
          </w:tcPr>
          <w:p w14:paraId="22452E79">
            <w:pPr>
              <w:ind w:leftChars="100"/>
              <w:jc w:val="left"/>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落实上位规划，衔接相关专项规划，明确控规单元的对接。</w:t>
            </w:r>
          </w:p>
        </w:tc>
        <w:tc>
          <w:tcPr>
            <w:tcW w:w="667" w:type="pct"/>
            <w:shd w:val="clear" w:color="auto" w:fill="auto"/>
            <w:tcMar>
              <w:top w:w="12" w:type="dxa"/>
              <w:left w:w="12" w:type="dxa"/>
              <w:right w:w="12" w:type="dxa"/>
            </w:tcMar>
            <w:vAlign w:val="center"/>
          </w:tcPr>
          <w:p w14:paraId="352B64D4">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3C3FA053">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按照专家要求，加强规划的衔接。本规划</w:t>
            </w:r>
            <w:r>
              <w:rPr>
                <w:rFonts w:hint="eastAsia" w:ascii="Times New Roman" w:hAnsi="Times New Roman" w:eastAsia="宋体" w:cs="Times New Roman"/>
                <w:b w:val="0"/>
                <w:bCs w:val="0"/>
                <w:color w:val="000000"/>
                <w:kern w:val="0"/>
                <w:sz w:val="21"/>
                <w:szCs w:val="21"/>
                <w:lang w:val="en-US" w:eastAsia="zh-CN"/>
              </w:rPr>
              <w:t>依据《广东省建筑节能与绿色建筑发展“十四五”规划》、</w:t>
            </w:r>
            <w:r>
              <w:rPr>
                <w:rFonts w:hint="default" w:ascii="Times New Roman" w:hAnsi="Times New Roman" w:eastAsia="宋体" w:cs="Times New Roman"/>
                <w:b w:val="0"/>
                <w:bCs w:val="0"/>
                <w:color w:val="000000"/>
                <w:kern w:val="0"/>
                <w:sz w:val="21"/>
                <w:szCs w:val="21"/>
              </w:rPr>
              <w:t>《中山市绿色建筑创建行动实施方案（2021-2023）》进行了</w:t>
            </w:r>
            <w:r>
              <w:rPr>
                <w:rFonts w:hint="eastAsia" w:ascii="Times New Roman" w:hAnsi="Times New Roman" w:eastAsia="宋体" w:cs="Times New Roman"/>
                <w:b w:val="0"/>
                <w:bCs w:val="0"/>
                <w:color w:val="000000"/>
                <w:kern w:val="0"/>
                <w:sz w:val="21"/>
                <w:szCs w:val="21"/>
                <w:lang w:val="en-US" w:eastAsia="zh-CN"/>
              </w:rPr>
              <w:t>中山市</w:t>
            </w:r>
            <w:r>
              <w:rPr>
                <w:rFonts w:hint="default" w:ascii="Times New Roman" w:hAnsi="Times New Roman" w:eastAsia="宋体" w:cs="Times New Roman"/>
                <w:b w:val="0"/>
                <w:bCs w:val="0"/>
                <w:color w:val="000000"/>
                <w:kern w:val="0"/>
                <w:sz w:val="21"/>
                <w:szCs w:val="21"/>
              </w:rPr>
              <w:t>绿色建筑星级要求的设置，</w:t>
            </w:r>
            <w:r>
              <w:rPr>
                <w:rFonts w:hint="eastAsia" w:ascii="Times New Roman" w:hAnsi="Times New Roman" w:eastAsia="宋体" w:cs="Times New Roman"/>
                <w:b w:val="0"/>
                <w:bCs w:val="0"/>
                <w:color w:val="000000"/>
                <w:kern w:val="0"/>
                <w:sz w:val="21"/>
                <w:szCs w:val="21"/>
                <w:lang w:val="en-US" w:eastAsia="zh-CN"/>
              </w:rPr>
              <w:t>并选取《中山市国土空间总体规划（2021-2035年）》（公众版）、</w:t>
            </w:r>
            <w:r>
              <w:rPr>
                <w:rFonts w:hint="default" w:ascii="Times New Roman" w:hAnsi="Times New Roman" w:eastAsia="宋体" w:cs="Times New Roman"/>
                <w:b w:val="0"/>
                <w:bCs w:val="0"/>
                <w:color w:val="000000"/>
                <w:kern w:val="0"/>
                <w:sz w:val="21"/>
                <w:szCs w:val="21"/>
              </w:rPr>
              <w:t>《中山市装配式建筑（2021-2025 年）发展规划》</w:t>
            </w:r>
            <w:r>
              <w:rPr>
                <w:rFonts w:hint="eastAsia" w:ascii="Times New Roman" w:hAnsi="Times New Roman" w:eastAsia="宋体" w:cs="Times New Roman"/>
                <w:b w:val="0"/>
                <w:bCs w:val="0"/>
                <w:color w:val="000000"/>
                <w:kern w:val="0"/>
                <w:sz w:val="21"/>
                <w:szCs w:val="21"/>
                <w:lang w:eastAsia="zh-CN"/>
              </w:rPr>
              <w:t>、《中山市海绵城市专项规划》、《中山市声环境功能区划方案（2021年修编）》、《中山市城市更新（“三旧”改造）专项规划（2020-2035）》、《中山市公共交通系统规划》</w:t>
            </w:r>
            <w:r>
              <w:rPr>
                <w:rFonts w:hint="eastAsia" w:ascii="Times New Roman" w:hAnsi="Times New Roman" w:eastAsia="宋体" w:cs="Times New Roman"/>
                <w:b w:val="0"/>
                <w:bCs w:val="0"/>
                <w:color w:val="000000"/>
                <w:kern w:val="0"/>
                <w:sz w:val="21"/>
                <w:szCs w:val="21"/>
                <w:lang w:val="en-US" w:eastAsia="zh-CN"/>
              </w:rPr>
              <w:t>等规划的技术</w:t>
            </w:r>
            <w:r>
              <w:rPr>
                <w:rFonts w:hint="default" w:ascii="Times New Roman" w:hAnsi="Times New Roman" w:eastAsia="宋体" w:cs="Times New Roman"/>
                <w:b w:val="0"/>
                <w:bCs w:val="0"/>
                <w:color w:val="000000"/>
                <w:kern w:val="0"/>
                <w:sz w:val="21"/>
                <w:szCs w:val="21"/>
              </w:rPr>
              <w:t>指标要求作为目标单元潜力分析因子进行了</w:t>
            </w:r>
            <w:r>
              <w:rPr>
                <w:rFonts w:hint="eastAsia" w:ascii="Times New Roman" w:hAnsi="Times New Roman" w:eastAsia="宋体" w:cs="Times New Roman"/>
                <w:b w:val="0"/>
                <w:bCs w:val="0"/>
                <w:color w:val="000000"/>
                <w:kern w:val="0"/>
                <w:sz w:val="21"/>
                <w:szCs w:val="21"/>
                <w:lang w:val="en-US" w:eastAsia="zh-CN"/>
              </w:rPr>
              <w:t>中山市绿色建筑发展潜力</w:t>
            </w:r>
            <w:r>
              <w:rPr>
                <w:rFonts w:hint="default" w:ascii="Times New Roman" w:hAnsi="Times New Roman" w:eastAsia="宋体" w:cs="Times New Roman"/>
                <w:b w:val="0"/>
                <w:bCs w:val="0"/>
                <w:color w:val="000000"/>
                <w:kern w:val="0"/>
                <w:sz w:val="21"/>
                <w:szCs w:val="21"/>
              </w:rPr>
              <w:t>分析</w:t>
            </w:r>
            <w:r>
              <w:rPr>
                <w:rFonts w:hint="eastAsia" w:ascii="Times New Roman" w:hAnsi="Times New Roman" w:eastAsia="宋体" w:cs="Times New Roman"/>
                <w:b w:val="0"/>
                <w:bCs w:val="0"/>
                <w:color w:val="000000"/>
                <w:kern w:val="0"/>
                <w:sz w:val="21"/>
                <w:szCs w:val="21"/>
                <w:lang w:eastAsia="zh-CN"/>
              </w:rPr>
              <w:t>，</w:t>
            </w:r>
            <w:r>
              <w:rPr>
                <w:rFonts w:hint="eastAsia" w:ascii="Times New Roman" w:hAnsi="Times New Roman" w:eastAsia="宋体" w:cs="Times New Roman"/>
                <w:b w:val="0"/>
                <w:bCs w:val="0"/>
                <w:color w:val="000000"/>
                <w:kern w:val="0"/>
                <w:sz w:val="21"/>
                <w:szCs w:val="21"/>
                <w:lang w:val="en-US" w:eastAsia="zh-CN"/>
              </w:rPr>
              <w:t>落实上位规划，并</w:t>
            </w:r>
            <w:r>
              <w:rPr>
                <w:rFonts w:hint="default" w:ascii="Times New Roman" w:hAnsi="Times New Roman" w:eastAsia="宋体" w:cs="Times New Roman"/>
                <w:b w:val="0"/>
                <w:bCs w:val="0"/>
                <w:color w:val="000000"/>
                <w:kern w:val="0"/>
                <w:sz w:val="21"/>
                <w:szCs w:val="21"/>
              </w:rPr>
              <w:t>加强</w:t>
            </w:r>
            <w:r>
              <w:rPr>
                <w:rFonts w:hint="eastAsia" w:ascii="Times New Roman" w:hAnsi="Times New Roman" w:eastAsia="宋体" w:cs="Times New Roman"/>
                <w:b w:val="0"/>
                <w:bCs w:val="0"/>
                <w:color w:val="000000"/>
                <w:kern w:val="0"/>
                <w:sz w:val="21"/>
                <w:szCs w:val="21"/>
                <w:lang w:val="en-US" w:eastAsia="zh-CN"/>
              </w:rPr>
              <w:t>与专项</w:t>
            </w:r>
            <w:r>
              <w:rPr>
                <w:rFonts w:hint="default" w:ascii="Times New Roman" w:hAnsi="Times New Roman" w:eastAsia="宋体" w:cs="Times New Roman"/>
                <w:b w:val="0"/>
                <w:bCs w:val="0"/>
                <w:color w:val="000000"/>
                <w:kern w:val="0"/>
                <w:sz w:val="21"/>
                <w:szCs w:val="21"/>
              </w:rPr>
              <w:t>规划的衔接。</w:t>
            </w:r>
          </w:p>
          <w:p w14:paraId="24C465DF">
            <w:pPr>
              <w:widowControl/>
              <w:ind w:leftChars="100"/>
              <w:jc w:val="left"/>
              <w:textAlignment w:val="center"/>
              <w:rPr>
                <w:rFonts w:hint="default"/>
              </w:rPr>
            </w:pPr>
            <w:r>
              <w:rPr>
                <w:rFonts w:hint="default" w:ascii="Times New Roman" w:hAnsi="Times New Roman" w:eastAsia="宋体" w:cs="Times New Roman"/>
                <w:b w:val="0"/>
                <w:bCs w:val="0"/>
                <w:color w:val="000000"/>
                <w:kern w:val="0"/>
                <w:sz w:val="21"/>
                <w:szCs w:val="21"/>
              </w:rPr>
              <w:t>考虑中山控规编制的实际情况，调整本规划的分区，将目标单元划分至各镇街，对镇街划分不同的等级（核心单元和基础单元），提出相应的绿色建筑要求，便于在控规中予以落实</w:t>
            </w:r>
            <w:r>
              <w:rPr>
                <w:rFonts w:hint="eastAsia" w:ascii="Times New Roman" w:hAnsi="Times New Roman" w:eastAsia="宋体" w:cs="Times New Roman"/>
                <w:b w:val="0"/>
                <w:bCs w:val="0"/>
                <w:color w:val="000000"/>
                <w:kern w:val="0"/>
                <w:sz w:val="21"/>
                <w:szCs w:val="21"/>
                <w:lang w:eastAsia="zh-CN"/>
              </w:rPr>
              <w:t>。</w:t>
            </w:r>
          </w:p>
        </w:tc>
      </w:tr>
      <w:tr w14:paraId="35D8D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trPr>
        <w:tc>
          <w:tcPr>
            <w:tcW w:w="238" w:type="pct"/>
            <w:vAlign w:val="center"/>
          </w:tcPr>
          <w:p w14:paraId="71CC39E5">
            <w:pPr>
              <w:jc w:val="center"/>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39</w:t>
            </w:r>
          </w:p>
        </w:tc>
        <w:tc>
          <w:tcPr>
            <w:tcW w:w="988" w:type="pct"/>
            <w:shd w:val="clear" w:color="auto" w:fill="auto"/>
            <w:tcMar>
              <w:top w:w="12" w:type="dxa"/>
              <w:left w:w="12" w:type="dxa"/>
              <w:right w:w="12" w:type="dxa"/>
            </w:tcMar>
            <w:vAlign w:val="center"/>
          </w:tcPr>
          <w:p w14:paraId="1DC7019D">
            <w:pPr>
              <w:ind w:leftChars="100"/>
              <w:jc w:val="left"/>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加强本土化研究，应体现绿色建筑的中山地方特色。</w:t>
            </w:r>
          </w:p>
        </w:tc>
        <w:tc>
          <w:tcPr>
            <w:tcW w:w="667" w:type="pct"/>
            <w:shd w:val="clear" w:color="auto" w:fill="auto"/>
            <w:tcMar>
              <w:top w:w="12" w:type="dxa"/>
              <w:left w:w="12" w:type="dxa"/>
              <w:right w:w="12" w:type="dxa"/>
            </w:tcMar>
            <w:vAlign w:val="center"/>
          </w:tcPr>
          <w:p w14:paraId="60E4CE23">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1F709E5B">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按照专家要求，结合中山的发展定位和发展现状，在满足国家和广东省的要求的前提下，提出符合中山实情的任务指标，并丰富中山特色的技术措施，体现中山特色。</w:t>
            </w:r>
          </w:p>
        </w:tc>
      </w:tr>
    </w:tbl>
    <w:p w14:paraId="4D9FF651">
      <w:pPr>
        <w:pStyle w:val="2"/>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7830185" cy="5535930"/>
            <wp:effectExtent l="0" t="0" r="7620" b="18415"/>
            <wp:docPr id="24" name="图片 24" descr="专家评审会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专家评审会意见"/>
                    <pic:cNvPicPr>
                      <a:picLocks noChangeAspect="1"/>
                    </pic:cNvPicPr>
                  </pic:nvPicPr>
                  <pic:blipFill>
                    <a:blip r:embed="rId60"/>
                    <a:stretch>
                      <a:fillRect/>
                    </a:stretch>
                  </pic:blipFill>
                  <pic:spPr>
                    <a:xfrm rot="16200000">
                      <a:off x="0" y="0"/>
                      <a:ext cx="7830185" cy="5535930"/>
                    </a:xfrm>
                    <a:prstGeom prst="rect">
                      <a:avLst/>
                    </a:prstGeom>
                  </pic:spPr>
                </pic:pic>
              </a:graphicData>
            </a:graphic>
          </wp:inline>
        </w:drawing>
      </w:r>
    </w:p>
    <w:p w14:paraId="18DA8BA2">
      <w:pPr>
        <w:pStyle w:val="2"/>
        <w:rPr>
          <w:rFonts w:hint="default" w:ascii="Times New Roman" w:hAnsi="Times New Roman" w:cs="Times New Roman"/>
        </w:rPr>
      </w:pPr>
      <w:r>
        <w:rPr>
          <w:rFonts w:hint="default" w:ascii="Times New Roman" w:hAnsi="Times New Roman" w:cs="Times New Roman"/>
        </w:rPr>
        <w:br w:type="page"/>
      </w:r>
    </w:p>
    <w:p w14:paraId="0E8A3B0A">
      <w:pPr>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（3）技术审查会意见及回复</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4"/>
        <w:gridCol w:w="1437"/>
        <w:gridCol w:w="1197"/>
        <w:gridCol w:w="5010"/>
      </w:tblGrid>
      <w:tr w14:paraId="7872A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834" w:type="dxa"/>
            <w:vAlign w:val="center"/>
          </w:tcPr>
          <w:p w14:paraId="05F0AE0E">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1437" w:type="dxa"/>
            <w:vAlign w:val="center"/>
          </w:tcPr>
          <w:p w14:paraId="769165A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意见</w:t>
            </w:r>
          </w:p>
        </w:tc>
        <w:tc>
          <w:tcPr>
            <w:tcW w:w="1197" w:type="dxa"/>
            <w:vAlign w:val="center"/>
          </w:tcPr>
          <w:p w14:paraId="2E115F6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是否采纳</w:t>
            </w:r>
          </w:p>
        </w:tc>
        <w:tc>
          <w:tcPr>
            <w:tcW w:w="5010" w:type="dxa"/>
            <w:vAlign w:val="center"/>
          </w:tcPr>
          <w:p w14:paraId="5EFEEB0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修改回复</w:t>
            </w:r>
          </w:p>
        </w:tc>
      </w:tr>
      <w:tr w14:paraId="0258A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3" w:hRule="atLeast"/>
        </w:trPr>
        <w:tc>
          <w:tcPr>
            <w:tcW w:w="834" w:type="dxa"/>
            <w:vAlign w:val="center"/>
          </w:tcPr>
          <w:p w14:paraId="7837E80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1437" w:type="dxa"/>
            <w:vAlign w:val="center"/>
          </w:tcPr>
          <w:p w14:paraId="52135D2A">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进一步论证规划分区的合理性</w:t>
            </w:r>
          </w:p>
        </w:tc>
        <w:tc>
          <w:tcPr>
            <w:tcW w:w="1197" w:type="dxa"/>
            <w:vAlign w:val="center"/>
          </w:tcPr>
          <w:p w14:paraId="74066B5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采纳</w:t>
            </w:r>
          </w:p>
        </w:tc>
        <w:tc>
          <w:tcPr>
            <w:tcW w:w="5010" w:type="dxa"/>
            <w:vAlign w:val="center"/>
          </w:tcPr>
          <w:p w14:paraId="06407A5A">
            <w:pPr>
              <w:widowControl/>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按照专家意见，考虑中山控规编制的实际情况，并听取了住建局的意见，调整本规划的分区，将目标单元划分至各镇街，对镇街划分不同的等级，提出相应的绿色建筑要求，便于在控规中予以落实。</w:t>
            </w:r>
          </w:p>
        </w:tc>
      </w:tr>
      <w:tr w14:paraId="76C36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7" w:hRule="atLeast"/>
        </w:trPr>
        <w:tc>
          <w:tcPr>
            <w:tcW w:w="834" w:type="dxa"/>
            <w:vAlign w:val="center"/>
          </w:tcPr>
          <w:p w14:paraId="54046B3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1437" w:type="dxa"/>
            <w:vAlign w:val="center"/>
          </w:tcPr>
          <w:p w14:paraId="3A3234DB">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加强规划传导研究，充分衔接现行国土空间规划技术标准及审批体系</w:t>
            </w:r>
          </w:p>
        </w:tc>
        <w:tc>
          <w:tcPr>
            <w:tcW w:w="1197" w:type="dxa"/>
            <w:vAlign w:val="center"/>
          </w:tcPr>
          <w:p w14:paraId="2B85544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采纳</w:t>
            </w:r>
          </w:p>
        </w:tc>
        <w:tc>
          <w:tcPr>
            <w:tcW w:w="5010" w:type="dxa"/>
            <w:vAlign w:val="center"/>
          </w:tcPr>
          <w:p w14:paraId="70B8A060">
            <w:pPr>
              <w:widowControl/>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根据专家意见，加强规划传导研究。考虑中山控规编制的实际情况，并听取住建局的意见，本规划调整分区体系，按中山市各镇街来划分目标单元，并划分不同的等级，提出相应的绿色建筑要求，便于在控规中予以落实。</w:t>
            </w:r>
          </w:p>
          <w:p w14:paraId="215C06C7">
            <w:pPr>
              <w:widowControl/>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2、将本规划中的技术指标与《中山市国土空间规划技术标准与准则》</w:t>
            </w:r>
            <w:r>
              <w:rPr>
                <w:rFonts w:hint="default"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lang w:val="en-US" w:eastAsia="zh-CN"/>
              </w:rPr>
              <w:t>2023版</w:t>
            </w:r>
            <w:r>
              <w:rPr>
                <w:rFonts w:hint="default"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（后文简称《准</w:t>
            </w:r>
            <w:r>
              <w:rPr>
                <w:rFonts w:hint="default" w:ascii="Times New Roman" w:hAnsi="Times New Roman" w:eastAsia="宋体" w:cs="Times New Roman"/>
                <w:b w:val="0"/>
                <w:bCs w:val="0"/>
                <w:color w:val="000000"/>
                <w:kern w:val="0"/>
                <w:sz w:val="21"/>
                <w:szCs w:val="21"/>
                <w:lang w:val="en-US" w:eastAsia="zh-CN"/>
              </w:rPr>
              <w:t>则</w:t>
            </w:r>
            <w:r>
              <w:rPr>
                <w:rFonts w:hint="default" w:ascii="Times New Roman" w:hAnsi="Times New Roman" w:eastAsia="宋体" w:cs="Times New Roman"/>
                <w:b w:val="0"/>
                <w:bCs w:val="0"/>
                <w:color w:val="000000"/>
                <w:kern w:val="0"/>
                <w:sz w:val="21"/>
                <w:szCs w:val="21"/>
              </w:rPr>
              <w:t>》）的要求进行衔接，将各项指标进行一一对应，满足《准则》的要求。其中，本规划中的各项指标主要来源于《绿色建筑评价标准》（GB/T 50378-2019）以及《绿色生态城区评价标准》（GB/T 51255）等评价标准，指标的提出是为了给项目实行绿色建筑提出技术建议，便于项目达到绿色建筑要求。故部分指标的提法与《准则》略有不同，如地下空间开发利用率≥30%，该指标是基于绿建节地的要求，鼓励积极使用地下空间，节约用地，而《准则》中对地下空间的要求从使用功能、分层利用等方面均提出了要求，这些要求属于规划要求，一般不涉及绿色建筑的相关内容，本规划是绿色建筑规划，故指标的提出主要是从指导绿色建筑设计来提出；</w:t>
            </w:r>
          </w:p>
          <w:p w14:paraId="19401086">
            <w:pPr>
              <w:widowControl/>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3、本规划按照项目的审批流程，在项目各阶段明确了主要责任部门以及绿色建筑要求落实和审批的主要管理工作内容，便于规划的落地实施。</w:t>
            </w:r>
          </w:p>
        </w:tc>
      </w:tr>
    </w:tbl>
    <w:p w14:paraId="6875D5A1">
      <w:pPr>
        <w:pStyle w:val="2"/>
        <w:rPr>
          <w:rFonts w:hint="eastAsia" w:ascii="Times New Roman" w:hAnsi="Times New Roman" w:cs="Times New Roman" w:eastAsiaTheme="minorEastAsia"/>
          <w:lang w:eastAsia="zh-CN"/>
        </w:rPr>
      </w:pPr>
    </w:p>
    <w:p w14:paraId="2234189B">
      <w:pPr>
        <w:pStyle w:val="2"/>
        <w:rPr>
          <w:rFonts w:hint="eastAsia" w:ascii="Times New Roman" w:hAnsi="Times New Roman" w:cs="Times New Roman" w:eastAsiaTheme="minorEastAsia"/>
          <w:lang w:eastAsia="zh-CN"/>
        </w:rPr>
      </w:pPr>
    </w:p>
    <w:p w14:paraId="5AD45568">
      <w:pPr>
        <w:pStyle w:val="2"/>
        <w:rPr>
          <w:rFonts w:hint="eastAsia" w:ascii="Times New Roman" w:hAnsi="Times New Roman" w:cs="Times New Roman" w:eastAsiaTheme="minorEastAsia"/>
          <w:lang w:eastAsia="zh-CN"/>
        </w:rPr>
      </w:pPr>
    </w:p>
    <w:p w14:paraId="6DA10865">
      <w:pPr>
        <w:pStyle w:val="2"/>
        <w:rPr>
          <w:rFonts w:hint="eastAsia" w:ascii="Times New Roman" w:hAnsi="Times New Roman" w:cs="Times New Roman" w:eastAsiaTheme="minorEastAsia"/>
          <w:lang w:eastAsia="zh-CN"/>
        </w:rPr>
      </w:pPr>
    </w:p>
    <w:p w14:paraId="0818C144">
      <w:pPr>
        <w:pStyle w:val="2"/>
        <w:rPr>
          <w:rFonts w:hint="eastAsia" w:ascii="Times New Roman" w:hAnsi="Times New Roman" w:cs="Times New Roman" w:eastAsiaTheme="minorEastAsia"/>
          <w:lang w:eastAsia="zh-CN"/>
        </w:rPr>
      </w:pPr>
    </w:p>
    <w:p w14:paraId="0F957C9C">
      <w:pPr>
        <w:pStyle w:val="2"/>
        <w:rPr>
          <w:rFonts w:hint="eastAsia" w:ascii="Times New Roman" w:hAnsi="Times New Roman" w:cs="Times New Roman" w:eastAsiaTheme="minorEastAsia"/>
          <w:lang w:eastAsia="zh-CN"/>
        </w:rPr>
      </w:pPr>
    </w:p>
    <w:p w14:paraId="69E87B48">
      <w:pPr>
        <w:pStyle w:val="2"/>
        <w:rPr>
          <w:rFonts w:hint="eastAsia" w:ascii="Times New Roman" w:hAnsi="Times New Roman" w:cs="Times New Roman" w:eastAsiaTheme="minorEastAsia"/>
          <w:lang w:eastAsia="zh-CN"/>
        </w:rPr>
      </w:pPr>
    </w:p>
    <w:p w14:paraId="31C34B43">
      <w:pPr>
        <w:pStyle w:val="3"/>
        <w:rPr>
          <w:rFonts w:hint="eastAsia" w:ascii="Times New Roman" w:hAnsi="Times New Roman" w:cs="Times New Roman" w:eastAsiaTheme="minorEastAsia"/>
          <w:lang w:eastAsia="zh-CN"/>
        </w:rPr>
      </w:pPr>
    </w:p>
    <w:p w14:paraId="7A7650AF">
      <w:pPr>
        <w:rPr>
          <w:rFonts w:hint="eastAsia" w:ascii="Times New Roman" w:hAnsi="Times New Roman" w:cs="Times New Roman" w:eastAsiaTheme="minorEastAsia"/>
          <w:lang w:eastAsia="zh-CN"/>
        </w:rPr>
      </w:pPr>
    </w:p>
    <w:p w14:paraId="04A0EBE6">
      <w:pPr>
        <w:pStyle w:val="2"/>
        <w:rPr>
          <w:rFonts w:hint="eastAsia" w:ascii="Times New Roman" w:hAnsi="Times New Roman" w:cs="Times New Roman" w:eastAsiaTheme="minorEastAsia"/>
          <w:lang w:eastAsia="zh-CN"/>
        </w:rPr>
      </w:pPr>
    </w:p>
    <w:p w14:paraId="0B69D999">
      <w:pPr>
        <w:pStyle w:val="3"/>
        <w:rPr>
          <w:rFonts w:hint="eastAsia" w:ascii="Times New Roman" w:hAnsi="Times New Roman" w:cs="Times New Roman" w:eastAsiaTheme="minorEastAsia"/>
          <w:lang w:eastAsia="zh-CN"/>
        </w:rPr>
      </w:pPr>
    </w:p>
    <w:p w14:paraId="017550C2">
      <w:pPr>
        <w:rPr>
          <w:rFonts w:hint="eastAsia" w:ascii="Times New Roman" w:hAnsi="Times New Roman" w:cs="Times New Roman" w:eastAsiaTheme="minorEastAsia"/>
          <w:lang w:eastAsia="zh-CN"/>
        </w:rPr>
      </w:pPr>
    </w:p>
    <w:p w14:paraId="7735C503">
      <w:pPr>
        <w:pStyle w:val="2"/>
        <w:rPr>
          <w:rFonts w:hint="eastAsia" w:ascii="Times New Roman" w:hAnsi="Times New Roman" w:cs="Times New Roman" w:eastAsiaTheme="minorEastAsia"/>
          <w:lang w:eastAsia="zh-CN"/>
        </w:rPr>
      </w:pPr>
    </w:p>
    <w:p w14:paraId="3E30A9E9">
      <w:pPr>
        <w:pStyle w:val="3"/>
        <w:rPr>
          <w:rFonts w:hint="eastAsia" w:ascii="Times New Roman" w:hAnsi="Times New Roman" w:cs="Times New Roman" w:eastAsiaTheme="minorEastAsia"/>
          <w:lang w:eastAsia="zh-CN"/>
        </w:rPr>
      </w:pPr>
    </w:p>
    <w:p w14:paraId="1BE31F68">
      <w:pPr>
        <w:rPr>
          <w:rFonts w:hint="eastAsia" w:ascii="Times New Roman" w:hAnsi="Times New Roman" w:cs="Times New Roman" w:eastAsiaTheme="minorEastAsia"/>
          <w:lang w:eastAsia="zh-CN"/>
        </w:rPr>
      </w:pPr>
    </w:p>
    <w:p w14:paraId="031AF9A9">
      <w:pPr>
        <w:pStyle w:val="2"/>
        <w:rPr>
          <w:rFonts w:hint="eastAsia"/>
          <w:lang w:eastAsia="zh-CN"/>
        </w:rPr>
      </w:pPr>
    </w:p>
    <w:p w14:paraId="76D2B38D">
      <w:pPr>
        <w:pStyle w:val="2"/>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7576820" cy="5356225"/>
            <wp:effectExtent l="0" t="0" r="15875" b="5080"/>
            <wp:docPr id="30" name="图片 30" descr="【会议纪要】中山市国土空间规划委员会（历史文化名城保护委员会）技术审查会2022年第十八次会议暨中山市自然资源局规划技术审查会第四十九次会议纪要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会议纪要】中山市国土空间规划委员会（历史文化名城保护委员会）技术审查会2022年第十八次会议暨中山市自然资源局规划技术审查会第四十九次会议纪要_页面_1"/>
                    <pic:cNvPicPr>
                      <a:picLocks noChangeAspect="1"/>
                    </pic:cNvPicPr>
                  </pic:nvPicPr>
                  <pic:blipFill>
                    <a:blip r:embed="rId61"/>
                    <a:stretch>
                      <a:fillRect/>
                    </a:stretch>
                  </pic:blipFill>
                  <pic:spPr>
                    <a:xfrm rot="16200000">
                      <a:off x="0" y="0"/>
                      <a:ext cx="7576820" cy="5356225"/>
                    </a:xfrm>
                    <a:prstGeom prst="rect">
                      <a:avLst/>
                    </a:prstGeom>
                  </pic:spPr>
                </pic:pic>
              </a:graphicData>
            </a:graphic>
          </wp:inline>
        </w:drawing>
      </w:r>
      <w:r>
        <w:rPr>
          <w:rFonts w:hint="eastAsia" w:ascii="Times New Roman" w:hAnsi="Times New Roman" w:cs="Times New Roman" w:eastAsiaTheme="minorEastAsia"/>
          <w:lang w:eastAsia="zh-CN"/>
        </w:rPr>
        <w:drawing>
          <wp:inline distT="0" distB="0" distL="114300" distR="114300">
            <wp:extent cx="7585075" cy="5361940"/>
            <wp:effectExtent l="0" t="0" r="10160" b="15875"/>
            <wp:docPr id="29" name="图片 29" descr="【会议纪要】中山市国土空间规划委员会（历史文化名城保护委员会）技术审查会2022年第十八次会议暨中山市自然资源局规划技术审查会第四十九次会议纪要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会议纪要】中山市国土空间规划委员会（历史文化名城保护委员会）技术审查会2022年第十八次会议暨中山市自然资源局规划技术审查会第四十九次会议纪要_页面_2"/>
                    <pic:cNvPicPr>
                      <a:picLocks noChangeAspect="1"/>
                    </pic:cNvPicPr>
                  </pic:nvPicPr>
                  <pic:blipFill>
                    <a:blip r:embed="rId62"/>
                    <a:stretch>
                      <a:fillRect/>
                    </a:stretch>
                  </pic:blipFill>
                  <pic:spPr>
                    <a:xfrm rot="16200000">
                      <a:off x="0" y="0"/>
                      <a:ext cx="7585075" cy="5361940"/>
                    </a:xfrm>
                    <a:prstGeom prst="rect">
                      <a:avLst/>
                    </a:prstGeom>
                  </pic:spPr>
                </pic:pic>
              </a:graphicData>
            </a:graphic>
          </wp:inline>
        </w:drawing>
      </w:r>
      <w:r>
        <w:rPr>
          <w:rFonts w:hint="eastAsia" w:ascii="Times New Roman" w:hAnsi="Times New Roman" w:cs="Times New Roman" w:eastAsiaTheme="minorEastAsia"/>
          <w:lang w:eastAsia="zh-CN"/>
        </w:rPr>
        <w:drawing>
          <wp:inline distT="0" distB="0" distL="114300" distR="114300">
            <wp:extent cx="7480935" cy="5288280"/>
            <wp:effectExtent l="0" t="0" r="7620" b="5715"/>
            <wp:docPr id="26" name="图片 26" descr="【会议纪要】中山市国土空间规划委员会（历史文化名城保护委员会）技术审查会2022年第十八次会议暨中山市自然资源局规划技术审查会第四十九次会议纪要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会议纪要】中山市国土空间规划委员会（历史文化名城保护委员会）技术审查会2022年第十八次会议暨中山市自然资源局规划技术审查会第四十九次会议纪要_页面_3"/>
                    <pic:cNvPicPr>
                      <a:picLocks noChangeAspect="1"/>
                    </pic:cNvPicPr>
                  </pic:nvPicPr>
                  <pic:blipFill>
                    <a:blip r:embed="rId63"/>
                    <a:stretch>
                      <a:fillRect/>
                    </a:stretch>
                  </pic:blipFill>
                  <pic:spPr>
                    <a:xfrm rot="16200000">
                      <a:off x="0" y="0"/>
                      <a:ext cx="7480935" cy="5288280"/>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panose1 w:val="03000509000000000000"/>
    <w:charset w:val="86"/>
    <w:family w:val="auto"/>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1DD7F7">
    <w:pPr>
      <w:pStyle w:val="16"/>
      <w:spacing w:before="72" w:after="72"/>
      <w:ind w:firstLine="360"/>
      <w:jc w:val="center"/>
      <w:rPr>
        <w:rFonts w:ascii="微软雅黑" w:hAnsi="微软雅黑" w:eastAsia="微软雅黑"/>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E08997">
    <w:pPr>
      <w:pStyle w:val="16"/>
      <w:spacing w:before="72" w:after="7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D7BF14">
    <w:pPr>
      <w:pStyle w:val="16"/>
      <w:spacing w:before="72" w:after="72"/>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C2FD87">
    <w:pPr>
      <w:pStyle w:val="16"/>
      <w:jc w:val="center"/>
    </w:pPr>
  </w:p>
  <w:p w14:paraId="033C51FB">
    <w:pPr>
      <w:pStyle w:val="1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2806106"/>
    </w:sdtPr>
    <w:sdtContent>
      <w:p w14:paraId="03ED1F1F">
        <w:pPr>
          <w:pStyle w:val="16"/>
          <w:jc w:val="center"/>
        </w:pPr>
        <w:r>
          <w:fldChar w:fldCharType="begin"/>
        </w:r>
        <w:r>
          <w:instrText xml:space="preserve">PAGE   \* MERGEFORMAT</w:instrText>
        </w:r>
        <w:r>
          <w:fldChar w:fldCharType="separate"/>
        </w:r>
        <w:r>
          <w:rPr>
            <w:lang w:val="zh-CN"/>
          </w:rPr>
          <w:t>2</w:t>
        </w:r>
        <w:r>
          <w:fldChar w:fldCharType="end"/>
        </w:r>
      </w:p>
    </w:sdtContent>
  </w:sdt>
  <w:p w14:paraId="065BEDC4">
    <w:pPr>
      <w:pStyle w:val="1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A08134">
    <w:pPr>
      <w:pStyle w:val="17"/>
      <w:pBdr>
        <w:bottom w:val="single" w:color="auto" w:sz="4" w:space="0"/>
      </w:pBdr>
      <w:ind w:firstLine="0" w:firstLineChars="0"/>
      <w:jc w:val="left"/>
      <w:rPr>
        <w:rFonts w:hint="default" w:ascii="仿宋" w:hAnsi="仿宋" w:eastAsia="仿宋" w:cs="仿宋"/>
        <w:sz w:val="21"/>
        <w:szCs w:val="21"/>
        <w:lang w:val="en-US" w:eastAsia="zh-CN"/>
      </w:rPr>
    </w:pPr>
    <w:r>
      <w:rPr>
        <w:rFonts w:hint="eastAsia" w:ascii="仿宋" w:hAnsi="仿宋" w:eastAsia="仿宋" w:cs="仿宋"/>
        <w:sz w:val="21"/>
        <w:szCs w:val="21"/>
        <w:lang w:val="en-US" w:eastAsia="zh-CN"/>
      </w:rPr>
      <w:t xml:space="preserve">中山市绿色建筑发展专项规划（2022-2035）                                         文本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31ECA0">
    <w:pPr>
      <w:pStyle w:val="17"/>
      <w:pBdr>
        <w:bottom w:val="none" w:color="auto" w:sz="0" w:space="0"/>
      </w:pBdr>
      <w:spacing w:before="72" w:after="7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4731AB">
    <w:pPr>
      <w:pStyle w:val="17"/>
      <w:pBdr>
        <w:bottom w:val="none" w:color="auto" w:sz="0" w:space="1"/>
      </w:pBdr>
      <w:spacing w:before="72" w:after="72"/>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A90B01">
    <w:pPr>
      <w:pStyle w:val="17"/>
      <w:pBdr>
        <w:bottom w:val="single" w:color="auto" w:sz="4" w:space="1"/>
      </w:pBdr>
      <w:jc w:val="left"/>
    </w:pPr>
    <w:r>
      <w:rPr>
        <w:rFonts w:hint="eastAsia" w:ascii="仿宋" w:hAnsi="仿宋" w:eastAsia="仿宋" w:cs="仿宋"/>
        <w:sz w:val="21"/>
        <w:szCs w:val="21"/>
        <w:lang w:val="en-US" w:eastAsia="zh-CN"/>
      </w:rPr>
      <w:t xml:space="preserve">中山市绿色建筑发展专项规划（2022-2035）                                  说明书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E5B92AF"/>
    <w:multiLevelType w:val="singleLevel"/>
    <w:tmpl w:val="CE5B92AF"/>
    <w:lvl w:ilvl="0" w:tentative="0">
      <w:start w:val="1"/>
      <w:numFmt w:val="decimal"/>
      <w:suff w:val="nothing"/>
      <w:lvlText w:val="%1）"/>
      <w:lvlJc w:val="left"/>
    </w:lvl>
  </w:abstractNum>
  <w:abstractNum w:abstractNumId="1">
    <w:nsid w:val="0A7A2CAF"/>
    <w:multiLevelType w:val="singleLevel"/>
    <w:tmpl w:val="0A7A2CAF"/>
    <w:lvl w:ilvl="0" w:tentative="0">
      <w:start w:val="1"/>
      <w:numFmt w:val="decimal"/>
      <w:suff w:val="nothing"/>
      <w:lvlText w:val="%1 "/>
      <w:lvlJc w:val="left"/>
      <w:pPr>
        <w:ind w:left="0" w:leftChars="0" w:firstLine="397" w:firstLineChars="0"/>
      </w:pPr>
      <w:rPr>
        <w:rFonts w:hint="default"/>
      </w:rPr>
    </w:lvl>
  </w:abstractNum>
  <w:abstractNum w:abstractNumId="2">
    <w:nsid w:val="5C420D0E"/>
    <w:multiLevelType w:val="multilevel"/>
    <w:tmpl w:val="5C420D0E"/>
    <w:lvl w:ilvl="0" w:tentative="0">
      <w:start w:val="1"/>
      <w:numFmt w:val="bullet"/>
      <w:lvlText w:val=""/>
      <w:lvlJc w:val="left"/>
      <w:pPr>
        <w:tabs>
          <w:tab w:val="left" w:pos="720"/>
        </w:tabs>
        <w:ind w:left="720" w:hanging="360"/>
      </w:pPr>
      <w:rPr>
        <w:rFonts w:hint="default" w:ascii="Wingdings" w:hAnsi="Wingdings"/>
      </w:rPr>
    </w:lvl>
    <w:lvl w:ilvl="1" w:tentative="0">
      <w:start w:val="1"/>
      <w:numFmt w:val="bullet"/>
      <w:lvlText w:val="•"/>
      <w:lvlJc w:val="left"/>
      <w:pPr>
        <w:tabs>
          <w:tab w:val="left" w:pos="1440"/>
        </w:tabs>
        <w:ind w:left="1440" w:hanging="360"/>
      </w:pPr>
      <w:rPr>
        <w:rFonts w:hint="default" w:ascii="Arial" w:hAnsi="Arial"/>
      </w:rPr>
    </w:lvl>
    <w:lvl w:ilvl="2" w:tentative="0">
      <w:start w:val="1"/>
      <w:numFmt w:val="bullet"/>
      <w:lvlText w:val="•"/>
      <w:lvlJc w:val="left"/>
      <w:pPr>
        <w:tabs>
          <w:tab w:val="left" w:pos="2160"/>
        </w:tabs>
        <w:ind w:left="2160" w:hanging="360"/>
      </w:pPr>
      <w:rPr>
        <w:rFonts w:hint="default" w:ascii="Arial" w:hAnsi="Arial"/>
      </w:rPr>
    </w:lvl>
    <w:lvl w:ilvl="3" w:tentative="0">
      <w:start w:val="1"/>
      <w:numFmt w:val="bullet"/>
      <w:lvlText w:val="•"/>
      <w:lvlJc w:val="left"/>
      <w:pPr>
        <w:tabs>
          <w:tab w:val="left" w:pos="2880"/>
        </w:tabs>
        <w:ind w:left="2880" w:hanging="360"/>
      </w:pPr>
      <w:rPr>
        <w:rFonts w:hint="default" w:ascii="Arial" w:hAnsi="Arial"/>
      </w:rPr>
    </w:lvl>
    <w:lvl w:ilvl="4" w:tentative="0">
      <w:start w:val="1"/>
      <w:numFmt w:val="bullet"/>
      <w:lvlText w:val="•"/>
      <w:lvlJc w:val="left"/>
      <w:pPr>
        <w:tabs>
          <w:tab w:val="left" w:pos="3600"/>
        </w:tabs>
        <w:ind w:left="3600" w:hanging="360"/>
      </w:pPr>
      <w:rPr>
        <w:rFonts w:hint="default" w:ascii="Arial" w:hAnsi="Arial"/>
      </w:rPr>
    </w:lvl>
    <w:lvl w:ilvl="5" w:tentative="0">
      <w:start w:val="1"/>
      <w:numFmt w:val="bullet"/>
      <w:lvlText w:val="•"/>
      <w:lvlJc w:val="left"/>
      <w:pPr>
        <w:tabs>
          <w:tab w:val="left" w:pos="4320"/>
        </w:tabs>
        <w:ind w:left="4320" w:hanging="360"/>
      </w:pPr>
      <w:rPr>
        <w:rFonts w:hint="default" w:ascii="Arial" w:hAnsi="Arial"/>
      </w:rPr>
    </w:lvl>
    <w:lvl w:ilvl="6" w:tentative="0">
      <w:start w:val="1"/>
      <w:numFmt w:val="bullet"/>
      <w:lvlText w:val="•"/>
      <w:lvlJc w:val="left"/>
      <w:pPr>
        <w:tabs>
          <w:tab w:val="left" w:pos="5040"/>
        </w:tabs>
        <w:ind w:left="5040" w:hanging="360"/>
      </w:pPr>
      <w:rPr>
        <w:rFonts w:hint="default" w:ascii="Arial" w:hAnsi="Arial"/>
      </w:rPr>
    </w:lvl>
    <w:lvl w:ilvl="7" w:tentative="0">
      <w:start w:val="1"/>
      <w:numFmt w:val="bullet"/>
      <w:lvlText w:val="•"/>
      <w:lvlJc w:val="left"/>
      <w:pPr>
        <w:tabs>
          <w:tab w:val="left" w:pos="5760"/>
        </w:tabs>
        <w:ind w:left="5760" w:hanging="360"/>
      </w:pPr>
      <w:rPr>
        <w:rFonts w:hint="default" w:ascii="Arial" w:hAnsi="Arial"/>
      </w:rPr>
    </w:lvl>
    <w:lvl w:ilvl="8" w:tentative="0">
      <w:start w:val="1"/>
      <w:numFmt w:val="bullet"/>
      <w:lvlText w:val="•"/>
      <w:lvlJc w:val="left"/>
      <w:pPr>
        <w:tabs>
          <w:tab w:val="left" w:pos="6480"/>
        </w:tabs>
        <w:ind w:left="6480" w:hanging="360"/>
      </w:pPr>
      <w:rPr>
        <w:rFonts w:hint="default" w:ascii="Arial" w:hAnsi="Arial"/>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Y1NTU5Nzk5ZmYzMDhiNWJmODE4ZGY2NDM0NjdlZjQifQ=="/>
  </w:docVars>
  <w:rsids>
    <w:rsidRoot w:val="001B3120"/>
    <w:rsid w:val="000C45E5"/>
    <w:rsid w:val="001B3120"/>
    <w:rsid w:val="00535C64"/>
    <w:rsid w:val="0065511E"/>
    <w:rsid w:val="00836AFD"/>
    <w:rsid w:val="008C0719"/>
    <w:rsid w:val="00B45DA9"/>
    <w:rsid w:val="00BE7222"/>
    <w:rsid w:val="00C63653"/>
    <w:rsid w:val="01E22660"/>
    <w:rsid w:val="02261C31"/>
    <w:rsid w:val="02B22C96"/>
    <w:rsid w:val="038F265D"/>
    <w:rsid w:val="045D1F02"/>
    <w:rsid w:val="05796DBD"/>
    <w:rsid w:val="05F473F3"/>
    <w:rsid w:val="05FC474A"/>
    <w:rsid w:val="06366268"/>
    <w:rsid w:val="077A1E53"/>
    <w:rsid w:val="09A3752A"/>
    <w:rsid w:val="09D01F96"/>
    <w:rsid w:val="0A710FDC"/>
    <w:rsid w:val="0B061487"/>
    <w:rsid w:val="0BBE27F7"/>
    <w:rsid w:val="0BFB6BAE"/>
    <w:rsid w:val="0CA01A8E"/>
    <w:rsid w:val="107F285D"/>
    <w:rsid w:val="114163EA"/>
    <w:rsid w:val="12324550"/>
    <w:rsid w:val="127952CC"/>
    <w:rsid w:val="13B66E19"/>
    <w:rsid w:val="141241FB"/>
    <w:rsid w:val="146D387C"/>
    <w:rsid w:val="153C5E15"/>
    <w:rsid w:val="161B0C52"/>
    <w:rsid w:val="183B3351"/>
    <w:rsid w:val="18A23B70"/>
    <w:rsid w:val="199C6229"/>
    <w:rsid w:val="1AF66053"/>
    <w:rsid w:val="1C4D3645"/>
    <w:rsid w:val="1C950D13"/>
    <w:rsid w:val="1CF41927"/>
    <w:rsid w:val="1E2F0E32"/>
    <w:rsid w:val="1E5866DD"/>
    <w:rsid w:val="228E2802"/>
    <w:rsid w:val="22FC4AC8"/>
    <w:rsid w:val="248C38F3"/>
    <w:rsid w:val="24BE1264"/>
    <w:rsid w:val="260B07B8"/>
    <w:rsid w:val="27C61C7F"/>
    <w:rsid w:val="29457BFB"/>
    <w:rsid w:val="294C639E"/>
    <w:rsid w:val="296B074E"/>
    <w:rsid w:val="2C080B63"/>
    <w:rsid w:val="2C8C7399"/>
    <w:rsid w:val="2CEB1287"/>
    <w:rsid w:val="2D7D55A7"/>
    <w:rsid w:val="2DD56FC0"/>
    <w:rsid w:val="2E6F22C0"/>
    <w:rsid w:val="2EE10FBF"/>
    <w:rsid w:val="2F407E11"/>
    <w:rsid w:val="31B529F5"/>
    <w:rsid w:val="325B41F6"/>
    <w:rsid w:val="3262165D"/>
    <w:rsid w:val="336F1BEF"/>
    <w:rsid w:val="35350E92"/>
    <w:rsid w:val="355B7CF7"/>
    <w:rsid w:val="35C01D22"/>
    <w:rsid w:val="37CB7A37"/>
    <w:rsid w:val="3B2E79CF"/>
    <w:rsid w:val="3EA270CD"/>
    <w:rsid w:val="40A35A86"/>
    <w:rsid w:val="40AD2ACE"/>
    <w:rsid w:val="41F60B53"/>
    <w:rsid w:val="429B21EB"/>
    <w:rsid w:val="44B6263D"/>
    <w:rsid w:val="44D43234"/>
    <w:rsid w:val="45187450"/>
    <w:rsid w:val="467D2AE5"/>
    <w:rsid w:val="479A4981"/>
    <w:rsid w:val="48CF356D"/>
    <w:rsid w:val="4A0A554D"/>
    <w:rsid w:val="4AD807FC"/>
    <w:rsid w:val="4BEF3AF9"/>
    <w:rsid w:val="4CAA3388"/>
    <w:rsid w:val="4D8F77C9"/>
    <w:rsid w:val="4DB91F0F"/>
    <w:rsid w:val="4E872A00"/>
    <w:rsid w:val="51047B7E"/>
    <w:rsid w:val="51AF590D"/>
    <w:rsid w:val="524F6049"/>
    <w:rsid w:val="53FE34C6"/>
    <w:rsid w:val="54A327DE"/>
    <w:rsid w:val="5585016F"/>
    <w:rsid w:val="55997E7C"/>
    <w:rsid w:val="5B5D7BA1"/>
    <w:rsid w:val="5C3F7E9C"/>
    <w:rsid w:val="5C6A6B48"/>
    <w:rsid w:val="5CC261A9"/>
    <w:rsid w:val="5E244492"/>
    <w:rsid w:val="615A3D35"/>
    <w:rsid w:val="61EF064F"/>
    <w:rsid w:val="64B24C4F"/>
    <w:rsid w:val="655169C8"/>
    <w:rsid w:val="66464C58"/>
    <w:rsid w:val="67651D59"/>
    <w:rsid w:val="67977BB7"/>
    <w:rsid w:val="68B86E4C"/>
    <w:rsid w:val="69B44021"/>
    <w:rsid w:val="6A335EAD"/>
    <w:rsid w:val="6BD07DB1"/>
    <w:rsid w:val="6E2576A8"/>
    <w:rsid w:val="6EF04120"/>
    <w:rsid w:val="6F6F4577"/>
    <w:rsid w:val="710461A9"/>
    <w:rsid w:val="71A529F3"/>
    <w:rsid w:val="72F90EAF"/>
    <w:rsid w:val="735133C2"/>
    <w:rsid w:val="73F90FAD"/>
    <w:rsid w:val="746A70D8"/>
    <w:rsid w:val="748867F8"/>
    <w:rsid w:val="74B7511C"/>
    <w:rsid w:val="75464675"/>
    <w:rsid w:val="755A6A1E"/>
    <w:rsid w:val="77C21A27"/>
    <w:rsid w:val="781237F7"/>
    <w:rsid w:val="78C86137"/>
    <w:rsid w:val="7928774A"/>
    <w:rsid w:val="79505347"/>
    <w:rsid w:val="7A194D4E"/>
    <w:rsid w:val="7B023DF0"/>
    <w:rsid w:val="7B490A8D"/>
    <w:rsid w:val="7C8318A4"/>
    <w:rsid w:val="7CD81375"/>
    <w:rsid w:val="7D545227"/>
    <w:rsid w:val="7D6D0B9C"/>
    <w:rsid w:val="7DFF819F"/>
    <w:rsid w:val="7F0306BC"/>
    <w:rsid w:val="7F9E8088"/>
    <w:rsid w:val="CEFF8989"/>
    <w:rsid w:val="F79619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99" w:semiHidden="0" w:name="Normal Indent"/>
    <w:lsdException w:qFormat="1" w:uiPriority="99"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qFormat="1" w:uiPriority="99" w:semiHidden="0" w:name="footnote reference"/>
    <w:lsdException w:qFormat="1"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4">
    <w:name w:val="heading 1"/>
    <w:basedOn w:val="1"/>
    <w:next w:val="1"/>
    <w:link w:val="43"/>
    <w:qFormat/>
    <w:uiPriority w:val="9"/>
    <w:pPr>
      <w:keepNext/>
      <w:keepLines/>
      <w:spacing w:before="340" w:after="330" w:line="360" w:lineRule="auto"/>
      <w:jc w:val="left"/>
      <w:outlineLvl w:val="0"/>
    </w:pPr>
    <w:rPr>
      <w:rFonts w:eastAsia="宋体"/>
      <w:b/>
      <w:bCs/>
      <w:kern w:val="44"/>
      <w:sz w:val="32"/>
      <w:szCs w:val="44"/>
    </w:rPr>
  </w:style>
  <w:style w:type="paragraph" w:styleId="5">
    <w:name w:val="heading 2"/>
    <w:basedOn w:val="1"/>
    <w:next w:val="1"/>
    <w:link w:val="44"/>
    <w:unhideWhenUsed/>
    <w:qFormat/>
    <w:uiPriority w:val="9"/>
    <w:pPr>
      <w:keepNext/>
      <w:keepLines/>
      <w:spacing w:before="260" w:after="260" w:line="360" w:lineRule="auto"/>
      <w:jc w:val="left"/>
      <w:outlineLvl w:val="1"/>
    </w:pPr>
    <w:rPr>
      <w:rFonts w:eastAsia="宋体" w:asciiTheme="majorHAnsi" w:hAnsiTheme="majorHAnsi" w:cstheme="majorBidi"/>
      <w:b/>
      <w:bCs/>
      <w:sz w:val="28"/>
      <w:szCs w:val="32"/>
    </w:rPr>
  </w:style>
  <w:style w:type="paragraph" w:styleId="6">
    <w:name w:val="heading 3"/>
    <w:basedOn w:val="1"/>
    <w:next w:val="1"/>
    <w:link w:val="45"/>
    <w:unhideWhenUsed/>
    <w:qFormat/>
    <w:uiPriority w:val="9"/>
    <w:pPr>
      <w:keepNext/>
      <w:keepLines/>
      <w:spacing w:before="120" w:after="120" w:line="360" w:lineRule="auto"/>
      <w:ind w:firstLine="561"/>
      <w:outlineLvl w:val="2"/>
    </w:pPr>
    <w:rPr>
      <w:rFonts w:eastAsia="宋体"/>
      <w:b/>
      <w:bCs/>
      <w:sz w:val="28"/>
      <w:szCs w:val="32"/>
    </w:rPr>
  </w:style>
  <w:style w:type="paragraph" w:styleId="7">
    <w:name w:val="heading 4"/>
    <w:basedOn w:val="1"/>
    <w:next w:val="1"/>
    <w:link w:val="50"/>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link w:val="62"/>
    <w:qFormat/>
    <w:uiPriority w:val="0"/>
    <w:pPr>
      <w:spacing w:after="120"/>
    </w:pPr>
  </w:style>
  <w:style w:type="paragraph" w:styleId="3">
    <w:name w:val="toc 5"/>
    <w:basedOn w:val="1"/>
    <w:next w:val="1"/>
    <w:unhideWhenUsed/>
    <w:qFormat/>
    <w:uiPriority w:val="39"/>
    <w:pPr>
      <w:jc w:val="left"/>
    </w:pPr>
    <w:rPr>
      <w:rFonts w:cstheme="minorHAnsi"/>
      <w:sz w:val="22"/>
    </w:rPr>
  </w:style>
  <w:style w:type="paragraph" w:styleId="8">
    <w:name w:val="toc 7"/>
    <w:basedOn w:val="1"/>
    <w:next w:val="1"/>
    <w:unhideWhenUsed/>
    <w:qFormat/>
    <w:uiPriority w:val="39"/>
    <w:pPr>
      <w:ind w:left="2520" w:leftChars="1200"/>
    </w:pPr>
  </w:style>
  <w:style w:type="paragraph" w:styleId="9">
    <w:name w:val="Normal Indent"/>
    <w:basedOn w:val="1"/>
    <w:next w:val="1"/>
    <w:unhideWhenUsed/>
    <w:qFormat/>
    <w:uiPriority w:val="99"/>
    <w:pPr>
      <w:adjustRightInd w:val="0"/>
      <w:spacing w:line="360" w:lineRule="auto"/>
      <w:ind w:firstLine="420"/>
      <w:textAlignment w:val="baseline"/>
    </w:pPr>
    <w:rPr>
      <w:rFonts w:ascii="Times New Roman" w:hAnsi="Times New Roman" w:eastAsia="仿宋_GB2312" w:cs="Times New Roman"/>
      <w:kern w:val="0"/>
      <w:sz w:val="32"/>
      <w:szCs w:val="32"/>
    </w:rPr>
  </w:style>
  <w:style w:type="paragraph" w:styleId="10">
    <w:name w:val="caption"/>
    <w:basedOn w:val="1"/>
    <w:next w:val="1"/>
    <w:unhideWhenUsed/>
    <w:qFormat/>
    <w:uiPriority w:val="35"/>
    <w:rPr>
      <w:rFonts w:eastAsia="黑体" w:asciiTheme="majorHAnsi" w:hAnsiTheme="majorHAnsi" w:cstheme="majorBidi"/>
      <w:sz w:val="20"/>
      <w:szCs w:val="20"/>
    </w:rPr>
  </w:style>
  <w:style w:type="paragraph" w:styleId="11">
    <w:name w:val="annotation text"/>
    <w:basedOn w:val="1"/>
    <w:link w:val="64"/>
    <w:unhideWhenUsed/>
    <w:qFormat/>
    <w:uiPriority w:val="99"/>
    <w:pPr>
      <w:jc w:val="left"/>
    </w:pPr>
  </w:style>
  <w:style w:type="paragraph" w:styleId="12">
    <w:name w:val="Body Text Indent"/>
    <w:basedOn w:val="1"/>
    <w:link w:val="40"/>
    <w:unhideWhenUsed/>
    <w:qFormat/>
    <w:uiPriority w:val="99"/>
    <w:pPr>
      <w:spacing w:after="120"/>
      <w:ind w:left="420" w:leftChars="200"/>
    </w:pPr>
  </w:style>
  <w:style w:type="paragraph" w:styleId="13">
    <w:name w:val="toc 3"/>
    <w:basedOn w:val="1"/>
    <w:next w:val="1"/>
    <w:unhideWhenUsed/>
    <w:qFormat/>
    <w:uiPriority w:val="39"/>
    <w:pPr>
      <w:widowControl/>
      <w:spacing w:after="100" w:line="259" w:lineRule="auto"/>
      <w:ind w:left="440"/>
      <w:jc w:val="left"/>
    </w:pPr>
    <w:rPr>
      <w:rFonts w:cs="Times New Roman"/>
      <w:kern w:val="0"/>
      <w:sz w:val="22"/>
    </w:rPr>
  </w:style>
  <w:style w:type="paragraph" w:styleId="14">
    <w:name w:val="toc 8"/>
    <w:basedOn w:val="1"/>
    <w:next w:val="1"/>
    <w:unhideWhenUsed/>
    <w:qFormat/>
    <w:uiPriority w:val="39"/>
    <w:pPr>
      <w:ind w:left="2940" w:leftChars="1400"/>
    </w:pPr>
  </w:style>
  <w:style w:type="paragraph" w:styleId="15">
    <w:name w:val="Date"/>
    <w:basedOn w:val="1"/>
    <w:next w:val="1"/>
    <w:link w:val="59"/>
    <w:unhideWhenUsed/>
    <w:qFormat/>
    <w:uiPriority w:val="99"/>
    <w:pPr>
      <w:ind w:left="100" w:leftChars="2500"/>
    </w:pPr>
  </w:style>
  <w:style w:type="paragraph" w:styleId="16">
    <w:name w:val="footer"/>
    <w:basedOn w:val="1"/>
    <w:link w:val="36"/>
    <w:unhideWhenUsed/>
    <w:qFormat/>
    <w:uiPriority w:val="99"/>
    <w:pPr>
      <w:tabs>
        <w:tab w:val="center" w:pos="4153"/>
        <w:tab w:val="right" w:pos="8306"/>
      </w:tabs>
      <w:snapToGrid w:val="0"/>
      <w:jc w:val="left"/>
    </w:pPr>
    <w:rPr>
      <w:sz w:val="18"/>
      <w:szCs w:val="18"/>
    </w:rPr>
  </w:style>
  <w:style w:type="paragraph" w:styleId="17">
    <w:name w:val="header"/>
    <w:basedOn w:val="1"/>
    <w:link w:val="35"/>
    <w:unhideWhenUsed/>
    <w:qFormat/>
    <w:uiPriority w:val="99"/>
    <w:pPr>
      <w:pBdr>
        <w:bottom w:val="single" w:color="auto" w:sz="6" w:space="1"/>
      </w:pBdr>
      <w:tabs>
        <w:tab w:val="center" w:pos="4153"/>
        <w:tab w:val="right" w:pos="8306"/>
      </w:tabs>
      <w:snapToGrid w:val="0"/>
      <w:jc w:val="center"/>
    </w:pPr>
    <w:rPr>
      <w:sz w:val="18"/>
      <w:szCs w:val="18"/>
    </w:rPr>
  </w:style>
  <w:style w:type="paragraph" w:styleId="18">
    <w:name w:val="toc 1"/>
    <w:basedOn w:val="1"/>
    <w:next w:val="1"/>
    <w:unhideWhenUsed/>
    <w:qFormat/>
    <w:uiPriority w:val="39"/>
    <w:pPr>
      <w:widowControl/>
      <w:spacing w:after="100" w:line="259" w:lineRule="auto"/>
      <w:jc w:val="left"/>
    </w:pPr>
    <w:rPr>
      <w:rFonts w:cs="Times New Roman"/>
      <w:kern w:val="0"/>
      <w:sz w:val="22"/>
    </w:rPr>
  </w:style>
  <w:style w:type="paragraph" w:styleId="19">
    <w:name w:val="toc 4"/>
    <w:basedOn w:val="1"/>
    <w:next w:val="1"/>
    <w:unhideWhenUsed/>
    <w:qFormat/>
    <w:uiPriority w:val="39"/>
    <w:pPr>
      <w:ind w:left="1260" w:leftChars="600"/>
    </w:pPr>
  </w:style>
  <w:style w:type="paragraph" w:styleId="20">
    <w:name w:val="footnote text"/>
    <w:basedOn w:val="1"/>
    <w:link w:val="38"/>
    <w:unhideWhenUsed/>
    <w:qFormat/>
    <w:uiPriority w:val="99"/>
    <w:pPr>
      <w:snapToGrid w:val="0"/>
      <w:jc w:val="left"/>
    </w:pPr>
    <w:rPr>
      <w:sz w:val="18"/>
      <w:szCs w:val="18"/>
    </w:rPr>
  </w:style>
  <w:style w:type="paragraph" w:styleId="21">
    <w:name w:val="toc 6"/>
    <w:basedOn w:val="1"/>
    <w:next w:val="1"/>
    <w:unhideWhenUsed/>
    <w:qFormat/>
    <w:uiPriority w:val="39"/>
    <w:pPr>
      <w:ind w:left="2100" w:leftChars="1000"/>
    </w:pPr>
  </w:style>
  <w:style w:type="paragraph" w:styleId="22">
    <w:name w:val="toc 2"/>
    <w:basedOn w:val="1"/>
    <w:next w:val="1"/>
    <w:unhideWhenUsed/>
    <w:qFormat/>
    <w:uiPriority w:val="39"/>
    <w:pPr>
      <w:widowControl/>
      <w:spacing w:after="100" w:line="259" w:lineRule="auto"/>
      <w:ind w:left="220"/>
      <w:jc w:val="left"/>
    </w:pPr>
    <w:rPr>
      <w:rFonts w:cs="Times New Roman"/>
      <w:kern w:val="0"/>
      <w:sz w:val="22"/>
    </w:rPr>
  </w:style>
  <w:style w:type="paragraph" w:styleId="23">
    <w:name w:val="toc 9"/>
    <w:basedOn w:val="1"/>
    <w:next w:val="1"/>
    <w:unhideWhenUsed/>
    <w:qFormat/>
    <w:uiPriority w:val="39"/>
    <w:pPr>
      <w:ind w:left="3360" w:leftChars="1600"/>
    </w:pPr>
  </w:style>
  <w:style w:type="paragraph" w:styleId="24">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26">
    <w:name w:val="Table Grid"/>
    <w:basedOn w:val="25"/>
    <w:qFormat/>
    <w:uiPriority w:val="0"/>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basedOn w:val="27"/>
    <w:qFormat/>
    <w:uiPriority w:val="22"/>
    <w:rPr>
      <w:b/>
      <w:bCs/>
    </w:rPr>
  </w:style>
  <w:style w:type="character" w:styleId="29">
    <w:name w:val="Emphasis"/>
    <w:basedOn w:val="27"/>
    <w:qFormat/>
    <w:uiPriority w:val="20"/>
    <w:rPr>
      <w:i/>
      <w:iCs/>
    </w:rPr>
  </w:style>
  <w:style w:type="character" w:styleId="30">
    <w:name w:val="Hyperlink"/>
    <w:basedOn w:val="27"/>
    <w:unhideWhenUsed/>
    <w:qFormat/>
    <w:uiPriority w:val="99"/>
    <w:rPr>
      <w:color w:val="0563C1" w:themeColor="hyperlink"/>
      <w:u w:val="single"/>
      <w14:textFill>
        <w14:solidFill>
          <w14:schemeClr w14:val="hlink"/>
        </w14:solidFill>
      </w14:textFill>
    </w:rPr>
  </w:style>
  <w:style w:type="character" w:styleId="31">
    <w:name w:val="annotation reference"/>
    <w:unhideWhenUsed/>
    <w:qFormat/>
    <w:uiPriority w:val="0"/>
    <w:rPr>
      <w:sz w:val="21"/>
      <w:szCs w:val="21"/>
    </w:rPr>
  </w:style>
  <w:style w:type="character" w:styleId="32">
    <w:name w:val="footnote reference"/>
    <w:basedOn w:val="27"/>
    <w:unhideWhenUsed/>
    <w:qFormat/>
    <w:uiPriority w:val="99"/>
    <w:rPr>
      <w:vertAlign w:val="superscript"/>
    </w:rPr>
  </w:style>
  <w:style w:type="paragraph" w:customStyle="1" w:styleId="33">
    <w:name w:val="表格文字"/>
    <w:basedOn w:val="1"/>
    <w:next w:val="1"/>
    <w:qFormat/>
    <w:uiPriority w:val="0"/>
    <w:pPr>
      <w:spacing w:before="25" w:after="25" w:line="300" w:lineRule="auto"/>
    </w:pPr>
    <w:rPr>
      <w:rFonts w:ascii="宋体" w:hAnsi="宋体" w:cs="宋体"/>
      <w:spacing w:val="10"/>
      <w:kern w:val="0"/>
      <w:sz w:val="24"/>
    </w:rPr>
  </w:style>
  <w:style w:type="paragraph" w:customStyle="1" w:styleId="34">
    <w:name w:val="列出段落1"/>
    <w:basedOn w:val="1"/>
    <w:qFormat/>
    <w:uiPriority w:val="0"/>
    <w:pPr>
      <w:ind w:firstLine="420" w:firstLineChars="200"/>
    </w:pPr>
    <w:rPr>
      <w:rFonts w:ascii="Calibri" w:hAnsi="Calibri" w:eastAsia="宋体" w:cs="黑体"/>
    </w:rPr>
  </w:style>
  <w:style w:type="character" w:customStyle="1" w:styleId="35">
    <w:name w:val="页眉 字符"/>
    <w:basedOn w:val="27"/>
    <w:link w:val="17"/>
    <w:qFormat/>
    <w:uiPriority w:val="99"/>
    <w:rPr>
      <w:sz w:val="18"/>
      <w:szCs w:val="18"/>
    </w:rPr>
  </w:style>
  <w:style w:type="character" w:customStyle="1" w:styleId="36">
    <w:name w:val="页脚 字符"/>
    <w:basedOn w:val="27"/>
    <w:link w:val="16"/>
    <w:qFormat/>
    <w:uiPriority w:val="99"/>
    <w:rPr>
      <w:sz w:val="18"/>
      <w:szCs w:val="18"/>
    </w:rPr>
  </w:style>
  <w:style w:type="character" w:customStyle="1" w:styleId="37">
    <w:name w:val="未处理的提及1"/>
    <w:basedOn w:val="27"/>
    <w:unhideWhenUsed/>
    <w:qFormat/>
    <w:uiPriority w:val="99"/>
    <w:rPr>
      <w:color w:val="605E5C"/>
      <w:shd w:val="clear" w:color="auto" w:fill="E1DFDD"/>
    </w:rPr>
  </w:style>
  <w:style w:type="character" w:customStyle="1" w:styleId="38">
    <w:name w:val="脚注文本 字符"/>
    <w:basedOn w:val="27"/>
    <w:link w:val="20"/>
    <w:semiHidden/>
    <w:qFormat/>
    <w:uiPriority w:val="99"/>
    <w:rPr>
      <w:sz w:val="18"/>
      <w:szCs w:val="18"/>
    </w:rPr>
  </w:style>
  <w:style w:type="paragraph" w:customStyle="1" w:styleId="39">
    <w:name w:val="正文首行缩进 21"/>
    <w:basedOn w:val="12"/>
    <w:next w:val="1"/>
    <w:qFormat/>
    <w:uiPriority w:val="0"/>
    <w:pPr>
      <w:adjustRightInd w:val="0"/>
      <w:snapToGrid w:val="0"/>
      <w:spacing w:before="100" w:beforeAutospacing="1" w:line="360" w:lineRule="auto"/>
      <w:ind w:left="0" w:leftChars="0" w:firstLine="40" w:firstLineChars="200"/>
    </w:pPr>
    <w:rPr>
      <w:rFonts w:ascii="仿宋_GB2312" w:hAnsi="宋体" w:eastAsia="仿宋" w:cs="宋体"/>
      <w:sz w:val="32"/>
      <w:szCs w:val="32"/>
    </w:rPr>
  </w:style>
  <w:style w:type="character" w:customStyle="1" w:styleId="40">
    <w:name w:val="正文文本缩进 字符"/>
    <w:basedOn w:val="27"/>
    <w:link w:val="12"/>
    <w:semiHidden/>
    <w:qFormat/>
    <w:uiPriority w:val="99"/>
    <w:rPr>
      <w:rFonts w:asciiTheme="minorHAnsi" w:hAnsiTheme="minorHAnsi" w:eastAsiaTheme="minorEastAsia" w:cstheme="minorBidi"/>
      <w:kern w:val="2"/>
      <w:sz w:val="21"/>
      <w:szCs w:val="22"/>
    </w:rPr>
  </w:style>
  <w:style w:type="table" w:customStyle="1" w:styleId="41">
    <w:name w:val="网格型6"/>
    <w:basedOn w:val="25"/>
    <w:qFormat/>
    <w:uiPriority w:val="0"/>
    <w:rPr>
      <w:rFonts w:ascii="Calibri" w:hAnsi="Calibri" w:eastAsia="Times New Roman" w:cs="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42">
    <w:name w:val="未处理的提及2"/>
    <w:basedOn w:val="27"/>
    <w:unhideWhenUsed/>
    <w:qFormat/>
    <w:uiPriority w:val="99"/>
    <w:rPr>
      <w:color w:val="605E5C"/>
      <w:shd w:val="clear" w:color="auto" w:fill="E1DFDD"/>
    </w:rPr>
  </w:style>
  <w:style w:type="character" w:customStyle="1" w:styleId="43">
    <w:name w:val="标题 1 字符"/>
    <w:basedOn w:val="27"/>
    <w:link w:val="4"/>
    <w:qFormat/>
    <w:uiPriority w:val="9"/>
    <w:rPr>
      <w:rFonts w:asciiTheme="minorHAnsi" w:hAnsiTheme="minorHAnsi" w:cstheme="minorBidi"/>
      <w:b/>
      <w:bCs/>
      <w:kern w:val="44"/>
      <w:sz w:val="32"/>
      <w:szCs w:val="44"/>
    </w:rPr>
  </w:style>
  <w:style w:type="character" w:customStyle="1" w:styleId="44">
    <w:name w:val="标题 2 字符"/>
    <w:basedOn w:val="27"/>
    <w:link w:val="5"/>
    <w:qFormat/>
    <w:uiPriority w:val="9"/>
    <w:rPr>
      <w:rFonts w:asciiTheme="majorHAnsi" w:hAnsiTheme="majorHAnsi" w:cstheme="majorBidi"/>
      <w:b/>
      <w:bCs/>
      <w:kern w:val="2"/>
      <w:sz w:val="28"/>
      <w:szCs w:val="32"/>
    </w:rPr>
  </w:style>
  <w:style w:type="character" w:customStyle="1" w:styleId="45">
    <w:name w:val="标题 3 字符"/>
    <w:basedOn w:val="27"/>
    <w:link w:val="6"/>
    <w:qFormat/>
    <w:uiPriority w:val="9"/>
    <w:rPr>
      <w:rFonts w:asciiTheme="minorHAnsi" w:hAnsiTheme="minorHAnsi" w:cstheme="minorBidi"/>
      <w:b/>
      <w:bCs/>
      <w:kern w:val="2"/>
      <w:sz w:val="28"/>
      <w:szCs w:val="32"/>
    </w:rPr>
  </w:style>
  <w:style w:type="paragraph" w:customStyle="1" w:styleId="46">
    <w:name w:val="TOC 标题1"/>
    <w:basedOn w:val="4"/>
    <w:next w:val="1"/>
    <w:unhideWhenUsed/>
    <w:qFormat/>
    <w:uiPriority w:val="39"/>
    <w:pPr>
      <w:widowControl/>
      <w:spacing w:before="240" w:after="0" w:line="259" w:lineRule="auto"/>
      <w:outlineLvl w:val="9"/>
    </w:pPr>
    <w:rPr>
      <w:rFonts w:asciiTheme="majorHAnsi" w:hAnsiTheme="majorHAnsi" w:eastAsiaTheme="majorEastAsia" w:cstheme="majorBidi"/>
      <w:b w:val="0"/>
      <w:bCs w:val="0"/>
      <w:color w:val="2F5597" w:themeColor="accent1" w:themeShade="BF"/>
      <w:kern w:val="0"/>
      <w:szCs w:val="32"/>
    </w:rPr>
  </w:style>
  <w:style w:type="paragraph" w:customStyle="1" w:styleId="47">
    <w:name w:val="BodyTextIndent2"/>
    <w:basedOn w:val="1"/>
    <w:qFormat/>
    <w:uiPriority w:val="0"/>
    <w:pPr>
      <w:spacing w:after="120" w:line="480" w:lineRule="auto"/>
      <w:ind w:left="420" w:leftChars="200"/>
      <w:textAlignment w:val="baseline"/>
    </w:pPr>
    <w:rPr>
      <w:rFonts w:ascii="Times New Roman" w:hAnsi="Times New Roman" w:eastAsia="宋体" w:cs="黑体"/>
    </w:rPr>
  </w:style>
  <w:style w:type="paragraph" w:customStyle="1" w:styleId="48">
    <w:name w:val="图表"/>
    <w:basedOn w:val="1"/>
    <w:link w:val="49"/>
    <w:qFormat/>
    <w:uiPriority w:val="0"/>
    <w:pPr>
      <w:jc w:val="center"/>
    </w:pPr>
    <w:rPr>
      <w:rFonts w:ascii="宋体" w:hAnsi="宋体" w:eastAsia="宋体"/>
      <w:b/>
      <w:sz w:val="24"/>
    </w:rPr>
  </w:style>
  <w:style w:type="character" w:customStyle="1" w:styleId="49">
    <w:name w:val="图表 字符"/>
    <w:basedOn w:val="27"/>
    <w:link w:val="48"/>
    <w:qFormat/>
    <w:uiPriority w:val="0"/>
    <w:rPr>
      <w:rFonts w:ascii="宋体" w:hAnsi="宋体" w:cstheme="minorBidi"/>
      <w:b/>
      <w:kern w:val="2"/>
      <w:sz w:val="24"/>
      <w:szCs w:val="22"/>
    </w:rPr>
  </w:style>
  <w:style w:type="character" w:customStyle="1" w:styleId="50">
    <w:name w:val="标题 4 字符"/>
    <w:basedOn w:val="27"/>
    <w:link w:val="7"/>
    <w:semiHidden/>
    <w:qFormat/>
    <w:uiPriority w:val="9"/>
    <w:rPr>
      <w:rFonts w:asciiTheme="majorHAnsi" w:hAnsiTheme="majorHAnsi" w:eastAsiaTheme="majorEastAsia" w:cstheme="majorBidi"/>
      <w:b/>
      <w:bCs/>
      <w:kern w:val="2"/>
      <w:sz w:val="28"/>
      <w:szCs w:val="28"/>
    </w:rPr>
  </w:style>
  <w:style w:type="table" w:customStyle="1" w:styleId="51">
    <w:name w:val="网格型1"/>
    <w:basedOn w:val="25"/>
    <w:qFormat/>
    <w:uiPriority w:val="59"/>
    <w:rPr>
      <w:rFonts w:asciiTheme="minorHAnsi" w:hAnsiTheme="minorHAnsi" w:eastAsiaTheme="minorEastAsia" w:cstheme="minorBid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52">
    <w:name w:val="列表段落1"/>
    <w:basedOn w:val="1"/>
    <w:qFormat/>
    <w:uiPriority w:val="34"/>
    <w:pPr>
      <w:widowControl/>
      <w:ind w:firstLine="420" w:firstLineChars="200"/>
      <w:jc w:val="left"/>
    </w:pPr>
    <w:rPr>
      <w:rFonts w:ascii="宋体" w:hAnsi="宋体" w:eastAsia="宋体" w:cs="宋体"/>
      <w:kern w:val="0"/>
      <w:sz w:val="24"/>
      <w:szCs w:val="24"/>
    </w:rPr>
  </w:style>
  <w:style w:type="paragraph" w:customStyle="1" w:styleId="53">
    <w:name w:val="样式1"/>
    <w:basedOn w:val="1"/>
    <w:qFormat/>
    <w:uiPriority w:val="0"/>
    <w:pPr>
      <w:ind w:firstLine="200" w:firstLineChars="200"/>
    </w:pPr>
    <w:rPr>
      <w:rFonts w:ascii="Times New Roman" w:hAnsi="Times New Roman"/>
      <w:sz w:val="28"/>
    </w:rPr>
  </w:style>
  <w:style w:type="paragraph" w:customStyle="1" w:styleId="54">
    <w:name w:val="Default"/>
    <w:unhideWhenUsed/>
    <w:qFormat/>
    <w:uiPriority w:val="99"/>
    <w:pPr>
      <w:widowControl w:val="0"/>
      <w:autoSpaceDE w:val="0"/>
      <w:autoSpaceDN w:val="0"/>
      <w:adjustRightInd w:val="0"/>
    </w:pPr>
    <w:rPr>
      <w:rFonts w:ascii="仿宋_GB2312" w:hAnsi="仿宋_GB2312" w:eastAsia="仿宋_GB2312" w:cs="Times New Roman"/>
      <w:color w:val="000000"/>
      <w:sz w:val="24"/>
      <w:lang w:val="en-US" w:eastAsia="zh-CN" w:bidi="ar-SA"/>
    </w:rPr>
  </w:style>
  <w:style w:type="character" w:customStyle="1" w:styleId="55">
    <w:name w:val="font51"/>
    <w:basedOn w:val="27"/>
    <w:qFormat/>
    <w:uiPriority w:val="0"/>
    <w:rPr>
      <w:rFonts w:hint="eastAsia" w:ascii="宋体" w:hAnsi="宋体" w:eastAsia="宋体" w:cs="宋体"/>
      <w:b/>
      <w:color w:val="000000"/>
      <w:sz w:val="21"/>
      <w:szCs w:val="21"/>
      <w:u w:val="none"/>
    </w:rPr>
  </w:style>
  <w:style w:type="character" w:customStyle="1" w:styleId="56">
    <w:name w:val="font41"/>
    <w:basedOn w:val="27"/>
    <w:qFormat/>
    <w:uiPriority w:val="0"/>
    <w:rPr>
      <w:rFonts w:hint="default" w:ascii="Times New Roman" w:hAnsi="Times New Roman" w:cs="Times New Roman"/>
      <w:b/>
      <w:color w:val="000000"/>
      <w:sz w:val="21"/>
      <w:szCs w:val="21"/>
      <w:u w:val="none"/>
    </w:rPr>
  </w:style>
  <w:style w:type="paragraph" w:customStyle="1" w:styleId="57">
    <w:name w:val="标题3"/>
    <w:basedOn w:val="6"/>
    <w:qFormat/>
    <w:uiPriority w:val="0"/>
    <w:pPr>
      <w:spacing w:before="60" w:after="60"/>
      <w:ind w:firstLine="1044" w:firstLineChars="200"/>
    </w:pPr>
    <w:rPr>
      <w:rFonts w:ascii="Times New Roman" w:hAnsi="Times New Roman"/>
      <w:sz w:val="30"/>
    </w:rPr>
  </w:style>
  <w:style w:type="character" w:customStyle="1" w:styleId="58">
    <w:name w:val="font21"/>
    <w:basedOn w:val="27"/>
    <w:qFormat/>
    <w:uiPriority w:val="0"/>
    <w:rPr>
      <w:rFonts w:hint="eastAsia" w:ascii="宋体" w:hAnsi="宋体" w:eastAsia="宋体" w:cs="宋体"/>
      <w:color w:val="000000"/>
      <w:sz w:val="20"/>
      <w:szCs w:val="20"/>
      <w:u w:val="none"/>
    </w:rPr>
  </w:style>
  <w:style w:type="character" w:customStyle="1" w:styleId="59">
    <w:name w:val="日期 字符"/>
    <w:basedOn w:val="27"/>
    <w:link w:val="15"/>
    <w:semiHidden/>
    <w:qFormat/>
    <w:uiPriority w:val="99"/>
    <w:rPr>
      <w:rFonts w:asciiTheme="minorHAnsi" w:hAnsiTheme="minorHAnsi" w:eastAsiaTheme="minorEastAsia" w:cstheme="minorBidi"/>
      <w:kern w:val="2"/>
      <w:sz w:val="21"/>
      <w:szCs w:val="22"/>
    </w:rPr>
  </w:style>
  <w:style w:type="character" w:customStyle="1" w:styleId="60">
    <w:name w:val="未处理的提及3"/>
    <w:basedOn w:val="27"/>
    <w:unhideWhenUsed/>
    <w:qFormat/>
    <w:uiPriority w:val="99"/>
    <w:rPr>
      <w:color w:val="605E5C"/>
      <w:shd w:val="clear" w:color="auto" w:fill="E1DFDD"/>
    </w:rPr>
  </w:style>
  <w:style w:type="paragraph" w:customStyle="1" w:styleId="61">
    <w:name w:val="TOC 标题2"/>
    <w:basedOn w:val="4"/>
    <w:next w:val="1"/>
    <w:unhideWhenUsed/>
    <w:qFormat/>
    <w:uiPriority w:val="39"/>
    <w:pPr>
      <w:widowControl/>
      <w:spacing w:before="240" w:after="0" w:line="259" w:lineRule="auto"/>
      <w:outlineLvl w:val="9"/>
    </w:pPr>
    <w:rPr>
      <w:rFonts w:asciiTheme="majorHAnsi" w:hAnsiTheme="majorHAnsi" w:eastAsiaTheme="majorEastAsia" w:cstheme="majorBidi"/>
      <w:b w:val="0"/>
      <w:bCs w:val="0"/>
      <w:color w:val="2F5597" w:themeColor="accent1" w:themeShade="BF"/>
      <w:kern w:val="0"/>
      <w:szCs w:val="32"/>
    </w:rPr>
  </w:style>
  <w:style w:type="character" w:customStyle="1" w:styleId="62">
    <w:name w:val="正文文本 字符"/>
    <w:basedOn w:val="27"/>
    <w:link w:val="2"/>
    <w:qFormat/>
    <w:uiPriority w:val="0"/>
    <w:rPr>
      <w:rFonts w:asciiTheme="minorHAnsi" w:hAnsiTheme="minorHAnsi" w:eastAsiaTheme="minorEastAsia" w:cstheme="minorBidi"/>
      <w:kern w:val="2"/>
      <w:sz w:val="21"/>
      <w:szCs w:val="22"/>
    </w:rPr>
  </w:style>
  <w:style w:type="paragraph" w:customStyle="1" w:styleId="63">
    <w:name w:val="修订1"/>
    <w:hidden/>
    <w:semiHidden/>
    <w:qFormat/>
    <w:uiPriority w:val="99"/>
    <w:rPr>
      <w:rFonts w:asciiTheme="minorHAnsi" w:hAnsiTheme="minorHAnsi" w:eastAsiaTheme="minorEastAsia" w:cstheme="minorBidi"/>
      <w:kern w:val="2"/>
      <w:sz w:val="21"/>
      <w:szCs w:val="22"/>
      <w:lang w:val="en-US" w:eastAsia="zh-CN" w:bidi="ar-SA"/>
    </w:rPr>
  </w:style>
  <w:style w:type="character" w:customStyle="1" w:styleId="64">
    <w:name w:val="批注文字 字符"/>
    <w:basedOn w:val="27"/>
    <w:link w:val="11"/>
    <w:qFormat/>
    <w:uiPriority w:val="99"/>
    <w:rPr>
      <w:rFonts w:asciiTheme="minorHAnsi" w:hAnsiTheme="minorHAnsi" w:eastAsiaTheme="minorEastAsia" w:cstheme="minorBidi"/>
      <w:kern w:val="2"/>
      <w:sz w:val="21"/>
      <w:szCs w:val="22"/>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 Type="http://schemas.openxmlformats.org/officeDocument/2006/relationships/footer" Target="footer2.xml"/><Relationship Id="rId65" Type="http://schemas.openxmlformats.org/officeDocument/2006/relationships/fontTable" Target="fontTable.xml"/><Relationship Id="rId64" Type="http://schemas.openxmlformats.org/officeDocument/2006/relationships/numbering" Target="numbering.xml"/><Relationship Id="rId63" Type="http://schemas.openxmlformats.org/officeDocument/2006/relationships/image" Target="media/image47.jpeg"/><Relationship Id="rId62" Type="http://schemas.openxmlformats.org/officeDocument/2006/relationships/image" Target="media/image46.jpeg"/><Relationship Id="rId61" Type="http://schemas.openxmlformats.org/officeDocument/2006/relationships/image" Target="media/image45.jpeg"/><Relationship Id="rId60" Type="http://schemas.openxmlformats.org/officeDocument/2006/relationships/image" Target="media/image44.jpeg"/><Relationship Id="rId6" Type="http://schemas.openxmlformats.org/officeDocument/2006/relationships/footer" Target="footer1.xml"/><Relationship Id="rId59" Type="http://schemas.openxmlformats.org/officeDocument/2006/relationships/image" Target="media/image43.pn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jpe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header" Target="header3.xml"/><Relationship Id="rId49" Type="http://schemas.openxmlformats.org/officeDocument/2006/relationships/image" Target="media/image33.png"/><Relationship Id="rId48" Type="http://schemas.openxmlformats.org/officeDocument/2006/relationships/image" Target="media/image32.jpe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header" Target="header2.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header" Target="header1.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png"/><Relationship Id="rId26" Type="http://schemas.openxmlformats.org/officeDocument/2006/relationships/image" Target="media/image10.png"/><Relationship Id="rId25" Type="http://schemas.openxmlformats.org/officeDocument/2006/relationships/chart" Target="charts/chart4.xml"/><Relationship Id="rId24" Type="http://schemas.openxmlformats.org/officeDocument/2006/relationships/chart" Target="charts/chart3.xml"/><Relationship Id="rId23" Type="http://schemas.openxmlformats.org/officeDocument/2006/relationships/chart" Target="charts/chart2.xml"/><Relationship Id="rId22" Type="http://schemas.openxmlformats.org/officeDocument/2006/relationships/chart" Target="charts/chart1.xml"/><Relationship Id="rId21" Type="http://schemas.openxmlformats.org/officeDocument/2006/relationships/image" Target="media/image9.jpe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png"/><Relationship Id="rId17" Type="http://schemas.openxmlformats.org/officeDocument/2006/relationships/image" Target="media/image5.jpe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E:\WeChat\WeChat%20Files\wxid_1i0nvvargj7831\FileStorage\MsgAttach\124a528abb4d2bb5cd78278836470ecb\File\2022-06\&#21313;&#19977;&#20116;&#32511;&#24314;&#33410;&#33021;&#25968;&#25454;20210525&#40644;&#31185;&#25552;&#20379;%20-%20&#21103;&#26412;.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E:\WeChat\WeChat%20Files\wxid_1i0nvvargj7831\FileStorage\MsgAttach\124a528abb4d2bb5cd78278836470ecb\File\2022-06\&#21313;&#19977;&#20116;&#32511;&#24314;&#33410;&#33021;&#25968;&#25454;20210525&#40644;&#31185;&#25552;&#20379;%20-%20&#21103;&#26412;.xlsx"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E:\WeChat\WeChat%20Files\wxid_1i0nvvargj7831\FileStorage\MsgAttach\124a528abb4d2bb5cd78278836470ecb\File\2022-06\&#21313;&#19977;&#20116;&#32511;&#24314;&#33410;&#33021;&#25968;&#25454;20210525&#40644;&#31185;&#25552;&#20379;%20-%20&#21103;&#26412;.xlsx" TargetMode="External"/></Relationships>
</file>

<file path=word/charts/_rels/chart4.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E:\WeChat\WeChat%20Files\wxid_1i0nvvargj7831\FileStorage\MsgAttach\124a528abb4d2bb5cd78278836470ecb\File\2022-06\&#21313;&#19977;&#20116;&#32511;&#24314;&#33410;&#33021;&#25968;&#25454;20210525&#40644;&#31185;&#25552;&#20379;%20-%20&#21103;&#2641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2000" b="0" i="0" u="none" strike="noStrike" kern="1200" spc="0" baseline="0">
                <a:solidFill>
                  <a:schemeClr val="tx1">
                    <a:lumMod val="65000"/>
                    <a:lumOff val="35000"/>
                  </a:schemeClr>
                </a:solidFill>
                <a:latin typeface="+mn-lt"/>
                <a:ea typeface="+mn-ea"/>
                <a:cs typeface="+mn-cs"/>
              </a:defRPr>
            </a:pPr>
            <a:r>
              <a:rPr lang="zh-CN" altLang="zh-CN" sz="1400" b="0" i="0" baseline="0">
                <a:effectLst/>
              </a:rPr>
              <a:t>城镇新增绿色建筑面积（万</a:t>
            </a:r>
            <a:r>
              <a:rPr lang="en-US" altLang="zh-CN" sz="1400" b="0" i="0" baseline="0">
                <a:effectLst/>
              </a:rPr>
              <a:t>m</a:t>
            </a:r>
            <a:r>
              <a:rPr lang="en-US" altLang="zh-CN" sz="1400" b="0" i="0" baseline="30000">
                <a:effectLst/>
              </a:rPr>
              <a:t>2</a:t>
            </a:r>
            <a:r>
              <a:rPr lang="zh-CN" altLang="zh-CN" sz="1500" b="0" i="0" baseline="0">
                <a:effectLst/>
              </a:rPr>
              <a:t>）</a:t>
            </a:r>
            <a:endParaRPr lang="zh-CN" altLang="zh-CN" sz="1500">
              <a:effectLst/>
            </a:endParaRPr>
          </a:p>
        </c:rich>
      </c:tx>
      <c:layout/>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Pt>
            <c:idx val="3"/>
            <c:invertIfNegative val="0"/>
            <c:bubble3D val="0"/>
            <c:spPr>
              <a:solidFill>
                <a:schemeClr val="accent2"/>
              </a:solidFill>
              <a:ln>
                <a:noFill/>
              </a:ln>
              <a:effectLst/>
            </c:spPr>
          </c:dPt>
          <c:dPt>
            <c:idx val="4"/>
            <c:invertIfNegative val="0"/>
            <c:bubble3D val="0"/>
            <c:spPr>
              <a:solidFill>
                <a:schemeClr val="accent1"/>
              </a:solidFill>
              <a:ln>
                <a:noFill/>
              </a:ln>
              <a:effectLst/>
            </c:spPr>
          </c:dPt>
          <c:dPt>
            <c:idx val="6"/>
            <c:invertIfNegative val="0"/>
            <c:bubble3D val="0"/>
            <c:spPr>
              <a:solidFill>
                <a:schemeClr val="accent1"/>
              </a:solidFill>
              <a:ln>
                <a:noFill/>
              </a:ln>
              <a:effectLst/>
            </c:spPr>
          </c:dPt>
          <c:dLbls>
            <c:delete val="1"/>
          </c:dLbls>
          <c:cat>
            <c:strRef>
              <c:f>'[十三五绿建节能数据20210525黄科提供 - 副本.xlsx]排名'!$A$34:$A$54</c:f>
              <c:strCache>
                <c:ptCount val="21"/>
                <c:pt idx="0">
                  <c:v>深圳</c:v>
                </c:pt>
                <c:pt idx="1">
                  <c:v>珠海</c:v>
                </c:pt>
                <c:pt idx="2">
                  <c:v>广州</c:v>
                </c:pt>
                <c:pt idx="3">
                  <c:v>中山</c:v>
                </c:pt>
                <c:pt idx="4">
                  <c:v>佛山</c:v>
                </c:pt>
                <c:pt idx="5">
                  <c:v>惠州</c:v>
                </c:pt>
                <c:pt idx="6">
                  <c:v>东莞</c:v>
                </c:pt>
                <c:pt idx="7">
                  <c:v>江门</c:v>
                </c:pt>
                <c:pt idx="8">
                  <c:v>梅州</c:v>
                </c:pt>
                <c:pt idx="9">
                  <c:v>茂名</c:v>
                </c:pt>
                <c:pt idx="10">
                  <c:v>肇庆</c:v>
                </c:pt>
                <c:pt idx="11">
                  <c:v>韶关</c:v>
                </c:pt>
                <c:pt idx="12">
                  <c:v>清远</c:v>
                </c:pt>
                <c:pt idx="13">
                  <c:v>云浮</c:v>
                </c:pt>
                <c:pt idx="14">
                  <c:v>河源</c:v>
                </c:pt>
                <c:pt idx="15">
                  <c:v>汕头</c:v>
                </c:pt>
                <c:pt idx="16">
                  <c:v>湛江</c:v>
                </c:pt>
                <c:pt idx="17">
                  <c:v>汕尾</c:v>
                </c:pt>
                <c:pt idx="18">
                  <c:v>阳江</c:v>
                </c:pt>
                <c:pt idx="19">
                  <c:v>揭阳</c:v>
                </c:pt>
                <c:pt idx="20">
                  <c:v>潮州</c:v>
                </c:pt>
              </c:strCache>
            </c:strRef>
          </c:cat>
          <c:val>
            <c:numRef>
              <c:f>'[十三五绿建节能数据20210525黄科提供 - 副本.xlsx]排名'!$B$34:$B$54</c:f>
              <c:numCache>
                <c:formatCode>0_ </c:formatCode>
                <c:ptCount val="21"/>
                <c:pt idx="0">
                  <c:v>9425.26</c:v>
                </c:pt>
                <c:pt idx="1">
                  <c:v>8201.119</c:v>
                </c:pt>
                <c:pt idx="2">
                  <c:v>8157.45</c:v>
                </c:pt>
                <c:pt idx="3">
                  <c:v>5184.21</c:v>
                </c:pt>
                <c:pt idx="4">
                  <c:v>5132.35</c:v>
                </c:pt>
                <c:pt idx="5">
                  <c:v>4482.79</c:v>
                </c:pt>
                <c:pt idx="6">
                  <c:v>3099.05</c:v>
                </c:pt>
                <c:pt idx="7">
                  <c:v>1920.8</c:v>
                </c:pt>
                <c:pt idx="8">
                  <c:v>1160.84</c:v>
                </c:pt>
                <c:pt idx="9">
                  <c:v>959.64</c:v>
                </c:pt>
                <c:pt idx="10">
                  <c:v>811.21</c:v>
                </c:pt>
                <c:pt idx="11">
                  <c:v>787.51</c:v>
                </c:pt>
                <c:pt idx="12">
                  <c:v>658.64</c:v>
                </c:pt>
                <c:pt idx="13">
                  <c:v>561.7372</c:v>
                </c:pt>
                <c:pt idx="14">
                  <c:v>478.66</c:v>
                </c:pt>
                <c:pt idx="15">
                  <c:v>436.7347</c:v>
                </c:pt>
                <c:pt idx="16">
                  <c:v>368.78</c:v>
                </c:pt>
                <c:pt idx="17">
                  <c:v>316.24</c:v>
                </c:pt>
                <c:pt idx="18">
                  <c:v>226.495154</c:v>
                </c:pt>
                <c:pt idx="19">
                  <c:v>172.381949</c:v>
                </c:pt>
                <c:pt idx="20">
                  <c:v>145.7873</c:v>
                </c:pt>
              </c:numCache>
            </c:numRef>
          </c:val>
        </c:ser>
        <c:dLbls>
          <c:showLegendKey val="0"/>
          <c:showVal val="0"/>
          <c:showCatName val="0"/>
          <c:showSerName val="0"/>
          <c:showPercent val="0"/>
          <c:showBubbleSize val="0"/>
        </c:dLbls>
        <c:gapWidth val="219"/>
        <c:overlap val="-27"/>
        <c:axId val="808124672"/>
        <c:axId val="808132216"/>
      </c:barChart>
      <c:catAx>
        <c:axId val="80812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1400" b="0" i="0" u="none" strike="noStrike" kern="1200" baseline="0">
                <a:solidFill>
                  <a:schemeClr val="tx1">
                    <a:lumMod val="65000"/>
                    <a:lumOff val="35000"/>
                  </a:schemeClr>
                </a:solidFill>
                <a:latin typeface="+mn-lt"/>
                <a:ea typeface="+mn-ea"/>
                <a:cs typeface="+mn-cs"/>
              </a:defRPr>
            </a:pPr>
          </a:p>
        </c:txPr>
        <c:crossAx val="808132216"/>
        <c:crosses val="autoZero"/>
        <c:auto val="1"/>
        <c:lblAlgn val="ctr"/>
        <c:lblOffset val="100"/>
        <c:noMultiLvlLbl val="0"/>
      </c:catAx>
      <c:valAx>
        <c:axId val="808132216"/>
        <c:scaling>
          <c:orientation val="minMax"/>
        </c:scaling>
        <c:delete val="0"/>
        <c:axPos val="l"/>
        <c:majorGridlines>
          <c:spPr>
            <a:ln w="9525" cap="flat" cmpd="sng" algn="ctr">
              <a:solidFill>
                <a:schemeClr val="tx1">
                  <a:lumMod val="15000"/>
                  <a:lumOff val="85000"/>
                </a:schemeClr>
              </a:solidFill>
              <a:round/>
            </a:ln>
            <a:effectLst/>
          </c:spPr>
        </c:majorGridlines>
        <c:numFmt formatCode="0_ " sourceLinked="1"/>
        <c:majorTickMark val="none"/>
        <c:minorTickMark val="none"/>
        <c:tickLblPos val="nextTo"/>
        <c:spPr>
          <a:noFill/>
          <a:ln>
            <a:noFill/>
          </a:ln>
          <a:effectLst/>
        </c:spPr>
        <c:txPr>
          <a:bodyPr rot="-60000000" spcFirstLastPara="1" vertOverflow="ellipsis" vert="horz" wrap="square" anchor="ctr" anchorCtr="1"/>
          <a:lstStyle/>
          <a:p>
            <a:pPr>
              <a:defRPr lang="zh-CN" sz="1000" b="0" i="0" u="none" strike="noStrike" kern="1200" cap="none" spc="0" normalizeH="0" baseline="0">
                <a:solidFill>
                  <a:schemeClr val="tx1">
                    <a:lumMod val="65000"/>
                    <a:lumOff val="35000"/>
                  </a:schemeClr>
                </a:solidFill>
                <a:uFill>
                  <a:solidFill>
                    <a:schemeClr val="tx1">
                      <a:lumMod val="65000"/>
                      <a:lumOff val="35000"/>
                    </a:schemeClr>
                  </a:solidFill>
                </a:uFill>
                <a:latin typeface="+mn-lt"/>
                <a:ea typeface="+mn-ea"/>
                <a:cs typeface="+mn-cs"/>
              </a:defRPr>
            </a:pPr>
          </a:p>
        </c:txPr>
        <c:crossAx val="808124672"/>
        <c:crosses val="autoZero"/>
        <c:crossBetween val="between"/>
      </c:valAx>
      <c:spPr>
        <a:noFill/>
        <a:ln>
          <a:noFill/>
        </a:ln>
        <a:effectLst/>
      </c:spPr>
    </c:plotArea>
    <c:plotVisOnly val="1"/>
    <c:dispBlanksAs val="gap"/>
    <c:showDLblsOverMax val="0"/>
    <c:extLst>
      <c:ext uri="{0b15fc19-7d7d-44ad-8c2d-2c3a37ce22c3}">
        <chartProps xmlns="https://web.wps.cn/et/2018/main" chartId="{2144d233-5548-409e-95b0-1c60aa337d0e}"/>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2000" b="0" i="0" u="none" strike="noStrike" kern="1200" spc="0" baseline="0">
                <a:solidFill>
                  <a:schemeClr val="tx1">
                    <a:lumMod val="65000"/>
                    <a:lumOff val="35000"/>
                  </a:schemeClr>
                </a:solidFill>
                <a:latin typeface="+mn-lt"/>
                <a:ea typeface="+mn-ea"/>
                <a:cs typeface="+mn-cs"/>
              </a:defRPr>
            </a:pPr>
            <a:r>
              <a:rPr lang="zh-CN" altLang="en-US" sz="1400"/>
              <a:t>城镇绿色建筑占新建建筑面积比例（</a:t>
            </a:r>
            <a:r>
              <a:rPr lang="en-US" altLang="zh-CN" sz="1400"/>
              <a:t>%</a:t>
            </a:r>
            <a:r>
              <a:rPr lang="zh-CN" altLang="en-US" sz="1400"/>
              <a:t>）</a:t>
            </a:r>
            <a:endParaRPr lang="zh-CN" altLang="en-US" sz="1400"/>
          </a:p>
        </c:rich>
      </c:tx>
      <c:layout/>
      <c:overlay val="0"/>
      <c:spPr>
        <a:noFill/>
        <a:ln>
          <a:noFill/>
        </a:ln>
        <a:effectLst/>
      </c:spPr>
    </c:title>
    <c:autoTitleDeleted val="0"/>
    <c:plotArea>
      <c:layout/>
      <c:barChart>
        <c:barDir val="col"/>
        <c:grouping val="clustered"/>
        <c:varyColors val="0"/>
        <c:ser>
          <c:idx val="0"/>
          <c:order val="0"/>
          <c:tx>
            <c:strRef>
              <c:f>'[十三五绿建节能数据20210525黄科提供 - 副本.xlsx]排名'!$B$68</c:f>
              <c:strCache>
                <c:ptCount val="1"/>
                <c:pt idx="0">
                  <c:v>新增量占比</c:v>
                </c:pt>
              </c:strCache>
            </c:strRef>
          </c:tx>
          <c:spPr>
            <a:solidFill>
              <a:schemeClr val="accent1"/>
            </a:solidFill>
            <a:ln>
              <a:noFill/>
            </a:ln>
            <a:effectLst/>
          </c:spPr>
          <c:invertIfNegative val="0"/>
          <c:dPt>
            <c:idx val="3"/>
            <c:invertIfNegative val="0"/>
            <c:bubble3D val="0"/>
            <c:spPr>
              <a:solidFill>
                <a:schemeClr val="accent2"/>
              </a:solidFill>
              <a:ln>
                <a:noFill/>
              </a:ln>
              <a:effectLst/>
            </c:spPr>
          </c:dPt>
          <c:dPt>
            <c:idx val="4"/>
            <c:invertIfNegative val="0"/>
            <c:bubble3D val="0"/>
            <c:spPr>
              <a:solidFill>
                <a:schemeClr val="accent1"/>
              </a:solidFill>
              <a:ln>
                <a:noFill/>
              </a:ln>
              <a:effectLst/>
            </c:spPr>
          </c:dPt>
          <c:dPt>
            <c:idx val="9"/>
            <c:invertIfNegative val="0"/>
            <c:bubble3D val="0"/>
            <c:spPr>
              <a:solidFill>
                <a:schemeClr val="accent1"/>
              </a:solidFill>
              <a:ln>
                <a:noFill/>
              </a:ln>
              <a:effectLst/>
            </c:spPr>
          </c:dPt>
          <c:dLbls>
            <c:delete val="1"/>
          </c:dLbls>
          <c:cat>
            <c:strRef>
              <c:f>'[十三五绿建节能数据20210525黄科提供 - 副本.xlsx]排名'!$A$69:$A$89</c:f>
              <c:strCache>
                <c:ptCount val="21"/>
                <c:pt idx="0">
                  <c:v>深圳</c:v>
                </c:pt>
                <c:pt idx="1">
                  <c:v>珠海</c:v>
                </c:pt>
                <c:pt idx="2">
                  <c:v>广州</c:v>
                </c:pt>
                <c:pt idx="3">
                  <c:v>中山</c:v>
                </c:pt>
                <c:pt idx="4">
                  <c:v>东莞</c:v>
                </c:pt>
                <c:pt idx="5">
                  <c:v>梅州</c:v>
                </c:pt>
                <c:pt idx="6">
                  <c:v>惠州</c:v>
                </c:pt>
                <c:pt idx="7">
                  <c:v>茂名</c:v>
                </c:pt>
                <c:pt idx="8">
                  <c:v>江门</c:v>
                </c:pt>
                <c:pt idx="9">
                  <c:v>佛山</c:v>
                </c:pt>
                <c:pt idx="10">
                  <c:v>揭阳</c:v>
                </c:pt>
                <c:pt idx="11">
                  <c:v>韶关</c:v>
                </c:pt>
                <c:pt idx="12">
                  <c:v>云浮</c:v>
                </c:pt>
                <c:pt idx="13">
                  <c:v>汕尾</c:v>
                </c:pt>
                <c:pt idx="14">
                  <c:v>清远</c:v>
                </c:pt>
                <c:pt idx="15">
                  <c:v>河源</c:v>
                </c:pt>
                <c:pt idx="16">
                  <c:v>肇庆</c:v>
                </c:pt>
                <c:pt idx="17">
                  <c:v>湛江</c:v>
                </c:pt>
                <c:pt idx="18">
                  <c:v>汕头</c:v>
                </c:pt>
                <c:pt idx="19">
                  <c:v>潮州</c:v>
                </c:pt>
                <c:pt idx="20">
                  <c:v>阳江</c:v>
                </c:pt>
              </c:strCache>
            </c:strRef>
          </c:cat>
          <c:val>
            <c:numRef>
              <c:f>'[十三五绿建节能数据20210525黄科提供 - 副本.xlsx]排名'!$B$69:$B$89</c:f>
              <c:numCache>
                <c:formatCode>0_ </c:formatCode>
                <c:ptCount val="21"/>
                <c:pt idx="0">
                  <c:v>100</c:v>
                </c:pt>
                <c:pt idx="1">
                  <c:v>90.246406670909</c:v>
                </c:pt>
                <c:pt idx="2">
                  <c:v>68.1730824228784</c:v>
                </c:pt>
                <c:pt idx="3">
                  <c:v>64.4063367854275</c:v>
                </c:pt>
                <c:pt idx="4">
                  <c:v>56.7978591226107</c:v>
                </c:pt>
                <c:pt idx="5">
                  <c:v>47.4022765617629</c:v>
                </c:pt>
                <c:pt idx="6">
                  <c:v>46.551344085502</c:v>
                </c:pt>
                <c:pt idx="7">
                  <c:v>44.2857448909723</c:v>
                </c:pt>
                <c:pt idx="8">
                  <c:v>42.7812046608096</c:v>
                </c:pt>
                <c:pt idx="9">
                  <c:v>39.2186094915249</c:v>
                </c:pt>
                <c:pt idx="10">
                  <c:v>36.2165172743857</c:v>
                </c:pt>
                <c:pt idx="11">
                  <c:v>33.8155304599663</c:v>
                </c:pt>
                <c:pt idx="12">
                  <c:v>28.734415172923</c:v>
                </c:pt>
                <c:pt idx="13">
                  <c:v>25.8080875828684</c:v>
                </c:pt>
                <c:pt idx="14">
                  <c:v>24.1894769868715</c:v>
                </c:pt>
                <c:pt idx="15">
                  <c:v>21.2995646156742</c:v>
                </c:pt>
                <c:pt idx="16">
                  <c:v>20.7498285321759</c:v>
                </c:pt>
                <c:pt idx="17">
                  <c:v>19.3124861012393</c:v>
                </c:pt>
                <c:pt idx="18">
                  <c:v>18.0833041043769</c:v>
                </c:pt>
                <c:pt idx="19">
                  <c:v>11.9280483157387</c:v>
                </c:pt>
                <c:pt idx="20">
                  <c:v>11.5140875833036</c:v>
                </c:pt>
              </c:numCache>
            </c:numRef>
          </c:val>
        </c:ser>
        <c:dLbls>
          <c:showLegendKey val="0"/>
          <c:showVal val="0"/>
          <c:showCatName val="0"/>
          <c:showSerName val="0"/>
          <c:showPercent val="0"/>
          <c:showBubbleSize val="0"/>
        </c:dLbls>
        <c:gapWidth val="219"/>
        <c:overlap val="-27"/>
        <c:axId val="816915480"/>
        <c:axId val="816914496"/>
      </c:barChart>
      <c:catAx>
        <c:axId val="816915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1400" b="0" i="0" u="none" strike="noStrike" kern="1200" baseline="0">
                <a:solidFill>
                  <a:schemeClr val="tx1">
                    <a:lumMod val="65000"/>
                    <a:lumOff val="35000"/>
                  </a:schemeClr>
                </a:solidFill>
                <a:latin typeface="+mn-lt"/>
                <a:ea typeface="+mn-ea"/>
                <a:cs typeface="+mn-cs"/>
              </a:defRPr>
            </a:pPr>
          </a:p>
        </c:txPr>
        <c:crossAx val="816914496"/>
        <c:crosses val="autoZero"/>
        <c:auto val="1"/>
        <c:lblAlgn val="ctr"/>
        <c:lblOffset val="100"/>
        <c:noMultiLvlLbl val="0"/>
      </c:catAx>
      <c:valAx>
        <c:axId val="816914496"/>
        <c:scaling>
          <c:orientation val="minMax"/>
          <c:max val="101"/>
          <c:min val="0"/>
        </c:scaling>
        <c:delete val="0"/>
        <c:axPos val="l"/>
        <c:majorGridlines>
          <c:spPr>
            <a:ln w="9525" cap="flat" cmpd="sng" algn="ctr">
              <a:solidFill>
                <a:schemeClr val="tx1">
                  <a:lumMod val="15000"/>
                  <a:lumOff val="85000"/>
                </a:schemeClr>
              </a:solidFill>
              <a:round/>
            </a:ln>
            <a:effectLst/>
          </c:spPr>
        </c:majorGridlines>
        <c:numFmt formatCode="0_ " sourceLinked="1"/>
        <c:majorTickMark val="none"/>
        <c:minorTickMark val="none"/>
        <c:tickLblPos val="nextTo"/>
        <c:spPr>
          <a:noFill/>
          <a:ln>
            <a:noFill/>
          </a:ln>
          <a:effectLst/>
        </c:spPr>
        <c:txPr>
          <a:bodyPr rot="-60000000" spcFirstLastPara="1"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p>
        </c:txPr>
        <c:crossAx val="816915480"/>
        <c:crosses val="autoZero"/>
        <c:crossBetween val="between"/>
      </c:valAx>
      <c:spPr>
        <a:noFill/>
        <a:ln>
          <a:noFill/>
        </a:ln>
        <a:effectLst/>
      </c:spPr>
    </c:plotArea>
    <c:plotVisOnly val="1"/>
    <c:dispBlanksAs val="gap"/>
    <c:showDLblsOverMax val="0"/>
    <c:extLst>
      <c:ext uri="{0b15fc19-7d7d-44ad-8c2d-2c3a37ce22c3}">
        <chartProps xmlns="https://web.wps.cn/et/2018/main" chartId="{768bfd0c-bb7d-48a7-9c69-1c23b3e32ee1}"/>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2000" b="0" i="0" u="none" strike="noStrike" kern="1200" spc="0" baseline="0">
                <a:solidFill>
                  <a:schemeClr val="tx1">
                    <a:lumMod val="65000"/>
                    <a:lumOff val="35000"/>
                  </a:schemeClr>
                </a:solidFill>
                <a:latin typeface="+mn-lt"/>
                <a:ea typeface="+mn-ea"/>
                <a:cs typeface="+mn-cs"/>
              </a:defRPr>
            </a:pPr>
            <a:r>
              <a:rPr lang="zh-CN" altLang="en-US" sz="1400"/>
              <a:t>建筑节能改造面积（万</a:t>
            </a:r>
            <a:r>
              <a:rPr lang="en-US" altLang="zh-CN" sz="1400"/>
              <a:t>m2</a:t>
            </a:r>
            <a:r>
              <a:rPr lang="zh-CN" altLang="en-US" sz="1400"/>
              <a:t>）</a:t>
            </a:r>
            <a:endParaRPr lang="zh-CN" altLang="en-US" sz="1400"/>
          </a:p>
        </c:rich>
      </c:tx>
      <c:layout/>
      <c:overlay val="0"/>
      <c:spPr>
        <a:noFill/>
        <a:ln>
          <a:noFill/>
        </a:ln>
        <a:effectLst/>
      </c:spPr>
    </c:title>
    <c:autoTitleDeleted val="0"/>
    <c:plotArea>
      <c:layout/>
      <c:barChart>
        <c:barDir val="col"/>
        <c:grouping val="clustered"/>
        <c:varyColors val="0"/>
        <c:ser>
          <c:idx val="0"/>
          <c:order val="0"/>
          <c:tx>
            <c:strRef>
              <c:f>'[十三五绿建节能数据20210525黄科提供 - 副本.xlsx]排名'!$B$106</c:f>
              <c:strCache>
                <c:ptCount val="1"/>
                <c:pt idx="0">
                  <c:v>公建总量</c:v>
                </c:pt>
              </c:strCache>
            </c:strRef>
          </c:tx>
          <c:spPr>
            <a:solidFill>
              <a:schemeClr val="accent1"/>
            </a:solidFill>
            <a:ln>
              <a:noFill/>
            </a:ln>
            <a:effectLst/>
          </c:spPr>
          <c:invertIfNegative val="0"/>
          <c:dPt>
            <c:idx val="2"/>
            <c:invertIfNegative val="0"/>
            <c:bubble3D val="0"/>
            <c:spPr>
              <a:solidFill>
                <a:schemeClr val="accent1"/>
              </a:solidFill>
              <a:ln>
                <a:noFill/>
              </a:ln>
              <a:effectLst/>
            </c:spPr>
          </c:dPt>
          <c:dPt>
            <c:idx val="5"/>
            <c:invertIfNegative val="0"/>
            <c:bubble3D val="0"/>
            <c:spPr>
              <a:solidFill>
                <a:schemeClr val="accent1"/>
              </a:solidFill>
              <a:ln>
                <a:noFill/>
              </a:ln>
              <a:effectLst/>
            </c:spPr>
          </c:dPt>
          <c:dPt>
            <c:idx val="6"/>
            <c:invertIfNegative val="0"/>
            <c:bubble3D val="0"/>
            <c:spPr>
              <a:solidFill>
                <a:schemeClr val="accent2"/>
              </a:solidFill>
              <a:ln>
                <a:noFill/>
              </a:ln>
              <a:effectLst/>
            </c:spPr>
          </c:dPt>
          <c:dLbls>
            <c:delete val="1"/>
          </c:dLbls>
          <c:cat>
            <c:strRef>
              <c:f>'[十三五绿建节能数据20210525黄科提供 - 副本.xlsx]排名'!$A$107:$A$127</c:f>
              <c:strCache>
                <c:ptCount val="21"/>
                <c:pt idx="0">
                  <c:v>深圳</c:v>
                </c:pt>
                <c:pt idx="1">
                  <c:v>广州</c:v>
                </c:pt>
                <c:pt idx="2">
                  <c:v>东莞</c:v>
                </c:pt>
                <c:pt idx="3">
                  <c:v>珠海</c:v>
                </c:pt>
                <c:pt idx="4">
                  <c:v>佛山</c:v>
                </c:pt>
                <c:pt idx="5">
                  <c:v>江门</c:v>
                </c:pt>
                <c:pt idx="6">
                  <c:v>中山</c:v>
                </c:pt>
                <c:pt idx="7">
                  <c:v>韶关</c:v>
                </c:pt>
                <c:pt idx="8">
                  <c:v>梅州</c:v>
                </c:pt>
                <c:pt idx="9">
                  <c:v>湛江</c:v>
                </c:pt>
                <c:pt idx="10">
                  <c:v>惠州</c:v>
                </c:pt>
                <c:pt idx="11">
                  <c:v>茂名</c:v>
                </c:pt>
                <c:pt idx="12">
                  <c:v>汕头</c:v>
                </c:pt>
                <c:pt idx="13">
                  <c:v>汕尾</c:v>
                </c:pt>
                <c:pt idx="14">
                  <c:v>云浮</c:v>
                </c:pt>
                <c:pt idx="15">
                  <c:v>阳江</c:v>
                </c:pt>
                <c:pt idx="16">
                  <c:v>河源</c:v>
                </c:pt>
                <c:pt idx="17">
                  <c:v>肇庆</c:v>
                </c:pt>
                <c:pt idx="18">
                  <c:v>清远</c:v>
                </c:pt>
                <c:pt idx="19">
                  <c:v>揭阳</c:v>
                </c:pt>
                <c:pt idx="20">
                  <c:v>潮州</c:v>
                </c:pt>
              </c:strCache>
            </c:strRef>
          </c:cat>
          <c:val>
            <c:numRef>
              <c:f>'[十三五绿建节能数据20210525黄科提供 - 副本.xlsx]排名'!$B$107:$B$127</c:f>
              <c:numCache>
                <c:formatCode>0_ </c:formatCode>
                <c:ptCount val="21"/>
                <c:pt idx="0">
                  <c:v>710.8653</c:v>
                </c:pt>
                <c:pt idx="1">
                  <c:v>480.12</c:v>
                </c:pt>
                <c:pt idx="2">
                  <c:v>420.37</c:v>
                </c:pt>
                <c:pt idx="3">
                  <c:v>191.4238</c:v>
                </c:pt>
                <c:pt idx="4">
                  <c:v>142</c:v>
                </c:pt>
                <c:pt idx="5">
                  <c:v>96.29</c:v>
                </c:pt>
                <c:pt idx="6">
                  <c:v>77</c:v>
                </c:pt>
                <c:pt idx="7">
                  <c:v>62.0364</c:v>
                </c:pt>
                <c:pt idx="8">
                  <c:v>56.499</c:v>
                </c:pt>
                <c:pt idx="9">
                  <c:v>48.0933</c:v>
                </c:pt>
                <c:pt idx="10">
                  <c:v>44.05</c:v>
                </c:pt>
                <c:pt idx="11">
                  <c:v>26.4</c:v>
                </c:pt>
                <c:pt idx="12">
                  <c:v>25.4682</c:v>
                </c:pt>
                <c:pt idx="13">
                  <c:v>21.17</c:v>
                </c:pt>
                <c:pt idx="14">
                  <c:v>20.2145</c:v>
                </c:pt>
                <c:pt idx="15">
                  <c:v>13.499</c:v>
                </c:pt>
                <c:pt idx="16">
                  <c:v>12.52</c:v>
                </c:pt>
                <c:pt idx="17">
                  <c:v>8.9</c:v>
                </c:pt>
                <c:pt idx="18">
                  <c:v>8.34</c:v>
                </c:pt>
                <c:pt idx="19">
                  <c:v>3.53</c:v>
                </c:pt>
                <c:pt idx="20">
                  <c:v>1.25</c:v>
                </c:pt>
              </c:numCache>
            </c:numRef>
          </c:val>
        </c:ser>
        <c:dLbls>
          <c:showLegendKey val="0"/>
          <c:showVal val="0"/>
          <c:showCatName val="0"/>
          <c:showSerName val="0"/>
          <c:showPercent val="0"/>
          <c:showBubbleSize val="0"/>
        </c:dLbls>
        <c:gapWidth val="219"/>
        <c:overlap val="-27"/>
        <c:axId val="816917448"/>
        <c:axId val="816917776"/>
      </c:barChart>
      <c:catAx>
        <c:axId val="816917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1400" b="0" i="0" u="none" strike="noStrike" kern="1200" baseline="0">
                <a:solidFill>
                  <a:schemeClr val="tx1">
                    <a:lumMod val="65000"/>
                    <a:lumOff val="35000"/>
                  </a:schemeClr>
                </a:solidFill>
                <a:latin typeface="+mn-lt"/>
                <a:ea typeface="+mn-ea"/>
                <a:cs typeface="+mn-cs"/>
              </a:defRPr>
            </a:pPr>
          </a:p>
        </c:txPr>
        <c:crossAx val="816917776"/>
        <c:crosses val="autoZero"/>
        <c:auto val="1"/>
        <c:lblAlgn val="ctr"/>
        <c:lblOffset val="100"/>
        <c:noMultiLvlLbl val="0"/>
      </c:catAx>
      <c:valAx>
        <c:axId val="816917776"/>
        <c:scaling>
          <c:orientation val="minMax"/>
        </c:scaling>
        <c:delete val="0"/>
        <c:axPos val="l"/>
        <c:majorGridlines>
          <c:spPr>
            <a:ln w="9525" cap="flat" cmpd="sng" algn="ctr">
              <a:solidFill>
                <a:schemeClr val="tx1">
                  <a:lumMod val="15000"/>
                  <a:lumOff val="85000"/>
                </a:schemeClr>
              </a:solidFill>
              <a:round/>
            </a:ln>
            <a:effectLst/>
          </c:spPr>
        </c:majorGridlines>
        <c:numFmt formatCode="0_ " sourceLinked="1"/>
        <c:majorTickMark val="none"/>
        <c:minorTickMark val="none"/>
        <c:tickLblPos val="nextTo"/>
        <c:spPr>
          <a:noFill/>
          <a:ln>
            <a:noFill/>
          </a:ln>
          <a:effectLst/>
        </c:spPr>
        <c:txPr>
          <a:bodyPr rot="-60000000" spcFirstLastPara="1"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p>
        </c:txPr>
        <c:crossAx val="816917448"/>
        <c:crosses val="autoZero"/>
        <c:crossBetween val="between"/>
      </c:valAx>
      <c:spPr>
        <a:noFill/>
        <a:ln>
          <a:noFill/>
        </a:ln>
        <a:effectLst/>
      </c:spPr>
    </c:plotArea>
    <c:plotVisOnly val="1"/>
    <c:dispBlanksAs val="gap"/>
    <c:showDLblsOverMax val="0"/>
    <c:extLst>
      <c:ext uri="{0b15fc19-7d7d-44ad-8c2d-2c3a37ce22c3}">
        <chartProps xmlns="https://web.wps.cn/et/2018/main" chartId="{a5cd88c8-c2a3-488b-9069-f1d7a767837a}"/>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0"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p>
      </c:txPr>
    </c:title>
    <c:autoTitleDeleted val="0"/>
    <c:plotArea>
      <c:layout/>
      <c:barChart>
        <c:barDir val="col"/>
        <c:grouping val="clustered"/>
        <c:varyColors val="0"/>
        <c:ser>
          <c:idx val="0"/>
          <c:order val="0"/>
          <c:tx>
            <c:strRef>
              <c:f>'[十三五绿建节能数据20210525黄科提供 - 副本.xlsx]排名'!$B$157</c:f>
              <c:strCache>
                <c:ptCount val="1"/>
                <c:pt idx="0">
                  <c:v>新增太阳能光电建筑应用装机容量（兆瓦）</c:v>
                </c:pt>
              </c:strCache>
            </c:strRef>
          </c:tx>
          <c:spPr>
            <a:solidFill>
              <a:schemeClr val="accent1"/>
            </a:solidFill>
            <a:ln>
              <a:noFill/>
            </a:ln>
            <a:effectLst/>
          </c:spPr>
          <c:invertIfNegative val="0"/>
          <c:dPt>
            <c:idx val="4"/>
            <c:invertIfNegative val="0"/>
            <c:bubble3D val="0"/>
            <c:spPr>
              <a:solidFill>
                <a:schemeClr val="accent2"/>
              </a:solidFill>
              <a:ln>
                <a:noFill/>
              </a:ln>
              <a:effectLst/>
            </c:spPr>
          </c:dPt>
          <c:dPt>
            <c:idx val="8"/>
            <c:invertIfNegative val="0"/>
            <c:bubble3D val="0"/>
            <c:spPr>
              <a:solidFill>
                <a:schemeClr val="accent1"/>
              </a:solidFill>
              <a:ln>
                <a:noFill/>
              </a:ln>
              <a:effectLst/>
            </c:spPr>
          </c:dPt>
          <c:dLbls>
            <c:delete val="1"/>
          </c:dLbls>
          <c:cat>
            <c:strRef>
              <c:f>'[十三五绿建节能数据20210525黄科提供 - 副本.xlsx]排名'!$A$158:$A$178</c:f>
              <c:strCache>
                <c:ptCount val="21"/>
                <c:pt idx="0">
                  <c:v>广州</c:v>
                </c:pt>
                <c:pt idx="1">
                  <c:v>江门</c:v>
                </c:pt>
                <c:pt idx="2">
                  <c:v>惠州</c:v>
                </c:pt>
                <c:pt idx="3">
                  <c:v>佛山</c:v>
                </c:pt>
                <c:pt idx="4">
                  <c:v>中山</c:v>
                </c:pt>
                <c:pt idx="5">
                  <c:v>湛江</c:v>
                </c:pt>
                <c:pt idx="6">
                  <c:v>肇庆</c:v>
                </c:pt>
                <c:pt idx="7">
                  <c:v>茂名</c:v>
                </c:pt>
                <c:pt idx="8">
                  <c:v>东莞</c:v>
                </c:pt>
                <c:pt idx="9">
                  <c:v>清远</c:v>
                </c:pt>
                <c:pt idx="10">
                  <c:v>珠海</c:v>
                </c:pt>
                <c:pt idx="11">
                  <c:v>河源</c:v>
                </c:pt>
                <c:pt idx="12">
                  <c:v>汕头</c:v>
                </c:pt>
                <c:pt idx="13">
                  <c:v>云浮</c:v>
                </c:pt>
                <c:pt idx="14">
                  <c:v>梅州</c:v>
                </c:pt>
                <c:pt idx="15">
                  <c:v>韶关</c:v>
                </c:pt>
                <c:pt idx="16">
                  <c:v>阳江</c:v>
                </c:pt>
                <c:pt idx="17">
                  <c:v>深圳</c:v>
                </c:pt>
                <c:pt idx="18">
                  <c:v>汕尾</c:v>
                </c:pt>
                <c:pt idx="19">
                  <c:v>潮州</c:v>
                </c:pt>
                <c:pt idx="20">
                  <c:v>揭阳</c:v>
                </c:pt>
              </c:strCache>
            </c:strRef>
          </c:cat>
          <c:val>
            <c:numRef>
              <c:f>'[十三五绿建节能数据20210525黄科提供 - 副本.xlsx]排名'!$B$158:$B$178</c:f>
              <c:numCache>
                <c:formatCode>0_ </c:formatCode>
                <c:ptCount val="21"/>
                <c:pt idx="0">
                  <c:v>207.21</c:v>
                </c:pt>
                <c:pt idx="1">
                  <c:v>203.501</c:v>
                </c:pt>
                <c:pt idx="2">
                  <c:v>181.7</c:v>
                </c:pt>
                <c:pt idx="3">
                  <c:v>133.51</c:v>
                </c:pt>
                <c:pt idx="4">
                  <c:v>129.64872</c:v>
                </c:pt>
                <c:pt idx="5">
                  <c:v>113</c:v>
                </c:pt>
                <c:pt idx="6">
                  <c:v>111.79</c:v>
                </c:pt>
                <c:pt idx="7">
                  <c:v>81.09</c:v>
                </c:pt>
                <c:pt idx="8">
                  <c:v>78.7</c:v>
                </c:pt>
                <c:pt idx="9">
                  <c:v>76.42</c:v>
                </c:pt>
                <c:pt idx="10">
                  <c:v>49.993</c:v>
                </c:pt>
                <c:pt idx="11">
                  <c:v>48.689</c:v>
                </c:pt>
                <c:pt idx="12">
                  <c:v>36.648</c:v>
                </c:pt>
                <c:pt idx="13">
                  <c:v>28.19</c:v>
                </c:pt>
                <c:pt idx="14">
                  <c:v>24.4</c:v>
                </c:pt>
                <c:pt idx="15">
                  <c:v>15.824</c:v>
                </c:pt>
                <c:pt idx="16">
                  <c:v>14.29</c:v>
                </c:pt>
                <c:pt idx="17">
                  <c:v>2.592</c:v>
                </c:pt>
                <c:pt idx="18">
                  <c:v>0</c:v>
                </c:pt>
                <c:pt idx="19">
                  <c:v>0</c:v>
                </c:pt>
                <c:pt idx="20">
                  <c:v>0</c:v>
                </c:pt>
              </c:numCache>
            </c:numRef>
          </c:val>
        </c:ser>
        <c:dLbls>
          <c:showLegendKey val="0"/>
          <c:showVal val="0"/>
          <c:showCatName val="0"/>
          <c:showSerName val="0"/>
          <c:showPercent val="0"/>
          <c:showBubbleSize val="0"/>
        </c:dLbls>
        <c:gapWidth val="219"/>
        <c:overlap val="-27"/>
        <c:axId val="737590931"/>
        <c:axId val="787659117"/>
      </c:barChart>
      <c:catAx>
        <c:axId val="737590931"/>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1400" b="0" i="0" u="none" strike="noStrike" kern="1200" baseline="0">
                <a:solidFill>
                  <a:schemeClr val="tx1">
                    <a:lumMod val="65000"/>
                    <a:lumOff val="35000"/>
                  </a:schemeClr>
                </a:solidFill>
                <a:latin typeface="+mn-lt"/>
                <a:ea typeface="+mn-ea"/>
                <a:cs typeface="+mn-cs"/>
              </a:defRPr>
            </a:pPr>
          </a:p>
        </c:txPr>
        <c:crossAx val="787659117"/>
        <c:crosses val="autoZero"/>
        <c:auto val="1"/>
        <c:lblAlgn val="ctr"/>
        <c:lblOffset val="100"/>
        <c:noMultiLvlLbl val="0"/>
      </c:catAx>
      <c:valAx>
        <c:axId val="787659117"/>
        <c:scaling>
          <c:orientation val="minMax"/>
        </c:scaling>
        <c:delete val="0"/>
        <c:axPos val="l"/>
        <c:majorGridlines>
          <c:spPr>
            <a:ln w="9525" cap="flat" cmpd="sng" algn="ctr">
              <a:solidFill>
                <a:schemeClr val="tx1">
                  <a:lumMod val="15000"/>
                  <a:lumOff val="85000"/>
                </a:schemeClr>
              </a:solidFill>
              <a:round/>
            </a:ln>
            <a:effectLst/>
          </c:spPr>
        </c:majorGridlines>
        <c:numFmt formatCode="0_ " sourceLinked="1"/>
        <c:majorTickMark val="none"/>
        <c:minorTickMark val="none"/>
        <c:tickLblPos val="nextTo"/>
        <c:spPr>
          <a:noFill/>
          <a:ln>
            <a:noFill/>
          </a:ln>
          <a:effectLst/>
        </c:spPr>
        <c:txPr>
          <a:bodyPr rot="-60000000" spcFirstLastPara="0"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p>
        </c:txPr>
        <c:crossAx val="737590931"/>
        <c:crosses val="autoZero"/>
        <c:crossBetween val="between"/>
      </c:valAx>
      <c:spPr>
        <a:noFill/>
        <a:ln>
          <a:noFill/>
        </a:ln>
        <a:effectLst/>
      </c:spPr>
    </c:plotArea>
    <c:plotVisOnly val="1"/>
    <c:dispBlanksAs val="gap"/>
    <c:showDLblsOverMax val="0"/>
    <c:extLst>
      <c:ext uri="{0b15fc19-7d7d-44ad-8c2d-2c3a37ce22c3}">
        <chartProps xmlns="https://web.wps.cn/et/2018/main" chartId="{07c4009c-6906-44dc-9f83-785523bb9b65}"/>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180</Pages>
  <Words>4568</Words>
  <Characters>5343</Characters>
  <Lines>660</Lines>
  <Paragraphs>185</Paragraphs>
  <TotalTime>3</TotalTime>
  <ScaleCrop>false</ScaleCrop>
  <LinksUpToDate>false</LinksUpToDate>
  <CharactersWithSpaces>5537</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2023-03-02T23:38:00Z</dcterms:created>
  <dc:creator>全</dc:creator>
  <cp:lastModifiedBy>付翊苗</cp:lastModifiedBy>
  <cp:lastPrinted>2023-03-07T04:02:00Z</cp:lastPrinted>
  <dcterms:modified xsi:type="dcterms:W3CDTF">2026-02-12T05:56:58Z</dcterms:modified>
  <dc:title>中山市绿色建筑发展专项规划</dc:title>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7E4D6CD76F6A4B2898146C49C8060394</vt:lpwstr>
  </property>
  <property fmtid="{D5CDD505-2E9C-101B-9397-08002B2CF9AE}" pid="4" name="KSOTemplateDocerSaveRecord">
    <vt:lpwstr>eyJoZGlkIjoiOTc0OTQ1NjYzOTMwZDhlNjk2ZWU2Y2JkMzg2ZjhkZTYiLCJ1c2VySWQiOiIxNjY4NTY0MTc0In0=</vt:lpwstr>
  </property>
</Properties>
</file>