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D477" w14:textId="77777777" w:rsidR="00256595" w:rsidRDefault="00256595">
      <w:pPr>
        <w:jc w:val="center"/>
        <w:rPr>
          <w:rFonts w:ascii="黑体" w:eastAsia="黑体" w:hint="eastAsia"/>
          <w:b/>
          <w:sz w:val="52"/>
          <w:szCs w:val="52"/>
        </w:rPr>
      </w:pPr>
      <w:bookmarkStart w:id="0" w:name="_Toc272743099"/>
      <w:bookmarkStart w:id="1" w:name="_Toc274732011"/>
      <w:bookmarkStart w:id="2" w:name="_Toc272737991"/>
      <w:bookmarkStart w:id="3" w:name="_Toc273829210"/>
      <w:bookmarkStart w:id="4" w:name="_Toc437105790"/>
      <w:bookmarkStart w:id="5" w:name="_Toc272652706"/>
      <w:bookmarkStart w:id="6" w:name="_Toc272699547"/>
      <w:bookmarkStart w:id="7" w:name="_Toc274756658"/>
      <w:bookmarkStart w:id="8" w:name="_Toc272691562"/>
    </w:p>
    <w:p w14:paraId="3B2BCA73" w14:textId="77777777" w:rsidR="00256595" w:rsidRDefault="00256595">
      <w:pPr>
        <w:jc w:val="center"/>
        <w:rPr>
          <w:rFonts w:ascii="黑体" w:eastAsia="黑体" w:hint="eastAsia"/>
          <w:b/>
          <w:sz w:val="52"/>
          <w:szCs w:val="52"/>
        </w:rPr>
      </w:pPr>
    </w:p>
    <w:p w14:paraId="1A0262F0" w14:textId="77777777" w:rsidR="00256595" w:rsidRDefault="00000000">
      <w:pPr>
        <w:jc w:val="center"/>
        <w:rPr>
          <w:rFonts w:ascii="黑体" w:eastAsia="黑体" w:hint="eastAsia"/>
          <w:b/>
          <w:sz w:val="52"/>
          <w:szCs w:val="52"/>
        </w:rPr>
      </w:pPr>
      <w:r>
        <w:rPr>
          <w:rFonts w:ascii="黑体" w:eastAsia="黑体" w:hint="eastAsia"/>
          <w:b/>
          <w:sz w:val="52"/>
          <w:szCs w:val="52"/>
        </w:rPr>
        <w:t>中山市防震减灾“十四五”规划</w:t>
      </w:r>
    </w:p>
    <w:p w14:paraId="689A5DC3" w14:textId="77777777" w:rsidR="00256595" w:rsidRDefault="00256595">
      <w:pPr>
        <w:rPr>
          <w:rFonts w:hint="eastAsia"/>
          <w:sz w:val="52"/>
          <w:szCs w:val="52"/>
        </w:rPr>
      </w:pPr>
    </w:p>
    <w:p w14:paraId="050BF41C" w14:textId="77777777" w:rsidR="00256595" w:rsidRDefault="00256595">
      <w:pPr>
        <w:rPr>
          <w:rFonts w:hint="eastAsia"/>
          <w:sz w:val="52"/>
          <w:szCs w:val="52"/>
        </w:rPr>
      </w:pPr>
    </w:p>
    <w:p w14:paraId="36A089B9" w14:textId="77777777" w:rsidR="00256595" w:rsidRDefault="00256595">
      <w:pPr>
        <w:rPr>
          <w:rFonts w:hint="eastAsia"/>
          <w:sz w:val="52"/>
          <w:szCs w:val="52"/>
        </w:rPr>
      </w:pPr>
    </w:p>
    <w:p w14:paraId="47D056D9" w14:textId="77777777" w:rsidR="00256595" w:rsidRDefault="00256595">
      <w:pPr>
        <w:rPr>
          <w:rFonts w:hint="eastAsia"/>
          <w:sz w:val="52"/>
          <w:szCs w:val="52"/>
        </w:rPr>
      </w:pPr>
    </w:p>
    <w:p w14:paraId="1EA0981A" w14:textId="77777777" w:rsidR="00256595" w:rsidRDefault="00256595">
      <w:pPr>
        <w:rPr>
          <w:rFonts w:hint="eastAsia"/>
          <w:sz w:val="52"/>
          <w:szCs w:val="52"/>
        </w:rPr>
      </w:pPr>
    </w:p>
    <w:p w14:paraId="11F7EC0C" w14:textId="77777777" w:rsidR="00256595" w:rsidRDefault="00256595">
      <w:pPr>
        <w:rPr>
          <w:rFonts w:hint="eastAsia"/>
          <w:sz w:val="52"/>
          <w:szCs w:val="52"/>
        </w:rPr>
      </w:pPr>
    </w:p>
    <w:p w14:paraId="6F275096" w14:textId="77777777" w:rsidR="00256595" w:rsidRDefault="00256595">
      <w:pPr>
        <w:rPr>
          <w:rFonts w:hint="eastAsia"/>
          <w:sz w:val="52"/>
          <w:szCs w:val="52"/>
        </w:rPr>
      </w:pPr>
    </w:p>
    <w:p w14:paraId="524B8E97" w14:textId="77777777" w:rsidR="00256595" w:rsidRDefault="00256595">
      <w:pPr>
        <w:rPr>
          <w:rFonts w:hint="eastAsia"/>
          <w:sz w:val="52"/>
          <w:szCs w:val="52"/>
        </w:rPr>
      </w:pPr>
    </w:p>
    <w:p w14:paraId="37AA19B0" w14:textId="77777777" w:rsidR="00256595" w:rsidRDefault="00000000">
      <w:pPr>
        <w:jc w:val="center"/>
        <w:rPr>
          <w:rFonts w:ascii="黑体" w:eastAsia="黑体" w:hAnsi="黑体" w:hint="eastAsia"/>
          <w:b/>
          <w:sz w:val="32"/>
          <w:szCs w:val="32"/>
        </w:rPr>
      </w:pPr>
      <w:r>
        <w:rPr>
          <w:rFonts w:ascii="黑体" w:eastAsia="黑体" w:hAnsi="黑体" w:hint="eastAsia"/>
          <w:b/>
          <w:sz w:val="32"/>
          <w:szCs w:val="32"/>
        </w:rPr>
        <w:t>中山市住房和城乡建设局</w:t>
      </w:r>
    </w:p>
    <w:p w14:paraId="13A83ED2" w14:textId="77777777" w:rsidR="00256595" w:rsidRDefault="00000000">
      <w:pPr>
        <w:jc w:val="center"/>
        <w:rPr>
          <w:rFonts w:ascii="黑体" w:eastAsia="黑体" w:hAnsi="黑体" w:hint="eastAsia"/>
          <w:sz w:val="32"/>
          <w:szCs w:val="32"/>
        </w:rPr>
        <w:sectPr w:rsidR="00256595">
          <w:footerReference w:type="default" r:id="rId7"/>
          <w:pgSz w:w="11906" w:h="16838"/>
          <w:pgMar w:top="1440" w:right="1800" w:bottom="1440" w:left="1843" w:header="851" w:footer="992" w:gutter="0"/>
          <w:pgNumType w:start="1"/>
          <w:cols w:space="720"/>
          <w:docGrid w:type="lines" w:linePitch="312"/>
        </w:sectPr>
      </w:pPr>
      <w:r>
        <w:rPr>
          <w:rFonts w:ascii="黑体" w:eastAsia="黑体" w:hAnsi="黑体" w:hint="eastAsia"/>
          <w:b/>
          <w:sz w:val="32"/>
          <w:szCs w:val="32"/>
        </w:rPr>
        <w:t>二○二一年七月</w:t>
      </w:r>
    </w:p>
    <w:p w14:paraId="387EB583" w14:textId="77777777" w:rsidR="00256595" w:rsidRDefault="00000000">
      <w:pPr>
        <w:jc w:val="center"/>
        <w:rPr>
          <w:rFonts w:ascii="黑体" w:eastAsia="黑体" w:hint="eastAsia"/>
          <w:b/>
          <w:bCs/>
          <w:sz w:val="36"/>
          <w:szCs w:val="36"/>
        </w:rPr>
      </w:pPr>
      <w:r>
        <w:rPr>
          <w:rFonts w:ascii="黑体" w:eastAsia="黑体" w:hint="eastAsia"/>
          <w:b/>
          <w:bCs/>
          <w:sz w:val="36"/>
          <w:szCs w:val="36"/>
        </w:rPr>
        <w:t>目</w:t>
      </w:r>
      <w:r>
        <w:rPr>
          <w:rFonts w:ascii="黑体" w:eastAsia="黑体"/>
          <w:b/>
          <w:bCs/>
          <w:sz w:val="36"/>
          <w:szCs w:val="36"/>
        </w:rPr>
        <w:t xml:space="preserve">  </w:t>
      </w:r>
      <w:r>
        <w:rPr>
          <w:rFonts w:ascii="黑体" w:eastAsia="黑体" w:hint="eastAsia"/>
          <w:b/>
          <w:bCs/>
          <w:sz w:val="36"/>
          <w:szCs w:val="36"/>
        </w:rPr>
        <w:t>录</w:t>
      </w:r>
    </w:p>
    <w:p w14:paraId="70063768" w14:textId="77777777" w:rsidR="00256595" w:rsidRDefault="00256595">
      <w:pPr>
        <w:jc w:val="center"/>
        <w:rPr>
          <w:rFonts w:ascii="黑体" w:eastAsia="黑体" w:hint="eastAsia"/>
          <w:b/>
          <w:bCs/>
          <w:sz w:val="36"/>
          <w:szCs w:val="36"/>
        </w:rPr>
      </w:pPr>
    </w:p>
    <w:p w14:paraId="3988824C" w14:textId="77777777" w:rsidR="00256595" w:rsidRDefault="00000000">
      <w:pPr>
        <w:pStyle w:val="TOC1"/>
        <w:tabs>
          <w:tab w:val="right" w:leader="dot" w:pos="8296"/>
        </w:tabs>
        <w:rPr>
          <w:rFonts w:ascii="黑体" w:eastAsia="黑体" w:hAnsi="黑体" w:hint="eastAsia"/>
          <w:kern w:val="2"/>
          <w:sz w:val="32"/>
          <w:szCs w:val="32"/>
        </w:rPr>
      </w:pPr>
      <w:r>
        <w:rPr>
          <w:rFonts w:ascii="黑体" w:eastAsia="黑体"/>
          <w:b/>
          <w:bCs/>
          <w:sz w:val="32"/>
          <w:szCs w:val="32"/>
        </w:rPr>
        <w:fldChar w:fldCharType="begin"/>
      </w:r>
      <w:r>
        <w:rPr>
          <w:rFonts w:ascii="黑体" w:eastAsia="黑体"/>
          <w:b/>
          <w:bCs/>
          <w:sz w:val="32"/>
          <w:szCs w:val="32"/>
        </w:rPr>
        <w:instrText xml:space="preserve"> TOC \o "1-2" \h \z \u </w:instrText>
      </w:r>
      <w:r>
        <w:rPr>
          <w:rFonts w:ascii="黑体" w:eastAsia="黑体"/>
          <w:b/>
          <w:bCs/>
          <w:sz w:val="32"/>
          <w:szCs w:val="32"/>
        </w:rPr>
        <w:fldChar w:fldCharType="separate"/>
      </w:r>
      <w:hyperlink w:anchor="_Toc75861687" w:history="1">
        <w:r>
          <w:rPr>
            <w:rStyle w:val="af6"/>
            <w:rFonts w:ascii="黑体" w:eastAsia="黑体" w:hAnsi="黑体" w:cs="黑体" w:hint="eastAsia"/>
            <w:sz w:val="32"/>
            <w:szCs w:val="32"/>
            <w:lang w:val="zh-CN"/>
          </w:rPr>
          <w:t>前</w:t>
        </w:r>
        <w:r>
          <w:rPr>
            <w:rStyle w:val="af6"/>
            <w:rFonts w:ascii="黑体" w:eastAsia="黑体" w:hAnsi="黑体" w:cs="黑体"/>
            <w:sz w:val="32"/>
            <w:szCs w:val="32"/>
            <w:lang w:val="zh-CN"/>
          </w:rPr>
          <w:t xml:space="preserve">  </w:t>
        </w:r>
        <w:r>
          <w:rPr>
            <w:rStyle w:val="af6"/>
            <w:rFonts w:ascii="黑体" w:eastAsia="黑体" w:hAnsi="黑体" w:cs="黑体" w:hint="eastAsia"/>
            <w:sz w:val="32"/>
            <w:szCs w:val="32"/>
            <w:lang w:val="zh-CN"/>
          </w:rPr>
          <w:t>言</w:t>
        </w:r>
        <w:r>
          <w:rPr>
            <w:rFonts w:ascii="黑体" w:eastAsia="黑体" w:hAnsi="黑体"/>
            <w:sz w:val="32"/>
            <w:szCs w:val="32"/>
          </w:rPr>
          <w:tab/>
        </w:r>
        <w:r>
          <w:rPr>
            <w:rFonts w:ascii="黑体" w:eastAsia="黑体" w:hAnsi="黑体"/>
            <w:sz w:val="32"/>
            <w:szCs w:val="32"/>
          </w:rPr>
          <w:fldChar w:fldCharType="begin"/>
        </w:r>
        <w:r>
          <w:rPr>
            <w:rFonts w:ascii="黑体" w:eastAsia="黑体" w:hAnsi="黑体"/>
            <w:sz w:val="32"/>
            <w:szCs w:val="32"/>
          </w:rPr>
          <w:instrText xml:space="preserve"> PAGEREF _Toc75861687 \h </w:instrText>
        </w:r>
        <w:r>
          <w:rPr>
            <w:rFonts w:ascii="黑体" w:eastAsia="黑体" w:hAnsi="黑体"/>
            <w:sz w:val="32"/>
            <w:szCs w:val="32"/>
          </w:rPr>
        </w:r>
        <w:r>
          <w:rPr>
            <w:rFonts w:ascii="黑体" w:eastAsia="黑体" w:hAnsi="黑体"/>
            <w:sz w:val="32"/>
            <w:szCs w:val="32"/>
          </w:rPr>
          <w:fldChar w:fldCharType="separate"/>
        </w:r>
        <w:r>
          <w:rPr>
            <w:rFonts w:ascii="黑体" w:eastAsia="黑体" w:hAnsi="黑体"/>
            <w:sz w:val="32"/>
            <w:szCs w:val="32"/>
          </w:rPr>
          <w:t>1</w:t>
        </w:r>
        <w:r>
          <w:rPr>
            <w:rFonts w:ascii="黑体" w:eastAsia="黑体" w:hAnsi="黑体"/>
            <w:sz w:val="32"/>
            <w:szCs w:val="32"/>
          </w:rPr>
          <w:fldChar w:fldCharType="end"/>
        </w:r>
      </w:hyperlink>
    </w:p>
    <w:p w14:paraId="44FB7EA4" w14:textId="77777777" w:rsidR="00256595" w:rsidRDefault="00000000">
      <w:pPr>
        <w:pStyle w:val="TOC1"/>
        <w:tabs>
          <w:tab w:val="right" w:leader="dot" w:pos="8296"/>
        </w:tabs>
        <w:rPr>
          <w:rFonts w:ascii="黑体" w:eastAsia="黑体" w:hAnsi="黑体" w:hint="eastAsia"/>
          <w:kern w:val="2"/>
          <w:sz w:val="32"/>
          <w:szCs w:val="32"/>
        </w:rPr>
      </w:pPr>
      <w:hyperlink w:anchor="_Toc75861688" w:history="1">
        <w:r>
          <w:rPr>
            <w:rStyle w:val="af6"/>
            <w:rFonts w:ascii="黑体" w:eastAsia="黑体" w:hAnsi="黑体" w:hint="eastAsia"/>
            <w:sz w:val="32"/>
            <w:szCs w:val="32"/>
          </w:rPr>
          <w:t>一、中山市防震减灾工作现状和存在问题</w:t>
        </w:r>
        <w:r>
          <w:rPr>
            <w:rFonts w:ascii="黑体" w:eastAsia="黑体" w:hAnsi="黑体"/>
            <w:sz w:val="32"/>
            <w:szCs w:val="32"/>
          </w:rPr>
          <w:tab/>
        </w:r>
        <w:r>
          <w:rPr>
            <w:rFonts w:ascii="黑体" w:eastAsia="黑体" w:hAnsi="黑体"/>
            <w:sz w:val="32"/>
            <w:szCs w:val="32"/>
          </w:rPr>
          <w:fldChar w:fldCharType="begin"/>
        </w:r>
        <w:r>
          <w:rPr>
            <w:rFonts w:ascii="黑体" w:eastAsia="黑体" w:hAnsi="黑体"/>
            <w:sz w:val="32"/>
            <w:szCs w:val="32"/>
          </w:rPr>
          <w:instrText xml:space="preserve"> PAGEREF _Toc75861688 \h </w:instrText>
        </w:r>
        <w:r>
          <w:rPr>
            <w:rFonts w:ascii="黑体" w:eastAsia="黑体" w:hAnsi="黑体"/>
            <w:sz w:val="32"/>
            <w:szCs w:val="32"/>
          </w:rPr>
        </w:r>
        <w:r>
          <w:rPr>
            <w:rFonts w:ascii="黑体" w:eastAsia="黑体" w:hAnsi="黑体"/>
            <w:sz w:val="32"/>
            <w:szCs w:val="32"/>
          </w:rPr>
          <w:fldChar w:fldCharType="separate"/>
        </w:r>
        <w:r>
          <w:rPr>
            <w:rFonts w:ascii="黑体" w:eastAsia="黑体" w:hAnsi="黑体"/>
            <w:sz w:val="32"/>
            <w:szCs w:val="32"/>
          </w:rPr>
          <w:t>3</w:t>
        </w:r>
        <w:r>
          <w:rPr>
            <w:rFonts w:ascii="黑体" w:eastAsia="黑体" w:hAnsi="黑体"/>
            <w:sz w:val="32"/>
            <w:szCs w:val="32"/>
          </w:rPr>
          <w:fldChar w:fldCharType="end"/>
        </w:r>
      </w:hyperlink>
    </w:p>
    <w:p w14:paraId="7F363C08" w14:textId="77777777" w:rsidR="00256595" w:rsidRDefault="00000000">
      <w:pPr>
        <w:pStyle w:val="TOC2"/>
        <w:tabs>
          <w:tab w:val="right" w:leader="dot" w:pos="8296"/>
        </w:tabs>
        <w:rPr>
          <w:rFonts w:ascii="仿宋" w:eastAsia="仿宋" w:hAnsi="仿宋" w:hint="eastAsia"/>
          <w:kern w:val="2"/>
          <w:sz w:val="32"/>
          <w:szCs w:val="32"/>
        </w:rPr>
      </w:pPr>
      <w:hyperlink w:anchor="_Toc75861689" w:history="1">
        <w:r>
          <w:rPr>
            <w:rStyle w:val="af6"/>
            <w:rFonts w:ascii="仿宋" w:eastAsia="仿宋" w:hAnsi="仿宋" w:hint="eastAsia"/>
            <w:sz w:val="32"/>
            <w:szCs w:val="32"/>
          </w:rPr>
          <w:t>（一）地震背景和震情形势</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_Toc75861689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3</w:t>
        </w:r>
        <w:r>
          <w:rPr>
            <w:rFonts w:ascii="仿宋" w:eastAsia="仿宋" w:hAnsi="仿宋"/>
            <w:sz w:val="32"/>
            <w:szCs w:val="32"/>
          </w:rPr>
          <w:fldChar w:fldCharType="end"/>
        </w:r>
      </w:hyperlink>
    </w:p>
    <w:p w14:paraId="5EA9F2AB" w14:textId="77777777" w:rsidR="00256595" w:rsidRDefault="00000000">
      <w:pPr>
        <w:pStyle w:val="TOC2"/>
        <w:tabs>
          <w:tab w:val="right" w:leader="dot" w:pos="8296"/>
        </w:tabs>
        <w:rPr>
          <w:rFonts w:ascii="仿宋" w:eastAsia="仿宋" w:hAnsi="仿宋" w:hint="eastAsia"/>
          <w:kern w:val="2"/>
          <w:sz w:val="32"/>
          <w:szCs w:val="32"/>
        </w:rPr>
      </w:pPr>
      <w:hyperlink w:anchor="_Toc75861690" w:history="1">
        <w:r>
          <w:rPr>
            <w:rStyle w:val="af6"/>
            <w:rFonts w:ascii="仿宋" w:eastAsia="仿宋" w:hAnsi="仿宋" w:hint="eastAsia"/>
            <w:sz w:val="32"/>
            <w:szCs w:val="32"/>
          </w:rPr>
          <w:t>（二）“十三五”期间防震减灾主要成就</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_Toc75861690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4</w:t>
        </w:r>
        <w:r>
          <w:rPr>
            <w:rFonts w:ascii="仿宋" w:eastAsia="仿宋" w:hAnsi="仿宋"/>
            <w:sz w:val="32"/>
            <w:szCs w:val="32"/>
          </w:rPr>
          <w:fldChar w:fldCharType="end"/>
        </w:r>
      </w:hyperlink>
    </w:p>
    <w:p w14:paraId="38CF7C63" w14:textId="77777777" w:rsidR="00256595" w:rsidRDefault="00000000">
      <w:pPr>
        <w:pStyle w:val="TOC2"/>
        <w:tabs>
          <w:tab w:val="right" w:leader="dot" w:pos="8296"/>
        </w:tabs>
        <w:rPr>
          <w:rFonts w:ascii="仿宋" w:eastAsia="仿宋" w:hAnsi="仿宋" w:hint="eastAsia"/>
          <w:kern w:val="2"/>
          <w:sz w:val="32"/>
          <w:szCs w:val="32"/>
        </w:rPr>
      </w:pPr>
      <w:hyperlink w:anchor="_Toc75861691" w:history="1">
        <w:r>
          <w:rPr>
            <w:rStyle w:val="af6"/>
            <w:rFonts w:ascii="仿宋" w:eastAsia="仿宋" w:hAnsi="仿宋" w:hint="eastAsia"/>
            <w:sz w:val="32"/>
            <w:szCs w:val="32"/>
          </w:rPr>
          <w:t>（三）存在的问题与不足</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_Toc75861691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8</w:t>
        </w:r>
        <w:r>
          <w:rPr>
            <w:rFonts w:ascii="仿宋" w:eastAsia="仿宋" w:hAnsi="仿宋"/>
            <w:sz w:val="32"/>
            <w:szCs w:val="32"/>
          </w:rPr>
          <w:fldChar w:fldCharType="end"/>
        </w:r>
      </w:hyperlink>
    </w:p>
    <w:p w14:paraId="0AE3BBE2" w14:textId="77777777" w:rsidR="00256595" w:rsidRDefault="00000000">
      <w:pPr>
        <w:pStyle w:val="TOC1"/>
        <w:tabs>
          <w:tab w:val="right" w:leader="dot" w:pos="8296"/>
        </w:tabs>
        <w:rPr>
          <w:rFonts w:ascii="黑体" w:eastAsia="黑体" w:hAnsi="黑体" w:hint="eastAsia"/>
          <w:kern w:val="2"/>
          <w:sz w:val="32"/>
          <w:szCs w:val="32"/>
        </w:rPr>
      </w:pPr>
      <w:hyperlink w:anchor="_Toc75861692" w:history="1">
        <w:r>
          <w:rPr>
            <w:rStyle w:val="af6"/>
            <w:rFonts w:ascii="黑体" w:eastAsia="黑体" w:hAnsi="黑体" w:hint="eastAsia"/>
            <w:sz w:val="32"/>
            <w:szCs w:val="32"/>
          </w:rPr>
          <w:t>二、“十四五”防震减灾工作的新形势</w:t>
        </w:r>
        <w:r>
          <w:rPr>
            <w:rFonts w:ascii="黑体" w:eastAsia="黑体" w:hAnsi="黑体"/>
            <w:sz w:val="32"/>
            <w:szCs w:val="32"/>
          </w:rPr>
          <w:tab/>
        </w:r>
        <w:r>
          <w:rPr>
            <w:rFonts w:ascii="黑体" w:eastAsia="黑体" w:hAnsi="黑体"/>
            <w:sz w:val="32"/>
            <w:szCs w:val="32"/>
          </w:rPr>
          <w:fldChar w:fldCharType="begin"/>
        </w:r>
        <w:r>
          <w:rPr>
            <w:rFonts w:ascii="黑体" w:eastAsia="黑体" w:hAnsi="黑体"/>
            <w:sz w:val="32"/>
            <w:szCs w:val="32"/>
          </w:rPr>
          <w:instrText xml:space="preserve"> PAGEREF _Toc75861692 \h </w:instrText>
        </w:r>
        <w:r>
          <w:rPr>
            <w:rFonts w:ascii="黑体" w:eastAsia="黑体" w:hAnsi="黑体"/>
            <w:sz w:val="32"/>
            <w:szCs w:val="32"/>
          </w:rPr>
        </w:r>
        <w:r>
          <w:rPr>
            <w:rFonts w:ascii="黑体" w:eastAsia="黑体" w:hAnsi="黑体"/>
            <w:sz w:val="32"/>
            <w:szCs w:val="32"/>
          </w:rPr>
          <w:fldChar w:fldCharType="separate"/>
        </w:r>
        <w:r>
          <w:rPr>
            <w:rFonts w:ascii="黑体" w:eastAsia="黑体" w:hAnsi="黑体"/>
            <w:sz w:val="32"/>
            <w:szCs w:val="32"/>
          </w:rPr>
          <w:t>10</w:t>
        </w:r>
        <w:r>
          <w:rPr>
            <w:rFonts w:ascii="黑体" w:eastAsia="黑体" w:hAnsi="黑体"/>
            <w:sz w:val="32"/>
            <w:szCs w:val="32"/>
          </w:rPr>
          <w:fldChar w:fldCharType="end"/>
        </w:r>
      </w:hyperlink>
    </w:p>
    <w:p w14:paraId="5DAB7F61" w14:textId="77777777" w:rsidR="00256595" w:rsidRDefault="00000000">
      <w:pPr>
        <w:pStyle w:val="TOC2"/>
        <w:tabs>
          <w:tab w:val="right" w:leader="dot" w:pos="8296"/>
        </w:tabs>
        <w:rPr>
          <w:rFonts w:ascii="仿宋" w:eastAsia="仿宋" w:hAnsi="仿宋" w:hint="eastAsia"/>
          <w:kern w:val="2"/>
          <w:sz w:val="32"/>
          <w:szCs w:val="32"/>
        </w:rPr>
      </w:pPr>
      <w:hyperlink w:anchor="_Toc75861693" w:history="1">
        <w:r>
          <w:rPr>
            <w:rStyle w:val="af6"/>
            <w:rFonts w:ascii="仿宋" w:eastAsia="仿宋" w:hAnsi="仿宋" w:hint="eastAsia"/>
            <w:sz w:val="32"/>
            <w:szCs w:val="32"/>
          </w:rPr>
          <w:t>（一）党和政府对防震减灾工作有新要求</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_Toc75861693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10</w:t>
        </w:r>
        <w:r>
          <w:rPr>
            <w:rFonts w:ascii="仿宋" w:eastAsia="仿宋" w:hAnsi="仿宋"/>
            <w:sz w:val="32"/>
            <w:szCs w:val="32"/>
          </w:rPr>
          <w:fldChar w:fldCharType="end"/>
        </w:r>
      </w:hyperlink>
    </w:p>
    <w:p w14:paraId="17428182" w14:textId="77777777" w:rsidR="00256595" w:rsidRDefault="00000000">
      <w:pPr>
        <w:pStyle w:val="TOC2"/>
        <w:tabs>
          <w:tab w:val="right" w:leader="dot" w:pos="8296"/>
        </w:tabs>
        <w:rPr>
          <w:rFonts w:ascii="仿宋" w:eastAsia="仿宋" w:hAnsi="仿宋" w:hint="eastAsia"/>
          <w:kern w:val="2"/>
          <w:sz w:val="32"/>
          <w:szCs w:val="32"/>
        </w:rPr>
      </w:pPr>
      <w:hyperlink w:anchor="_Toc75861694" w:history="1">
        <w:r>
          <w:rPr>
            <w:rStyle w:val="af6"/>
            <w:rFonts w:ascii="仿宋" w:eastAsia="仿宋" w:hAnsi="仿宋" w:hint="eastAsia"/>
            <w:sz w:val="32"/>
            <w:szCs w:val="32"/>
          </w:rPr>
          <w:t>（二）经济社会发展对防震减灾工作有新需求</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_Toc75861694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11</w:t>
        </w:r>
        <w:r>
          <w:rPr>
            <w:rFonts w:ascii="仿宋" w:eastAsia="仿宋" w:hAnsi="仿宋"/>
            <w:sz w:val="32"/>
            <w:szCs w:val="32"/>
          </w:rPr>
          <w:fldChar w:fldCharType="end"/>
        </w:r>
      </w:hyperlink>
    </w:p>
    <w:p w14:paraId="6D6F26D3" w14:textId="77777777" w:rsidR="00256595" w:rsidRDefault="00000000">
      <w:pPr>
        <w:pStyle w:val="TOC2"/>
        <w:tabs>
          <w:tab w:val="right" w:leader="dot" w:pos="8296"/>
        </w:tabs>
        <w:rPr>
          <w:rFonts w:ascii="仿宋" w:eastAsia="仿宋" w:hAnsi="仿宋" w:hint="eastAsia"/>
          <w:kern w:val="2"/>
          <w:sz w:val="32"/>
          <w:szCs w:val="32"/>
        </w:rPr>
      </w:pPr>
      <w:hyperlink w:anchor="_Toc75861695" w:history="1">
        <w:r>
          <w:rPr>
            <w:rStyle w:val="af6"/>
            <w:rFonts w:ascii="仿宋" w:eastAsia="仿宋" w:hAnsi="仿宋" w:hint="eastAsia"/>
            <w:sz w:val="32"/>
            <w:szCs w:val="32"/>
          </w:rPr>
          <w:t>（三）人民群众对防震减灾工作有新期待</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_Toc75861695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12</w:t>
        </w:r>
        <w:r>
          <w:rPr>
            <w:rFonts w:ascii="仿宋" w:eastAsia="仿宋" w:hAnsi="仿宋"/>
            <w:sz w:val="32"/>
            <w:szCs w:val="32"/>
          </w:rPr>
          <w:fldChar w:fldCharType="end"/>
        </w:r>
      </w:hyperlink>
    </w:p>
    <w:p w14:paraId="5C315B3F" w14:textId="77777777" w:rsidR="00256595" w:rsidRDefault="00000000">
      <w:pPr>
        <w:pStyle w:val="TOC1"/>
        <w:tabs>
          <w:tab w:val="right" w:leader="dot" w:pos="8296"/>
        </w:tabs>
        <w:rPr>
          <w:rFonts w:ascii="黑体" w:eastAsia="黑体" w:hAnsi="黑体" w:hint="eastAsia"/>
          <w:kern w:val="2"/>
          <w:sz w:val="32"/>
          <w:szCs w:val="32"/>
        </w:rPr>
      </w:pPr>
      <w:hyperlink w:anchor="_Toc75861696" w:history="1">
        <w:r>
          <w:rPr>
            <w:rStyle w:val="af6"/>
            <w:rFonts w:ascii="黑体" w:eastAsia="黑体" w:hAnsi="黑体" w:hint="eastAsia"/>
            <w:sz w:val="32"/>
            <w:szCs w:val="32"/>
          </w:rPr>
          <w:t>三、“十四五”防震减灾工作发展战略</w:t>
        </w:r>
        <w:r>
          <w:rPr>
            <w:rFonts w:ascii="黑体" w:eastAsia="黑体" w:hAnsi="黑体"/>
            <w:sz w:val="32"/>
            <w:szCs w:val="32"/>
          </w:rPr>
          <w:tab/>
        </w:r>
        <w:r>
          <w:rPr>
            <w:rFonts w:ascii="黑体" w:eastAsia="黑体" w:hAnsi="黑体"/>
            <w:sz w:val="32"/>
            <w:szCs w:val="32"/>
          </w:rPr>
          <w:fldChar w:fldCharType="begin"/>
        </w:r>
        <w:r>
          <w:rPr>
            <w:rFonts w:ascii="黑体" w:eastAsia="黑体" w:hAnsi="黑体"/>
            <w:sz w:val="32"/>
            <w:szCs w:val="32"/>
          </w:rPr>
          <w:instrText xml:space="preserve"> PAGEREF _Toc75861696 \h </w:instrText>
        </w:r>
        <w:r>
          <w:rPr>
            <w:rFonts w:ascii="黑体" w:eastAsia="黑体" w:hAnsi="黑体"/>
            <w:sz w:val="32"/>
            <w:szCs w:val="32"/>
          </w:rPr>
        </w:r>
        <w:r>
          <w:rPr>
            <w:rFonts w:ascii="黑体" w:eastAsia="黑体" w:hAnsi="黑体"/>
            <w:sz w:val="32"/>
            <w:szCs w:val="32"/>
          </w:rPr>
          <w:fldChar w:fldCharType="separate"/>
        </w:r>
        <w:r>
          <w:rPr>
            <w:rFonts w:ascii="黑体" w:eastAsia="黑体" w:hAnsi="黑体"/>
            <w:sz w:val="32"/>
            <w:szCs w:val="32"/>
          </w:rPr>
          <w:t>12</w:t>
        </w:r>
        <w:r>
          <w:rPr>
            <w:rFonts w:ascii="黑体" w:eastAsia="黑体" w:hAnsi="黑体"/>
            <w:sz w:val="32"/>
            <w:szCs w:val="32"/>
          </w:rPr>
          <w:fldChar w:fldCharType="end"/>
        </w:r>
      </w:hyperlink>
    </w:p>
    <w:p w14:paraId="6C865D9F" w14:textId="77777777" w:rsidR="00256595" w:rsidRDefault="00000000">
      <w:pPr>
        <w:pStyle w:val="TOC2"/>
        <w:tabs>
          <w:tab w:val="right" w:leader="dot" w:pos="8296"/>
        </w:tabs>
        <w:rPr>
          <w:rFonts w:ascii="仿宋" w:eastAsia="仿宋" w:hAnsi="仿宋" w:hint="eastAsia"/>
          <w:kern w:val="2"/>
          <w:sz w:val="32"/>
          <w:szCs w:val="32"/>
        </w:rPr>
      </w:pPr>
      <w:hyperlink w:anchor="_Toc75861697" w:history="1">
        <w:r>
          <w:rPr>
            <w:rStyle w:val="af6"/>
            <w:rFonts w:ascii="仿宋" w:eastAsia="仿宋" w:hAnsi="仿宋" w:hint="eastAsia"/>
            <w:sz w:val="32"/>
            <w:szCs w:val="32"/>
          </w:rPr>
          <w:t>（一）指导思想</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_Toc75861697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12</w:t>
        </w:r>
        <w:r>
          <w:rPr>
            <w:rFonts w:ascii="仿宋" w:eastAsia="仿宋" w:hAnsi="仿宋"/>
            <w:sz w:val="32"/>
            <w:szCs w:val="32"/>
          </w:rPr>
          <w:fldChar w:fldCharType="end"/>
        </w:r>
      </w:hyperlink>
    </w:p>
    <w:p w14:paraId="79C27F84" w14:textId="77777777" w:rsidR="00256595" w:rsidRDefault="00000000">
      <w:pPr>
        <w:pStyle w:val="TOC2"/>
        <w:tabs>
          <w:tab w:val="right" w:leader="dot" w:pos="8296"/>
        </w:tabs>
        <w:rPr>
          <w:rFonts w:ascii="仿宋" w:eastAsia="仿宋" w:hAnsi="仿宋" w:hint="eastAsia"/>
          <w:kern w:val="2"/>
          <w:sz w:val="32"/>
          <w:szCs w:val="32"/>
        </w:rPr>
      </w:pPr>
      <w:hyperlink w:anchor="_Toc75861698" w:history="1">
        <w:r>
          <w:rPr>
            <w:rStyle w:val="af6"/>
            <w:rFonts w:ascii="仿宋" w:eastAsia="仿宋" w:hAnsi="仿宋" w:hint="eastAsia"/>
            <w:sz w:val="32"/>
            <w:szCs w:val="32"/>
          </w:rPr>
          <w:t>（二）基本原则</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_Toc75861698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13</w:t>
        </w:r>
        <w:r>
          <w:rPr>
            <w:rFonts w:ascii="仿宋" w:eastAsia="仿宋" w:hAnsi="仿宋"/>
            <w:sz w:val="32"/>
            <w:szCs w:val="32"/>
          </w:rPr>
          <w:fldChar w:fldCharType="end"/>
        </w:r>
      </w:hyperlink>
    </w:p>
    <w:p w14:paraId="35A2D461" w14:textId="77777777" w:rsidR="00256595" w:rsidRDefault="00000000">
      <w:pPr>
        <w:pStyle w:val="TOC2"/>
        <w:tabs>
          <w:tab w:val="right" w:leader="dot" w:pos="8296"/>
        </w:tabs>
        <w:rPr>
          <w:rFonts w:ascii="仿宋" w:eastAsia="仿宋" w:hAnsi="仿宋" w:hint="eastAsia"/>
          <w:kern w:val="2"/>
          <w:sz w:val="32"/>
          <w:szCs w:val="32"/>
        </w:rPr>
      </w:pPr>
      <w:hyperlink w:anchor="_Toc75861699" w:history="1">
        <w:r>
          <w:rPr>
            <w:rStyle w:val="af6"/>
            <w:rFonts w:ascii="仿宋" w:eastAsia="仿宋" w:hAnsi="仿宋" w:hint="eastAsia"/>
            <w:sz w:val="32"/>
            <w:szCs w:val="32"/>
          </w:rPr>
          <w:t>（三）总体目标和指标体系</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_Toc75861699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14</w:t>
        </w:r>
        <w:r>
          <w:rPr>
            <w:rFonts w:ascii="仿宋" w:eastAsia="仿宋" w:hAnsi="仿宋"/>
            <w:sz w:val="32"/>
            <w:szCs w:val="32"/>
          </w:rPr>
          <w:fldChar w:fldCharType="end"/>
        </w:r>
      </w:hyperlink>
    </w:p>
    <w:p w14:paraId="42BA5698" w14:textId="77777777" w:rsidR="00256595" w:rsidRDefault="00000000">
      <w:pPr>
        <w:pStyle w:val="TOC1"/>
        <w:tabs>
          <w:tab w:val="right" w:leader="dot" w:pos="8296"/>
        </w:tabs>
        <w:rPr>
          <w:rFonts w:ascii="黑体" w:eastAsia="黑体" w:hAnsi="黑体" w:hint="eastAsia"/>
          <w:kern w:val="2"/>
          <w:sz w:val="32"/>
          <w:szCs w:val="32"/>
        </w:rPr>
      </w:pPr>
      <w:hyperlink w:anchor="_Toc75861700" w:history="1">
        <w:r>
          <w:rPr>
            <w:rStyle w:val="af6"/>
            <w:rFonts w:ascii="黑体" w:eastAsia="黑体" w:hAnsi="黑体" w:hint="eastAsia"/>
            <w:sz w:val="32"/>
            <w:szCs w:val="32"/>
          </w:rPr>
          <w:t>四、“十四五”期间防震减灾主要的工作任务</w:t>
        </w:r>
        <w:r>
          <w:rPr>
            <w:rFonts w:ascii="黑体" w:eastAsia="黑体" w:hAnsi="黑体"/>
            <w:sz w:val="32"/>
            <w:szCs w:val="32"/>
          </w:rPr>
          <w:tab/>
        </w:r>
        <w:r>
          <w:rPr>
            <w:rFonts w:ascii="黑体" w:eastAsia="黑体" w:hAnsi="黑体"/>
            <w:sz w:val="32"/>
            <w:szCs w:val="32"/>
          </w:rPr>
          <w:fldChar w:fldCharType="begin"/>
        </w:r>
        <w:r>
          <w:rPr>
            <w:rFonts w:ascii="黑体" w:eastAsia="黑体" w:hAnsi="黑体"/>
            <w:sz w:val="32"/>
            <w:szCs w:val="32"/>
          </w:rPr>
          <w:instrText xml:space="preserve"> PAGEREF _Toc75861700 \h </w:instrText>
        </w:r>
        <w:r>
          <w:rPr>
            <w:rFonts w:ascii="黑体" w:eastAsia="黑体" w:hAnsi="黑体"/>
            <w:sz w:val="32"/>
            <w:szCs w:val="32"/>
          </w:rPr>
        </w:r>
        <w:r>
          <w:rPr>
            <w:rFonts w:ascii="黑体" w:eastAsia="黑体" w:hAnsi="黑体"/>
            <w:sz w:val="32"/>
            <w:szCs w:val="32"/>
          </w:rPr>
          <w:fldChar w:fldCharType="separate"/>
        </w:r>
        <w:r>
          <w:rPr>
            <w:rFonts w:ascii="黑体" w:eastAsia="黑体" w:hAnsi="黑体"/>
            <w:sz w:val="32"/>
            <w:szCs w:val="32"/>
          </w:rPr>
          <w:t>15</w:t>
        </w:r>
        <w:r>
          <w:rPr>
            <w:rFonts w:ascii="黑体" w:eastAsia="黑体" w:hAnsi="黑体"/>
            <w:sz w:val="32"/>
            <w:szCs w:val="32"/>
          </w:rPr>
          <w:fldChar w:fldCharType="end"/>
        </w:r>
      </w:hyperlink>
    </w:p>
    <w:p w14:paraId="0198D865" w14:textId="77777777" w:rsidR="00256595" w:rsidRDefault="00000000">
      <w:pPr>
        <w:pStyle w:val="TOC2"/>
        <w:tabs>
          <w:tab w:val="right" w:leader="dot" w:pos="8296"/>
        </w:tabs>
        <w:rPr>
          <w:rFonts w:ascii="仿宋" w:eastAsia="仿宋" w:hAnsi="仿宋" w:hint="eastAsia"/>
          <w:kern w:val="2"/>
          <w:sz w:val="32"/>
          <w:szCs w:val="32"/>
        </w:rPr>
      </w:pPr>
      <w:hyperlink w:anchor="_Toc75861701" w:history="1">
        <w:r>
          <w:rPr>
            <w:rStyle w:val="af6"/>
            <w:rFonts w:ascii="仿宋" w:eastAsia="仿宋" w:hAnsi="仿宋" w:hint="eastAsia"/>
            <w:sz w:val="32"/>
            <w:szCs w:val="32"/>
          </w:rPr>
          <w:t>（一）健全防震减灾管理机制</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_Toc75861701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15</w:t>
        </w:r>
        <w:r>
          <w:rPr>
            <w:rFonts w:ascii="仿宋" w:eastAsia="仿宋" w:hAnsi="仿宋"/>
            <w:sz w:val="32"/>
            <w:szCs w:val="32"/>
          </w:rPr>
          <w:fldChar w:fldCharType="end"/>
        </w:r>
      </w:hyperlink>
    </w:p>
    <w:p w14:paraId="5FB23FA1" w14:textId="77777777" w:rsidR="00256595" w:rsidRDefault="00000000">
      <w:pPr>
        <w:pStyle w:val="TOC2"/>
        <w:tabs>
          <w:tab w:val="right" w:leader="dot" w:pos="8296"/>
        </w:tabs>
        <w:rPr>
          <w:rFonts w:ascii="仿宋" w:eastAsia="仿宋" w:hAnsi="仿宋" w:hint="eastAsia"/>
          <w:kern w:val="2"/>
          <w:sz w:val="32"/>
          <w:szCs w:val="32"/>
        </w:rPr>
      </w:pPr>
      <w:hyperlink w:anchor="_Toc75861702" w:history="1">
        <w:r>
          <w:rPr>
            <w:rStyle w:val="af6"/>
            <w:rFonts w:ascii="仿宋" w:eastAsia="仿宋" w:hAnsi="仿宋" w:hint="eastAsia"/>
            <w:sz w:val="32"/>
            <w:szCs w:val="32"/>
          </w:rPr>
          <w:t>（二）加强地震基本业务能力</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_Toc75861702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15</w:t>
        </w:r>
        <w:r>
          <w:rPr>
            <w:rFonts w:ascii="仿宋" w:eastAsia="仿宋" w:hAnsi="仿宋"/>
            <w:sz w:val="32"/>
            <w:szCs w:val="32"/>
          </w:rPr>
          <w:fldChar w:fldCharType="end"/>
        </w:r>
      </w:hyperlink>
    </w:p>
    <w:p w14:paraId="543FF262" w14:textId="77777777" w:rsidR="00256595" w:rsidRDefault="00000000">
      <w:pPr>
        <w:pStyle w:val="TOC2"/>
        <w:tabs>
          <w:tab w:val="right" w:leader="dot" w:pos="8296"/>
        </w:tabs>
        <w:rPr>
          <w:rFonts w:ascii="仿宋" w:eastAsia="仿宋" w:hAnsi="仿宋" w:hint="eastAsia"/>
          <w:kern w:val="2"/>
          <w:sz w:val="32"/>
          <w:szCs w:val="32"/>
        </w:rPr>
      </w:pPr>
      <w:hyperlink w:anchor="_Toc75861703" w:history="1">
        <w:r>
          <w:rPr>
            <w:rStyle w:val="af6"/>
            <w:rFonts w:ascii="仿宋" w:eastAsia="仿宋" w:hAnsi="仿宋" w:hint="eastAsia"/>
            <w:sz w:val="32"/>
            <w:szCs w:val="32"/>
          </w:rPr>
          <w:t>（三）</w:t>
        </w:r>
        <w:r>
          <w:rPr>
            <w:rStyle w:val="af6"/>
            <w:rFonts w:ascii="仿宋" w:eastAsia="仿宋" w:hAnsi="仿宋" w:hint="eastAsia"/>
            <w:spacing w:val="-20"/>
            <w:sz w:val="32"/>
            <w:szCs w:val="32"/>
          </w:rPr>
          <w:t>建设国家地震烈度速报与预警工程广东子项目及“市级发布中心”</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_Toc75861703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16</w:t>
        </w:r>
        <w:r>
          <w:rPr>
            <w:rFonts w:ascii="仿宋" w:eastAsia="仿宋" w:hAnsi="仿宋"/>
            <w:sz w:val="32"/>
            <w:szCs w:val="32"/>
          </w:rPr>
          <w:fldChar w:fldCharType="end"/>
        </w:r>
      </w:hyperlink>
    </w:p>
    <w:p w14:paraId="34427850" w14:textId="77777777" w:rsidR="00256595" w:rsidRDefault="00000000">
      <w:pPr>
        <w:pStyle w:val="TOC2"/>
        <w:tabs>
          <w:tab w:val="right" w:leader="dot" w:pos="8296"/>
        </w:tabs>
        <w:rPr>
          <w:rFonts w:ascii="仿宋" w:eastAsia="仿宋" w:hAnsi="仿宋" w:hint="eastAsia"/>
          <w:kern w:val="2"/>
          <w:sz w:val="32"/>
          <w:szCs w:val="32"/>
        </w:rPr>
      </w:pPr>
      <w:hyperlink w:anchor="_Toc75861704" w:history="1">
        <w:r>
          <w:rPr>
            <w:rStyle w:val="af6"/>
            <w:rFonts w:ascii="仿宋" w:eastAsia="仿宋" w:hAnsi="仿宋" w:hint="eastAsia"/>
            <w:sz w:val="32"/>
            <w:szCs w:val="32"/>
          </w:rPr>
          <w:t>（四）推进防震减灾治理体系建设</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_Toc75861704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16</w:t>
        </w:r>
        <w:r>
          <w:rPr>
            <w:rFonts w:ascii="仿宋" w:eastAsia="仿宋" w:hAnsi="仿宋"/>
            <w:sz w:val="32"/>
            <w:szCs w:val="32"/>
          </w:rPr>
          <w:fldChar w:fldCharType="end"/>
        </w:r>
      </w:hyperlink>
    </w:p>
    <w:p w14:paraId="750E5F50" w14:textId="77777777" w:rsidR="00256595" w:rsidRDefault="00000000">
      <w:pPr>
        <w:pStyle w:val="TOC1"/>
        <w:tabs>
          <w:tab w:val="right" w:leader="dot" w:pos="8296"/>
        </w:tabs>
        <w:rPr>
          <w:rFonts w:ascii="黑体" w:eastAsia="黑体" w:hAnsi="黑体" w:hint="eastAsia"/>
          <w:kern w:val="2"/>
          <w:sz w:val="32"/>
          <w:szCs w:val="32"/>
        </w:rPr>
      </w:pPr>
      <w:hyperlink w:anchor="_Toc75861705" w:history="1">
        <w:r>
          <w:rPr>
            <w:rStyle w:val="af6"/>
            <w:rFonts w:ascii="黑体" w:eastAsia="黑体" w:hAnsi="黑体" w:hint="eastAsia"/>
            <w:sz w:val="32"/>
            <w:szCs w:val="32"/>
          </w:rPr>
          <w:t>五、“十四五”期间防震减灾重点建设工程</w:t>
        </w:r>
        <w:r>
          <w:rPr>
            <w:rFonts w:ascii="黑体" w:eastAsia="黑体" w:hAnsi="黑体"/>
            <w:sz w:val="32"/>
            <w:szCs w:val="32"/>
          </w:rPr>
          <w:tab/>
        </w:r>
        <w:r>
          <w:rPr>
            <w:rFonts w:ascii="黑体" w:eastAsia="黑体" w:hAnsi="黑体"/>
            <w:sz w:val="32"/>
            <w:szCs w:val="32"/>
          </w:rPr>
          <w:fldChar w:fldCharType="begin"/>
        </w:r>
        <w:r>
          <w:rPr>
            <w:rFonts w:ascii="黑体" w:eastAsia="黑体" w:hAnsi="黑体"/>
            <w:sz w:val="32"/>
            <w:szCs w:val="32"/>
          </w:rPr>
          <w:instrText xml:space="preserve"> PAGEREF _Toc75861705 \h </w:instrText>
        </w:r>
        <w:r>
          <w:rPr>
            <w:rFonts w:ascii="黑体" w:eastAsia="黑体" w:hAnsi="黑体"/>
            <w:sz w:val="32"/>
            <w:szCs w:val="32"/>
          </w:rPr>
        </w:r>
        <w:r>
          <w:rPr>
            <w:rFonts w:ascii="黑体" w:eastAsia="黑体" w:hAnsi="黑体"/>
            <w:sz w:val="32"/>
            <w:szCs w:val="32"/>
          </w:rPr>
          <w:fldChar w:fldCharType="separate"/>
        </w:r>
        <w:r>
          <w:rPr>
            <w:rFonts w:ascii="黑体" w:eastAsia="黑体" w:hAnsi="黑体"/>
            <w:sz w:val="32"/>
            <w:szCs w:val="32"/>
          </w:rPr>
          <w:t>17</w:t>
        </w:r>
        <w:r>
          <w:rPr>
            <w:rFonts w:ascii="黑体" w:eastAsia="黑体" w:hAnsi="黑体"/>
            <w:sz w:val="32"/>
            <w:szCs w:val="32"/>
          </w:rPr>
          <w:fldChar w:fldCharType="end"/>
        </w:r>
      </w:hyperlink>
    </w:p>
    <w:p w14:paraId="436B807D" w14:textId="77777777" w:rsidR="00256595" w:rsidRDefault="00000000">
      <w:pPr>
        <w:pStyle w:val="TOC2"/>
        <w:tabs>
          <w:tab w:val="right" w:leader="dot" w:pos="8296"/>
        </w:tabs>
        <w:rPr>
          <w:rFonts w:ascii="仿宋" w:eastAsia="仿宋" w:hAnsi="仿宋" w:hint="eastAsia"/>
          <w:kern w:val="2"/>
          <w:sz w:val="32"/>
          <w:szCs w:val="32"/>
        </w:rPr>
      </w:pPr>
      <w:hyperlink w:anchor="_Toc75861706" w:history="1">
        <w:r>
          <w:rPr>
            <w:rStyle w:val="af6"/>
            <w:rFonts w:ascii="仿宋" w:eastAsia="仿宋" w:hAnsi="仿宋" w:hint="eastAsia"/>
            <w:sz w:val="32"/>
            <w:szCs w:val="32"/>
          </w:rPr>
          <w:t>（一）市级地震预警信息服务系统建设工程</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_Toc75861706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17</w:t>
        </w:r>
        <w:r>
          <w:rPr>
            <w:rFonts w:ascii="仿宋" w:eastAsia="仿宋" w:hAnsi="仿宋"/>
            <w:sz w:val="32"/>
            <w:szCs w:val="32"/>
          </w:rPr>
          <w:fldChar w:fldCharType="end"/>
        </w:r>
      </w:hyperlink>
    </w:p>
    <w:p w14:paraId="0E2D2224" w14:textId="77777777" w:rsidR="00256595" w:rsidRDefault="00000000">
      <w:pPr>
        <w:pStyle w:val="TOC2"/>
        <w:tabs>
          <w:tab w:val="right" w:leader="dot" w:pos="8296"/>
        </w:tabs>
        <w:rPr>
          <w:rFonts w:ascii="仿宋" w:eastAsia="仿宋" w:hAnsi="仿宋" w:hint="eastAsia"/>
          <w:kern w:val="2"/>
          <w:sz w:val="32"/>
          <w:szCs w:val="32"/>
        </w:rPr>
      </w:pPr>
      <w:hyperlink w:anchor="_Toc75861707" w:history="1">
        <w:r>
          <w:rPr>
            <w:rStyle w:val="af6"/>
            <w:rFonts w:ascii="仿宋" w:eastAsia="仿宋" w:hAnsi="仿宋" w:hint="eastAsia"/>
            <w:sz w:val="32"/>
            <w:szCs w:val="32"/>
          </w:rPr>
          <w:t>（二）地震监测预报预警工程</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_Toc75861707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17</w:t>
        </w:r>
        <w:r>
          <w:rPr>
            <w:rFonts w:ascii="仿宋" w:eastAsia="仿宋" w:hAnsi="仿宋"/>
            <w:sz w:val="32"/>
            <w:szCs w:val="32"/>
          </w:rPr>
          <w:fldChar w:fldCharType="end"/>
        </w:r>
      </w:hyperlink>
    </w:p>
    <w:p w14:paraId="748373AD" w14:textId="77777777" w:rsidR="00256595" w:rsidRDefault="00000000">
      <w:pPr>
        <w:pStyle w:val="TOC2"/>
        <w:tabs>
          <w:tab w:val="right" w:leader="dot" w:pos="8296"/>
        </w:tabs>
        <w:rPr>
          <w:rFonts w:ascii="仿宋" w:eastAsia="仿宋" w:hAnsi="仿宋" w:hint="eastAsia"/>
          <w:kern w:val="2"/>
          <w:sz w:val="32"/>
          <w:szCs w:val="32"/>
        </w:rPr>
      </w:pPr>
      <w:hyperlink w:anchor="_Toc75861708" w:history="1">
        <w:r>
          <w:rPr>
            <w:rStyle w:val="af6"/>
            <w:rFonts w:ascii="仿宋" w:eastAsia="仿宋" w:hAnsi="仿宋" w:hint="eastAsia"/>
            <w:sz w:val="32"/>
            <w:szCs w:val="32"/>
          </w:rPr>
          <w:t>（三）地震群测群防体系建设工程</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_Toc75861708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18</w:t>
        </w:r>
        <w:r>
          <w:rPr>
            <w:rFonts w:ascii="仿宋" w:eastAsia="仿宋" w:hAnsi="仿宋"/>
            <w:sz w:val="32"/>
            <w:szCs w:val="32"/>
          </w:rPr>
          <w:fldChar w:fldCharType="end"/>
        </w:r>
      </w:hyperlink>
    </w:p>
    <w:p w14:paraId="71F9A151" w14:textId="77777777" w:rsidR="00256595" w:rsidRDefault="00000000">
      <w:pPr>
        <w:pStyle w:val="TOC2"/>
        <w:tabs>
          <w:tab w:val="right" w:leader="dot" w:pos="8296"/>
        </w:tabs>
        <w:rPr>
          <w:rFonts w:ascii="仿宋" w:eastAsia="仿宋" w:hAnsi="仿宋" w:hint="eastAsia"/>
          <w:kern w:val="2"/>
          <w:sz w:val="32"/>
          <w:szCs w:val="32"/>
        </w:rPr>
      </w:pPr>
      <w:hyperlink w:anchor="_Toc75861709" w:history="1">
        <w:r>
          <w:rPr>
            <w:rStyle w:val="af6"/>
            <w:rFonts w:ascii="仿宋" w:eastAsia="仿宋" w:hAnsi="仿宋" w:hint="eastAsia"/>
            <w:sz w:val="32"/>
            <w:szCs w:val="32"/>
          </w:rPr>
          <w:t>（四）</w:t>
        </w:r>
        <w:r>
          <w:rPr>
            <w:rStyle w:val="af6"/>
            <w:rFonts w:ascii="仿宋" w:eastAsia="仿宋" w:hAnsi="仿宋" w:hint="eastAsia"/>
            <w:spacing w:val="-20"/>
            <w:sz w:val="32"/>
            <w:szCs w:val="32"/>
          </w:rPr>
          <w:t>地震易发区公共建筑物和城镇住宅抗震加固工程</w:t>
        </w:r>
        <w:r>
          <w:rPr>
            <w:rFonts w:ascii="仿宋" w:eastAsia="仿宋" w:hAnsi="仿宋"/>
            <w:spacing w:val="-20"/>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_Toc75861709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18</w:t>
        </w:r>
        <w:r>
          <w:rPr>
            <w:rFonts w:ascii="仿宋" w:eastAsia="仿宋" w:hAnsi="仿宋"/>
            <w:sz w:val="32"/>
            <w:szCs w:val="32"/>
          </w:rPr>
          <w:fldChar w:fldCharType="end"/>
        </w:r>
      </w:hyperlink>
    </w:p>
    <w:p w14:paraId="10AE88CE" w14:textId="77777777" w:rsidR="00256595" w:rsidRDefault="00000000">
      <w:pPr>
        <w:pStyle w:val="TOC2"/>
        <w:tabs>
          <w:tab w:val="right" w:leader="dot" w:pos="8296"/>
        </w:tabs>
        <w:rPr>
          <w:rFonts w:ascii="仿宋" w:eastAsia="仿宋" w:hAnsi="仿宋" w:hint="eastAsia"/>
          <w:kern w:val="2"/>
          <w:sz w:val="32"/>
          <w:szCs w:val="32"/>
        </w:rPr>
      </w:pPr>
      <w:hyperlink w:anchor="_Toc75861710" w:history="1">
        <w:r>
          <w:rPr>
            <w:rStyle w:val="af6"/>
            <w:rFonts w:ascii="仿宋" w:eastAsia="仿宋" w:hAnsi="仿宋" w:hint="eastAsia"/>
            <w:sz w:val="32"/>
            <w:szCs w:val="32"/>
          </w:rPr>
          <w:t>（五）防震减灾科普示范工程</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_Toc75861710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19</w:t>
        </w:r>
        <w:r>
          <w:rPr>
            <w:rFonts w:ascii="仿宋" w:eastAsia="仿宋" w:hAnsi="仿宋"/>
            <w:sz w:val="32"/>
            <w:szCs w:val="32"/>
          </w:rPr>
          <w:fldChar w:fldCharType="end"/>
        </w:r>
      </w:hyperlink>
    </w:p>
    <w:p w14:paraId="12C2FB5D" w14:textId="77777777" w:rsidR="00256595" w:rsidRDefault="00000000">
      <w:pPr>
        <w:pStyle w:val="TOC1"/>
        <w:tabs>
          <w:tab w:val="right" w:leader="dot" w:pos="8296"/>
        </w:tabs>
        <w:rPr>
          <w:rFonts w:ascii="黑体" w:eastAsia="黑体" w:hAnsi="黑体" w:hint="eastAsia"/>
          <w:kern w:val="2"/>
          <w:sz w:val="32"/>
          <w:szCs w:val="32"/>
        </w:rPr>
      </w:pPr>
      <w:hyperlink w:anchor="_Toc75861711" w:history="1">
        <w:r>
          <w:rPr>
            <w:rStyle w:val="af6"/>
            <w:rFonts w:ascii="黑体" w:eastAsia="黑体" w:hAnsi="黑体" w:hint="eastAsia"/>
            <w:sz w:val="32"/>
            <w:szCs w:val="32"/>
          </w:rPr>
          <w:t>六、保障措施</w:t>
        </w:r>
        <w:r>
          <w:rPr>
            <w:rFonts w:ascii="黑体" w:eastAsia="黑体" w:hAnsi="黑体"/>
            <w:sz w:val="32"/>
            <w:szCs w:val="32"/>
          </w:rPr>
          <w:tab/>
        </w:r>
        <w:r>
          <w:rPr>
            <w:rFonts w:ascii="黑体" w:eastAsia="黑体" w:hAnsi="黑体"/>
            <w:sz w:val="32"/>
            <w:szCs w:val="32"/>
          </w:rPr>
          <w:fldChar w:fldCharType="begin"/>
        </w:r>
        <w:r>
          <w:rPr>
            <w:rFonts w:ascii="黑体" w:eastAsia="黑体" w:hAnsi="黑体"/>
            <w:sz w:val="32"/>
            <w:szCs w:val="32"/>
          </w:rPr>
          <w:instrText xml:space="preserve"> PAGEREF _Toc75861711 \h </w:instrText>
        </w:r>
        <w:r>
          <w:rPr>
            <w:rFonts w:ascii="黑体" w:eastAsia="黑体" w:hAnsi="黑体"/>
            <w:sz w:val="32"/>
            <w:szCs w:val="32"/>
          </w:rPr>
        </w:r>
        <w:r>
          <w:rPr>
            <w:rFonts w:ascii="黑体" w:eastAsia="黑体" w:hAnsi="黑体"/>
            <w:sz w:val="32"/>
            <w:szCs w:val="32"/>
          </w:rPr>
          <w:fldChar w:fldCharType="separate"/>
        </w:r>
        <w:r>
          <w:rPr>
            <w:rFonts w:ascii="黑体" w:eastAsia="黑体" w:hAnsi="黑体"/>
            <w:sz w:val="32"/>
            <w:szCs w:val="32"/>
          </w:rPr>
          <w:t>20</w:t>
        </w:r>
        <w:r>
          <w:rPr>
            <w:rFonts w:ascii="黑体" w:eastAsia="黑体" w:hAnsi="黑体"/>
            <w:sz w:val="32"/>
            <w:szCs w:val="32"/>
          </w:rPr>
          <w:fldChar w:fldCharType="end"/>
        </w:r>
      </w:hyperlink>
    </w:p>
    <w:p w14:paraId="5D31DEEC" w14:textId="77777777" w:rsidR="00256595" w:rsidRDefault="00000000">
      <w:pPr>
        <w:pStyle w:val="TOC2"/>
        <w:tabs>
          <w:tab w:val="right" w:leader="dot" w:pos="8296"/>
        </w:tabs>
        <w:rPr>
          <w:rFonts w:ascii="仿宋" w:eastAsia="仿宋" w:hAnsi="仿宋" w:hint="eastAsia"/>
          <w:kern w:val="2"/>
          <w:sz w:val="32"/>
          <w:szCs w:val="32"/>
        </w:rPr>
      </w:pPr>
      <w:hyperlink w:anchor="_Toc75861712" w:history="1">
        <w:r>
          <w:rPr>
            <w:rStyle w:val="af6"/>
            <w:rFonts w:ascii="仿宋" w:eastAsia="仿宋" w:hAnsi="仿宋" w:hint="eastAsia"/>
            <w:sz w:val="32"/>
            <w:szCs w:val="32"/>
          </w:rPr>
          <w:t>（一）加强组织领导</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_Toc75861712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20</w:t>
        </w:r>
        <w:r>
          <w:rPr>
            <w:rFonts w:ascii="仿宋" w:eastAsia="仿宋" w:hAnsi="仿宋"/>
            <w:sz w:val="32"/>
            <w:szCs w:val="32"/>
          </w:rPr>
          <w:fldChar w:fldCharType="end"/>
        </w:r>
      </w:hyperlink>
    </w:p>
    <w:p w14:paraId="5D41F027" w14:textId="77777777" w:rsidR="00256595" w:rsidRDefault="00000000">
      <w:pPr>
        <w:pStyle w:val="TOC2"/>
        <w:tabs>
          <w:tab w:val="right" w:leader="dot" w:pos="8296"/>
        </w:tabs>
        <w:rPr>
          <w:rFonts w:ascii="仿宋" w:eastAsia="仿宋" w:hAnsi="仿宋" w:hint="eastAsia"/>
          <w:kern w:val="2"/>
          <w:sz w:val="32"/>
          <w:szCs w:val="32"/>
        </w:rPr>
      </w:pPr>
      <w:hyperlink w:anchor="_Toc75861713" w:history="1">
        <w:r>
          <w:rPr>
            <w:rStyle w:val="af6"/>
            <w:rFonts w:ascii="仿宋" w:eastAsia="仿宋" w:hAnsi="仿宋" w:hint="eastAsia"/>
            <w:sz w:val="32"/>
            <w:szCs w:val="32"/>
          </w:rPr>
          <w:t>（二）强化法治保障</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_Toc75861713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20</w:t>
        </w:r>
        <w:r>
          <w:rPr>
            <w:rFonts w:ascii="仿宋" w:eastAsia="仿宋" w:hAnsi="仿宋"/>
            <w:sz w:val="32"/>
            <w:szCs w:val="32"/>
          </w:rPr>
          <w:fldChar w:fldCharType="end"/>
        </w:r>
      </w:hyperlink>
    </w:p>
    <w:p w14:paraId="45A70200" w14:textId="77777777" w:rsidR="00256595" w:rsidRDefault="00000000">
      <w:pPr>
        <w:pStyle w:val="TOC2"/>
        <w:tabs>
          <w:tab w:val="right" w:leader="dot" w:pos="8296"/>
        </w:tabs>
        <w:rPr>
          <w:rFonts w:ascii="仿宋" w:eastAsia="仿宋" w:hAnsi="仿宋" w:hint="eastAsia"/>
          <w:kern w:val="2"/>
          <w:sz w:val="32"/>
          <w:szCs w:val="32"/>
        </w:rPr>
      </w:pPr>
      <w:hyperlink w:anchor="_Toc75861714" w:history="1">
        <w:r>
          <w:rPr>
            <w:rStyle w:val="af6"/>
            <w:rFonts w:ascii="仿宋" w:eastAsia="仿宋" w:hAnsi="仿宋" w:hint="eastAsia"/>
            <w:sz w:val="32"/>
            <w:szCs w:val="32"/>
          </w:rPr>
          <w:t>（三）资金投入保障</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_Toc75861714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20</w:t>
        </w:r>
        <w:r>
          <w:rPr>
            <w:rFonts w:ascii="仿宋" w:eastAsia="仿宋" w:hAnsi="仿宋"/>
            <w:sz w:val="32"/>
            <w:szCs w:val="32"/>
          </w:rPr>
          <w:fldChar w:fldCharType="end"/>
        </w:r>
      </w:hyperlink>
    </w:p>
    <w:p w14:paraId="3304A12D" w14:textId="77777777" w:rsidR="00256595" w:rsidRDefault="00000000">
      <w:pPr>
        <w:pStyle w:val="TOC2"/>
        <w:tabs>
          <w:tab w:val="right" w:leader="dot" w:pos="8296"/>
        </w:tabs>
        <w:rPr>
          <w:rFonts w:ascii="仿宋" w:eastAsia="仿宋" w:hAnsi="仿宋" w:hint="eastAsia"/>
          <w:kern w:val="2"/>
          <w:sz w:val="32"/>
          <w:szCs w:val="32"/>
        </w:rPr>
      </w:pPr>
      <w:hyperlink w:anchor="_Toc75861715" w:history="1">
        <w:r>
          <w:rPr>
            <w:rStyle w:val="af6"/>
            <w:rFonts w:ascii="仿宋" w:eastAsia="仿宋" w:hAnsi="仿宋" w:hint="eastAsia"/>
            <w:sz w:val="32"/>
            <w:szCs w:val="32"/>
          </w:rPr>
          <w:t>（四）加强人才保障</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_Toc75861715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21</w:t>
        </w:r>
        <w:r>
          <w:rPr>
            <w:rFonts w:ascii="仿宋" w:eastAsia="仿宋" w:hAnsi="仿宋"/>
            <w:sz w:val="32"/>
            <w:szCs w:val="32"/>
          </w:rPr>
          <w:fldChar w:fldCharType="end"/>
        </w:r>
      </w:hyperlink>
    </w:p>
    <w:p w14:paraId="53A819C2" w14:textId="77777777" w:rsidR="00256595" w:rsidRDefault="00000000">
      <w:pPr>
        <w:pStyle w:val="TOC2"/>
        <w:tabs>
          <w:tab w:val="right" w:leader="dot" w:pos="8296"/>
        </w:tabs>
        <w:rPr>
          <w:rFonts w:ascii="仿宋" w:eastAsia="仿宋" w:hAnsi="仿宋" w:hint="eastAsia"/>
          <w:kern w:val="2"/>
          <w:sz w:val="32"/>
          <w:szCs w:val="32"/>
        </w:rPr>
      </w:pPr>
      <w:hyperlink w:anchor="_Toc75861716" w:history="1">
        <w:r>
          <w:rPr>
            <w:rStyle w:val="af6"/>
            <w:rFonts w:ascii="仿宋" w:eastAsia="仿宋" w:hAnsi="仿宋" w:hint="eastAsia"/>
            <w:sz w:val="32"/>
            <w:szCs w:val="32"/>
          </w:rPr>
          <w:t>（五）加强科技保障</w:t>
        </w:r>
        <w:r>
          <w:rPr>
            <w:rFonts w:ascii="仿宋" w:eastAsia="仿宋" w:hAnsi="仿宋"/>
            <w:sz w:val="32"/>
            <w:szCs w:val="32"/>
          </w:rPr>
          <w:tab/>
        </w:r>
        <w:r>
          <w:rPr>
            <w:rFonts w:ascii="仿宋" w:eastAsia="仿宋" w:hAnsi="仿宋"/>
            <w:sz w:val="32"/>
            <w:szCs w:val="32"/>
          </w:rPr>
          <w:fldChar w:fldCharType="begin"/>
        </w:r>
        <w:r>
          <w:rPr>
            <w:rFonts w:ascii="仿宋" w:eastAsia="仿宋" w:hAnsi="仿宋"/>
            <w:sz w:val="32"/>
            <w:szCs w:val="32"/>
          </w:rPr>
          <w:instrText xml:space="preserve"> PAGEREF _Toc75861716 \h </w:instrText>
        </w:r>
        <w:r>
          <w:rPr>
            <w:rFonts w:ascii="仿宋" w:eastAsia="仿宋" w:hAnsi="仿宋"/>
            <w:sz w:val="32"/>
            <w:szCs w:val="32"/>
          </w:rPr>
        </w:r>
        <w:r>
          <w:rPr>
            <w:rFonts w:ascii="仿宋" w:eastAsia="仿宋" w:hAnsi="仿宋"/>
            <w:sz w:val="32"/>
            <w:szCs w:val="32"/>
          </w:rPr>
          <w:fldChar w:fldCharType="separate"/>
        </w:r>
        <w:r>
          <w:rPr>
            <w:rFonts w:ascii="仿宋" w:eastAsia="仿宋" w:hAnsi="仿宋"/>
            <w:sz w:val="32"/>
            <w:szCs w:val="32"/>
          </w:rPr>
          <w:t>22</w:t>
        </w:r>
        <w:r>
          <w:rPr>
            <w:rFonts w:ascii="仿宋" w:eastAsia="仿宋" w:hAnsi="仿宋"/>
            <w:sz w:val="32"/>
            <w:szCs w:val="32"/>
          </w:rPr>
          <w:fldChar w:fldCharType="end"/>
        </w:r>
      </w:hyperlink>
    </w:p>
    <w:p w14:paraId="72F0FC38" w14:textId="77777777" w:rsidR="00256595" w:rsidRDefault="00000000">
      <w:pPr>
        <w:jc w:val="center"/>
        <w:rPr>
          <w:rFonts w:ascii="黑体" w:eastAsia="黑体" w:hint="eastAsia"/>
          <w:b/>
          <w:bCs/>
          <w:sz w:val="32"/>
          <w:szCs w:val="32"/>
        </w:rPr>
        <w:sectPr w:rsidR="00256595">
          <w:footerReference w:type="default" r:id="rId8"/>
          <w:pgSz w:w="11906" w:h="16838"/>
          <w:pgMar w:top="1440" w:right="1800" w:bottom="1440" w:left="1800" w:header="851" w:footer="992" w:gutter="0"/>
          <w:pgNumType w:start="1"/>
          <w:cols w:space="720"/>
          <w:docGrid w:type="lines" w:linePitch="312"/>
        </w:sectPr>
      </w:pPr>
      <w:r>
        <w:rPr>
          <w:rFonts w:ascii="黑体" w:eastAsia="黑体"/>
          <w:b/>
          <w:bCs/>
          <w:sz w:val="32"/>
          <w:szCs w:val="32"/>
        </w:rPr>
        <w:fldChar w:fldCharType="end"/>
      </w:r>
    </w:p>
    <w:p w14:paraId="2208DAE5" w14:textId="77777777" w:rsidR="00256595" w:rsidRDefault="00000000">
      <w:pPr>
        <w:pStyle w:val="1"/>
        <w:rPr>
          <w:rFonts w:ascii="黑体" w:eastAsia="黑体" w:hAnsi="黑体" w:cs="黑体" w:hint="eastAsia"/>
          <w:b w:val="0"/>
          <w:sz w:val="32"/>
          <w:szCs w:val="32"/>
          <w:lang w:val="zh-CN"/>
        </w:rPr>
      </w:pPr>
      <w:bookmarkStart w:id="9" w:name="_Toc75861687"/>
      <w:r>
        <w:rPr>
          <w:rFonts w:ascii="黑体" w:eastAsia="黑体" w:hAnsi="黑体" w:cs="黑体" w:hint="eastAsia"/>
          <w:b w:val="0"/>
          <w:sz w:val="32"/>
          <w:szCs w:val="32"/>
          <w:lang w:val="zh-CN"/>
        </w:rPr>
        <w:t>前</w:t>
      </w:r>
      <w:r>
        <w:rPr>
          <w:rFonts w:ascii="黑体" w:eastAsia="黑体" w:hAnsi="黑体" w:cs="黑体"/>
          <w:b w:val="0"/>
          <w:sz w:val="32"/>
          <w:szCs w:val="32"/>
          <w:lang w:val="zh-CN"/>
        </w:rPr>
        <w:t xml:space="preserve">  </w:t>
      </w:r>
      <w:r>
        <w:rPr>
          <w:rFonts w:ascii="黑体" w:eastAsia="黑体" w:hAnsi="黑体" w:cs="黑体" w:hint="eastAsia"/>
          <w:b w:val="0"/>
          <w:sz w:val="32"/>
          <w:szCs w:val="32"/>
          <w:lang w:val="zh-CN"/>
        </w:rPr>
        <w:t>言</w:t>
      </w:r>
      <w:bookmarkEnd w:id="0"/>
      <w:bookmarkEnd w:id="1"/>
      <w:bookmarkEnd w:id="2"/>
      <w:bookmarkEnd w:id="3"/>
      <w:bookmarkEnd w:id="4"/>
      <w:bookmarkEnd w:id="5"/>
      <w:bookmarkEnd w:id="6"/>
      <w:bookmarkEnd w:id="7"/>
      <w:bookmarkEnd w:id="8"/>
      <w:bookmarkEnd w:id="9"/>
    </w:p>
    <w:p w14:paraId="48C2420E" w14:textId="1F17E842"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山市作为粤港澳大湾区重要节点城市，是连接珠江东岸和西岸的一个重要的战略通道，具有重要的经济社会地位，人口、科技、社会财富、现代化设施高度集中，对灾害敏感度极高，一旦发生中强以上地震，将会产生巨大的经济损失，对社会安全和稳定产生重大影响。</w:t>
      </w:r>
    </w:p>
    <w:p w14:paraId="5F6CFC22"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三五”期间，中山市坚持以习近平新时代中国特色社会主义思想为指导，全面贯彻党的十九大和十九届二中、三中、四中、五中全会精神，深入贯彻习近平总书记关于防灾减灾救灾重要论述和指示批示精神，紧紧围绕统筹推进“五位一体”总体布局和协调推进“四个全面”战略布局，树牢“四个意识”、坚定“四个自信”、坚决做到“两个维护”,坚持人民至上、生命至上，牢固树立新发展理念，以保障人民生命安全为根本，以防范化解自然灾害风险为主线，以提升自然灾害防治能力为核心，全面提升全社会抵御自然灾害的综合防范能力。</w:t>
      </w:r>
    </w:p>
    <w:p w14:paraId="73119783"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四五”时期，中山市计划在多个重要领域和关键环节改革上取得阶段性成果，力争走在全省防震减灾体制机制改革前列，形成系统完备、科学规范、运行有效的制度保障。防震减灾工作作为公共安全体系建设的基础性工作，是事关人民生命财产安全和经济社会可持续发展的基础性、公益性事业，必须一以贯之，抓实抓好，切实保障中山市广大人民群众生命财产安全，维持经济社会全面协调可持续发展。</w:t>
      </w:r>
    </w:p>
    <w:p w14:paraId="04EE83C4"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照市委、市政府决策部署，结合省应急管理厅和省地震局的工作规划和相关任务安排，为做好中山市“十四五”时期防震减灾工作，进一步提高中山市抗御地震灾害能力，切实加强中山市地震监测预警、防震减灾应急管理、地震安全风险管理、地震灾害防治能力建设和公共服务建设，根据《中华人民共和国防震减灾法》《国家防震减灾“十四五”规划初步框架》《国家应急体系建设“十四五”规划》《国家综合防灾减灾“十四五”规划》以及《新时代防震减灾事业现代化纲要（2019-2035年）》，在充分考虑中山市市情和防震减灾工作实情的基础上，针对中山市迫切需要解决的防震减灾问题，制定本规划。本规划基准年为2020年，规划期为2021-2025年。</w:t>
      </w:r>
    </w:p>
    <w:p w14:paraId="4D419D64"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规划是中山市人民政府履行防震减灾社会管理和公共服务职责的重要体现，引领中山市防震减灾事业发展，安排防震减灾重大工程和投资，指导各镇政府、街道办事处制定本行政区域防震减灾事业发展规划的重要依据。</w:t>
      </w:r>
    </w:p>
    <w:p w14:paraId="693FDF17" w14:textId="77777777" w:rsidR="00256595" w:rsidRDefault="00256595">
      <w:pPr>
        <w:jc w:val="both"/>
        <w:rPr>
          <w:rFonts w:ascii="仿宋_GB2312" w:eastAsia="仿宋_GB2312" w:hAnsi="仿宋_GB2312" w:cs="仿宋_GB2312" w:hint="eastAsia"/>
          <w:sz w:val="32"/>
          <w:szCs w:val="32"/>
        </w:rPr>
      </w:pPr>
    </w:p>
    <w:p w14:paraId="525E666C" w14:textId="77777777" w:rsidR="00256595" w:rsidRDefault="00000000">
      <w:pPr>
        <w:pStyle w:val="1"/>
        <w:ind w:firstLineChars="200" w:firstLine="720"/>
        <w:rPr>
          <w:rFonts w:ascii="黑体" w:eastAsia="黑体" w:hAnsi="黑体" w:hint="eastAsia"/>
          <w:b w:val="0"/>
          <w:sz w:val="36"/>
          <w:szCs w:val="36"/>
        </w:rPr>
      </w:pPr>
      <w:bookmarkStart w:id="10" w:name="_Toc277341757"/>
      <w:bookmarkStart w:id="11" w:name="_Toc75861688"/>
      <w:bookmarkStart w:id="12" w:name="_Toc55314395"/>
      <w:r>
        <w:rPr>
          <w:rFonts w:ascii="黑体" w:eastAsia="黑体" w:hAnsi="黑体" w:hint="eastAsia"/>
          <w:b w:val="0"/>
          <w:sz w:val="36"/>
          <w:szCs w:val="36"/>
        </w:rPr>
        <w:t>一、</w:t>
      </w:r>
      <w:bookmarkEnd w:id="10"/>
      <w:r>
        <w:rPr>
          <w:rFonts w:ascii="黑体" w:eastAsia="黑体" w:hAnsi="黑体" w:hint="eastAsia"/>
          <w:b w:val="0"/>
          <w:sz w:val="36"/>
          <w:szCs w:val="36"/>
        </w:rPr>
        <w:t>中山市防震减灾工作现状和存在问题</w:t>
      </w:r>
      <w:bookmarkEnd w:id="11"/>
      <w:bookmarkEnd w:id="12"/>
    </w:p>
    <w:p w14:paraId="0A8C1AC0" w14:textId="77777777" w:rsidR="00256595" w:rsidRDefault="00000000">
      <w:pPr>
        <w:pStyle w:val="2"/>
        <w:spacing w:line="240" w:lineRule="auto"/>
        <w:ind w:firstLineChars="200" w:firstLine="640"/>
        <w:rPr>
          <w:rFonts w:ascii="宋体" w:hAnsi="宋体" w:hint="eastAsia"/>
          <w:b w:val="0"/>
        </w:rPr>
      </w:pPr>
      <w:bookmarkStart w:id="13" w:name="_Toc486611335"/>
      <w:bookmarkStart w:id="14" w:name="_Toc75861689"/>
      <w:bookmarkStart w:id="15" w:name="_Toc19411"/>
      <w:bookmarkStart w:id="16" w:name="_Toc55314396"/>
      <w:bookmarkStart w:id="17" w:name="_Toc30050"/>
      <w:r>
        <w:rPr>
          <w:rFonts w:ascii="宋体" w:hAnsi="宋体" w:hint="eastAsia"/>
          <w:b w:val="0"/>
        </w:rPr>
        <w:t>（一）地震背景和震情形势</w:t>
      </w:r>
      <w:bookmarkEnd w:id="13"/>
      <w:bookmarkEnd w:id="14"/>
      <w:bookmarkEnd w:id="15"/>
      <w:bookmarkEnd w:id="16"/>
      <w:bookmarkEnd w:id="17"/>
    </w:p>
    <w:p w14:paraId="3BEADF3D"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山市地处东南沿海地震带中段，属于国家级和省级地震重点监测防御区。市内发育有北西向西江断裂带、北东向五桂山北麓、南麓断裂带等多条断裂带，东面北西向白泥——沙湾断裂，南部近滨海断裂带，部分属于活动性断裂，存在发生破坏性地震或受周边中强震影响的可能。</w:t>
      </w:r>
    </w:p>
    <w:p w14:paraId="3C82F66F" w14:textId="77777777" w:rsidR="00256595" w:rsidRDefault="00000000">
      <w:pPr>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山位于地震高烈度带的边缘地区，全境峰值加速度0.10g，地震基本烈度Ⅶ度。1322年，元代，香山县第一次有记录了地震，跟着明代有九次地震记录。从1905年到2005年这百年期间，中山历史上共发生过8次地震。从历史记录来看，位于珠江三角洲地区的中山，地震震级普遍较低，3级以下的地震占75%。其中，1936年4月23日小榄发生的5级地震震级最高，1984年11月4日发生的1.2级地震震级最低。2015-2020年期间，中山市累计发生地震6次，震级最高1.0级，最低0.2级。</w:t>
      </w:r>
    </w:p>
    <w:p w14:paraId="0734E0E9"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山市位于国家和广东省划定的珠江三角洲地震重点监视防御区内，地理位置特殊、地质构造复杂，是未来可能发生破坏性地震的潜在危险区，地震安全形势不容乐观。提高城乡防震减灾综合能力、维护人民群众生命财产安全，是各级政府社会管理和公共服务的重要内容和义不容辞的职责，也是实现市委、市政府的经济社会可持续发展目标的重要保障。</w:t>
      </w:r>
    </w:p>
    <w:p w14:paraId="12A5034B" w14:textId="77777777" w:rsidR="00256595" w:rsidRDefault="00000000">
      <w:pPr>
        <w:pStyle w:val="2"/>
        <w:spacing w:line="240" w:lineRule="auto"/>
        <w:ind w:firstLineChars="200" w:firstLine="640"/>
        <w:rPr>
          <w:rFonts w:ascii="宋体" w:hAnsi="宋体" w:hint="eastAsia"/>
          <w:b w:val="0"/>
        </w:rPr>
      </w:pPr>
      <w:bookmarkStart w:id="18" w:name="_Toc486611336"/>
      <w:bookmarkStart w:id="19" w:name="_Toc24233"/>
      <w:bookmarkStart w:id="20" w:name="_Toc75861690"/>
      <w:bookmarkStart w:id="21" w:name="_Toc12166"/>
      <w:bookmarkStart w:id="22" w:name="_Toc55314397"/>
      <w:r>
        <w:rPr>
          <w:rFonts w:ascii="宋体" w:hAnsi="宋体" w:hint="eastAsia"/>
          <w:b w:val="0"/>
        </w:rPr>
        <w:t>（二）“十三五”期间防震减灾主要成就</w:t>
      </w:r>
      <w:bookmarkEnd w:id="18"/>
      <w:bookmarkEnd w:id="19"/>
      <w:bookmarkEnd w:id="20"/>
      <w:bookmarkEnd w:id="21"/>
      <w:bookmarkEnd w:id="22"/>
    </w:p>
    <w:p w14:paraId="5F7C1402" w14:textId="77777777" w:rsidR="00256595" w:rsidRDefault="00000000">
      <w:pPr>
        <w:ind w:firstLineChars="200" w:firstLine="640"/>
        <w:jc w:val="both"/>
        <w:rPr>
          <w:rFonts w:ascii="仿宋_GB2312" w:eastAsia="仿宋_GB2312" w:hAnsi="仿宋_GB2312" w:cs="仿宋_GB2312" w:hint="eastAsia"/>
          <w:color w:val="FF0000"/>
          <w:sz w:val="32"/>
          <w:szCs w:val="32"/>
        </w:rPr>
      </w:pPr>
      <w:r>
        <w:rPr>
          <w:rFonts w:ascii="仿宋_GB2312" w:eastAsia="仿宋_GB2312" w:hAnsi="仿宋_GB2312" w:cs="仿宋_GB2312" w:hint="eastAsia"/>
          <w:sz w:val="32"/>
          <w:szCs w:val="32"/>
        </w:rPr>
        <w:t>在市委、市政府的正确领导下，根据省应急管理厅、省地震局的统一指导，中山市很好地完成了“十三五”防震减灾工作任务，在地震监测预报、震灾预防和应急救援三大体系建设工作上取得了长足进步。“十三五”规划的重点工作任务和目标基本落实</w:t>
      </w:r>
      <w:r>
        <w:rPr>
          <w:rFonts w:ascii="仿宋_GB2312" w:eastAsia="仿宋_GB2312" w:hAnsi="仿宋_GB2312" w:cs="仿宋_GB2312" w:hint="eastAsia"/>
          <w:color w:val="000000"/>
          <w:sz w:val="32"/>
          <w:szCs w:val="32"/>
        </w:rPr>
        <w:t>，围绕新时代新要求，深入推进机构改革，中山市应急管理局完成组建挂牌，将防震减灾应急救援工作纳入大应急管理体系。</w:t>
      </w:r>
    </w:p>
    <w:p w14:paraId="361880AC" w14:textId="77777777" w:rsidR="00256595" w:rsidRDefault="00000000">
      <w:pPr>
        <w:ind w:firstLineChars="200" w:firstLine="640"/>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一是防震减灾领导体系不断健全。</w:t>
      </w:r>
      <w:r>
        <w:rPr>
          <w:rFonts w:ascii="仿宋_GB2312" w:eastAsia="仿宋_GB2312" w:hAnsi="仿宋_GB2312" w:cs="仿宋_GB2312" w:hint="eastAsia"/>
          <w:sz w:val="32"/>
          <w:szCs w:val="32"/>
        </w:rPr>
        <w:t>健全防震减灾工作领导体系，在市委、市政府的领导下，市住房城乡建设局（地震局）依法行使地震监测、震害防御、地震应急等方面行政管理及社会公共服务职能，坚持中山市群测群防监测工作。在应急预案体系建设方面，2019年1月23日，中山市应急管理局完成组建挂牌，强化应急预案体系建设，推进地震应急预案的动态化管理，及时修订《中山市地震及突发地质灾害应急预案》，健全地震应急预案体系。</w:t>
      </w:r>
    </w:p>
    <w:p w14:paraId="650D0832" w14:textId="77777777" w:rsidR="00256595" w:rsidRDefault="00000000">
      <w:pPr>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二是地震监测能力显著提高。</w:t>
      </w:r>
      <w:r>
        <w:rPr>
          <w:rFonts w:ascii="仿宋_GB2312" w:eastAsia="仿宋_GB2312" w:hAnsi="仿宋_GB2312" w:cs="仿宋_GB2312" w:hint="eastAsia"/>
          <w:sz w:val="32"/>
          <w:szCs w:val="32"/>
        </w:rPr>
        <w:t>“十三五”期间，中山市地震监测网络建设日趋完善，监测手段和技术也越来越先进。目前，中山市已建成测震台及强震台8个、烈度速报台23个、前兆观测站及群测群防点6个。做好地震监测仪器日常维护，确保中山市台站功能稳定、数据传输质量及运行良好，确保监测数据准确，有效及时地传输给省地震局。省、市协同开展地震监测分析预报工作，市地震局具体负责及时向省地震预报研究中心报送地震观测数据，以及开展地震监测台站和观测设施的日常维护和管理等工作。</w:t>
      </w:r>
    </w:p>
    <w:p w14:paraId="40004B78" w14:textId="77777777" w:rsidR="00256595" w:rsidRDefault="00000000">
      <w:pPr>
        <w:ind w:firstLineChars="200" w:firstLine="640"/>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三是严格执行震情监控不间断。</w:t>
      </w:r>
      <w:r>
        <w:rPr>
          <w:rFonts w:ascii="仿宋_GB2312" w:eastAsia="仿宋_GB2312" w:hAnsi="仿宋_GB2312" w:cs="仿宋_GB2312" w:hint="eastAsia"/>
          <w:sz w:val="32"/>
          <w:szCs w:val="32"/>
        </w:rPr>
        <w:t>严格执行震情监测24小时带班制度，密切监视地震活动；建立健全震情监视跟踪和应急准备工作机制，明确震情监测跟踪工作的目标和要求，强化震情和灾情信息常态化收集、汇总和分析处理手段。2020年5月省地震局与省应急厅联合印发《广东省地震局 广东省应急管理厅关于协同实施新时代防震减灾事业现代化建设试点三年行动方案（2020-2022年）的通知》，要求各市配合省地震局安装布设地震预警信息服务系统“市级发布中心”。目前已配合完成前期建设场地的调研工作，等待省地震局集中采购设备后安装使用。</w:t>
      </w:r>
    </w:p>
    <w:p w14:paraId="665C043F" w14:textId="77777777" w:rsidR="00256595" w:rsidRDefault="00000000">
      <w:pPr>
        <w:ind w:firstLine="642"/>
        <w:jc w:val="both"/>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四是城乡抗震设防能力不断加强。</w:t>
      </w:r>
      <w:r>
        <w:rPr>
          <w:rFonts w:ascii="仿宋_GB2312" w:eastAsia="仿宋_GB2312" w:hAnsi="仿宋_GB2312" w:cs="仿宋_GB2312" w:hint="eastAsia"/>
          <w:sz w:val="32"/>
          <w:szCs w:val="32"/>
        </w:rPr>
        <w:t>加速推进防震减灾示范工程建设，建成多个省、市级防震减灾科普示范学校、示范基地、示范社区，充分发挥示范带动作用。开展城市地震灾害风险点、危险源排查整治工作，推进重要建（构）筑物普查加固，对全市范围内抗震设防烈度Ⅶ度及以上地区中小学校、幼儿园、医院等重要公共建筑物，进行抗震性能自查。</w:t>
      </w:r>
      <w:r>
        <w:rPr>
          <w:rFonts w:ascii="仿宋_GB2312" w:eastAsia="仿宋_GB2312" w:hAnsi="仿宋_GB2312" w:cs="仿宋_GB2312" w:hint="eastAsia"/>
          <w:kern w:val="2"/>
          <w:sz w:val="32"/>
          <w:szCs w:val="32"/>
        </w:rPr>
        <w:t>在2020年3月26日联合市教育体育局、市卫生健康局发布《关于印发中山市重要公共建筑物抗震加固工程实施方案的通知》（中建通〔2020〕30号），全市中小学校、幼儿园、医院（以下简称校（园、院））对重要公共建筑物逐一进行建筑基本信息、使用情况、破坏情况等抗震性能基础数据调查，填写《广东省地震易发区重要公共建筑物抗震性能调查登记表》，每个季度报送一次调查进度。</w:t>
      </w:r>
      <w:r>
        <w:rPr>
          <w:rFonts w:ascii="仿宋_GB2312" w:eastAsia="仿宋_GB2312" w:hAnsi="仿宋_GB2312" w:cs="仿宋_GB2312" w:hint="eastAsia"/>
          <w:sz w:val="32"/>
          <w:szCs w:val="32"/>
        </w:rPr>
        <w:t>2020年11月5日下发《中山市住房和城乡建设局关于印发中山市城镇住宅抗震加固工程实施方案的通知》，开展加固改造地震易发区重要公共建筑物、加固改造地震易发区城镇住宅工作，截至目前，调查出中学72间，240栋建筑物；小学264间，696栋；幼儿园360间，540栋；医院12间，140栋；合计调查建筑面积达5998819.02平方米。</w:t>
      </w:r>
    </w:p>
    <w:p w14:paraId="731BD3ED" w14:textId="77777777" w:rsidR="00256595" w:rsidRDefault="00000000">
      <w:pPr>
        <w:ind w:firstLine="642"/>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开展农房抗震改造资金补助。对有能力、有意愿按照抗震设防标准新建住房的农户给予一定的补助，支持抗震设防不达标农房增加抗震措施，逐步扭转地震高烈度设防地区农房抗震性能差、在地震中易造成群众生命财产严重损失的局面。</w:t>
      </w:r>
    </w:p>
    <w:p w14:paraId="0D9E32A5"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五是积极推进建设安装紧急地震信息接收终端（地震预警终端）。</w:t>
      </w:r>
      <w:r>
        <w:rPr>
          <w:rFonts w:ascii="仿宋_GB2312" w:eastAsia="仿宋_GB2312" w:hAnsi="仿宋_GB2312" w:cs="仿宋_GB2312" w:hint="eastAsia"/>
          <w:sz w:val="32"/>
          <w:szCs w:val="32"/>
        </w:rPr>
        <w:t>地震预警终端有地震预警警示、应急通话、拍摄受灾画面情况、一键报警、科普宣传等功能。目前，我市东凤镇东凤中学、三乡镇桂山中学、石岐街道石岐中学和小榄镇菊城小学已设有4个地震预警信息接收终端。根据广东省地震局部署，2022年底前还将在全市学校、医院等人口密集场所建设安装800台预警终端。</w:t>
      </w:r>
    </w:p>
    <w:p w14:paraId="0909AE0D" w14:textId="77777777" w:rsidR="00256595" w:rsidRDefault="00000000">
      <w:pPr>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六是地震应急救援体系不断完善。</w:t>
      </w:r>
      <w:r>
        <w:rPr>
          <w:rFonts w:ascii="仿宋_GB2312" w:eastAsia="仿宋_GB2312" w:hAnsi="仿宋_GB2312" w:cs="仿宋_GB2312" w:hint="eastAsia"/>
          <w:sz w:val="32"/>
          <w:szCs w:val="32"/>
        </w:rPr>
        <w:t>强化了地震应急预案管理和演练，建立“纵向到底、横向到边”的地震应急预案体系。各防震减灾示范社区、示范村、示范学校均按照要求制定了地震应急预案。完成了中心城区地震应急避难场所相关指引牌的制作和安装，组建了市级地震应急救援志愿者队伍，按照“一队多用”原则，依托现有的综合紧急救援队，建设具有地震灾害专业救援能力的队伍，组织救援队赴“国家地震灾害紧急救援训练基地”开展业务培训，提高实战水平。基本形成了以应急预案、救援队伍、技术系统、避难场所、物资储备等为核心内容的地震应急救援救助体系。组建一支由地震、住房城乡建设、民政、国土资源、交通运输、水务、电力、通信等各行业专家组成的20人左右的地震地现场工作队。适时开展省、市联动的地震应急演练活动。按照《中山市市域应急避难场所建设规划（2013-2020）》，建设5个中心应急避难场所、一批固定应急避难场所。</w:t>
      </w:r>
    </w:p>
    <w:p w14:paraId="5366CE7C" w14:textId="77777777" w:rsidR="00256595" w:rsidRDefault="00000000">
      <w:pPr>
        <w:ind w:firstLineChars="200" w:firstLine="640"/>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七是防震减灾宣传不断加强。</w:t>
      </w:r>
      <w:r>
        <w:rPr>
          <w:rFonts w:ascii="仿宋_GB2312" w:eastAsia="仿宋_GB2312" w:hAnsi="仿宋_GB2312" w:cs="仿宋_GB2312" w:hint="eastAsia"/>
          <w:sz w:val="32"/>
          <w:szCs w:val="32"/>
        </w:rPr>
        <w:t>通过“防震减灾科普宣传”“重大地震事件纪念日”“科技进步活动月”“512防震减灾日”等活动面向社会开展广泛的防震减灾宣传活动，有效增强公众的防震减灾意识；深入开展防震减灾知识进机关、进学校、进社区、进乡村、进企业的“五进”活动；2018年，中山市地震科普馆正式开馆，每年5月12日面向社会公众开放，分为结绳救援区、场馆主题培训区、灾害视频区、泥石流及山体滑坡区、火灾模拟区、海啸及水灾区、踩踏自救区、毒气放射物质泄露及公共卫生区八个区域，馆内主要展出内容以防震减灾为核心主题，以地震常识和避震内容为主线，融地震科普、防震减灾、避险自救为一体，更形象生动的宣传地震科普知识。</w:t>
      </w:r>
    </w:p>
    <w:p w14:paraId="2A0C59DE" w14:textId="77777777" w:rsidR="00256595" w:rsidRDefault="00000000">
      <w:pPr>
        <w:ind w:firstLineChars="200" w:firstLine="640"/>
        <w:jc w:val="both"/>
        <w:rPr>
          <w:rFonts w:ascii="仿宋_GB2312" w:eastAsia="仿宋_GB2312" w:hAnsi="仿宋_GB2312" w:cs="仿宋_GB2312" w:hint="eastAsia"/>
          <w:b/>
          <w:bCs/>
          <w:sz w:val="32"/>
          <w:szCs w:val="32"/>
        </w:rPr>
      </w:pPr>
      <w:r>
        <w:rPr>
          <w:rFonts w:ascii="仿宋_GB2312" w:eastAsia="仿宋_GB2312" w:hAnsi="仿宋_GB2312" w:cs="仿宋_GB2312" w:hint="eastAsia"/>
          <w:b/>
          <w:sz w:val="32"/>
          <w:szCs w:val="32"/>
        </w:rPr>
        <w:t>八是积极</w:t>
      </w:r>
      <w:r>
        <w:rPr>
          <w:rFonts w:ascii="仿宋_GB2312" w:eastAsia="仿宋_GB2312" w:hAnsi="仿宋_GB2312" w:cs="仿宋_GB2312" w:hint="eastAsia"/>
          <w:b/>
          <w:bCs/>
          <w:sz w:val="32"/>
          <w:szCs w:val="32"/>
        </w:rPr>
        <w:t>配合完成省地震局实施新时代防震减灾事业现代化建设试点三年行动方案的主要工作任务。</w:t>
      </w:r>
      <w:r>
        <w:rPr>
          <w:rFonts w:ascii="仿宋_GB2312" w:eastAsia="仿宋_GB2312" w:hAnsi="仿宋_GB2312" w:cs="仿宋_GB2312" w:hint="eastAsia"/>
          <w:sz w:val="32"/>
          <w:szCs w:val="32"/>
        </w:rPr>
        <w:t>协调解决省地震局南区地震台站升级改造的用地、用电等问题，与市自然资源局、市供电局进行了沟通，初步提出解决方案，确保省地震局地震台站的升级改造顺利完成。</w:t>
      </w:r>
    </w:p>
    <w:p w14:paraId="36E065ED" w14:textId="77777777" w:rsidR="00256595" w:rsidRDefault="00000000">
      <w:pPr>
        <w:pStyle w:val="2"/>
        <w:spacing w:line="240" w:lineRule="auto"/>
        <w:ind w:firstLineChars="200" w:firstLine="640"/>
        <w:rPr>
          <w:rFonts w:ascii="宋体" w:hAnsi="宋体" w:hint="eastAsia"/>
          <w:b w:val="0"/>
        </w:rPr>
      </w:pPr>
      <w:bookmarkStart w:id="23" w:name="_Toc55314398"/>
      <w:bookmarkStart w:id="24" w:name="_Toc75861691"/>
      <w:bookmarkStart w:id="25" w:name="_Toc277341754"/>
      <w:r>
        <w:rPr>
          <w:rFonts w:ascii="宋体" w:hAnsi="宋体" w:hint="eastAsia"/>
          <w:b w:val="0"/>
        </w:rPr>
        <w:t>（三）存在的问题与不足</w:t>
      </w:r>
      <w:bookmarkEnd w:id="23"/>
      <w:bookmarkEnd w:id="24"/>
    </w:p>
    <w:p w14:paraId="59B30B7D"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经过长期的努力，中山市防震减灾工作取得了显著成效，但防震减灾体系建设仍然存在着不足，地震整体综合防御能力还相对较弱，主要表现在以下几个方面：</w:t>
      </w:r>
    </w:p>
    <w:p w14:paraId="44CCA4CF" w14:textId="77777777" w:rsidR="00256595" w:rsidRDefault="00000000">
      <w:pPr>
        <w:ind w:firstLineChars="200" w:firstLine="640"/>
        <w:jc w:val="both"/>
        <w:rPr>
          <w:rFonts w:ascii="仿宋_GB2312" w:eastAsia="仿宋_GB2312" w:hAnsi="仿宋_GB2312" w:cs="仿宋_GB2312" w:hint="eastAsia"/>
          <w:b/>
          <w:sz w:val="32"/>
          <w:szCs w:val="32"/>
        </w:rPr>
      </w:pPr>
      <w:bookmarkStart w:id="26" w:name="_Toc152387988"/>
      <w:r>
        <w:rPr>
          <w:rFonts w:ascii="仿宋_GB2312" w:eastAsia="仿宋_GB2312" w:hAnsi="仿宋_GB2312" w:cs="仿宋_GB2312" w:hint="eastAsia"/>
          <w:b/>
          <w:sz w:val="32"/>
          <w:szCs w:val="32"/>
        </w:rPr>
        <w:t>一是地震监测预警能力较为欠缺。</w:t>
      </w:r>
    </w:p>
    <w:p w14:paraId="79DB7056"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震监测预警基础薄弱，地震监测台站密度不足，地震观测所获得的信息量尚不能全面满足地震速报、烈度速报、地震预警方面的需要，地震预测预报工作基本上是依赖省地震部门反馈的分析结果，地震速报信息接收滞后；一旦省内或周边发生大震、强震致通信中断，地震监测效能会受到严重影响。</w:t>
      </w:r>
    </w:p>
    <w:p w14:paraId="72719CF5" w14:textId="77777777" w:rsidR="00256595" w:rsidRDefault="00000000">
      <w:pPr>
        <w:ind w:firstLineChars="200" w:firstLine="640"/>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二是城市建筑物抗震性能有待进一步提升。</w:t>
      </w:r>
    </w:p>
    <w:p w14:paraId="0B9F5DD1"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目前中山市新建房屋抗震设防监管得到有效落实，但上世纪九十年代之前修建的老旧房屋依然存在较大的安全隐患问题，抗震设防水平低于现行的标准和要求，旧有房屋改造工作难度较大，且资金需求量巨大，需要长期投入，逐步实施；地震安全性评价工作有待加强。</w:t>
      </w:r>
    </w:p>
    <w:p w14:paraId="7BDEC34F" w14:textId="77777777" w:rsidR="00256595" w:rsidRDefault="00000000">
      <w:pPr>
        <w:ind w:firstLineChars="200" w:firstLine="640"/>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三是抗震救灾组织指挥和应急救援能力尚需提高。</w:t>
      </w:r>
    </w:p>
    <w:p w14:paraId="2BF7AA3B"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山市未正式成立中山市防震抗震救灾工作领导小组，市防震抗震救灾工作联席会议多年未启动；防震减灾机构变动较大，职能不明晰，经费投入不足，各级政府部门地震应急预案仍需完善；应对地震灾害的机制不完善，快速反应能力有待提高；地震应急志愿者缺乏专业培训，队伍规模和管理机制不健全。</w:t>
      </w:r>
    </w:p>
    <w:bookmarkEnd w:id="26"/>
    <w:p w14:paraId="574A6F13" w14:textId="77777777" w:rsidR="00256595" w:rsidRDefault="00000000">
      <w:pPr>
        <w:ind w:firstLineChars="200" w:firstLine="640"/>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四是防震减灾现代社会治理体系尚未建立。</w:t>
      </w:r>
    </w:p>
    <w:p w14:paraId="5D941D58"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山市防震减灾的社会治理机制还不够健全，各类建设工程的抗震设防标准的监督实施有待进一步加强，没有建立专门的镇街农村民居抗震设防监督管理和服务体系，地震服务的均等化、网格化管理有待推进，缺乏市民群众广泛参与和监督的防震减灾公共平台，地震部门信息化建设相关基础设施的投入不足，与防震减灾事业发展的新要求不相匹配。</w:t>
      </w:r>
    </w:p>
    <w:p w14:paraId="163692F6" w14:textId="77777777" w:rsidR="00256595" w:rsidRDefault="00000000">
      <w:pPr>
        <w:ind w:firstLineChars="200" w:firstLine="640"/>
        <w:jc w:val="both"/>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五是公众防震减灾意识和应急避险能力有待增强。</w:t>
      </w:r>
    </w:p>
    <w:p w14:paraId="46B0A09D"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中山市防震减灾宣传工作取得了长足进展，但长效宣传机制尚未建立，防震减灾宣传手段较为单一，宣传网络较为欠缺，社会公众的防震减灾意识有待增强，应急避险和自救互救能力仍需进一步提高。</w:t>
      </w:r>
      <w:bookmarkStart w:id="27" w:name="_Toc278965475"/>
      <w:bookmarkStart w:id="28" w:name="_Toc271268907"/>
      <w:bookmarkStart w:id="29" w:name="_Toc274756665"/>
      <w:bookmarkStart w:id="30" w:name="_Toc272743105"/>
      <w:bookmarkStart w:id="31" w:name="_Toc271202702"/>
      <w:bookmarkStart w:id="32" w:name="_Toc272652712"/>
      <w:bookmarkStart w:id="33" w:name="_Toc273829216"/>
      <w:bookmarkStart w:id="34" w:name="_Toc264820876"/>
      <w:bookmarkStart w:id="35" w:name="_Toc272691568"/>
      <w:bookmarkStart w:id="36" w:name="_Toc272699553"/>
      <w:bookmarkStart w:id="37" w:name="_Toc272618335"/>
      <w:bookmarkStart w:id="38" w:name="_Toc274732018"/>
      <w:bookmarkStart w:id="39" w:name="_Toc271185029"/>
      <w:bookmarkStart w:id="40" w:name="_Toc278899321"/>
      <w:bookmarkStart w:id="41" w:name="_Toc272737997"/>
    </w:p>
    <w:p w14:paraId="010E7830" w14:textId="77777777" w:rsidR="00256595" w:rsidRDefault="00000000">
      <w:pPr>
        <w:pStyle w:val="1"/>
        <w:ind w:firstLineChars="200" w:firstLine="720"/>
        <w:rPr>
          <w:rFonts w:ascii="黑体" w:eastAsia="黑体" w:hAnsi="黑体" w:hint="eastAsia"/>
          <w:b w:val="0"/>
          <w:sz w:val="36"/>
          <w:szCs w:val="36"/>
        </w:rPr>
      </w:pPr>
      <w:bookmarkStart w:id="42" w:name="_Toc75861692"/>
      <w:bookmarkStart w:id="43" w:name="_Toc13229"/>
      <w:bookmarkStart w:id="44" w:name="_Toc32043"/>
      <w:bookmarkStart w:id="45" w:name="_Toc55314399"/>
      <w:bookmarkStart w:id="46" w:name="_Toc486611346"/>
      <w:r>
        <w:rPr>
          <w:rFonts w:ascii="黑体" w:eastAsia="黑体" w:hAnsi="黑体" w:hint="eastAsia"/>
          <w:b w:val="0"/>
          <w:sz w:val="36"/>
          <w:szCs w:val="36"/>
        </w:rPr>
        <w:t>二、“十四五”防震减灾工作的新形势</w:t>
      </w:r>
      <w:bookmarkEnd w:id="42"/>
    </w:p>
    <w:p w14:paraId="2325720D" w14:textId="77777777" w:rsidR="00256595" w:rsidRDefault="00000000">
      <w:pPr>
        <w:pStyle w:val="2"/>
        <w:spacing w:line="240" w:lineRule="auto"/>
        <w:ind w:firstLineChars="200" w:firstLine="640"/>
        <w:rPr>
          <w:rFonts w:ascii="宋体" w:hAnsi="宋体" w:hint="eastAsia"/>
          <w:b w:val="0"/>
        </w:rPr>
      </w:pPr>
      <w:bookmarkStart w:id="47" w:name="_Toc75861693"/>
      <w:r>
        <w:rPr>
          <w:rFonts w:ascii="宋体" w:hAnsi="宋体" w:hint="eastAsia"/>
          <w:b w:val="0"/>
        </w:rPr>
        <w:t>（一）党和政府对防震减灾工作有新要求</w:t>
      </w:r>
      <w:bookmarkEnd w:id="47"/>
    </w:p>
    <w:p w14:paraId="6E95216E"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三五”期间，习近平总书记就防灾减灾救灾发表系列重要论述，多次对防震减灾作出重要指示批示，明确提出“两个坚持、三个转变”新理念，亲自推动应急管理体制改革，亲自部署自然灾害防治九项重点工程，高度重视中国地震科学实验场建设，为防震减灾事业发展提供了根本遵循和行动指南。各级党委、政府对防震减灾工作更加重视和关注，对防震减灾工作提出了新的更高的要求。各级政府进一步强化了法定责任的落实，把防震减灾工作作为保障民生的一项重要工作，加强部署，加大投入，要求各级地震部门在有效减轻地震灾害、保障经济社会发展中发挥更大作用。</w:t>
      </w:r>
    </w:p>
    <w:p w14:paraId="6A3073F4" w14:textId="77777777" w:rsidR="00256595" w:rsidRDefault="00000000">
      <w:pPr>
        <w:ind w:firstLineChars="200" w:firstLine="640"/>
        <w:jc w:val="both"/>
        <w:rPr>
          <w:rFonts w:ascii="仿宋" w:eastAsia="仿宋" w:hAnsi="仿宋" w:hint="eastAsia"/>
          <w:sz w:val="32"/>
          <w:szCs w:val="32"/>
        </w:rPr>
      </w:pPr>
      <w:r>
        <w:rPr>
          <w:rFonts w:ascii="仿宋_GB2312" w:eastAsia="仿宋_GB2312" w:hAnsi="仿宋_GB2312" w:cs="仿宋_GB2312" w:hint="eastAsia"/>
          <w:sz w:val="32"/>
          <w:szCs w:val="32"/>
        </w:rPr>
        <w:t>要深入贯彻落实党的十九届五中全会精神，准确把握“十四五”防震减灾发展形势和发展思路，要夯实监测基础，加强预报预警，摸清风险底数，强化抗震设防，保障应急响应，增强公共服务，创新地震科技，推进现代化建设，到2025年初步形成新时代防震减灾事业现代化体系，不断提高“防大震、减大灾、抗大震、救大灾”高质量服务能力，更加有力保障国家经济社会发展和人民群众生命财产安全。</w:t>
      </w:r>
    </w:p>
    <w:p w14:paraId="5FDD4AF4" w14:textId="77777777" w:rsidR="00256595" w:rsidRDefault="00000000">
      <w:pPr>
        <w:pStyle w:val="2"/>
        <w:spacing w:line="240" w:lineRule="auto"/>
        <w:ind w:firstLineChars="200" w:firstLine="640"/>
        <w:rPr>
          <w:rFonts w:ascii="宋体" w:hAnsi="宋体" w:hint="eastAsia"/>
          <w:b w:val="0"/>
        </w:rPr>
      </w:pPr>
      <w:bookmarkStart w:id="48" w:name="_Toc75861694"/>
      <w:r>
        <w:rPr>
          <w:rFonts w:ascii="宋体" w:hAnsi="宋体" w:hint="eastAsia"/>
          <w:b w:val="0"/>
        </w:rPr>
        <w:t>（二）经济社会发展对防震减灾工作有新需求</w:t>
      </w:r>
      <w:bookmarkEnd w:id="48"/>
    </w:p>
    <w:p w14:paraId="47916162"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四五”时期是我国全面建成小康社会、实现第一个百年奋斗目标之后，乘势而上开启全面建设社会主义现代化国家新征程、向第二个百年奋斗目标进军的第一个五年，我国将进入新发展阶段。地震作为一种突发性自然灾害，对经济社会的稳定和可持续发展构成严重威胁。“十四五”期间是中山市全面实现现代化的冲刺阶段，城镇化发展和重大工程建设进程日益加快，在社会财富快速累积的同时，灾害造成的损失也越来越大，迫切需要加强地震监测预测、推进基础探测、强化救援救助等地震安全保障措施，不断提升全社会抵御地震灾害的能力。</w:t>
      </w:r>
    </w:p>
    <w:p w14:paraId="2F51D846" w14:textId="77777777" w:rsidR="00256595" w:rsidRDefault="00000000">
      <w:pPr>
        <w:pStyle w:val="2"/>
        <w:spacing w:line="240" w:lineRule="auto"/>
        <w:ind w:firstLineChars="200" w:firstLine="640"/>
        <w:rPr>
          <w:rFonts w:ascii="宋体" w:hAnsi="宋体" w:hint="eastAsia"/>
          <w:b w:val="0"/>
        </w:rPr>
      </w:pPr>
      <w:bookmarkStart w:id="49" w:name="_Toc75861695"/>
      <w:r>
        <w:rPr>
          <w:rFonts w:ascii="宋体" w:hAnsi="宋体" w:hint="eastAsia"/>
          <w:b w:val="0"/>
        </w:rPr>
        <w:t>（三）人民群众对防震减灾工作有新期待</w:t>
      </w:r>
      <w:bookmarkEnd w:id="49"/>
    </w:p>
    <w:p w14:paraId="71E2CFF1"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随着经济的快速发展和生活水平的提高，人民群众更加珍视生命安全，对防震减灾工作的期望越来越高。希望政府能够加强建设工程抗震设防监管，高效应对地震灾害、保护生命和财产安全；希望震前获得地震预测信息，及时采取防震、避震措施；以及希望获得科学的防震减灾知识，掌握自救互救和避险技能等等。人民群众自发性参与地震应急演练、参与防震减灾志愿者工作、组织民间救援团体等防震减灾活动的积极性日益高涨。防震减灾工作必须顺应人民群众的减灾需求。</w:t>
      </w:r>
    </w:p>
    <w:p w14:paraId="25503A94" w14:textId="77777777" w:rsidR="00256595" w:rsidRDefault="00000000">
      <w:pPr>
        <w:pStyle w:val="1"/>
        <w:ind w:firstLineChars="200" w:firstLine="720"/>
        <w:rPr>
          <w:rFonts w:ascii="黑体" w:eastAsia="黑体" w:hAnsi="黑体" w:hint="eastAsia"/>
          <w:b w:val="0"/>
          <w:sz w:val="36"/>
          <w:szCs w:val="36"/>
        </w:rPr>
      </w:pPr>
      <w:bookmarkStart w:id="50" w:name="_Toc75861696"/>
      <w:r>
        <w:rPr>
          <w:rFonts w:ascii="黑体" w:eastAsia="黑体" w:hAnsi="黑体" w:hint="eastAsia"/>
          <w:b w:val="0"/>
          <w:sz w:val="36"/>
          <w:szCs w:val="36"/>
        </w:rPr>
        <w:t>三、“十四五”防震减灾</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ascii="黑体" w:eastAsia="黑体" w:hAnsi="黑体" w:hint="eastAsia"/>
          <w:b w:val="0"/>
          <w:sz w:val="36"/>
          <w:szCs w:val="36"/>
        </w:rPr>
        <w:t>工作发展战略</w:t>
      </w:r>
      <w:bookmarkEnd w:id="43"/>
      <w:bookmarkEnd w:id="44"/>
      <w:bookmarkEnd w:id="45"/>
      <w:bookmarkEnd w:id="46"/>
      <w:bookmarkEnd w:id="50"/>
    </w:p>
    <w:p w14:paraId="11E3F425" w14:textId="77777777" w:rsidR="00256595" w:rsidRDefault="00000000">
      <w:pPr>
        <w:pStyle w:val="2"/>
        <w:spacing w:line="240" w:lineRule="auto"/>
        <w:ind w:firstLineChars="200" w:firstLine="640"/>
        <w:rPr>
          <w:rFonts w:ascii="宋体" w:hAnsi="宋体" w:hint="eastAsia"/>
          <w:b w:val="0"/>
        </w:rPr>
      </w:pPr>
      <w:bookmarkStart w:id="51" w:name="_Toc274756666"/>
      <w:bookmarkStart w:id="52" w:name="_Toc75861697"/>
      <w:bookmarkStart w:id="53" w:name="_Toc17224"/>
      <w:bookmarkStart w:id="54" w:name="_Toc13867"/>
      <w:bookmarkStart w:id="55" w:name="_Toc273829217"/>
      <w:bookmarkStart w:id="56" w:name="_Toc278965476"/>
      <w:bookmarkStart w:id="57" w:name="_Toc272691569"/>
      <w:bookmarkStart w:id="58" w:name="_Toc271185030"/>
      <w:bookmarkStart w:id="59" w:name="_Toc274732019"/>
      <w:bookmarkStart w:id="60" w:name="_Toc271202703"/>
      <w:bookmarkStart w:id="61" w:name="_Toc272618336"/>
      <w:bookmarkStart w:id="62" w:name="_Toc486611347"/>
      <w:bookmarkStart w:id="63" w:name="_Toc272743106"/>
      <w:bookmarkStart w:id="64" w:name="_Toc272699554"/>
      <w:bookmarkStart w:id="65" w:name="_Toc272652713"/>
      <w:bookmarkStart w:id="66" w:name="_Toc272737998"/>
      <w:bookmarkStart w:id="67" w:name="_Toc55314400"/>
      <w:bookmarkStart w:id="68" w:name="_Toc278899322"/>
      <w:bookmarkStart w:id="69" w:name="_Toc271268908"/>
      <w:r>
        <w:rPr>
          <w:rFonts w:ascii="宋体" w:hAnsi="宋体" w:hint="eastAsia"/>
          <w:b w:val="0"/>
        </w:rPr>
        <w:t>（一）指导思想</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119E1A4"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习近平新时代中国特色社会主义思想为指导，全面贯彻党的十九大精神，深入贯彻习近平总书记关于防灾减灾救灾和提高自然灾害防治能力重要论述，坚持人民至上、生命至上，大力推进新时代防震减灾事业现代化建设，完善“政府领导、部门负责、公众参与”的防震减灾社会治理体系，全面提升全社会防震减灾综合能力，更好地保护人民生命财产安全，为支撑中山市完成珠江东西两岸融合发展的支撑点、沿海经济带的枢纽城市提供更加安全稳定的社会环境。</w:t>
      </w:r>
    </w:p>
    <w:p w14:paraId="08F2453F" w14:textId="77777777" w:rsidR="00256595" w:rsidRDefault="00000000">
      <w:pPr>
        <w:pStyle w:val="2"/>
        <w:spacing w:line="240" w:lineRule="auto"/>
        <w:ind w:firstLineChars="200" w:firstLine="640"/>
        <w:rPr>
          <w:rFonts w:ascii="宋体" w:hAnsi="宋体" w:hint="eastAsia"/>
          <w:b w:val="0"/>
        </w:rPr>
      </w:pPr>
      <w:bookmarkStart w:id="70" w:name="_Toc271202705"/>
      <w:bookmarkStart w:id="71" w:name="_Toc272738000"/>
      <w:bookmarkStart w:id="72" w:name="_Toc274756668"/>
      <w:bookmarkStart w:id="73" w:name="_Toc273829219"/>
      <w:bookmarkStart w:id="74" w:name="_Toc272691571"/>
      <w:bookmarkStart w:id="75" w:name="_Toc278899324"/>
      <w:bookmarkStart w:id="76" w:name="_Toc271185032"/>
      <w:bookmarkStart w:id="77" w:name="_Toc264820879"/>
      <w:bookmarkStart w:id="78" w:name="_Toc278965478"/>
      <w:bookmarkStart w:id="79" w:name="_Toc272743108"/>
      <w:bookmarkStart w:id="80" w:name="_Toc271268910"/>
      <w:bookmarkStart w:id="81" w:name="_Toc272618338"/>
      <w:bookmarkStart w:id="82" w:name="_Toc272652715"/>
      <w:bookmarkStart w:id="83" w:name="_Toc274732021"/>
      <w:bookmarkStart w:id="84" w:name="_Toc272699556"/>
      <w:bookmarkStart w:id="85" w:name="_Toc75861698"/>
      <w:bookmarkStart w:id="86" w:name="_Toc486611348"/>
      <w:bookmarkStart w:id="87" w:name="_Toc29984"/>
      <w:bookmarkStart w:id="88" w:name="_Toc16197"/>
      <w:bookmarkStart w:id="89" w:name="_Toc55314401"/>
      <w:r>
        <w:rPr>
          <w:rFonts w:ascii="宋体" w:hAnsi="宋体" w:hint="eastAsia"/>
          <w:b w:val="0"/>
        </w:rPr>
        <w:t>（二）</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宋体" w:hAnsi="宋体" w:hint="eastAsia"/>
          <w:b w:val="0"/>
        </w:rPr>
        <w:t>基本原则</w:t>
      </w:r>
      <w:bookmarkEnd w:id="85"/>
    </w:p>
    <w:p w14:paraId="51572E52" w14:textId="77777777" w:rsidR="00256595" w:rsidRDefault="00000000">
      <w:pPr>
        <w:ind w:firstLineChars="200" w:firstLine="640"/>
        <w:jc w:val="both"/>
        <w:rPr>
          <w:rFonts w:ascii="仿宋_GB2312" w:eastAsia="仿宋_GB2312" w:hAnsi="仿宋_GB2312" w:cs="仿宋_GB2312" w:hint="eastAsia"/>
          <w:color w:val="000000"/>
          <w:sz w:val="32"/>
        </w:rPr>
      </w:pPr>
      <w:r>
        <w:rPr>
          <w:rFonts w:ascii="仿宋_GB2312" w:eastAsia="仿宋_GB2312" w:hAnsi="仿宋_GB2312" w:cs="仿宋_GB2312" w:hint="eastAsia"/>
          <w:b/>
          <w:color w:val="000000"/>
          <w:sz w:val="32"/>
        </w:rPr>
        <w:t>1</w:t>
      </w:r>
      <w:r>
        <w:rPr>
          <w:rFonts w:ascii="仿宋_GB2312" w:eastAsia="仿宋_GB2312" w:hAnsi="仿宋_GB2312" w:cs="仿宋_GB2312"/>
          <w:b/>
          <w:color w:val="000000"/>
          <w:sz w:val="32"/>
        </w:rPr>
        <w:t>.</w:t>
      </w:r>
      <w:r>
        <w:rPr>
          <w:rFonts w:ascii="仿宋_GB2312" w:eastAsia="仿宋_GB2312" w:hAnsi="仿宋_GB2312" w:cs="仿宋_GB2312" w:hint="eastAsia"/>
          <w:b/>
          <w:color w:val="000000"/>
          <w:sz w:val="32"/>
        </w:rPr>
        <w:t>坚持以人为本原则。</w:t>
      </w:r>
      <w:r>
        <w:rPr>
          <w:rFonts w:ascii="仿宋_GB2312" w:eastAsia="仿宋_GB2312" w:hAnsi="仿宋_GB2312" w:cs="仿宋_GB2312" w:hint="eastAsia"/>
          <w:color w:val="000000"/>
          <w:sz w:val="32"/>
        </w:rPr>
        <w:t>牢固树立以人民为中心的发展理念，筑牢地震灾害风险防治思想，把人民群众生命安全放在首位，努力提升地震灾害风险综合防范能力，全力推进防震减灾事业高质量发展，把服务经济社会发展和满足人民群众地震安全需求作为出发点和落脚点，最大限度减轻地震灾害风险和损失。</w:t>
      </w:r>
    </w:p>
    <w:p w14:paraId="1898CE9E" w14:textId="77777777" w:rsidR="00256595" w:rsidRDefault="00000000">
      <w:pPr>
        <w:ind w:firstLineChars="200" w:firstLine="640"/>
        <w:jc w:val="both"/>
        <w:rPr>
          <w:rFonts w:ascii="仿宋_GB2312" w:eastAsia="仿宋_GB2312" w:hAnsi="仿宋_GB2312" w:cs="仿宋_GB2312" w:hint="eastAsia"/>
          <w:b/>
          <w:bCs/>
          <w:color w:val="000000"/>
          <w:sz w:val="32"/>
        </w:rPr>
      </w:pPr>
      <w:r>
        <w:rPr>
          <w:rFonts w:ascii="仿宋_GB2312" w:eastAsia="仿宋_GB2312" w:hAnsi="仿宋_GB2312" w:cs="仿宋_GB2312" w:hint="eastAsia"/>
          <w:b/>
          <w:bCs/>
          <w:color w:val="000000"/>
          <w:sz w:val="32"/>
        </w:rPr>
        <w:t>2</w:t>
      </w:r>
      <w:r>
        <w:rPr>
          <w:rFonts w:ascii="仿宋_GB2312" w:eastAsia="仿宋_GB2312" w:hAnsi="仿宋_GB2312" w:cs="仿宋_GB2312"/>
          <w:b/>
          <w:bCs/>
          <w:color w:val="000000"/>
          <w:sz w:val="32"/>
        </w:rPr>
        <w:t>.</w:t>
      </w:r>
      <w:r>
        <w:rPr>
          <w:rFonts w:ascii="仿宋_GB2312" w:eastAsia="仿宋_GB2312" w:hAnsi="仿宋_GB2312" w:cs="仿宋_GB2312" w:hint="eastAsia"/>
          <w:b/>
          <w:bCs/>
          <w:color w:val="000000"/>
          <w:sz w:val="32"/>
        </w:rPr>
        <w:t>坚持底线思维原则。</w:t>
      </w:r>
      <w:r>
        <w:rPr>
          <w:rFonts w:ascii="仿宋_GB2312" w:eastAsia="仿宋_GB2312" w:hAnsi="仿宋_GB2312" w:cs="仿宋_GB2312" w:hint="eastAsia"/>
          <w:color w:val="000000"/>
          <w:sz w:val="32"/>
        </w:rPr>
        <w:t>客观评价全市防震减灾工作现状，在现有发展水平基础上，按照“宁可十防九空，不可一日不防”的防御思路，统筹地震重点监视防御区和非重点区域防震减灾综合能力建设，切实坚持震害防御关口前移，统筹城乡防震减灾战略要求，促进全市防震减灾事业全面发展、科学发展。</w:t>
      </w:r>
    </w:p>
    <w:p w14:paraId="393B3A2C" w14:textId="77777777" w:rsidR="00256595" w:rsidRDefault="00000000">
      <w:pPr>
        <w:ind w:firstLineChars="200" w:firstLine="640"/>
        <w:jc w:val="both"/>
        <w:rPr>
          <w:rFonts w:ascii="仿宋_GB2312" w:eastAsia="仿宋_GB2312" w:hAnsi="仿宋_GB2312" w:cs="仿宋_GB2312" w:hint="eastAsia"/>
          <w:color w:val="000000"/>
          <w:sz w:val="32"/>
        </w:rPr>
      </w:pPr>
      <w:r>
        <w:rPr>
          <w:rFonts w:ascii="仿宋_GB2312" w:eastAsia="仿宋_GB2312" w:hAnsi="仿宋_GB2312" w:cs="仿宋_GB2312" w:hint="eastAsia"/>
          <w:b/>
          <w:bCs/>
          <w:color w:val="000000"/>
          <w:sz w:val="32"/>
        </w:rPr>
        <w:t>3</w:t>
      </w:r>
      <w:r>
        <w:rPr>
          <w:rFonts w:ascii="仿宋_GB2312" w:eastAsia="仿宋_GB2312" w:hAnsi="仿宋_GB2312" w:cs="仿宋_GB2312"/>
          <w:b/>
          <w:bCs/>
          <w:color w:val="000000"/>
          <w:sz w:val="32"/>
        </w:rPr>
        <w:t>.</w:t>
      </w:r>
      <w:r>
        <w:rPr>
          <w:rFonts w:ascii="仿宋_GB2312" w:eastAsia="仿宋_GB2312" w:hAnsi="仿宋_GB2312" w:cs="仿宋_GB2312" w:hint="eastAsia"/>
          <w:b/>
          <w:bCs/>
          <w:color w:val="000000"/>
          <w:sz w:val="32"/>
        </w:rPr>
        <w:t>坚持系统谋划原则。</w:t>
      </w:r>
      <w:r>
        <w:rPr>
          <w:rFonts w:ascii="仿宋_GB2312" w:eastAsia="仿宋_GB2312" w:hAnsi="仿宋_GB2312" w:cs="仿宋_GB2312" w:hint="eastAsia"/>
          <w:bCs/>
          <w:color w:val="000000"/>
          <w:sz w:val="32"/>
        </w:rPr>
        <w:t>“十四五”时期，坚持防震减灾规划与全市国民经济和社会发展相融合、相一致。</w:t>
      </w:r>
      <w:r>
        <w:rPr>
          <w:rFonts w:ascii="仿宋_GB2312" w:eastAsia="仿宋_GB2312" w:hAnsi="仿宋_GB2312" w:cs="仿宋_GB2312" w:hint="eastAsia"/>
          <w:color w:val="000000"/>
          <w:sz w:val="32"/>
        </w:rPr>
        <w:t>根据中山市国民经济和社会发展整体规划，将防震减灾事业发展纳入经济社会发展总体战略统筹部署，使防震减灾工作、发展思路、长远规划与当地经济建设、社会发展相适应、相协调。</w:t>
      </w:r>
    </w:p>
    <w:p w14:paraId="30337B5C" w14:textId="77777777" w:rsidR="00256595" w:rsidRDefault="00000000">
      <w:pPr>
        <w:ind w:firstLineChars="200" w:firstLine="640"/>
        <w:jc w:val="both"/>
        <w:rPr>
          <w:rFonts w:ascii="仿宋_GB2312" w:eastAsia="仿宋_GB2312" w:hAnsi="仿宋_GB2312" w:cs="仿宋_GB2312" w:hint="eastAsia"/>
          <w:bCs/>
          <w:color w:val="000000"/>
          <w:sz w:val="32"/>
        </w:rPr>
      </w:pPr>
      <w:r>
        <w:rPr>
          <w:rFonts w:ascii="仿宋_GB2312" w:eastAsia="仿宋_GB2312" w:hAnsi="仿宋_GB2312" w:cs="仿宋_GB2312"/>
          <w:b/>
          <w:bCs/>
          <w:color w:val="000000"/>
          <w:sz w:val="32"/>
        </w:rPr>
        <w:t>4.</w:t>
      </w:r>
      <w:r>
        <w:rPr>
          <w:rFonts w:ascii="仿宋_GB2312" w:eastAsia="仿宋_GB2312" w:hAnsi="仿宋_GB2312" w:cs="仿宋_GB2312" w:hint="eastAsia"/>
          <w:b/>
          <w:bCs/>
          <w:color w:val="000000"/>
          <w:sz w:val="32"/>
        </w:rPr>
        <w:t>坚持稳步推进原则。</w:t>
      </w:r>
      <w:r>
        <w:rPr>
          <w:rFonts w:ascii="仿宋_GB2312" w:eastAsia="仿宋_GB2312" w:hAnsi="仿宋_GB2312" w:cs="仿宋_GB2312" w:hint="eastAsia"/>
          <w:bCs/>
          <w:color w:val="000000"/>
          <w:sz w:val="32"/>
        </w:rPr>
        <w:t>防震减灾事业发展要结合市情和震情实际，实事求是，量力而行，突出重点，逐步推进。加强与省级防震减灾规划衔接，树立全省“一盘棋”的大局观念，适应全省防震减灾事业科学发展的整体要求，在防震减灾建设项目设计、发展重点上做到省、市同步规划、同步实施。</w:t>
      </w:r>
    </w:p>
    <w:p w14:paraId="421035F0" w14:textId="77777777" w:rsidR="00256595" w:rsidRDefault="00000000">
      <w:pPr>
        <w:pStyle w:val="2"/>
        <w:spacing w:line="240" w:lineRule="auto"/>
        <w:ind w:firstLineChars="200" w:firstLine="640"/>
        <w:rPr>
          <w:rFonts w:ascii="宋体" w:hAnsi="宋体" w:hint="eastAsia"/>
          <w:b w:val="0"/>
        </w:rPr>
      </w:pPr>
      <w:bookmarkStart w:id="90" w:name="_Toc75861699"/>
      <w:r>
        <w:rPr>
          <w:rFonts w:ascii="宋体" w:hAnsi="宋体" w:hint="eastAsia"/>
          <w:b w:val="0"/>
        </w:rPr>
        <w:t>（三）总体目标和指标体系</w:t>
      </w:r>
      <w:bookmarkEnd w:id="86"/>
      <w:bookmarkEnd w:id="87"/>
      <w:bookmarkEnd w:id="88"/>
      <w:bookmarkEnd w:id="89"/>
      <w:bookmarkEnd w:id="90"/>
    </w:p>
    <w:p w14:paraId="02F216E7" w14:textId="77777777" w:rsidR="00256595" w:rsidRDefault="00000000">
      <w:pPr>
        <w:ind w:firstLineChars="200" w:firstLine="640"/>
        <w:jc w:val="both"/>
        <w:rPr>
          <w:rFonts w:ascii="仿宋_GB2312" w:eastAsia="仿宋_GB2312" w:hAnsi="仿宋_GB2312" w:cs="仿宋_GB2312" w:hint="eastAsia"/>
          <w:color w:val="000000"/>
          <w:sz w:val="32"/>
        </w:rPr>
      </w:pPr>
      <w:r>
        <w:rPr>
          <w:rFonts w:ascii="仿宋_GB2312" w:eastAsia="仿宋_GB2312" w:hAnsi="仿宋_GB2312" w:cs="仿宋_GB2312" w:hint="eastAsia"/>
          <w:color w:val="000000"/>
          <w:sz w:val="32"/>
        </w:rPr>
        <w:t>到</w:t>
      </w:r>
      <w:r>
        <w:rPr>
          <w:rFonts w:ascii="仿宋_GB2312" w:eastAsia="仿宋_GB2312" w:hAnsi="仿宋_GB2312" w:cs="仿宋_GB2312"/>
          <w:color w:val="000000"/>
          <w:sz w:val="32"/>
        </w:rPr>
        <w:t>2025年，</w:t>
      </w:r>
      <w:r>
        <w:rPr>
          <w:rFonts w:ascii="仿宋_GB2312" w:eastAsia="仿宋_GB2312" w:hAnsi="仿宋_GB2312" w:cs="仿宋_GB2312" w:hint="eastAsia"/>
          <w:color w:val="000000"/>
          <w:sz w:val="32"/>
        </w:rPr>
        <w:t>中山市基本建成由地震监测预报预警、地震灾害风险防治、防震减灾公共服务构成的防震减灾现代化事业体系。基本实现具备综合抗御</w:t>
      </w:r>
      <w:r>
        <w:rPr>
          <w:rFonts w:ascii="仿宋_GB2312" w:eastAsia="仿宋_GB2312" w:hAnsi="仿宋_GB2312" w:cs="仿宋_GB2312"/>
          <w:color w:val="000000"/>
          <w:sz w:val="32"/>
        </w:rPr>
        <w:t>6.0</w:t>
      </w:r>
      <w:r>
        <w:rPr>
          <w:rFonts w:ascii="仿宋_GB2312" w:eastAsia="仿宋_GB2312" w:hAnsi="仿宋_GB2312" w:cs="仿宋_GB2312" w:hint="eastAsia"/>
          <w:color w:val="000000"/>
          <w:sz w:val="32"/>
        </w:rPr>
        <w:t>级左右地震的能力，全市地震监测台网布局更加合理，覆盖面更广，形成测震、地壳形变、地下流体、电磁、宏观等多学科、多手段综合观测系统，全市地震监测能力达到</w:t>
      </w:r>
      <w:r>
        <w:rPr>
          <w:rFonts w:ascii="仿宋_GB2312" w:eastAsia="仿宋_GB2312" w:hAnsi="仿宋_GB2312" w:cs="仿宋_GB2312"/>
          <w:color w:val="000000"/>
          <w:sz w:val="32"/>
        </w:rPr>
        <w:t>1.0</w:t>
      </w:r>
      <w:r>
        <w:rPr>
          <w:rFonts w:ascii="仿宋_GB2312" w:eastAsia="仿宋_GB2312" w:hAnsi="仿宋_GB2312" w:cs="仿宋_GB2312" w:hint="eastAsia"/>
          <w:color w:val="000000"/>
          <w:sz w:val="32"/>
        </w:rPr>
        <w:t>级，</w:t>
      </w:r>
      <w:r>
        <w:rPr>
          <w:rFonts w:ascii="仿宋_GB2312" w:eastAsia="仿宋_GB2312" w:hAnsi="仿宋_GB2312" w:cs="仿宋_GB2312"/>
          <w:color w:val="000000"/>
          <w:sz w:val="32"/>
        </w:rPr>
        <w:t>10</w:t>
      </w:r>
      <w:r>
        <w:rPr>
          <w:rFonts w:ascii="仿宋_GB2312" w:eastAsia="仿宋_GB2312" w:hAnsi="仿宋_GB2312" w:cs="仿宋_GB2312" w:hint="eastAsia"/>
          <w:color w:val="000000"/>
          <w:sz w:val="32"/>
        </w:rPr>
        <w:t>分钟内完成辖区有感地震速报；初步建成中山区域地震烈度速报和预警网，10分钟内完成地震烈度速报和秒级预警，为震后应急响应和震前预警提供服务；城乡抗震设防能力明显增强，新建工程达到抗震设防要求，</w:t>
      </w:r>
      <w:r>
        <w:rPr>
          <w:rFonts w:ascii="仿宋_GB2312" w:eastAsia="仿宋_GB2312" w:hAnsi="仿宋_GB2312" w:cs="仿宋_GB2312" w:hint="eastAsia"/>
          <w:color w:val="000000"/>
          <w:sz w:val="32"/>
          <w:szCs w:val="32"/>
        </w:rPr>
        <w:t>完成地震灾害风险普查和地震易发区城乡房屋设施加固工程，地震灾害风险防治能力不断提高，</w:t>
      </w:r>
      <w:r>
        <w:rPr>
          <w:rFonts w:ascii="仿宋_GB2312" w:eastAsia="仿宋_GB2312" w:hAnsi="仿宋_GB2312" w:cs="仿宋_GB2312" w:hint="eastAsia"/>
          <w:color w:val="000000"/>
          <w:sz w:val="32"/>
        </w:rPr>
        <w:t>城市基础设施综合防御能力进一步提升；建立和装备一批专业救援队伍；全市应急避难场所满足</w:t>
      </w:r>
      <w:r>
        <w:rPr>
          <w:rFonts w:ascii="仿宋_GB2312" w:eastAsia="仿宋_GB2312" w:hAnsi="仿宋_GB2312" w:cs="仿宋_GB2312"/>
          <w:color w:val="000000"/>
          <w:sz w:val="32"/>
        </w:rPr>
        <w:t>80%</w:t>
      </w:r>
      <w:r>
        <w:rPr>
          <w:rFonts w:ascii="仿宋_GB2312" w:eastAsia="仿宋_GB2312" w:hAnsi="仿宋_GB2312" w:cs="仿宋_GB2312" w:hint="eastAsia"/>
          <w:color w:val="000000"/>
          <w:sz w:val="32"/>
        </w:rPr>
        <w:t>人员应急避险需求，社会公众防震减灾意识和技能显著提升。“十四五”期间，基本实现</w:t>
      </w:r>
      <w:r>
        <w:rPr>
          <w:rFonts w:ascii="仿宋_GB2312" w:eastAsia="仿宋_GB2312" w:hAnsi="仿宋_GB2312" w:cs="仿宋_GB2312" w:hint="eastAsia"/>
          <w:color w:val="000000"/>
          <w:sz w:val="32"/>
          <w:szCs w:val="32"/>
        </w:rPr>
        <w:t>地震造成的人员伤亡、直接经济损失持续降低，对重要基础设施和服务设施的影响显著减轻，切实做到“小震不坏，中震可修，大震不倒”的目标。</w:t>
      </w:r>
    </w:p>
    <w:p w14:paraId="1C653FD0" w14:textId="77777777" w:rsidR="00256595" w:rsidRDefault="00000000">
      <w:pPr>
        <w:pStyle w:val="1"/>
        <w:ind w:firstLineChars="200" w:firstLine="720"/>
        <w:rPr>
          <w:rFonts w:ascii="黑体" w:eastAsia="黑体" w:hAnsi="黑体" w:hint="eastAsia"/>
          <w:b w:val="0"/>
          <w:sz w:val="36"/>
          <w:szCs w:val="36"/>
        </w:rPr>
      </w:pPr>
      <w:bookmarkStart w:id="91" w:name="_Toc55314402"/>
      <w:bookmarkStart w:id="92" w:name="_Toc486611349"/>
      <w:bookmarkStart w:id="93" w:name="_Toc75861700"/>
      <w:bookmarkStart w:id="94" w:name="_Toc8382"/>
      <w:bookmarkStart w:id="95" w:name="_Toc24163"/>
      <w:r>
        <w:rPr>
          <w:rFonts w:ascii="黑体" w:eastAsia="黑体" w:hAnsi="黑体" w:hint="eastAsia"/>
          <w:b w:val="0"/>
          <w:sz w:val="36"/>
          <w:szCs w:val="36"/>
        </w:rPr>
        <w:t>四、“十四五”期间防震减灾主要的工作任务</w:t>
      </w:r>
      <w:bookmarkEnd w:id="91"/>
      <w:bookmarkEnd w:id="92"/>
      <w:bookmarkEnd w:id="93"/>
      <w:bookmarkEnd w:id="94"/>
      <w:bookmarkEnd w:id="95"/>
    </w:p>
    <w:p w14:paraId="734DC243"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为贯彻落实国家和省“十四五”期间防震减灾工作发展部署，全面实现中山市“十四五”防震减灾规划总体目标，中山市“十四五”期间防震减灾工作的主要任务如下：</w:t>
      </w:r>
    </w:p>
    <w:p w14:paraId="092281EC" w14:textId="77777777" w:rsidR="00256595" w:rsidRDefault="00000000">
      <w:pPr>
        <w:pStyle w:val="2"/>
        <w:spacing w:line="240" w:lineRule="auto"/>
        <w:ind w:firstLineChars="200" w:firstLine="640"/>
        <w:rPr>
          <w:rFonts w:ascii="宋体" w:hAnsi="宋体" w:hint="eastAsia"/>
          <w:b w:val="0"/>
        </w:rPr>
      </w:pPr>
      <w:bookmarkStart w:id="96" w:name="_Toc75861701"/>
      <w:bookmarkStart w:id="97" w:name="_Toc55314403"/>
      <w:bookmarkStart w:id="98" w:name="_Toc271185047"/>
      <w:bookmarkStart w:id="99" w:name="_Toc271202709"/>
      <w:bookmarkStart w:id="100" w:name="_Toc271202720"/>
      <w:bookmarkStart w:id="101" w:name="_Toc271268914"/>
      <w:bookmarkStart w:id="102" w:name="_Toc278899326"/>
      <w:bookmarkStart w:id="103" w:name="_Toc272738002"/>
      <w:bookmarkStart w:id="104" w:name="_Toc274732023"/>
      <w:bookmarkStart w:id="105" w:name="_Toc273829221"/>
      <w:bookmarkStart w:id="106" w:name="_Toc999"/>
      <w:bookmarkStart w:id="107" w:name="_Toc268681895"/>
      <w:bookmarkStart w:id="108" w:name="_Toc274756670"/>
      <w:bookmarkStart w:id="109" w:name="_Toc272652719"/>
      <w:bookmarkStart w:id="110" w:name="_Toc268681904"/>
      <w:bookmarkStart w:id="111" w:name="_Toc271268925"/>
      <w:bookmarkStart w:id="112" w:name="_Toc278965480"/>
      <w:bookmarkStart w:id="113" w:name="_Toc272699558"/>
      <w:bookmarkStart w:id="114" w:name="_Toc272618342"/>
      <w:bookmarkStart w:id="115" w:name="_Toc272743110"/>
      <w:bookmarkStart w:id="116" w:name="_Toc271185036"/>
      <w:bookmarkStart w:id="117" w:name="_Toc31411"/>
      <w:bookmarkStart w:id="118" w:name="_Toc272691573"/>
      <w:bookmarkStart w:id="119" w:name="_Toc486611350"/>
      <w:r>
        <w:rPr>
          <w:rFonts w:ascii="宋体" w:hAnsi="宋体" w:hint="eastAsia"/>
          <w:b w:val="0"/>
        </w:rPr>
        <w:t>（一）</w:t>
      </w:r>
      <w:r>
        <w:rPr>
          <w:rFonts w:ascii="宋体" w:hAnsi="宋体"/>
          <w:b w:val="0"/>
        </w:rPr>
        <w:t>健全防震减灾</w:t>
      </w:r>
      <w:r>
        <w:rPr>
          <w:rFonts w:ascii="宋体" w:hAnsi="宋体" w:hint="eastAsia"/>
          <w:b w:val="0"/>
        </w:rPr>
        <w:t>管理机制</w:t>
      </w:r>
      <w:bookmarkEnd w:id="96"/>
      <w:bookmarkEnd w:id="97"/>
    </w:p>
    <w:p w14:paraId="0BDEFEB3"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完善地震应急体系，修订完善全市各层级地震应急预案，确保预案启动及时和可操作性；进一步提升地震监测能力，完善地震监测台网，做好地震监测仪器日常检查维护；积极配合市政府开展应急避护场所规划、建设工作；加强地震应急人员队伍建设，强化培训和演练，提高专业人员整体素质和技能；完善地震应急物资储备，升级、扩充救援装备和器材；加强应急知识技能宣教，扩大地震应急科普的受众面，使群众掌握基础的应急避险知识和自救互救技能，加强中小学、幼儿园等校园日常防震演练教育。</w:t>
      </w:r>
      <w:bookmarkStart w:id="120" w:name="_Toc55314404"/>
    </w:p>
    <w:p w14:paraId="04DDC2D7" w14:textId="77777777" w:rsidR="00256595" w:rsidRDefault="00000000">
      <w:pPr>
        <w:pStyle w:val="2"/>
        <w:spacing w:line="240" w:lineRule="auto"/>
        <w:ind w:firstLineChars="200" w:firstLine="640"/>
        <w:rPr>
          <w:rFonts w:ascii="宋体" w:hAnsi="宋体" w:hint="eastAsia"/>
          <w:b w:val="0"/>
        </w:rPr>
      </w:pPr>
      <w:bookmarkStart w:id="121" w:name="_Toc75861702"/>
      <w:r>
        <w:rPr>
          <w:rFonts w:ascii="宋体" w:hAnsi="宋体" w:hint="eastAsia"/>
          <w:b w:val="0"/>
        </w:rPr>
        <w:t>（二）</w:t>
      </w:r>
      <w:bookmarkStart w:id="122" w:name="_Toc55314405"/>
      <w:bookmarkEnd w:id="120"/>
      <w:r>
        <w:rPr>
          <w:rFonts w:ascii="宋体" w:hAnsi="宋体" w:hint="eastAsia"/>
          <w:b w:val="0"/>
        </w:rPr>
        <w:t>加强地震基本业务能力</w:t>
      </w:r>
      <w:bookmarkEnd w:id="121"/>
    </w:p>
    <w:p w14:paraId="4A887338"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照“统一规划、布局合理、手段齐全”的原则，整合省市资源、结合省地震观测台网布局，加强地震综合监测能力建设，继续完善和优化中山市地震观测台网，做好资源整合与结构调整；重点推进地震监测设备、技术和观测条件的更新及升级改造，努力建成以专业技术为基础，实现专群结合、布局合理，监测手段多样、监测能力强的地震监测体系，服务社会，满足中山市的实际需求。</w:t>
      </w:r>
    </w:p>
    <w:p w14:paraId="6FB8FF43" w14:textId="77777777" w:rsidR="00256595" w:rsidRDefault="00000000">
      <w:pPr>
        <w:pStyle w:val="2"/>
        <w:spacing w:line="240" w:lineRule="auto"/>
        <w:ind w:firstLineChars="200" w:firstLine="640"/>
        <w:rPr>
          <w:rFonts w:ascii="宋体" w:hAnsi="宋体" w:hint="eastAsia"/>
          <w:b w:val="0"/>
        </w:rPr>
      </w:pPr>
      <w:bookmarkStart w:id="123" w:name="_Toc75861703"/>
      <w:r>
        <w:rPr>
          <w:rFonts w:ascii="宋体" w:hAnsi="宋体" w:hint="eastAsia"/>
          <w:b w:val="0"/>
        </w:rPr>
        <w:t>（三）建设国家地震烈度速报与预警工程广东子项目，安装布设市级地震预警信息服务系统“市级发布中心”</w:t>
      </w:r>
      <w:bookmarkEnd w:id="123"/>
      <w:r>
        <w:rPr>
          <w:rFonts w:ascii="宋体" w:hAnsi="宋体" w:hint="eastAsia"/>
          <w:b w:val="0"/>
        </w:rPr>
        <w:t xml:space="preserve">  </w:t>
      </w:r>
    </w:p>
    <w:p w14:paraId="272597F7"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设国家地震烈度速报与预警工程广东子项目（中山部分），配合省地震局在全市选取学校、医院等人口密集场所建设安装800台终端。配合省地震局安装布设市级地震预警信息服务系统“市级发布中心”，实现地震信息资源的纵横联通和有效集成，为提供一站式地震信息综合服务建立环境运维基础，从而为政府职能部门、科研院所、社会公众提供各种类型的地震信息服务，全面提升中山市防震减灾公共服务能力和水平。</w:t>
      </w:r>
    </w:p>
    <w:p w14:paraId="6843A47D" w14:textId="77777777" w:rsidR="00256595" w:rsidRDefault="00000000">
      <w:pPr>
        <w:pStyle w:val="2"/>
        <w:spacing w:line="240" w:lineRule="auto"/>
        <w:ind w:firstLineChars="200" w:firstLine="640"/>
        <w:rPr>
          <w:rFonts w:ascii="宋体" w:hAnsi="宋体" w:hint="eastAsia"/>
          <w:b w:val="0"/>
        </w:rPr>
      </w:pPr>
      <w:bookmarkStart w:id="124" w:name="_Toc75861704"/>
      <w:bookmarkStart w:id="125" w:name="_Toc55314407"/>
      <w:bookmarkEnd w:id="122"/>
      <w:r>
        <w:rPr>
          <w:rFonts w:ascii="宋体" w:hAnsi="宋体" w:hint="eastAsia"/>
          <w:b w:val="0"/>
        </w:rPr>
        <w:t>（四）推进防震减灾治理体系建设</w:t>
      </w:r>
      <w:bookmarkEnd w:id="124"/>
      <w:bookmarkEnd w:id="125"/>
    </w:p>
    <w:p w14:paraId="060A2D60"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为推进防震减灾治理体系建设，加大防灾减灾科普宣传力度，结合“全国防灾减灾日”“国际减灾日”等重要时间节点，组织开展防震减灾知识宣传活动。</w:t>
      </w:r>
    </w:p>
    <w:p w14:paraId="4F7B66CF" w14:textId="77777777" w:rsidR="00256595" w:rsidRDefault="00000000">
      <w:pPr>
        <w:pStyle w:val="1"/>
        <w:ind w:firstLineChars="200" w:firstLine="720"/>
        <w:rPr>
          <w:rFonts w:ascii="黑体" w:eastAsia="黑体" w:hAnsi="黑体" w:hint="eastAsia"/>
          <w:b w:val="0"/>
          <w:sz w:val="36"/>
          <w:szCs w:val="36"/>
        </w:rPr>
      </w:pPr>
      <w:bookmarkStart w:id="126" w:name="_Toc75861705"/>
      <w:bookmarkStart w:id="127" w:name="_Toc55314408"/>
      <w:r>
        <w:rPr>
          <w:rFonts w:ascii="黑体" w:eastAsia="黑体" w:hAnsi="黑体" w:hint="eastAsia"/>
          <w:b w:val="0"/>
          <w:sz w:val="36"/>
          <w:szCs w:val="36"/>
        </w:rPr>
        <w:t>五、“十四五”期间防震减灾重点建设工程</w:t>
      </w:r>
      <w:bookmarkEnd w:id="126"/>
      <w:bookmarkEnd w:id="127"/>
    </w:p>
    <w:p w14:paraId="4C23F01C" w14:textId="77777777" w:rsidR="00256595" w:rsidRDefault="00000000">
      <w:pPr>
        <w:pStyle w:val="2"/>
        <w:spacing w:line="240" w:lineRule="auto"/>
        <w:ind w:firstLineChars="200" w:firstLine="640"/>
        <w:rPr>
          <w:rFonts w:ascii="宋体" w:hAnsi="宋体" w:hint="eastAsia"/>
          <w:b w:val="0"/>
        </w:rPr>
      </w:pPr>
      <w:bookmarkStart w:id="128" w:name="_Toc55314409"/>
      <w:bookmarkStart w:id="129" w:name="_Toc75861706"/>
      <w:r>
        <w:rPr>
          <w:rFonts w:ascii="宋体" w:hAnsi="宋体" w:hint="eastAsia"/>
          <w:b w:val="0"/>
        </w:rPr>
        <w:t>（一）</w:t>
      </w:r>
      <w:bookmarkEnd w:id="128"/>
      <w:r>
        <w:rPr>
          <w:rFonts w:ascii="宋体" w:hAnsi="宋体" w:hint="eastAsia"/>
          <w:b w:val="0"/>
        </w:rPr>
        <w:t>市级地震预警信息服务系统建设工程</w:t>
      </w:r>
      <w:bookmarkEnd w:id="129"/>
    </w:p>
    <w:p w14:paraId="19BF4501" w14:textId="77777777" w:rsidR="00256595" w:rsidRDefault="00000000">
      <w:pPr>
        <w:ind w:firstLineChars="200" w:firstLine="640"/>
        <w:jc w:val="both"/>
        <w:rPr>
          <w:rFonts w:ascii="仿宋_GB2312" w:eastAsia="仿宋_GB2312" w:hAnsi="仿宋_GB2312" w:cs="仿宋_GB2312" w:hint="eastAsia"/>
          <w:sz w:val="32"/>
          <w:szCs w:val="32"/>
        </w:rPr>
      </w:pPr>
      <w:bookmarkStart w:id="130" w:name="_Toc55314410"/>
      <w:r>
        <w:rPr>
          <w:rFonts w:ascii="仿宋_GB2312" w:eastAsia="仿宋_GB2312" w:hAnsi="仿宋_GB2312" w:cs="仿宋_GB2312" w:hint="eastAsia"/>
          <w:sz w:val="32"/>
          <w:szCs w:val="32"/>
        </w:rPr>
        <w:t>配合省地震局布设中山市级地震预警信息服务系统“市级发布中心”。做好预警终端的安装和维护管理工作。实施新时代防震减灾事业现代化建设试点工作。实时接收省中心紧急地震信息服务系统推送的地震烈度速报和预警信息，进行综合分析处理，发生对中山市内影响较大地震时，可迅速做出响应。实现地震信息资源的纵横联通和有效集成，为提供一站式地震信息综合服务建立环境运维基础，从而为政府职能部门、科研院所、社会公众提供各种类型的地震信息服务，全面提升中山市防震减灾公共服务能力和水平。</w:t>
      </w:r>
    </w:p>
    <w:p w14:paraId="59C7013E" w14:textId="77777777" w:rsidR="00256595" w:rsidRDefault="00000000">
      <w:pPr>
        <w:pStyle w:val="2"/>
        <w:spacing w:line="240" w:lineRule="auto"/>
        <w:ind w:firstLineChars="200" w:firstLine="640"/>
        <w:rPr>
          <w:rFonts w:ascii="宋体" w:hAnsi="宋体" w:hint="eastAsia"/>
          <w:b w:val="0"/>
        </w:rPr>
      </w:pPr>
      <w:bookmarkStart w:id="131" w:name="_Toc75861707"/>
      <w:r>
        <w:rPr>
          <w:rFonts w:ascii="宋体" w:hAnsi="宋体" w:hint="eastAsia"/>
          <w:b w:val="0"/>
        </w:rPr>
        <w:t>（二）</w:t>
      </w:r>
      <w:bookmarkEnd w:id="130"/>
      <w:r>
        <w:rPr>
          <w:rFonts w:ascii="宋体" w:hAnsi="宋体" w:hint="eastAsia"/>
          <w:b w:val="0"/>
        </w:rPr>
        <w:t>地震监测预报预警工程</w:t>
      </w:r>
      <w:bookmarkEnd w:id="131"/>
    </w:p>
    <w:p w14:paraId="4287851C" w14:textId="77777777" w:rsidR="00256595" w:rsidRDefault="00000000">
      <w:pPr>
        <w:ind w:firstLineChars="200" w:firstLine="640"/>
        <w:jc w:val="both"/>
        <w:rPr>
          <w:rFonts w:ascii="仿宋_GB2312" w:eastAsia="仿宋_GB2312" w:hAnsi="仿宋_GB2312" w:cs="仿宋_GB2312" w:hint="eastAsia"/>
          <w:sz w:val="32"/>
          <w:szCs w:val="32"/>
        </w:rPr>
      </w:pPr>
      <w:bookmarkStart w:id="132" w:name="_Toc55314411"/>
      <w:r>
        <w:rPr>
          <w:rFonts w:ascii="仿宋_GB2312" w:eastAsia="仿宋_GB2312" w:hAnsi="仿宋_GB2312" w:cs="仿宋_GB2312" w:hint="eastAsia"/>
          <w:sz w:val="32"/>
          <w:szCs w:val="32"/>
        </w:rPr>
        <w:t>紧急地震信息服务终端，用于接收地震预警信息。该终端目前显示日期、时间、实况天气和天气预报信息及地震科普知识。在中山市已布设地震预警信息接收终端的示范学校基础上，继续推广省地震预警发布试点和示范工作，开展高铁、生命线工程地震预警研究，协助落实示范单位，选取学校、医院等人口密集场所部署预警终端，逐步建立覆盖范围广、发布时效快的地震预警发布网络，为重大基础设施、生命线工程地震紧急自动处置、政府应急响应、市民紧急避震提供地震预警信息服务。预计配合省地震局在全市选取学校、医院等人口密集场所建设安装</w:t>
      </w:r>
      <w:r>
        <w:rPr>
          <w:rFonts w:ascii="仿宋_GB2312" w:eastAsia="仿宋_GB2312" w:hAnsi="仿宋_GB2312" w:cs="仿宋_GB2312"/>
          <w:sz w:val="32"/>
          <w:szCs w:val="32"/>
        </w:rPr>
        <w:t>800台终端。</w:t>
      </w:r>
    </w:p>
    <w:p w14:paraId="640A57FD" w14:textId="77777777" w:rsidR="00256595" w:rsidRDefault="00000000">
      <w:pPr>
        <w:pStyle w:val="2"/>
        <w:spacing w:line="240" w:lineRule="auto"/>
        <w:ind w:firstLineChars="200" w:firstLine="640"/>
        <w:rPr>
          <w:rFonts w:ascii="宋体" w:hAnsi="宋体" w:hint="eastAsia"/>
          <w:b w:val="0"/>
        </w:rPr>
      </w:pPr>
      <w:bookmarkStart w:id="133" w:name="_Toc75861708"/>
      <w:r>
        <w:rPr>
          <w:rFonts w:ascii="宋体" w:hAnsi="宋体" w:hint="eastAsia"/>
          <w:b w:val="0"/>
        </w:rPr>
        <w:t>（三）</w:t>
      </w:r>
      <w:bookmarkStart w:id="134" w:name="_Toc55314412"/>
      <w:bookmarkEnd w:id="132"/>
      <w:r>
        <w:rPr>
          <w:rFonts w:ascii="宋体" w:hAnsi="宋体" w:hint="eastAsia"/>
          <w:b w:val="0"/>
        </w:rPr>
        <w:t>地震群测群防体系建设工程</w:t>
      </w:r>
      <w:bookmarkEnd w:id="133"/>
    </w:p>
    <w:p w14:paraId="7BDE766C"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强化震情意识，做好中山市群测群防监测工作，构筑可靠高效的群测群防体系；做好地震监测仪器检查日常维护，定期组织人员对全市地震监测仪器进行检查，确保仪器运行畅通。强化责任担当，扎实做好群测群防工作；完善体制机制，夯实防震减灾工作基础。定期举办群测群防观测员、防震减灾助理员、防震减灾志愿者队伍培训班和学习交流活动，持续提高防震减灾助理员队伍的整体素质。举办评优选优活动。</w:t>
      </w:r>
    </w:p>
    <w:p w14:paraId="2072148F" w14:textId="77777777" w:rsidR="00256595" w:rsidRDefault="00000000">
      <w:pPr>
        <w:pStyle w:val="2"/>
        <w:spacing w:line="240" w:lineRule="auto"/>
        <w:ind w:firstLineChars="200" w:firstLine="640"/>
        <w:rPr>
          <w:rFonts w:ascii="仿宋" w:eastAsia="仿宋" w:hAnsi="仿宋" w:hint="eastAsia"/>
        </w:rPr>
      </w:pPr>
      <w:bookmarkStart w:id="135" w:name="_Toc75861709"/>
      <w:r>
        <w:rPr>
          <w:rFonts w:ascii="宋体" w:hAnsi="宋体" w:hint="eastAsia"/>
          <w:b w:val="0"/>
        </w:rPr>
        <w:t>（四）</w:t>
      </w:r>
      <w:bookmarkEnd w:id="134"/>
      <w:r>
        <w:rPr>
          <w:rFonts w:ascii="宋体" w:hAnsi="宋体" w:hint="eastAsia"/>
          <w:b w:val="0"/>
        </w:rPr>
        <w:t>地震易发区公共建筑物和城镇住宅抗震加固工程</w:t>
      </w:r>
      <w:bookmarkEnd w:id="135"/>
    </w:p>
    <w:p w14:paraId="538B6739"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照《广东省地震易发区重要公共建筑物加固工程实施方案》和《广东省地震易发区重要公共建筑物抗震加固工程工作指引》要求，尽快完成中山市地震易发区重要公共建筑物抗震性能调查，筛选出不符合抗震设防要求、应进行抗震鉴定的重要公共建筑物，绘制中山市房屋抗震薄弱区分布图，摸清中山市重要防灾救灾建筑物抗震性能现况。要聚焦短板、突出重点，紧紧围绕地震灾害风险程度选取试点示范地区，向基础薄弱、风险突出的区域倾斜。要统筹各方力量，明确政策导向，有序推进工程实施。</w:t>
      </w:r>
    </w:p>
    <w:p w14:paraId="2603D52B" w14:textId="77777777" w:rsidR="00256595" w:rsidRDefault="00000000">
      <w:pPr>
        <w:pStyle w:val="2"/>
        <w:ind w:firstLineChars="200" w:firstLine="640"/>
        <w:rPr>
          <w:rFonts w:ascii="宋体" w:hAnsi="宋体" w:hint="eastAsia"/>
          <w:b w:val="0"/>
        </w:rPr>
      </w:pPr>
      <w:bookmarkStart w:id="136" w:name="_Toc75534072"/>
      <w:bookmarkStart w:id="137" w:name="_Toc75861710"/>
      <w:r>
        <w:rPr>
          <w:rFonts w:ascii="宋体" w:hAnsi="宋体" w:hint="eastAsia"/>
          <w:b w:val="0"/>
        </w:rPr>
        <w:t>（五）</w:t>
      </w:r>
      <w:bookmarkEnd w:id="136"/>
      <w:r>
        <w:rPr>
          <w:rFonts w:ascii="宋体" w:hAnsi="宋体" w:hint="eastAsia"/>
          <w:b w:val="0"/>
        </w:rPr>
        <w:t>防震减灾科普示范工程</w:t>
      </w:r>
      <w:bookmarkEnd w:id="137"/>
    </w:p>
    <w:p w14:paraId="7C1595D4" w14:textId="77777777" w:rsidR="00256595" w:rsidRDefault="00000000">
      <w:pPr>
        <w:ind w:firstLineChars="200" w:firstLine="640"/>
        <w:jc w:val="both"/>
        <w:rPr>
          <w:rFonts w:ascii="仿宋_GB2312" w:eastAsia="仿宋_GB2312" w:hAnsi="仿宋_GB2312" w:cs="仿宋_GB2312" w:hint="eastAsia"/>
          <w:b/>
          <w:sz w:val="32"/>
          <w:szCs w:val="32"/>
        </w:rPr>
      </w:pPr>
      <w:r>
        <w:rPr>
          <w:rFonts w:ascii="仿宋_GB2312" w:eastAsia="仿宋_GB2312" w:hAnsi="仿宋_GB2312" w:cs="仿宋_GB2312" w:hint="eastAsia"/>
          <w:sz w:val="32"/>
          <w:szCs w:val="32"/>
        </w:rPr>
        <w:t>防震减灾科普示范学校、科普示范基地建设。探索进一步建立健全防震减灾示范工程创建工作体制机制，在各镇街择优推荐防震减灾科普工作突出、示范性较强的学校建设成为防震减灾科普示范学校、示范基地。教育场所主要通过实物展示、模拟展示和模拟地震体验平台等展项，运用声、光、电等多种高科技手段开展地震科普宣传教育。结合各镇街防震减灾科普示范学校和已建教育基地，形成层次分明、协调一致、覆盖全市的防震减灾科普教育网络。</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321E398" w14:textId="77777777" w:rsidR="00256595" w:rsidRDefault="00000000">
      <w:pPr>
        <w:ind w:firstLineChars="200" w:firstLine="640"/>
        <w:jc w:val="both"/>
        <w:rPr>
          <w:rFonts w:ascii="仿宋_GB2312" w:eastAsia="仿宋_GB2312" w:hAnsi="仿宋_GB2312" w:cs="仿宋_GB2312" w:hint="eastAsia"/>
          <w:b/>
          <w:sz w:val="32"/>
          <w:szCs w:val="32"/>
        </w:rPr>
      </w:pPr>
      <w:r>
        <w:rPr>
          <w:rFonts w:ascii="仿宋_GB2312" w:eastAsia="仿宋_GB2312" w:hAnsi="仿宋_GB2312" w:cs="仿宋_GB2312" w:hint="eastAsia"/>
          <w:sz w:val="32"/>
          <w:szCs w:val="32"/>
        </w:rPr>
        <w:t>开展综合减灾示范社区建设。根据国家关于创建“全国综合减灾示范社区”和省推进乡村振兴战略有关工作部署和要求，均衡开展全国综合减灾示范社区建设工作，着力推进全国综合减灾示范社区创建，统合“创建全国文明城市”中关于应急避护场所的建设要求，共同推进社区应急避护场所及相关指示标识的建设，提升社区减灾的基础设施，提升中山市城乡社区综合防灾减灾能力。</w:t>
      </w:r>
    </w:p>
    <w:p w14:paraId="2625288B" w14:textId="77777777" w:rsidR="00256595" w:rsidRDefault="00000000">
      <w:pPr>
        <w:pStyle w:val="1"/>
        <w:ind w:firstLineChars="200" w:firstLine="720"/>
        <w:rPr>
          <w:rFonts w:ascii="黑体" w:eastAsia="黑体" w:hAnsi="黑体" w:hint="eastAsia"/>
          <w:b w:val="0"/>
          <w:sz w:val="36"/>
          <w:szCs w:val="36"/>
        </w:rPr>
      </w:pPr>
      <w:bookmarkStart w:id="138" w:name="_Toc31484"/>
      <w:bookmarkStart w:id="139" w:name="_Toc2910"/>
      <w:bookmarkStart w:id="140" w:name="_Toc55314413"/>
      <w:bookmarkStart w:id="141" w:name="_Toc486611361"/>
      <w:bookmarkStart w:id="142" w:name="_Toc75861711"/>
      <w:bookmarkStart w:id="143" w:name="_Toc272738016"/>
      <w:bookmarkStart w:id="144" w:name="_Toc278899340"/>
      <w:bookmarkStart w:id="145" w:name="_Toc273829236"/>
      <w:bookmarkStart w:id="146" w:name="_Toc272743124"/>
      <w:bookmarkStart w:id="147" w:name="_Toc274732037"/>
      <w:bookmarkStart w:id="148" w:name="_Toc271268932"/>
      <w:bookmarkStart w:id="149" w:name="_Toc271185054"/>
      <w:bookmarkStart w:id="150" w:name="_Toc272618359"/>
      <w:bookmarkStart w:id="151" w:name="_Toc272699573"/>
      <w:bookmarkStart w:id="152" w:name="_Toc272652736"/>
      <w:bookmarkStart w:id="153" w:name="_Toc278965494"/>
      <w:bookmarkStart w:id="154" w:name="_Toc271202727"/>
      <w:bookmarkStart w:id="155" w:name="_Toc264820897"/>
      <w:bookmarkStart w:id="156" w:name="_Toc274756684"/>
      <w:bookmarkStart w:id="157" w:name="_Toc272691590"/>
      <w:r>
        <w:rPr>
          <w:rFonts w:ascii="黑体" w:eastAsia="黑体" w:hAnsi="黑体" w:hint="eastAsia"/>
          <w:b w:val="0"/>
          <w:sz w:val="36"/>
          <w:szCs w:val="36"/>
        </w:rPr>
        <w:t>六、保障措施</w:t>
      </w:r>
      <w:bookmarkEnd w:id="138"/>
      <w:bookmarkEnd w:id="139"/>
      <w:bookmarkEnd w:id="140"/>
      <w:bookmarkEnd w:id="141"/>
      <w:bookmarkEnd w:id="142"/>
    </w:p>
    <w:p w14:paraId="7A912CAB" w14:textId="77777777" w:rsidR="00256595" w:rsidRDefault="00000000">
      <w:pPr>
        <w:pStyle w:val="2"/>
        <w:spacing w:line="240" w:lineRule="auto"/>
        <w:ind w:firstLineChars="200" w:firstLine="640"/>
        <w:rPr>
          <w:rFonts w:ascii="宋体" w:hAnsi="宋体" w:hint="eastAsia"/>
          <w:b w:val="0"/>
        </w:rPr>
      </w:pPr>
      <w:bookmarkStart w:id="158" w:name="_Toc55314414"/>
      <w:bookmarkStart w:id="159" w:name="_Toc29271"/>
      <w:bookmarkStart w:id="160" w:name="_Toc272743125"/>
      <w:bookmarkStart w:id="161" w:name="_Toc273829237"/>
      <w:bookmarkStart w:id="162" w:name="_Toc278965495"/>
      <w:bookmarkStart w:id="163" w:name="_Toc272699574"/>
      <w:bookmarkStart w:id="164" w:name="_Toc486611362"/>
      <w:bookmarkStart w:id="165" w:name="_Toc271185055"/>
      <w:bookmarkStart w:id="166" w:name="_Toc271202728"/>
      <w:bookmarkStart w:id="167" w:name="_Toc274756685"/>
      <w:bookmarkStart w:id="168" w:name="_Toc271268933"/>
      <w:bookmarkStart w:id="169" w:name="_Toc272738017"/>
      <w:bookmarkStart w:id="170" w:name="_Toc272691591"/>
      <w:bookmarkStart w:id="171" w:name="_Toc272652737"/>
      <w:bookmarkStart w:id="172" w:name="_Toc278899341"/>
      <w:bookmarkStart w:id="173" w:name="_Toc272618360"/>
      <w:bookmarkStart w:id="174" w:name="_Toc274732038"/>
      <w:bookmarkStart w:id="175" w:name="_Toc26711"/>
      <w:bookmarkStart w:id="176" w:name="_Toc7586171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rFonts w:ascii="宋体" w:hAnsi="宋体" w:hint="eastAsia"/>
          <w:b w:val="0"/>
        </w:rPr>
        <w:t>（一）</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ascii="宋体" w:hAnsi="宋体" w:hint="eastAsia"/>
          <w:b w:val="0"/>
        </w:rPr>
        <w:t>加强组织领导</w:t>
      </w:r>
      <w:bookmarkEnd w:id="176"/>
    </w:p>
    <w:p w14:paraId="2E6B8399" w14:textId="77777777" w:rsidR="00256595" w:rsidRDefault="00000000">
      <w:pPr>
        <w:ind w:firstLineChars="200" w:firstLine="640"/>
        <w:jc w:val="both"/>
        <w:rPr>
          <w:rFonts w:ascii="仿宋" w:eastAsia="仿宋" w:hAnsi="仿宋" w:hint="eastAsia"/>
          <w:sz w:val="32"/>
          <w:szCs w:val="32"/>
        </w:rPr>
      </w:pPr>
      <w:r>
        <w:rPr>
          <w:rFonts w:ascii="仿宋_GB2312" w:eastAsia="仿宋_GB2312" w:hAnsi="仿宋_GB2312" w:cs="仿宋_GB2312" w:hint="eastAsia"/>
          <w:sz w:val="32"/>
          <w:szCs w:val="32"/>
        </w:rPr>
        <w:t>坚持党对防震减灾工作的全面领导。在市委、市政府的统一领导下，充分发挥市抗震救灾指挥部的统筹协调作用，切实加强中山市地震工作管理机构建设，强化部门协调、合作，落实规划工作任务、重点工程项目，及时协调解决存在的重大问题，明确责任，确保规划的顺利实施。理顺省、市镇街地震工作部门的职责和事权，充分发挥市镇街基层地震工作部门、行业协会和社会组织在防震减灾工作中的作用。</w:t>
      </w:r>
    </w:p>
    <w:p w14:paraId="6DA45893" w14:textId="77777777" w:rsidR="00256595" w:rsidRDefault="00000000">
      <w:pPr>
        <w:pStyle w:val="2"/>
        <w:spacing w:line="240" w:lineRule="auto"/>
        <w:ind w:firstLineChars="200" w:firstLine="640"/>
        <w:rPr>
          <w:rFonts w:ascii="宋体" w:hAnsi="宋体" w:hint="eastAsia"/>
          <w:b w:val="0"/>
        </w:rPr>
      </w:pPr>
      <w:bookmarkStart w:id="177" w:name="_Toc272652738"/>
      <w:bookmarkStart w:id="178" w:name="_Toc272743126"/>
      <w:bookmarkStart w:id="179" w:name="_Toc273829238"/>
      <w:bookmarkStart w:id="180" w:name="_Toc272618361"/>
      <w:bookmarkStart w:id="181" w:name="_Toc55314415"/>
      <w:bookmarkStart w:id="182" w:name="_Toc274756686"/>
      <w:bookmarkStart w:id="183" w:name="_Toc271185056"/>
      <w:bookmarkStart w:id="184" w:name="_Toc75861713"/>
      <w:bookmarkStart w:id="185" w:name="_Toc272691592"/>
      <w:bookmarkStart w:id="186" w:name="_Toc278899342"/>
      <w:bookmarkStart w:id="187" w:name="_Toc271202729"/>
      <w:bookmarkStart w:id="188" w:name="_Toc278965496"/>
      <w:bookmarkStart w:id="189" w:name="_Toc271268934"/>
      <w:bookmarkStart w:id="190" w:name="_Toc486611363"/>
      <w:bookmarkStart w:id="191" w:name="_Toc961"/>
      <w:bookmarkStart w:id="192" w:name="_Toc272699575"/>
      <w:bookmarkStart w:id="193" w:name="_Toc274732039"/>
      <w:bookmarkStart w:id="194" w:name="_Toc30577"/>
      <w:bookmarkStart w:id="195" w:name="_Toc272738018"/>
      <w:r>
        <w:rPr>
          <w:rFonts w:ascii="宋体" w:hAnsi="宋体" w:hint="eastAsia"/>
          <w:b w:val="0"/>
        </w:rPr>
        <w:t>（二）强化法治保障</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54E6F0FE"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认真贯彻实施《中华人民共和国防震减灾法》《广东省防震减灾条例》等法律法规，并将其有效落实到防震减灾工作体系中来，适时制定中山市防震减灾专项地方法规和政府规章；加大法律法规宣传和依法管理力度，努力实现依法防震和依法行政的工作局面；规范履行社会管理和公共服务的职责，规范全社会的防震减灾活动。</w:t>
      </w:r>
    </w:p>
    <w:p w14:paraId="3AB82833" w14:textId="77777777" w:rsidR="00256595" w:rsidRDefault="00000000">
      <w:pPr>
        <w:pStyle w:val="2"/>
        <w:spacing w:line="240" w:lineRule="auto"/>
        <w:ind w:firstLineChars="200" w:firstLine="640"/>
        <w:rPr>
          <w:rFonts w:ascii="宋体" w:hAnsi="宋体" w:hint="eastAsia"/>
          <w:b w:val="0"/>
        </w:rPr>
      </w:pPr>
      <w:bookmarkStart w:id="196" w:name="_Toc278899343"/>
      <w:bookmarkStart w:id="197" w:name="_Toc55314416"/>
      <w:bookmarkStart w:id="198" w:name="_Toc271202730"/>
      <w:bookmarkStart w:id="199" w:name="_Toc27534"/>
      <w:bookmarkStart w:id="200" w:name="_Toc272738019"/>
      <w:bookmarkStart w:id="201" w:name="_Toc272699576"/>
      <w:bookmarkStart w:id="202" w:name="_Toc271185057"/>
      <w:bookmarkStart w:id="203" w:name="_Toc272618362"/>
      <w:bookmarkStart w:id="204" w:name="_Toc272691593"/>
      <w:bookmarkStart w:id="205" w:name="_Toc278965497"/>
      <w:bookmarkStart w:id="206" w:name="_Toc272743127"/>
      <w:bookmarkStart w:id="207" w:name="_Toc274732040"/>
      <w:bookmarkStart w:id="208" w:name="_Toc486611364"/>
      <w:bookmarkStart w:id="209" w:name="_Toc20595"/>
      <w:bookmarkStart w:id="210" w:name="_Toc274756687"/>
      <w:bookmarkStart w:id="211" w:name="_Toc75861714"/>
      <w:bookmarkStart w:id="212" w:name="_Toc271268935"/>
      <w:bookmarkStart w:id="213" w:name="_Toc272652739"/>
      <w:bookmarkStart w:id="214" w:name="_Toc273829239"/>
      <w:r>
        <w:rPr>
          <w:rFonts w:ascii="宋体" w:hAnsi="宋体" w:hint="eastAsia"/>
          <w:b w:val="0"/>
        </w:rPr>
        <w:t>（三）资金投入保障</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45EB03E5"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立防震减灾投入力度与中山经济发展水平相适应的工作机制，按照事权范围纳入各级财政预算，建立以政府财政投入为主体，社会参与相结合的多渠道投入机制。依据本行政区域经济和社会发展的实际，着眼于本行政区域人民和经济社会发展对防震减灾事业的实际需求，着力于解决地震专项工作所需资金，保障地震事业经常性工作经费，从而保障公益性基础地位。加大防灾减灾基础设施建设、重大工程建设、科学研究、人才培养、技术研发、科普宣传和教育培训等方面的经费投入。完善防灾减灾救灾经费保障机制，加强资金使用的管理与监督。</w:t>
      </w:r>
    </w:p>
    <w:p w14:paraId="64013A16" w14:textId="77777777" w:rsidR="00256595" w:rsidRDefault="00000000">
      <w:pPr>
        <w:pStyle w:val="2"/>
        <w:spacing w:line="240" w:lineRule="auto"/>
        <w:ind w:firstLineChars="200" w:firstLine="640"/>
        <w:rPr>
          <w:rFonts w:ascii="宋体" w:hAnsi="宋体" w:hint="eastAsia"/>
          <w:b w:val="0"/>
        </w:rPr>
      </w:pPr>
      <w:bookmarkStart w:id="215" w:name="_Toc278965498"/>
      <w:bookmarkStart w:id="216" w:name="_Toc271268936"/>
      <w:bookmarkStart w:id="217" w:name="_Toc272743128"/>
      <w:bookmarkStart w:id="218" w:name="_Toc11192"/>
      <w:bookmarkStart w:id="219" w:name="_Toc272699577"/>
      <w:bookmarkStart w:id="220" w:name="_Toc274732041"/>
      <w:bookmarkStart w:id="221" w:name="_Toc274756688"/>
      <w:bookmarkStart w:id="222" w:name="_Toc486611365"/>
      <w:bookmarkStart w:id="223" w:name="_Toc271185058"/>
      <w:bookmarkStart w:id="224" w:name="_Toc273829240"/>
      <w:bookmarkStart w:id="225" w:name="_Toc278899344"/>
      <w:bookmarkStart w:id="226" w:name="_Toc271202731"/>
      <w:bookmarkStart w:id="227" w:name="_Toc55314417"/>
      <w:bookmarkStart w:id="228" w:name="_Toc272652740"/>
      <w:bookmarkStart w:id="229" w:name="_Toc272618363"/>
      <w:bookmarkStart w:id="230" w:name="_Toc272691594"/>
      <w:bookmarkStart w:id="231" w:name="_Toc30248"/>
      <w:bookmarkStart w:id="232" w:name="_Toc75861715"/>
      <w:bookmarkStart w:id="233" w:name="_Toc272738020"/>
      <w:r>
        <w:rPr>
          <w:rFonts w:ascii="宋体" w:hAnsi="宋体" w:hint="eastAsia"/>
          <w:b w:val="0"/>
        </w:rPr>
        <w:t>（四）加强人才保障</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1E1E4C4A"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树立人才强业的观念，尊重知识、尊重人才、尊重创造；根据中山市防震减灾工作队伍和人才结构现状，立足于防震减灾工作的实际需要，建设科学合理的科技人才队伍，进一步加强队伍建设和人才培养，改善队伍总体结构，提高综合素质；支持科技人员开展防震减灾基础课题研究，提升防震减灾科技创新水平和科技支撑能力；注重将人力资源转化为人才资源，培养和锻炼一支思想过硬，业务精通，纪律严明，精干高效，能够胜任社会管理和公共服务的防震减灾工作队伍，为防震减灾事业可持续发展和“十四五”规划顺利实施，提供充足的人才保障和广泛的智力支持。</w:t>
      </w:r>
    </w:p>
    <w:p w14:paraId="0B6174C0" w14:textId="77777777" w:rsidR="00256595" w:rsidRDefault="00000000">
      <w:pPr>
        <w:pStyle w:val="2"/>
        <w:spacing w:line="240" w:lineRule="auto"/>
        <w:ind w:firstLineChars="200" w:firstLine="640"/>
        <w:rPr>
          <w:rFonts w:ascii="宋体" w:hAnsi="宋体" w:hint="eastAsia"/>
          <w:b w:val="0"/>
        </w:rPr>
      </w:pPr>
      <w:bookmarkStart w:id="234" w:name="_Toc271185059"/>
      <w:bookmarkStart w:id="235" w:name="_Toc272699578"/>
      <w:bookmarkStart w:id="236" w:name="_Toc272738021"/>
      <w:bookmarkStart w:id="237" w:name="_Toc272691595"/>
      <w:bookmarkStart w:id="238" w:name="_Toc271268937"/>
      <w:bookmarkStart w:id="239" w:name="_Toc272618364"/>
      <w:bookmarkStart w:id="240" w:name="_Toc272652741"/>
      <w:bookmarkStart w:id="241" w:name="_Toc271202732"/>
      <w:bookmarkStart w:id="242" w:name="_Toc274732042"/>
      <w:bookmarkStart w:id="243" w:name="_Toc55314418"/>
      <w:bookmarkStart w:id="244" w:name="_Toc272743129"/>
      <w:bookmarkStart w:id="245" w:name="_Toc278965499"/>
      <w:bookmarkStart w:id="246" w:name="_Toc75861716"/>
      <w:bookmarkStart w:id="247" w:name="_Toc278899345"/>
      <w:bookmarkStart w:id="248" w:name="_Toc3578"/>
      <w:bookmarkStart w:id="249" w:name="_Toc15178"/>
      <w:bookmarkStart w:id="250" w:name="_Toc274756689"/>
      <w:bookmarkStart w:id="251" w:name="_Toc486611366"/>
      <w:bookmarkStart w:id="252" w:name="_Toc273829241"/>
      <w:r>
        <w:rPr>
          <w:rFonts w:ascii="宋体" w:hAnsi="宋体" w:hint="eastAsia"/>
          <w:b w:val="0"/>
        </w:rPr>
        <w:t>（五）加强科技</w:t>
      </w:r>
      <w:bookmarkEnd w:id="234"/>
      <w:bookmarkEnd w:id="235"/>
      <w:bookmarkEnd w:id="236"/>
      <w:bookmarkEnd w:id="237"/>
      <w:bookmarkEnd w:id="238"/>
      <w:bookmarkEnd w:id="239"/>
      <w:bookmarkEnd w:id="240"/>
      <w:bookmarkEnd w:id="241"/>
      <w:r>
        <w:rPr>
          <w:rFonts w:ascii="宋体" w:hAnsi="宋体" w:hint="eastAsia"/>
          <w:b w:val="0"/>
        </w:rPr>
        <w:t>保障</w:t>
      </w:r>
      <w:bookmarkEnd w:id="242"/>
      <w:bookmarkEnd w:id="243"/>
      <w:bookmarkEnd w:id="244"/>
      <w:bookmarkEnd w:id="245"/>
      <w:bookmarkEnd w:id="246"/>
      <w:bookmarkEnd w:id="247"/>
      <w:bookmarkEnd w:id="248"/>
      <w:bookmarkEnd w:id="249"/>
      <w:bookmarkEnd w:id="250"/>
      <w:bookmarkEnd w:id="251"/>
      <w:bookmarkEnd w:id="252"/>
    </w:p>
    <w:p w14:paraId="34C89044" w14:textId="77777777" w:rsidR="00256595" w:rsidRDefault="00000000">
      <w:pPr>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过不断营造科技创新氛围，增强防震减灾工作科技创新能力；加强与各中心城市的学习和交流，开展多方位地震科技合作交流，学习先进防震减灾技术，启发管理新思想，并就制约中山市地震科技事业的一些关键问题进行合作研究；通过各项专业知识与技能科普活动推动全民防震减灾科学素质，提升地震事业的科技支撑水平。</w:t>
      </w:r>
      <w:bookmarkEnd w:id="25"/>
    </w:p>
    <w:p w14:paraId="0D53421E" w14:textId="77777777" w:rsidR="00256595" w:rsidRDefault="00256595">
      <w:pPr>
        <w:ind w:firstLineChars="200" w:firstLine="640"/>
        <w:jc w:val="center"/>
        <w:rPr>
          <w:rFonts w:ascii="仿宋" w:eastAsia="仿宋" w:hAnsi="仿宋" w:hint="eastAsia"/>
          <w:sz w:val="32"/>
          <w:szCs w:val="32"/>
        </w:rPr>
      </w:pPr>
    </w:p>
    <w:p w14:paraId="4E1C4254" w14:textId="77777777" w:rsidR="00256595" w:rsidRDefault="00256595">
      <w:pPr>
        <w:ind w:firstLineChars="200" w:firstLine="640"/>
        <w:jc w:val="center"/>
        <w:rPr>
          <w:rFonts w:ascii="仿宋" w:eastAsia="仿宋" w:hAnsi="仿宋" w:hint="eastAsia"/>
          <w:sz w:val="32"/>
          <w:szCs w:val="32"/>
        </w:rPr>
      </w:pPr>
    </w:p>
    <w:p w14:paraId="2D296AA8" w14:textId="77777777" w:rsidR="00256595" w:rsidRDefault="00256595">
      <w:pPr>
        <w:ind w:firstLineChars="200" w:firstLine="640"/>
        <w:jc w:val="center"/>
        <w:rPr>
          <w:rFonts w:ascii="仿宋" w:eastAsia="仿宋" w:hAnsi="仿宋" w:hint="eastAsia"/>
          <w:sz w:val="32"/>
          <w:szCs w:val="32"/>
        </w:rPr>
      </w:pPr>
    </w:p>
    <w:p w14:paraId="28ED7637" w14:textId="77777777" w:rsidR="00256595" w:rsidRDefault="00000000">
      <w:pPr>
        <w:ind w:firstLineChars="200" w:firstLine="482"/>
        <w:jc w:val="center"/>
        <w:rPr>
          <w:rFonts w:ascii="仿宋" w:eastAsia="仿宋" w:hAnsi="仿宋" w:hint="eastAsia"/>
          <w:sz w:val="32"/>
          <w:szCs w:val="32"/>
        </w:rPr>
      </w:pPr>
      <w:r>
        <w:rPr>
          <w:rFonts w:hint="eastAsia"/>
          <w:b/>
        </w:rPr>
        <w:object w:dxaOrig="7949" w:dyaOrig="11249" w14:anchorId="0D45A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62.5pt" o:ole="">
            <v:imagedata r:id="rId9" o:title=""/>
            <o:lock v:ext="edit" aspectratio="f"/>
          </v:shape>
          <o:OLEObject Type="Embed" ProgID="StaticMetafile" ShapeID="_x0000_i1025" DrawAspect="Content" ObjectID="_1832506522" r:id="rId10"/>
        </w:object>
      </w:r>
    </w:p>
    <w:p w14:paraId="38DCE4E3" w14:textId="77777777" w:rsidR="00256595" w:rsidRDefault="00000000">
      <w:pPr>
        <w:ind w:firstLineChars="200" w:firstLine="640"/>
        <w:jc w:val="center"/>
        <w:rPr>
          <w:rFonts w:hint="eastAsia"/>
          <w:sz w:val="32"/>
          <w:szCs w:val="32"/>
        </w:rPr>
      </w:pPr>
      <w:r>
        <w:rPr>
          <w:noProof/>
          <w:sz w:val="32"/>
        </w:rPr>
        <mc:AlternateContent>
          <mc:Choice Requires="wps">
            <w:drawing>
              <wp:anchor distT="0" distB="0" distL="114300" distR="114300" simplePos="0" relativeHeight="251662336" behindDoc="0" locked="0" layoutInCell="1" allowOverlap="1" wp14:anchorId="44521D78" wp14:editId="1D414AE1">
                <wp:simplePos x="0" y="0"/>
                <wp:positionH relativeFrom="column">
                  <wp:posOffset>2589530</wp:posOffset>
                </wp:positionH>
                <wp:positionV relativeFrom="paragraph">
                  <wp:posOffset>2879725</wp:posOffset>
                </wp:positionV>
                <wp:extent cx="1981200" cy="1057275"/>
                <wp:effectExtent l="0" t="6985" r="19050" b="21590"/>
                <wp:wrapNone/>
                <wp:docPr id="4" name="直线 9"/>
                <wp:cNvGraphicFramePr/>
                <a:graphic xmlns:a="http://schemas.openxmlformats.org/drawingml/2006/main">
                  <a:graphicData uri="http://schemas.microsoft.com/office/word/2010/wordprocessingShape">
                    <wps:wsp>
                      <wps:cNvCnPr/>
                      <wps:spPr>
                        <a:xfrm flipH="1">
                          <a:off x="0" y="0"/>
                          <a:ext cx="1981200" cy="1057275"/>
                        </a:xfrm>
                        <a:prstGeom prst="line">
                          <a:avLst/>
                        </a:prstGeom>
                        <a:ln w="15875" cap="flat" cmpd="sng">
                          <a:solidFill>
                            <a:srgbClr val="739CC3"/>
                          </a:solidFill>
                          <a:prstDash val="solid"/>
                          <a:headEnd type="none" w="med" len="med"/>
                          <a:tailEnd type="arrow" w="med" len="med"/>
                        </a:ln>
                      </wps:spPr>
                      <wps:bodyPr/>
                    </wps:wsp>
                  </a:graphicData>
                </a:graphic>
              </wp:anchor>
            </w:drawing>
          </mc:Choice>
          <mc:Fallback>
            <w:pict>
              <v:line w14:anchorId="57775D6F" id="直线 9"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203.9pt,226.75pt" to="359.9pt,3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" strokecolor="#739cc3" strokeweight="1.25pt">
                <v:stroke endarrow="open"/>
              </v:line>
            </w:pict>
          </mc:Fallback>
        </mc:AlternateContent>
      </w:r>
      <w:r>
        <w:rPr>
          <w:noProof/>
          <w:sz w:val="32"/>
        </w:rPr>
        <mc:AlternateContent>
          <mc:Choice Requires="wps">
            <w:drawing>
              <wp:anchor distT="0" distB="0" distL="114300" distR="114300" simplePos="0" relativeHeight="251661312" behindDoc="0" locked="0" layoutInCell="1" allowOverlap="1" wp14:anchorId="6CE25BBF" wp14:editId="42E6AF90">
                <wp:simplePos x="0" y="0"/>
                <wp:positionH relativeFrom="column">
                  <wp:posOffset>4608830</wp:posOffset>
                </wp:positionH>
                <wp:positionV relativeFrom="paragraph">
                  <wp:posOffset>2743835</wp:posOffset>
                </wp:positionV>
                <wp:extent cx="180975" cy="133350"/>
                <wp:effectExtent l="7620" t="7620" r="20955" b="11430"/>
                <wp:wrapNone/>
                <wp:docPr id="3" name="自选图形 6"/>
                <wp:cNvGraphicFramePr/>
                <a:graphic xmlns:a="http://schemas.openxmlformats.org/drawingml/2006/main">
                  <a:graphicData uri="http://schemas.microsoft.com/office/word/2010/wordprocessingShape">
                    <wps:wsp>
                      <wps:cNvSpPr/>
                      <wps:spPr>
                        <a:xfrm>
                          <a:off x="0" y="0"/>
                          <a:ext cx="180975" cy="133350"/>
                        </a:xfrm>
                        <a:prstGeom prst="flowChartSummingJunction">
                          <a:avLst/>
                        </a:prstGeom>
                        <a:gradFill rotWithShape="0">
                          <a:gsLst>
                            <a:gs pos="0">
                              <a:srgbClr val="FFFFFF"/>
                            </a:gs>
                            <a:gs pos="100000">
                              <a:srgbClr val="FFFFFF"/>
                            </a:gs>
                          </a:gsLst>
                          <a:lin ang="0"/>
                          <a:tileRect/>
                        </a:gradFill>
                        <a:ln w="15875" cap="flat" cmpd="sng">
                          <a:solidFill>
                            <a:srgbClr val="739CC3"/>
                          </a:solidFill>
                          <a:prstDash val="solid"/>
                          <a:headEnd type="none" w="med" len="med"/>
                          <a:tailEnd type="none" w="med" len="med"/>
                        </a:ln>
                      </wps:spPr>
                      <wps:bodyPr wrap="square" upright="1"/>
                    </wps:wsp>
                  </a:graphicData>
                </a:graphic>
              </wp:anchor>
            </w:drawing>
          </mc:Choice>
          <mc:Fallback>
            <w:pict>
              <v:shapetype w14:anchorId="7F3E8CC4"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自选图形 6" o:spid="_x0000_s1026" type="#_x0000_t123" style="position:absolute;margin-left:362.9pt;margin-top:216.05pt;width:14.2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" strokecolor="#739cc3" strokeweight="1.25pt">
                <v:fill angle="90" focus="100%" type="gradient">
                  <o:fill v:ext="view" type="gradientUnscaled"/>
                </v:fill>
              </v:shape>
            </w:pict>
          </mc:Fallback>
        </mc:AlternateContent>
      </w:r>
      <w:r>
        <w:rPr>
          <w:noProof/>
          <w:sz w:val="32"/>
        </w:rPr>
        <mc:AlternateContent>
          <mc:Choice Requires="wps">
            <w:drawing>
              <wp:anchor distT="0" distB="0" distL="114300" distR="114300" simplePos="0" relativeHeight="251660288" behindDoc="0" locked="0" layoutInCell="1" allowOverlap="1" wp14:anchorId="26EA06D9" wp14:editId="7B157D02">
                <wp:simplePos x="0" y="0"/>
                <wp:positionH relativeFrom="column">
                  <wp:posOffset>2046605</wp:posOffset>
                </wp:positionH>
                <wp:positionV relativeFrom="paragraph">
                  <wp:posOffset>3877310</wp:posOffset>
                </wp:positionV>
                <wp:extent cx="142875" cy="133350"/>
                <wp:effectExtent l="7620" t="7620" r="20955" b="11430"/>
                <wp:wrapNone/>
                <wp:docPr id="2" name="自选图形 5"/>
                <wp:cNvGraphicFramePr/>
                <a:graphic xmlns:a="http://schemas.openxmlformats.org/drawingml/2006/main">
                  <a:graphicData uri="http://schemas.microsoft.com/office/word/2010/wordprocessingShape">
                    <wps:wsp>
                      <wps:cNvSpPr/>
                      <wps:spPr>
                        <a:xfrm>
                          <a:off x="0" y="0"/>
                          <a:ext cx="142875" cy="133350"/>
                        </a:xfrm>
                        <a:prstGeom prst="flowChartSummingJunction">
                          <a:avLst/>
                        </a:prstGeom>
                        <a:gradFill rotWithShape="0">
                          <a:gsLst>
                            <a:gs pos="0">
                              <a:srgbClr val="FFFFFF"/>
                            </a:gs>
                            <a:gs pos="100000">
                              <a:srgbClr val="FFFFFF"/>
                            </a:gs>
                          </a:gsLst>
                          <a:lin ang="0"/>
                          <a:tileRect/>
                        </a:gradFill>
                        <a:ln w="15875" cap="flat" cmpd="sng">
                          <a:solidFill>
                            <a:srgbClr val="739CC3"/>
                          </a:solidFill>
                          <a:prstDash val="solid"/>
                          <a:headEnd type="none" w="med" len="med"/>
                          <a:tailEnd type="none" w="med" len="med"/>
                        </a:ln>
                      </wps:spPr>
                      <wps:bodyPr wrap="square" upright="1"/>
                    </wps:wsp>
                  </a:graphicData>
                </a:graphic>
              </wp:anchor>
            </w:drawing>
          </mc:Choice>
          <mc:Fallback>
            <w:pict>
              <v:shape w14:anchorId="20471DA4" id="自选图形 5" o:spid="_x0000_s1026" type="#_x0000_t123" style="position:absolute;margin-left:161.15pt;margin-top:305.3pt;width:11.2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" strokecolor="#739cc3" strokeweight="1.25pt">
                <v:fill angle="90" focus="100%" type="gradient">
                  <o:fill v:ext="view" type="gradientUnscaled"/>
                </v:fill>
              </v:shape>
            </w:pict>
          </mc:Fallback>
        </mc:AlternateContent>
      </w:r>
      <w:r>
        <w:rPr>
          <w:noProof/>
          <w:sz w:val="32"/>
        </w:rPr>
        <mc:AlternateContent>
          <mc:Choice Requires="wps">
            <w:drawing>
              <wp:anchor distT="0" distB="0" distL="114300" distR="114300" simplePos="0" relativeHeight="251659264" behindDoc="0" locked="0" layoutInCell="1" allowOverlap="1" wp14:anchorId="0269AF30" wp14:editId="2B7288D9">
                <wp:simplePos x="0" y="0"/>
                <wp:positionH relativeFrom="column">
                  <wp:posOffset>2494280</wp:posOffset>
                </wp:positionH>
                <wp:positionV relativeFrom="paragraph">
                  <wp:posOffset>3869055</wp:posOffset>
                </wp:positionV>
                <wp:extent cx="123825" cy="123825"/>
                <wp:effectExtent l="12700" t="17780" r="15875" b="10795"/>
                <wp:wrapNone/>
                <wp:docPr id="1" name="自选图形 2"/>
                <wp:cNvGraphicFramePr/>
                <a:graphic xmlns:a="http://schemas.openxmlformats.org/drawingml/2006/main">
                  <a:graphicData uri="http://schemas.microsoft.com/office/word/2010/wordprocessingShape">
                    <wps:wsp>
                      <wps:cNvSpPr/>
                      <wps:spPr>
                        <a:xfrm>
                          <a:off x="0" y="0"/>
                          <a:ext cx="123825" cy="123825"/>
                        </a:xfrm>
                        <a:prstGeom prst="triangle">
                          <a:avLst>
                            <a:gd name="adj" fmla="val 50000"/>
                          </a:avLst>
                        </a:prstGeom>
                        <a:solidFill>
                          <a:srgbClr val="F79646"/>
                        </a:solidFill>
                        <a:ln w="15875" cap="flat" cmpd="sng">
                          <a:solidFill>
                            <a:srgbClr val="F79646"/>
                          </a:solidFill>
                          <a:prstDash val="solid"/>
                          <a:miter/>
                          <a:headEnd type="none" w="med" len="med"/>
                          <a:tailEnd type="none" w="med" len="med"/>
                        </a:ln>
                      </wps:spPr>
                      <wps:bodyPr wrap="square" upright="1"/>
                    </wps:wsp>
                  </a:graphicData>
                </a:graphic>
              </wp:anchor>
            </w:drawing>
          </mc:Choice>
          <mc:Fallback>
            <w:pict>
              <v:shapetype w14:anchorId="7161E7F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自选图形 2" o:spid="_x0000_s1026" type="#_x0000_t5" style="position:absolute;margin-left:196.4pt;margin-top:304.65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" fillcolor="#f79646" strokecolor="#f79646" strokeweight="1.25pt"/>
            </w:pict>
          </mc:Fallback>
        </mc:AlternateContent>
      </w:r>
      <w:r>
        <w:rPr>
          <w:rFonts w:hint="eastAsia"/>
          <w:b/>
        </w:rPr>
        <w:t>附图1  中山市地震监测台站分布图</w:t>
      </w:r>
    </w:p>
    <w:sectPr w:rsidR="00256595">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F2BB" w14:textId="77777777" w:rsidR="00BF0984" w:rsidRDefault="00BF0984">
      <w:pPr>
        <w:rPr>
          <w:rFonts w:hint="eastAsia"/>
        </w:rPr>
      </w:pPr>
      <w:r>
        <w:separator/>
      </w:r>
    </w:p>
  </w:endnote>
  <w:endnote w:type="continuationSeparator" w:id="0">
    <w:p w14:paraId="173E4A91" w14:textId="77777777" w:rsidR="00BF0984" w:rsidRDefault="00BF098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5F9E" w14:textId="77777777" w:rsidR="00256595" w:rsidRDefault="00256595">
    <w:pPr>
      <w:pStyle w:val="ae"/>
      <w:jc w:val="center"/>
    </w:pPr>
  </w:p>
  <w:p w14:paraId="4496F46F" w14:textId="77777777" w:rsidR="00256595" w:rsidRDefault="0025659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4196" w14:textId="77777777" w:rsidR="00256595" w:rsidRDefault="00000000">
    <w:pPr>
      <w:pStyle w:val="ae"/>
      <w:jc w:val="center"/>
    </w:pPr>
    <w:r>
      <w:fldChar w:fldCharType="begin"/>
    </w:r>
    <w:r>
      <w:instrText xml:space="preserve"> PAGE   \* MERGEFORMAT </w:instrText>
    </w:r>
    <w:r>
      <w:fldChar w:fldCharType="separate"/>
    </w:r>
    <w:r>
      <w:rPr>
        <w:lang w:val="zh-CN"/>
      </w:rPr>
      <w:t>2</w:t>
    </w:r>
    <w:r>
      <w:rPr>
        <w:lang w:val="zh-CN"/>
      </w:rPr>
      <w:fldChar w:fldCharType="end"/>
    </w:r>
  </w:p>
  <w:p w14:paraId="39A7EBF0" w14:textId="77777777" w:rsidR="00256595" w:rsidRDefault="00256595">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017C" w14:textId="77777777" w:rsidR="00256595" w:rsidRDefault="00000000">
    <w:pPr>
      <w:pStyle w:val="ae"/>
      <w:jc w:val="center"/>
    </w:pPr>
    <w:r>
      <w:fldChar w:fldCharType="begin"/>
    </w:r>
    <w:r>
      <w:instrText xml:space="preserve"> PAGE   \* MERGEFORMAT </w:instrText>
    </w:r>
    <w:r>
      <w:fldChar w:fldCharType="separate"/>
    </w:r>
    <w:r>
      <w:rPr>
        <w:lang w:val="zh-CN"/>
      </w:rPr>
      <w:t>22</w:t>
    </w:r>
    <w:r>
      <w:rPr>
        <w:lang w:val="zh-CN"/>
      </w:rPr>
      <w:fldChar w:fldCharType="end"/>
    </w:r>
  </w:p>
  <w:p w14:paraId="2297CBBD" w14:textId="77777777" w:rsidR="00256595" w:rsidRDefault="0025659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41FDE" w14:textId="77777777" w:rsidR="00BF0984" w:rsidRDefault="00BF0984">
      <w:pPr>
        <w:rPr>
          <w:rFonts w:hint="eastAsia"/>
        </w:rPr>
      </w:pPr>
      <w:r>
        <w:separator/>
      </w:r>
    </w:p>
  </w:footnote>
  <w:footnote w:type="continuationSeparator" w:id="0">
    <w:p w14:paraId="6F9DEF62" w14:textId="77777777" w:rsidR="00BF0984" w:rsidRDefault="00BF098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86B7B8BD"/>
    <w:rsid w:val="8DBF5DF1"/>
    <w:rsid w:val="8F5D3BC3"/>
    <w:rsid w:val="CE732A23"/>
    <w:rsid w:val="DBFF04E9"/>
    <w:rsid w:val="DE79C76D"/>
    <w:rsid w:val="DF3B1158"/>
    <w:rsid w:val="DFF7DE5C"/>
    <w:rsid w:val="EE5FC41E"/>
    <w:rsid w:val="EFDFFD92"/>
    <w:rsid w:val="F3EEF281"/>
    <w:rsid w:val="F7FD7365"/>
    <w:rsid w:val="FADA9036"/>
    <w:rsid w:val="FBFCAFC4"/>
    <w:rsid w:val="FDFCA6F7"/>
    <w:rsid w:val="FE6FBAC1"/>
    <w:rsid w:val="FFDB5788"/>
    <w:rsid w:val="00000A44"/>
    <w:rsid w:val="00003502"/>
    <w:rsid w:val="00006016"/>
    <w:rsid w:val="000116E8"/>
    <w:rsid w:val="0001265C"/>
    <w:rsid w:val="00012B27"/>
    <w:rsid w:val="00012C2B"/>
    <w:rsid w:val="00014891"/>
    <w:rsid w:val="000167D4"/>
    <w:rsid w:val="00017D09"/>
    <w:rsid w:val="00021EB7"/>
    <w:rsid w:val="00027457"/>
    <w:rsid w:val="00027F21"/>
    <w:rsid w:val="00034D0B"/>
    <w:rsid w:val="00035468"/>
    <w:rsid w:val="000405AC"/>
    <w:rsid w:val="000441A5"/>
    <w:rsid w:val="00052853"/>
    <w:rsid w:val="00054BA5"/>
    <w:rsid w:val="00063525"/>
    <w:rsid w:val="00063E4C"/>
    <w:rsid w:val="00064402"/>
    <w:rsid w:val="00064CC2"/>
    <w:rsid w:val="000678BF"/>
    <w:rsid w:val="000736D0"/>
    <w:rsid w:val="00073C84"/>
    <w:rsid w:val="000742AA"/>
    <w:rsid w:val="000808CC"/>
    <w:rsid w:val="00083C48"/>
    <w:rsid w:val="0008582B"/>
    <w:rsid w:val="00085F69"/>
    <w:rsid w:val="000872F7"/>
    <w:rsid w:val="0009076D"/>
    <w:rsid w:val="00090BD6"/>
    <w:rsid w:val="000937D6"/>
    <w:rsid w:val="000A00E4"/>
    <w:rsid w:val="000A20DA"/>
    <w:rsid w:val="000A35D3"/>
    <w:rsid w:val="000A40AB"/>
    <w:rsid w:val="000A6E0E"/>
    <w:rsid w:val="000B104A"/>
    <w:rsid w:val="000B162A"/>
    <w:rsid w:val="000B288B"/>
    <w:rsid w:val="000B386B"/>
    <w:rsid w:val="000B4084"/>
    <w:rsid w:val="000B7AC5"/>
    <w:rsid w:val="000C04C8"/>
    <w:rsid w:val="000C073F"/>
    <w:rsid w:val="000C07F6"/>
    <w:rsid w:val="000C08D4"/>
    <w:rsid w:val="000C25CC"/>
    <w:rsid w:val="000C3BD5"/>
    <w:rsid w:val="000C510D"/>
    <w:rsid w:val="000C6C4C"/>
    <w:rsid w:val="000C6DB8"/>
    <w:rsid w:val="000D0386"/>
    <w:rsid w:val="000D5970"/>
    <w:rsid w:val="000E4118"/>
    <w:rsid w:val="000F05DE"/>
    <w:rsid w:val="000F3EE3"/>
    <w:rsid w:val="000F5780"/>
    <w:rsid w:val="000F7284"/>
    <w:rsid w:val="000F790A"/>
    <w:rsid w:val="00100CC9"/>
    <w:rsid w:val="0010339B"/>
    <w:rsid w:val="0010439A"/>
    <w:rsid w:val="00113CDE"/>
    <w:rsid w:val="00114105"/>
    <w:rsid w:val="00115461"/>
    <w:rsid w:val="00116199"/>
    <w:rsid w:val="00116C6D"/>
    <w:rsid w:val="00117C1C"/>
    <w:rsid w:val="0012009E"/>
    <w:rsid w:val="00120A8A"/>
    <w:rsid w:val="00123901"/>
    <w:rsid w:val="0012462F"/>
    <w:rsid w:val="00133280"/>
    <w:rsid w:val="00135DCF"/>
    <w:rsid w:val="0014032D"/>
    <w:rsid w:val="001420BB"/>
    <w:rsid w:val="00147023"/>
    <w:rsid w:val="00150D6F"/>
    <w:rsid w:val="00151F19"/>
    <w:rsid w:val="00153895"/>
    <w:rsid w:val="00154AE2"/>
    <w:rsid w:val="00155667"/>
    <w:rsid w:val="00155A0D"/>
    <w:rsid w:val="001565C2"/>
    <w:rsid w:val="001575EC"/>
    <w:rsid w:val="00161C8C"/>
    <w:rsid w:val="00162D0F"/>
    <w:rsid w:val="001632A0"/>
    <w:rsid w:val="00164230"/>
    <w:rsid w:val="001655FF"/>
    <w:rsid w:val="001714D2"/>
    <w:rsid w:val="00172A27"/>
    <w:rsid w:val="001736B0"/>
    <w:rsid w:val="00174559"/>
    <w:rsid w:val="001748C1"/>
    <w:rsid w:val="00181C35"/>
    <w:rsid w:val="00183678"/>
    <w:rsid w:val="00185867"/>
    <w:rsid w:val="00185AE0"/>
    <w:rsid w:val="00187215"/>
    <w:rsid w:val="001908DD"/>
    <w:rsid w:val="0019135F"/>
    <w:rsid w:val="00193DD0"/>
    <w:rsid w:val="00196A87"/>
    <w:rsid w:val="00197DBE"/>
    <w:rsid w:val="001B3ACF"/>
    <w:rsid w:val="001B3DBF"/>
    <w:rsid w:val="001B61E9"/>
    <w:rsid w:val="001B7382"/>
    <w:rsid w:val="001C0EED"/>
    <w:rsid w:val="001D08D6"/>
    <w:rsid w:val="001D43DB"/>
    <w:rsid w:val="001D59BE"/>
    <w:rsid w:val="001E795E"/>
    <w:rsid w:val="001F2DF0"/>
    <w:rsid w:val="001F5519"/>
    <w:rsid w:val="001F6C53"/>
    <w:rsid w:val="001F7EDF"/>
    <w:rsid w:val="00200569"/>
    <w:rsid w:val="00202057"/>
    <w:rsid w:val="00206005"/>
    <w:rsid w:val="002064E0"/>
    <w:rsid w:val="00206D1A"/>
    <w:rsid w:val="00210586"/>
    <w:rsid w:val="00213BB5"/>
    <w:rsid w:val="00216ADC"/>
    <w:rsid w:val="00222410"/>
    <w:rsid w:val="00222CC6"/>
    <w:rsid w:val="002234F1"/>
    <w:rsid w:val="00223EEA"/>
    <w:rsid w:val="00226A70"/>
    <w:rsid w:val="00231774"/>
    <w:rsid w:val="00232CA1"/>
    <w:rsid w:val="002330C4"/>
    <w:rsid w:val="00235DCC"/>
    <w:rsid w:val="00236808"/>
    <w:rsid w:val="00240AC6"/>
    <w:rsid w:val="00243C0C"/>
    <w:rsid w:val="002472C0"/>
    <w:rsid w:val="00250A25"/>
    <w:rsid w:val="00256595"/>
    <w:rsid w:val="002605BF"/>
    <w:rsid w:val="00260753"/>
    <w:rsid w:val="002658BE"/>
    <w:rsid w:val="00265985"/>
    <w:rsid w:val="00266617"/>
    <w:rsid w:val="00270766"/>
    <w:rsid w:val="00271256"/>
    <w:rsid w:val="0027467A"/>
    <w:rsid w:val="00276081"/>
    <w:rsid w:val="00282CBE"/>
    <w:rsid w:val="002845C2"/>
    <w:rsid w:val="0028605E"/>
    <w:rsid w:val="00286B4C"/>
    <w:rsid w:val="00292E43"/>
    <w:rsid w:val="00296672"/>
    <w:rsid w:val="00297427"/>
    <w:rsid w:val="002A0B44"/>
    <w:rsid w:val="002B6022"/>
    <w:rsid w:val="002C1AA4"/>
    <w:rsid w:val="002C4B69"/>
    <w:rsid w:val="002C5FEB"/>
    <w:rsid w:val="002C7669"/>
    <w:rsid w:val="002E6C76"/>
    <w:rsid w:val="002E6D23"/>
    <w:rsid w:val="002E6FE7"/>
    <w:rsid w:val="002F373E"/>
    <w:rsid w:val="002F5E9A"/>
    <w:rsid w:val="002F5F01"/>
    <w:rsid w:val="002F61EB"/>
    <w:rsid w:val="002F6B29"/>
    <w:rsid w:val="00301F56"/>
    <w:rsid w:val="00305A28"/>
    <w:rsid w:val="00306DD2"/>
    <w:rsid w:val="0031390F"/>
    <w:rsid w:val="00315D9F"/>
    <w:rsid w:val="003239F9"/>
    <w:rsid w:val="00324F21"/>
    <w:rsid w:val="00326202"/>
    <w:rsid w:val="00331970"/>
    <w:rsid w:val="00335339"/>
    <w:rsid w:val="003366CB"/>
    <w:rsid w:val="00336D93"/>
    <w:rsid w:val="003414BF"/>
    <w:rsid w:val="003433A5"/>
    <w:rsid w:val="003437DB"/>
    <w:rsid w:val="00344626"/>
    <w:rsid w:val="0034675E"/>
    <w:rsid w:val="00346F12"/>
    <w:rsid w:val="00347E66"/>
    <w:rsid w:val="00350EA3"/>
    <w:rsid w:val="003518C3"/>
    <w:rsid w:val="00355CF9"/>
    <w:rsid w:val="00356CE5"/>
    <w:rsid w:val="00356E7C"/>
    <w:rsid w:val="00357947"/>
    <w:rsid w:val="00361B3B"/>
    <w:rsid w:val="00361B49"/>
    <w:rsid w:val="00361B93"/>
    <w:rsid w:val="00366168"/>
    <w:rsid w:val="0036691D"/>
    <w:rsid w:val="00371144"/>
    <w:rsid w:val="00373B18"/>
    <w:rsid w:val="0037401E"/>
    <w:rsid w:val="00381429"/>
    <w:rsid w:val="003830B7"/>
    <w:rsid w:val="00384FCD"/>
    <w:rsid w:val="0038556D"/>
    <w:rsid w:val="00390E0B"/>
    <w:rsid w:val="0039147F"/>
    <w:rsid w:val="003979CE"/>
    <w:rsid w:val="003A5291"/>
    <w:rsid w:val="003A545B"/>
    <w:rsid w:val="003A68A8"/>
    <w:rsid w:val="003A6966"/>
    <w:rsid w:val="003B179D"/>
    <w:rsid w:val="003B1AB3"/>
    <w:rsid w:val="003B394C"/>
    <w:rsid w:val="003B50FC"/>
    <w:rsid w:val="003C2A20"/>
    <w:rsid w:val="003C5CC6"/>
    <w:rsid w:val="003D1F74"/>
    <w:rsid w:val="003D7F40"/>
    <w:rsid w:val="003E733F"/>
    <w:rsid w:val="003F0948"/>
    <w:rsid w:val="003F1EBD"/>
    <w:rsid w:val="003F3DAE"/>
    <w:rsid w:val="003F4157"/>
    <w:rsid w:val="0040132A"/>
    <w:rsid w:val="00405155"/>
    <w:rsid w:val="00405E38"/>
    <w:rsid w:val="00410F56"/>
    <w:rsid w:val="00416A1C"/>
    <w:rsid w:val="004214B6"/>
    <w:rsid w:val="0042235D"/>
    <w:rsid w:val="0043679D"/>
    <w:rsid w:val="00437476"/>
    <w:rsid w:val="00440735"/>
    <w:rsid w:val="004411DD"/>
    <w:rsid w:val="00447584"/>
    <w:rsid w:val="00450175"/>
    <w:rsid w:val="00453DA6"/>
    <w:rsid w:val="004603F2"/>
    <w:rsid w:val="00461408"/>
    <w:rsid w:val="0046306B"/>
    <w:rsid w:val="00466167"/>
    <w:rsid w:val="00471812"/>
    <w:rsid w:val="00472276"/>
    <w:rsid w:val="00474ED0"/>
    <w:rsid w:val="0048176C"/>
    <w:rsid w:val="00483D50"/>
    <w:rsid w:val="0048679B"/>
    <w:rsid w:val="00490D1F"/>
    <w:rsid w:val="00490DFA"/>
    <w:rsid w:val="00493830"/>
    <w:rsid w:val="004975AE"/>
    <w:rsid w:val="004A26BD"/>
    <w:rsid w:val="004A3749"/>
    <w:rsid w:val="004A3E5A"/>
    <w:rsid w:val="004A5C0C"/>
    <w:rsid w:val="004A7069"/>
    <w:rsid w:val="004A7130"/>
    <w:rsid w:val="004A7BC5"/>
    <w:rsid w:val="004B1AC3"/>
    <w:rsid w:val="004B368B"/>
    <w:rsid w:val="004B3DB5"/>
    <w:rsid w:val="004B4BAA"/>
    <w:rsid w:val="004B7AEA"/>
    <w:rsid w:val="004D3205"/>
    <w:rsid w:val="004D5780"/>
    <w:rsid w:val="004D6E31"/>
    <w:rsid w:val="004E08CE"/>
    <w:rsid w:val="004E2061"/>
    <w:rsid w:val="004E68A9"/>
    <w:rsid w:val="004F40EF"/>
    <w:rsid w:val="004F6874"/>
    <w:rsid w:val="00500438"/>
    <w:rsid w:val="0050194C"/>
    <w:rsid w:val="0050224F"/>
    <w:rsid w:val="005022D2"/>
    <w:rsid w:val="00505F68"/>
    <w:rsid w:val="0050781C"/>
    <w:rsid w:val="00510EF3"/>
    <w:rsid w:val="00511A9E"/>
    <w:rsid w:val="00512C7B"/>
    <w:rsid w:val="00522EC9"/>
    <w:rsid w:val="00524A89"/>
    <w:rsid w:val="00524FB4"/>
    <w:rsid w:val="00526AAE"/>
    <w:rsid w:val="00527926"/>
    <w:rsid w:val="005310D1"/>
    <w:rsid w:val="005312A0"/>
    <w:rsid w:val="005347AA"/>
    <w:rsid w:val="00535529"/>
    <w:rsid w:val="00535E5E"/>
    <w:rsid w:val="00536AAB"/>
    <w:rsid w:val="00540BAF"/>
    <w:rsid w:val="00540D73"/>
    <w:rsid w:val="00540DE4"/>
    <w:rsid w:val="00540E57"/>
    <w:rsid w:val="00553C39"/>
    <w:rsid w:val="005601EF"/>
    <w:rsid w:val="005750D4"/>
    <w:rsid w:val="00582DED"/>
    <w:rsid w:val="00584710"/>
    <w:rsid w:val="00585099"/>
    <w:rsid w:val="00585CCD"/>
    <w:rsid w:val="00592854"/>
    <w:rsid w:val="005943E3"/>
    <w:rsid w:val="005977AB"/>
    <w:rsid w:val="005A3DCE"/>
    <w:rsid w:val="005A4DB2"/>
    <w:rsid w:val="005B4289"/>
    <w:rsid w:val="005B78B6"/>
    <w:rsid w:val="005C2877"/>
    <w:rsid w:val="005C2BCF"/>
    <w:rsid w:val="005D6488"/>
    <w:rsid w:val="005E1C89"/>
    <w:rsid w:val="005E2CAE"/>
    <w:rsid w:val="005E7462"/>
    <w:rsid w:val="005F4110"/>
    <w:rsid w:val="005F6155"/>
    <w:rsid w:val="005F6C36"/>
    <w:rsid w:val="005F78BC"/>
    <w:rsid w:val="00611E89"/>
    <w:rsid w:val="006140BE"/>
    <w:rsid w:val="00614455"/>
    <w:rsid w:val="00614E3D"/>
    <w:rsid w:val="0062095C"/>
    <w:rsid w:val="00631A49"/>
    <w:rsid w:val="00634FD1"/>
    <w:rsid w:val="0064447F"/>
    <w:rsid w:val="0064490F"/>
    <w:rsid w:val="006456D6"/>
    <w:rsid w:val="00653C46"/>
    <w:rsid w:val="00654AB0"/>
    <w:rsid w:val="00654B10"/>
    <w:rsid w:val="00655093"/>
    <w:rsid w:val="00663DC2"/>
    <w:rsid w:val="006726A0"/>
    <w:rsid w:val="00672975"/>
    <w:rsid w:val="0067323B"/>
    <w:rsid w:val="00682A16"/>
    <w:rsid w:val="00684C27"/>
    <w:rsid w:val="00685E44"/>
    <w:rsid w:val="00685E4F"/>
    <w:rsid w:val="00692159"/>
    <w:rsid w:val="006926E4"/>
    <w:rsid w:val="00695D8D"/>
    <w:rsid w:val="00695F0C"/>
    <w:rsid w:val="0069641C"/>
    <w:rsid w:val="006A3896"/>
    <w:rsid w:val="006A38AD"/>
    <w:rsid w:val="006A6687"/>
    <w:rsid w:val="006B07FE"/>
    <w:rsid w:val="006B3629"/>
    <w:rsid w:val="006B5417"/>
    <w:rsid w:val="006B5616"/>
    <w:rsid w:val="006C0AFA"/>
    <w:rsid w:val="006C2106"/>
    <w:rsid w:val="006C2BE0"/>
    <w:rsid w:val="006C41B4"/>
    <w:rsid w:val="006C6081"/>
    <w:rsid w:val="006C6095"/>
    <w:rsid w:val="006D4371"/>
    <w:rsid w:val="006E16A8"/>
    <w:rsid w:val="006E1DAB"/>
    <w:rsid w:val="006E4F0A"/>
    <w:rsid w:val="006F2A3E"/>
    <w:rsid w:val="006F350D"/>
    <w:rsid w:val="006F63BA"/>
    <w:rsid w:val="00700BDD"/>
    <w:rsid w:val="00703296"/>
    <w:rsid w:val="00707458"/>
    <w:rsid w:val="00711DF9"/>
    <w:rsid w:val="00711EE3"/>
    <w:rsid w:val="00713578"/>
    <w:rsid w:val="0072011B"/>
    <w:rsid w:val="00720307"/>
    <w:rsid w:val="00722D74"/>
    <w:rsid w:val="00724824"/>
    <w:rsid w:val="00730616"/>
    <w:rsid w:val="00733658"/>
    <w:rsid w:val="00737787"/>
    <w:rsid w:val="00741766"/>
    <w:rsid w:val="0075097A"/>
    <w:rsid w:val="00750A4D"/>
    <w:rsid w:val="00750F3F"/>
    <w:rsid w:val="007516A5"/>
    <w:rsid w:val="0075302A"/>
    <w:rsid w:val="00753535"/>
    <w:rsid w:val="00754738"/>
    <w:rsid w:val="00756EFF"/>
    <w:rsid w:val="0076189C"/>
    <w:rsid w:val="007623B7"/>
    <w:rsid w:val="00772B4E"/>
    <w:rsid w:val="00775AE6"/>
    <w:rsid w:val="00776C20"/>
    <w:rsid w:val="007805E1"/>
    <w:rsid w:val="007812EB"/>
    <w:rsid w:val="007835FE"/>
    <w:rsid w:val="00784755"/>
    <w:rsid w:val="0078581C"/>
    <w:rsid w:val="007907FF"/>
    <w:rsid w:val="007A2D77"/>
    <w:rsid w:val="007A37D1"/>
    <w:rsid w:val="007B50A7"/>
    <w:rsid w:val="007C0206"/>
    <w:rsid w:val="007C1B85"/>
    <w:rsid w:val="007C3E4D"/>
    <w:rsid w:val="007C6C36"/>
    <w:rsid w:val="007C76F3"/>
    <w:rsid w:val="007D0C70"/>
    <w:rsid w:val="007D1282"/>
    <w:rsid w:val="007D3E2A"/>
    <w:rsid w:val="007D7C07"/>
    <w:rsid w:val="007E2F7A"/>
    <w:rsid w:val="007E68A0"/>
    <w:rsid w:val="007E7245"/>
    <w:rsid w:val="007F13ED"/>
    <w:rsid w:val="007F3793"/>
    <w:rsid w:val="007F54E3"/>
    <w:rsid w:val="007F62AD"/>
    <w:rsid w:val="007F6E7B"/>
    <w:rsid w:val="00801456"/>
    <w:rsid w:val="0080310E"/>
    <w:rsid w:val="00803FF2"/>
    <w:rsid w:val="008072F5"/>
    <w:rsid w:val="00816883"/>
    <w:rsid w:val="00816995"/>
    <w:rsid w:val="00817C0A"/>
    <w:rsid w:val="008242A9"/>
    <w:rsid w:val="0082653E"/>
    <w:rsid w:val="00827286"/>
    <w:rsid w:val="00831D6F"/>
    <w:rsid w:val="0083273D"/>
    <w:rsid w:val="0083303C"/>
    <w:rsid w:val="008462A6"/>
    <w:rsid w:val="0084695A"/>
    <w:rsid w:val="00846E91"/>
    <w:rsid w:val="00850217"/>
    <w:rsid w:val="00853515"/>
    <w:rsid w:val="00854038"/>
    <w:rsid w:val="00854900"/>
    <w:rsid w:val="00855880"/>
    <w:rsid w:val="008578F8"/>
    <w:rsid w:val="00860A9B"/>
    <w:rsid w:val="00861392"/>
    <w:rsid w:val="008749FD"/>
    <w:rsid w:val="008759C4"/>
    <w:rsid w:val="0088366A"/>
    <w:rsid w:val="00890BBB"/>
    <w:rsid w:val="0089183E"/>
    <w:rsid w:val="0089218D"/>
    <w:rsid w:val="008935B2"/>
    <w:rsid w:val="00895C1F"/>
    <w:rsid w:val="0089720C"/>
    <w:rsid w:val="00897B0A"/>
    <w:rsid w:val="008A04D2"/>
    <w:rsid w:val="008A0639"/>
    <w:rsid w:val="008A3403"/>
    <w:rsid w:val="008A388C"/>
    <w:rsid w:val="008A3D3D"/>
    <w:rsid w:val="008A5138"/>
    <w:rsid w:val="008A7BEA"/>
    <w:rsid w:val="008B5CC7"/>
    <w:rsid w:val="008B5EE7"/>
    <w:rsid w:val="008B60C2"/>
    <w:rsid w:val="008B62FE"/>
    <w:rsid w:val="008B65E5"/>
    <w:rsid w:val="008C076D"/>
    <w:rsid w:val="008C4E52"/>
    <w:rsid w:val="008C5D8C"/>
    <w:rsid w:val="008D1F12"/>
    <w:rsid w:val="008D3E07"/>
    <w:rsid w:val="008D65F3"/>
    <w:rsid w:val="008E08F8"/>
    <w:rsid w:val="008F7426"/>
    <w:rsid w:val="00901549"/>
    <w:rsid w:val="00901DC9"/>
    <w:rsid w:val="009024CE"/>
    <w:rsid w:val="00902C1B"/>
    <w:rsid w:val="00903420"/>
    <w:rsid w:val="00907B07"/>
    <w:rsid w:val="00911B06"/>
    <w:rsid w:val="00913B06"/>
    <w:rsid w:val="00914FE7"/>
    <w:rsid w:val="00915C8C"/>
    <w:rsid w:val="009178B2"/>
    <w:rsid w:val="00920762"/>
    <w:rsid w:val="00920CE4"/>
    <w:rsid w:val="009217F6"/>
    <w:rsid w:val="009221F1"/>
    <w:rsid w:val="0092433E"/>
    <w:rsid w:val="009252F0"/>
    <w:rsid w:val="00925493"/>
    <w:rsid w:val="00926354"/>
    <w:rsid w:val="00926E54"/>
    <w:rsid w:val="0093184F"/>
    <w:rsid w:val="009322E1"/>
    <w:rsid w:val="00932A93"/>
    <w:rsid w:val="00934414"/>
    <w:rsid w:val="00934C51"/>
    <w:rsid w:val="00935C36"/>
    <w:rsid w:val="00935F6D"/>
    <w:rsid w:val="0093681C"/>
    <w:rsid w:val="00937E85"/>
    <w:rsid w:val="009446A8"/>
    <w:rsid w:val="00945CD3"/>
    <w:rsid w:val="00946593"/>
    <w:rsid w:val="00950EB9"/>
    <w:rsid w:val="00951EC5"/>
    <w:rsid w:val="00955753"/>
    <w:rsid w:val="00956704"/>
    <w:rsid w:val="00961FC2"/>
    <w:rsid w:val="009623E8"/>
    <w:rsid w:val="009624C0"/>
    <w:rsid w:val="009653BE"/>
    <w:rsid w:val="00970381"/>
    <w:rsid w:val="00970739"/>
    <w:rsid w:val="00972595"/>
    <w:rsid w:val="00974455"/>
    <w:rsid w:val="00976DE8"/>
    <w:rsid w:val="00990D59"/>
    <w:rsid w:val="00995CCD"/>
    <w:rsid w:val="009A0249"/>
    <w:rsid w:val="009A0B57"/>
    <w:rsid w:val="009A275E"/>
    <w:rsid w:val="009A2B35"/>
    <w:rsid w:val="009B173A"/>
    <w:rsid w:val="009B1B9F"/>
    <w:rsid w:val="009B27FF"/>
    <w:rsid w:val="009B2915"/>
    <w:rsid w:val="009B4D1A"/>
    <w:rsid w:val="009B5110"/>
    <w:rsid w:val="009B77AC"/>
    <w:rsid w:val="009C3440"/>
    <w:rsid w:val="009C6804"/>
    <w:rsid w:val="009C6EC3"/>
    <w:rsid w:val="009D08FB"/>
    <w:rsid w:val="009D17BA"/>
    <w:rsid w:val="009D24CA"/>
    <w:rsid w:val="009D2ACE"/>
    <w:rsid w:val="009D4485"/>
    <w:rsid w:val="009D69EA"/>
    <w:rsid w:val="009E74C3"/>
    <w:rsid w:val="009E7A85"/>
    <w:rsid w:val="009F0801"/>
    <w:rsid w:val="00A0555E"/>
    <w:rsid w:val="00A079F5"/>
    <w:rsid w:val="00A112D6"/>
    <w:rsid w:val="00A113C2"/>
    <w:rsid w:val="00A15678"/>
    <w:rsid w:val="00A17C45"/>
    <w:rsid w:val="00A17D1B"/>
    <w:rsid w:val="00A2072A"/>
    <w:rsid w:val="00A23B9F"/>
    <w:rsid w:val="00A25A1B"/>
    <w:rsid w:val="00A32306"/>
    <w:rsid w:val="00A323C2"/>
    <w:rsid w:val="00A33D19"/>
    <w:rsid w:val="00A34BFA"/>
    <w:rsid w:val="00A34CB1"/>
    <w:rsid w:val="00A3533C"/>
    <w:rsid w:val="00A3560C"/>
    <w:rsid w:val="00A36513"/>
    <w:rsid w:val="00A37359"/>
    <w:rsid w:val="00A40255"/>
    <w:rsid w:val="00A4334A"/>
    <w:rsid w:val="00A4512D"/>
    <w:rsid w:val="00A47129"/>
    <w:rsid w:val="00A538C7"/>
    <w:rsid w:val="00A54BD2"/>
    <w:rsid w:val="00A56385"/>
    <w:rsid w:val="00A60542"/>
    <w:rsid w:val="00A607D6"/>
    <w:rsid w:val="00A60D15"/>
    <w:rsid w:val="00A61E5D"/>
    <w:rsid w:val="00A62D21"/>
    <w:rsid w:val="00A64B93"/>
    <w:rsid w:val="00A65278"/>
    <w:rsid w:val="00A67556"/>
    <w:rsid w:val="00A709FC"/>
    <w:rsid w:val="00A7555F"/>
    <w:rsid w:val="00A77134"/>
    <w:rsid w:val="00A80492"/>
    <w:rsid w:val="00A80FCE"/>
    <w:rsid w:val="00A834C1"/>
    <w:rsid w:val="00A87085"/>
    <w:rsid w:val="00A901BD"/>
    <w:rsid w:val="00A93FA5"/>
    <w:rsid w:val="00AA05F9"/>
    <w:rsid w:val="00AA1902"/>
    <w:rsid w:val="00AA1DBD"/>
    <w:rsid w:val="00AA6CFD"/>
    <w:rsid w:val="00AB56B0"/>
    <w:rsid w:val="00AB6521"/>
    <w:rsid w:val="00AC2995"/>
    <w:rsid w:val="00AC6746"/>
    <w:rsid w:val="00AC678B"/>
    <w:rsid w:val="00AC78F4"/>
    <w:rsid w:val="00AD1059"/>
    <w:rsid w:val="00AD401D"/>
    <w:rsid w:val="00AD49D4"/>
    <w:rsid w:val="00AD4CE1"/>
    <w:rsid w:val="00AD4D25"/>
    <w:rsid w:val="00AD6CB7"/>
    <w:rsid w:val="00AD76AB"/>
    <w:rsid w:val="00AD7F7E"/>
    <w:rsid w:val="00AE0819"/>
    <w:rsid w:val="00AE23C2"/>
    <w:rsid w:val="00AE3DEE"/>
    <w:rsid w:val="00AE5A78"/>
    <w:rsid w:val="00AE7422"/>
    <w:rsid w:val="00AF23DC"/>
    <w:rsid w:val="00AF3819"/>
    <w:rsid w:val="00B0056E"/>
    <w:rsid w:val="00B01A07"/>
    <w:rsid w:val="00B024D3"/>
    <w:rsid w:val="00B02886"/>
    <w:rsid w:val="00B02D4B"/>
    <w:rsid w:val="00B04746"/>
    <w:rsid w:val="00B06291"/>
    <w:rsid w:val="00B06FE6"/>
    <w:rsid w:val="00B11CEF"/>
    <w:rsid w:val="00B20813"/>
    <w:rsid w:val="00B21BD9"/>
    <w:rsid w:val="00B2364A"/>
    <w:rsid w:val="00B32768"/>
    <w:rsid w:val="00B32AD1"/>
    <w:rsid w:val="00B35222"/>
    <w:rsid w:val="00B37317"/>
    <w:rsid w:val="00B4296E"/>
    <w:rsid w:val="00B4365B"/>
    <w:rsid w:val="00B44515"/>
    <w:rsid w:val="00B44AA6"/>
    <w:rsid w:val="00B44AD8"/>
    <w:rsid w:val="00B57C7F"/>
    <w:rsid w:val="00B67499"/>
    <w:rsid w:val="00B7021E"/>
    <w:rsid w:val="00B72031"/>
    <w:rsid w:val="00B740C4"/>
    <w:rsid w:val="00B76D0D"/>
    <w:rsid w:val="00B824E2"/>
    <w:rsid w:val="00B834FF"/>
    <w:rsid w:val="00B83540"/>
    <w:rsid w:val="00B858F7"/>
    <w:rsid w:val="00B8782B"/>
    <w:rsid w:val="00B96BBA"/>
    <w:rsid w:val="00BA03DC"/>
    <w:rsid w:val="00BA6854"/>
    <w:rsid w:val="00BB2416"/>
    <w:rsid w:val="00BB2DA3"/>
    <w:rsid w:val="00BB373D"/>
    <w:rsid w:val="00BB3971"/>
    <w:rsid w:val="00BB4FE9"/>
    <w:rsid w:val="00BC0DC4"/>
    <w:rsid w:val="00BC44E6"/>
    <w:rsid w:val="00BC65F8"/>
    <w:rsid w:val="00BD30A1"/>
    <w:rsid w:val="00BE0919"/>
    <w:rsid w:val="00BE63C5"/>
    <w:rsid w:val="00BE63D1"/>
    <w:rsid w:val="00BE75D0"/>
    <w:rsid w:val="00BE7C79"/>
    <w:rsid w:val="00BE7F1D"/>
    <w:rsid w:val="00BF0984"/>
    <w:rsid w:val="00BF6FDE"/>
    <w:rsid w:val="00C019DA"/>
    <w:rsid w:val="00C01F1C"/>
    <w:rsid w:val="00C02FDA"/>
    <w:rsid w:val="00C03E0E"/>
    <w:rsid w:val="00C04DB9"/>
    <w:rsid w:val="00C100AD"/>
    <w:rsid w:val="00C10AC8"/>
    <w:rsid w:val="00C13997"/>
    <w:rsid w:val="00C1564C"/>
    <w:rsid w:val="00C205EA"/>
    <w:rsid w:val="00C229EE"/>
    <w:rsid w:val="00C25356"/>
    <w:rsid w:val="00C2614E"/>
    <w:rsid w:val="00C26243"/>
    <w:rsid w:val="00C26B49"/>
    <w:rsid w:val="00C36707"/>
    <w:rsid w:val="00C40A1B"/>
    <w:rsid w:val="00C40F3D"/>
    <w:rsid w:val="00C41BA8"/>
    <w:rsid w:val="00C44E87"/>
    <w:rsid w:val="00C46EB1"/>
    <w:rsid w:val="00C52D26"/>
    <w:rsid w:val="00C562C7"/>
    <w:rsid w:val="00C662EC"/>
    <w:rsid w:val="00C676AB"/>
    <w:rsid w:val="00C720C0"/>
    <w:rsid w:val="00C7353D"/>
    <w:rsid w:val="00C76582"/>
    <w:rsid w:val="00C815F1"/>
    <w:rsid w:val="00C854E6"/>
    <w:rsid w:val="00C8617C"/>
    <w:rsid w:val="00C90C0A"/>
    <w:rsid w:val="00C93632"/>
    <w:rsid w:val="00C93B10"/>
    <w:rsid w:val="00C93B11"/>
    <w:rsid w:val="00C93E89"/>
    <w:rsid w:val="00C93F4F"/>
    <w:rsid w:val="00C9623B"/>
    <w:rsid w:val="00C96D2E"/>
    <w:rsid w:val="00C97914"/>
    <w:rsid w:val="00CA196A"/>
    <w:rsid w:val="00CA4BF3"/>
    <w:rsid w:val="00CB32F5"/>
    <w:rsid w:val="00CB376B"/>
    <w:rsid w:val="00CB49E3"/>
    <w:rsid w:val="00CB6F70"/>
    <w:rsid w:val="00CC0F7D"/>
    <w:rsid w:val="00CC1184"/>
    <w:rsid w:val="00CD1D4E"/>
    <w:rsid w:val="00CD26AC"/>
    <w:rsid w:val="00CD47E6"/>
    <w:rsid w:val="00CD4D42"/>
    <w:rsid w:val="00CD4FFC"/>
    <w:rsid w:val="00CD70D6"/>
    <w:rsid w:val="00CE0065"/>
    <w:rsid w:val="00CE068D"/>
    <w:rsid w:val="00CE3EF8"/>
    <w:rsid w:val="00CE4FA2"/>
    <w:rsid w:val="00CE7C4D"/>
    <w:rsid w:val="00CF3AFB"/>
    <w:rsid w:val="00CF44E8"/>
    <w:rsid w:val="00D020E4"/>
    <w:rsid w:val="00D03944"/>
    <w:rsid w:val="00D062AD"/>
    <w:rsid w:val="00D0785C"/>
    <w:rsid w:val="00D11F5C"/>
    <w:rsid w:val="00D14450"/>
    <w:rsid w:val="00D1516E"/>
    <w:rsid w:val="00D21A18"/>
    <w:rsid w:val="00D2653D"/>
    <w:rsid w:val="00D26CA3"/>
    <w:rsid w:val="00D307D8"/>
    <w:rsid w:val="00D317F3"/>
    <w:rsid w:val="00D31B8A"/>
    <w:rsid w:val="00D32207"/>
    <w:rsid w:val="00D33378"/>
    <w:rsid w:val="00D34FB1"/>
    <w:rsid w:val="00D34FDB"/>
    <w:rsid w:val="00D35ED9"/>
    <w:rsid w:val="00D40357"/>
    <w:rsid w:val="00D44200"/>
    <w:rsid w:val="00D45E43"/>
    <w:rsid w:val="00D51426"/>
    <w:rsid w:val="00D53E16"/>
    <w:rsid w:val="00D55D34"/>
    <w:rsid w:val="00D55E6C"/>
    <w:rsid w:val="00D568DA"/>
    <w:rsid w:val="00D60693"/>
    <w:rsid w:val="00D60D34"/>
    <w:rsid w:val="00D61077"/>
    <w:rsid w:val="00D62398"/>
    <w:rsid w:val="00D630B7"/>
    <w:rsid w:val="00D659DB"/>
    <w:rsid w:val="00D67C5E"/>
    <w:rsid w:val="00D7450A"/>
    <w:rsid w:val="00D75DFF"/>
    <w:rsid w:val="00D769A9"/>
    <w:rsid w:val="00D8560F"/>
    <w:rsid w:val="00D864BD"/>
    <w:rsid w:val="00D86DD3"/>
    <w:rsid w:val="00D86E30"/>
    <w:rsid w:val="00D87B4D"/>
    <w:rsid w:val="00D93EB9"/>
    <w:rsid w:val="00D97A54"/>
    <w:rsid w:val="00DA39AD"/>
    <w:rsid w:val="00DA4A58"/>
    <w:rsid w:val="00DA5666"/>
    <w:rsid w:val="00DB02B2"/>
    <w:rsid w:val="00DB417C"/>
    <w:rsid w:val="00DB6D08"/>
    <w:rsid w:val="00DB7914"/>
    <w:rsid w:val="00DC3061"/>
    <w:rsid w:val="00DC40EC"/>
    <w:rsid w:val="00DC451F"/>
    <w:rsid w:val="00DC50F6"/>
    <w:rsid w:val="00DD05F3"/>
    <w:rsid w:val="00DD4851"/>
    <w:rsid w:val="00DD5AA1"/>
    <w:rsid w:val="00DD5BBD"/>
    <w:rsid w:val="00DD5BBF"/>
    <w:rsid w:val="00DE0003"/>
    <w:rsid w:val="00DE32F2"/>
    <w:rsid w:val="00DF4AB0"/>
    <w:rsid w:val="00DF4D47"/>
    <w:rsid w:val="00DF672A"/>
    <w:rsid w:val="00DF7D97"/>
    <w:rsid w:val="00E0004B"/>
    <w:rsid w:val="00E01885"/>
    <w:rsid w:val="00E03593"/>
    <w:rsid w:val="00E0506A"/>
    <w:rsid w:val="00E12944"/>
    <w:rsid w:val="00E136C7"/>
    <w:rsid w:val="00E15D47"/>
    <w:rsid w:val="00E15F05"/>
    <w:rsid w:val="00E170F2"/>
    <w:rsid w:val="00E20A0A"/>
    <w:rsid w:val="00E24B52"/>
    <w:rsid w:val="00E32B62"/>
    <w:rsid w:val="00E352C4"/>
    <w:rsid w:val="00E42658"/>
    <w:rsid w:val="00E42933"/>
    <w:rsid w:val="00E43312"/>
    <w:rsid w:val="00E449DF"/>
    <w:rsid w:val="00E47F70"/>
    <w:rsid w:val="00E50009"/>
    <w:rsid w:val="00E54F19"/>
    <w:rsid w:val="00E556C2"/>
    <w:rsid w:val="00E56A14"/>
    <w:rsid w:val="00E62135"/>
    <w:rsid w:val="00E65806"/>
    <w:rsid w:val="00E66299"/>
    <w:rsid w:val="00E67D25"/>
    <w:rsid w:val="00E72BC3"/>
    <w:rsid w:val="00E74C56"/>
    <w:rsid w:val="00E74E94"/>
    <w:rsid w:val="00E83B61"/>
    <w:rsid w:val="00E84A0D"/>
    <w:rsid w:val="00E869F4"/>
    <w:rsid w:val="00E86E24"/>
    <w:rsid w:val="00E91DF1"/>
    <w:rsid w:val="00EA27A8"/>
    <w:rsid w:val="00EA2AAE"/>
    <w:rsid w:val="00EB176D"/>
    <w:rsid w:val="00EB30CB"/>
    <w:rsid w:val="00EB6625"/>
    <w:rsid w:val="00EB757F"/>
    <w:rsid w:val="00EB798F"/>
    <w:rsid w:val="00EC12C8"/>
    <w:rsid w:val="00EC6DE3"/>
    <w:rsid w:val="00EC7937"/>
    <w:rsid w:val="00ED0173"/>
    <w:rsid w:val="00ED02D8"/>
    <w:rsid w:val="00ED0B0A"/>
    <w:rsid w:val="00ED49B3"/>
    <w:rsid w:val="00ED626E"/>
    <w:rsid w:val="00ED736D"/>
    <w:rsid w:val="00EE0441"/>
    <w:rsid w:val="00EE1DEF"/>
    <w:rsid w:val="00EE1F20"/>
    <w:rsid w:val="00EF1553"/>
    <w:rsid w:val="00EF5014"/>
    <w:rsid w:val="00F114DB"/>
    <w:rsid w:val="00F1534F"/>
    <w:rsid w:val="00F20F1A"/>
    <w:rsid w:val="00F21D7C"/>
    <w:rsid w:val="00F22390"/>
    <w:rsid w:val="00F23C9A"/>
    <w:rsid w:val="00F23E48"/>
    <w:rsid w:val="00F2599C"/>
    <w:rsid w:val="00F31C30"/>
    <w:rsid w:val="00F34D27"/>
    <w:rsid w:val="00F34F2E"/>
    <w:rsid w:val="00F34FE9"/>
    <w:rsid w:val="00F3544D"/>
    <w:rsid w:val="00F366E8"/>
    <w:rsid w:val="00F45B49"/>
    <w:rsid w:val="00F4670E"/>
    <w:rsid w:val="00F504F9"/>
    <w:rsid w:val="00F54946"/>
    <w:rsid w:val="00F55E1E"/>
    <w:rsid w:val="00F674E0"/>
    <w:rsid w:val="00F71E13"/>
    <w:rsid w:val="00F72A14"/>
    <w:rsid w:val="00F7362B"/>
    <w:rsid w:val="00F760AF"/>
    <w:rsid w:val="00F80773"/>
    <w:rsid w:val="00F80E1F"/>
    <w:rsid w:val="00F853C6"/>
    <w:rsid w:val="00F86FFE"/>
    <w:rsid w:val="00F87672"/>
    <w:rsid w:val="00F975F0"/>
    <w:rsid w:val="00FA4F6F"/>
    <w:rsid w:val="00FA6A03"/>
    <w:rsid w:val="00FA6F32"/>
    <w:rsid w:val="00FB2DEB"/>
    <w:rsid w:val="00FB42E7"/>
    <w:rsid w:val="00FB4EE4"/>
    <w:rsid w:val="00FB703B"/>
    <w:rsid w:val="00FC185F"/>
    <w:rsid w:val="00FC358F"/>
    <w:rsid w:val="00FC582B"/>
    <w:rsid w:val="00FC5CA0"/>
    <w:rsid w:val="00FC7060"/>
    <w:rsid w:val="00FD293B"/>
    <w:rsid w:val="00FD397C"/>
    <w:rsid w:val="00FD43D0"/>
    <w:rsid w:val="00FD566F"/>
    <w:rsid w:val="00FD6515"/>
    <w:rsid w:val="00FE118E"/>
    <w:rsid w:val="00FE5A8C"/>
    <w:rsid w:val="00FE68EC"/>
    <w:rsid w:val="00FE7501"/>
    <w:rsid w:val="00FF4AF7"/>
    <w:rsid w:val="044C6BA3"/>
    <w:rsid w:val="0ABF4893"/>
    <w:rsid w:val="0C89471E"/>
    <w:rsid w:val="0CF204A7"/>
    <w:rsid w:val="0E224A4D"/>
    <w:rsid w:val="0FCE4B75"/>
    <w:rsid w:val="0FD905A5"/>
    <w:rsid w:val="13254136"/>
    <w:rsid w:val="13765911"/>
    <w:rsid w:val="14DA2A05"/>
    <w:rsid w:val="15663828"/>
    <w:rsid w:val="17930897"/>
    <w:rsid w:val="1A2124D0"/>
    <w:rsid w:val="1C800D95"/>
    <w:rsid w:val="1D3602F3"/>
    <w:rsid w:val="1E3845A0"/>
    <w:rsid w:val="21A81410"/>
    <w:rsid w:val="25310F41"/>
    <w:rsid w:val="25DA54B1"/>
    <w:rsid w:val="28F22C3A"/>
    <w:rsid w:val="295419DA"/>
    <w:rsid w:val="29B638E7"/>
    <w:rsid w:val="29EC66D5"/>
    <w:rsid w:val="2A8F5EDF"/>
    <w:rsid w:val="2C054CC2"/>
    <w:rsid w:val="2C85529B"/>
    <w:rsid w:val="2D55158F"/>
    <w:rsid w:val="2E334DDB"/>
    <w:rsid w:val="2ED67E68"/>
    <w:rsid w:val="31460AAF"/>
    <w:rsid w:val="32CE1F64"/>
    <w:rsid w:val="32D21B2D"/>
    <w:rsid w:val="34663BAE"/>
    <w:rsid w:val="34FD1EFB"/>
    <w:rsid w:val="351878F6"/>
    <w:rsid w:val="35AA3319"/>
    <w:rsid w:val="35AB66C9"/>
    <w:rsid w:val="366D46DB"/>
    <w:rsid w:val="382B20B3"/>
    <w:rsid w:val="3DF6D6B1"/>
    <w:rsid w:val="3E03729F"/>
    <w:rsid w:val="3F0874F8"/>
    <w:rsid w:val="3FDA2511"/>
    <w:rsid w:val="42BE6118"/>
    <w:rsid w:val="43251536"/>
    <w:rsid w:val="43CE59EE"/>
    <w:rsid w:val="441F70A8"/>
    <w:rsid w:val="448C1D82"/>
    <w:rsid w:val="47567AE7"/>
    <w:rsid w:val="4A8536D2"/>
    <w:rsid w:val="4BED3F1E"/>
    <w:rsid w:val="4BF722AF"/>
    <w:rsid w:val="4CA536CC"/>
    <w:rsid w:val="4FA871BC"/>
    <w:rsid w:val="50B04BE2"/>
    <w:rsid w:val="52A27CAC"/>
    <w:rsid w:val="56DFE8CE"/>
    <w:rsid w:val="57A027D0"/>
    <w:rsid w:val="585F320A"/>
    <w:rsid w:val="59D312F8"/>
    <w:rsid w:val="59FB4278"/>
    <w:rsid w:val="5A337E64"/>
    <w:rsid w:val="5E860CA8"/>
    <w:rsid w:val="5F7F01DB"/>
    <w:rsid w:val="5FDC203D"/>
    <w:rsid w:val="60733548"/>
    <w:rsid w:val="60C93F57"/>
    <w:rsid w:val="61407419"/>
    <w:rsid w:val="63137B85"/>
    <w:rsid w:val="63933881"/>
    <w:rsid w:val="63EB60FE"/>
    <w:rsid w:val="660A2875"/>
    <w:rsid w:val="66291282"/>
    <w:rsid w:val="66FB3812"/>
    <w:rsid w:val="675A6D1E"/>
    <w:rsid w:val="685427BA"/>
    <w:rsid w:val="69023BD7"/>
    <w:rsid w:val="69283EDB"/>
    <w:rsid w:val="692F613C"/>
    <w:rsid w:val="6D2B3C26"/>
    <w:rsid w:val="6DED70B8"/>
    <w:rsid w:val="6F3D238D"/>
    <w:rsid w:val="6F6F7FF8"/>
    <w:rsid w:val="70DB2F90"/>
    <w:rsid w:val="739FAE3A"/>
    <w:rsid w:val="77292DCB"/>
    <w:rsid w:val="783D4DAB"/>
    <w:rsid w:val="78FB02D1"/>
    <w:rsid w:val="7A6413DB"/>
    <w:rsid w:val="7BDDC956"/>
    <w:rsid w:val="7BE33235"/>
    <w:rsid w:val="7CFA1C46"/>
    <w:rsid w:val="7CFFE2D2"/>
    <w:rsid w:val="7EDC4249"/>
    <w:rsid w:val="7EDF830E"/>
    <w:rsid w:val="7FBEF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19E86949"/>
  <w15:docId w15:val="{090FD9EB-D54B-42FE-BA6D-A4AE8473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99" w:unhideWhenUsed="1" w:qFormat="1"/>
    <w:lsdException w:name="header" w:uiPriority="99"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qFormat/>
    <w:pPr>
      <w:keepNext/>
      <w:keepLines/>
      <w:widowControl w:val="0"/>
      <w:spacing w:before="260" w:after="260" w:line="416" w:lineRule="auto"/>
      <w:jc w:val="both"/>
      <w:outlineLvl w:val="1"/>
    </w:pPr>
    <w:rPr>
      <w:rFonts w:ascii="Cambria" w:eastAsia="楷体" w:hAnsi="Cambria" w:cs="Times New Roman"/>
      <w:b/>
      <w:bCs/>
      <w:kern w:val="2"/>
      <w:sz w:val="32"/>
      <w:szCs w:val="32"/>
    </w:rPr>
  </w:style>
  <w:style w:type="paragraph" w:styleId="3">
    <w:name w:val="heading 3"/>
    <w:basedOn w:val="a"/>
    <w:next w:val="a"/>
    <w:link w:val="30"/>
    <w:qFormat/>
    <w:pPr>
      <w:keepNext/>
      <w:keepLines/>
      <w:widowControl w:val="0"/>
      <w:spacing w:before="260" w:after="260" w:line="416" w:lineRule="auto"/>
      <w:jc w:val="both"/>
      <w:outlineLvl w:val="2"/>
    </w:pPr>
    <w:rPr>
      <w:rFonts w:ascii="Times New Roman" w:hAnsi="Times New Roman" w:cs="Times New Roman"/>
      <w:b/>
      <w:bCs/>
      <w:kern w:val="2"/>
      <w:sz w:val="32"/>
      <w:szCs w:val="32"/>
    </w:rPr>
  </w:style>
  <w:style w:type="paragraph" w:styleId="4">
    <w:name w:val="heading 4"/>
    <w:basedOn w:val="a"/>
    <w:next w:val="a"/>
    <w:link w:val="40"/>
    <w:uiPriority w:val="9"/>
    <w:qFormat/>
    <w:pPr>
      <w:keepNext/>
      <w:keepLines/>
      <w:widowControl w:val="0"/>
      <w:spacing w:before="280" w:after="290" w:line="376" w:lineRule="auto"/>
      <w:jc w:val="both"/>
      <w:outlineLvl w:val="3"/>
    </w:pPr>
    <w:rPr>
      <w:rFonts w:ascii="Cambria" w:hAnsi="Cambria" w:cs="黑体"/>
      <w:b/>
      <w:bCs/>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Normal Indent"/>
    <w:basedOn w:val="a"/>
    <w:link w:val="a5"/>
    <w:qFormat/>
    <w:pPr>
      <w:widowControl w:val="0"/>
      <w:adjustRightInd w:val="0"/>
      <w:snapToGrid w:val="0"/>
      <w:spacing w:line="300" w:lineRule="auto"/>
      <w:ind w:firstLine="420"/>
      <w:jc w:val="both"/>
      <w:textAlignment w:val="baseline"/>
    </w:pPr>
    <w:rPr>
      <w:rFonts w:ascii="Times New Roman" w:hAnsi="Times New Roman" w:cs="Times New Roman"/>
      <w:lang w:val="zh-CN"/>
    </w:rPr>
  </w:style>
  <w:style w:type="paragraph" w:styleId="a6">
    <w:name w:val="Document Map"/>
    <w:basedOn w:val="a"/>
    <w:link w:val="a7"/>
    <w:uiPriority w:val="99"/>
    <w:unhideWhenUsed/>
    <w:qFormat/>
    <w:pPr>
      <w:widowControl w:val="0"/>
      <w:jc w:val="both"/>
    </w:pPr>
    <w:rPr>
      <w:rFonts w:hAnsi="Times New Roman" w:cs="Times New Roman"/>
      <w:kern w:val="2"/>
      <w:sz w:val="18"/>
      <w:szCs w:val="18"/>
    </w:rPr>
  </w:style>
  <w:style w:type="paragraph" w:styleId="a8">
    <w:name w:val="annotation text"/>
    <w:basedOn w:val="a"/>
    <w:link w:val="a9"/>
    <w:uiPriority w:val="99"/>
    <w:unhideWhenUsed/>
    <w:qFormat/>
  </w:style>
  <w:style w:type="paragraph" w:styleId="TOC3">
    <w:name w:val="toc 3"/>
    <w:basedOn w:val="a"/>
    <w:next w:val="a"/>
    <w:uiPriority w:val="39"/>
    <w:unhideWhenUsed/>
    <w:qFormat/>
    <w:pPr>
      <w:spacing w:after="100" w:line="276" w:lineRule="auto"/>
      <w:ind w:left="440"/>
    </w:pPr>
    <w:rPr>
      <w:rFonts w:ascii="Calibri" w:hAnsi="Calibri" w:cs="Times New Roman"/>
      <w:sz w:val="22"/>
      <w:szCs w:val="22"/>
    </w:rPr>
  </w:style>
  <w:style w:type="paragraph" w:styleId="aa">
    <w:name w:val="Plain Text"/>
    <w:basedOn w:val="a"/>
    <w:link w:val="ab"/>
    <w:qFormat/>
    <w:pPr>
      <w:widowControl w:val="0"/>
      <w:snapToGrid w:val="0"/>
      <w:ind w:firstLine="482"/>
      <w:jc w:val="both"/>
    </w:pPr>
    <w:rPr>
      <w:rFonts w:hAnsi="Courier New" w:cs="Times New Roman"/>
      <w:kern w:val="2"/>
      <w:sz w:val="21"/>
      <w:szCs w:val="21"/>
    </w:rPr>
  </w:style>
  <w:style w:type="paragraph" w:styleId="ac">
    <w:name w:val="Balloon Text"/>
    <w:basedOn w:val="a"/>
    <w:link w:val="ad"/>
    <w:uiPriority w:val="99"/>
    <w:unhideWhenUsed/>
    <w:qFormat/>
    <w:pPr>
      <w:widowControl w:val="0"/>
      <w:jc w:val="both"/>
    </w:pPr>
    <w:rPr>
      <w:rFonts w:ascii="Times New Roman" w:hAnsi="Times New Roman" w:cs="Times New Roman"/>
      <w:kern w:val="2"/>
      <w:sz w:val="18"/>
      <w:szCs w:val="18"/>
    </w:rPr>
  </w:style>
  <w:style w:type="paragraph" w:styleId="ae">
    <w:name w:val="footer"/>
    <w:basedOn w:val="a"/>
    <w:link w:val="af"/>
    <w:unhideWhenUsed/>
    <w:qFormat/>
    <w:pPr>
      <w:widowControl w:val="0"/>
      <w:tabs>
        <w:tab w:val="center" w:pos="4153"/>
        <w:tab w:val="right" w:pos="8306"/>
      </w:tabs>
      <w:snapToGrid w:val="0"/>
    </w:pPr>
    <w:rPr>
      <w:rFonts w:ascii="Calibri" w:hAnsi="Calibri" w:cs="Times New Roman"/>
      <w:kern w:val="2"/>
      <w:sz w:val="18"/>
      <w:szCs w:val="18"/>
    </w:rPr>
  </w:style>
  <w:style w:type="paragraph" w:styleId="af0">
    <w:name w:val="header"/>
    <w:basedOn w:val="a"/>
    <w:link w:val="af1"/>
    <w:uiPriority w:val="99"/>
    <w:unhideWhenUsed/>
    <w:qFormat/>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paragraph" w:styleId="TOC1">
    <w:name w:val="toc 1"/>
    <w:basedOn w:val="a"/>
    <w:next w:val="a"/>
    <w:uiPriority w:val="39"/>
    <w:unhideWhenUsed/>
    <w:qFormat/>
    <w:pPr>
      <w:spacing w:after="100" w:line="276" w:lineRule="auto"/>
    </w:pPr>
    <w:rPr>
      <w:rFonts w:ascii="Calibri" w:hAnsi="Calibri" w:cs="Times New Roman"/>
      <w:sz w:val="22"/>
      <w:szCs w:val="22"/>
    </w:rPr>
  </w:style>
  <w:style w:type="paragraph" w:styleId="TOC2">
    <w:name w:val="toc 2"/>
    <w:basedOn w:val="a"/>
    <w:next w:val="a"/>
    <w:uiPriority w:val="39"/>
    <w:unhideWhenUsed/>
    <w:qFormat/>
    <w:pPr>
      <w:spacing w:after="100" w:line="276" w:lineRule="auto"/>
      <w:ind w:left="220"/>
    </w:pPr>
    <w:rPr>
      <w:rFonts w:ascii="Calibri" w:hAnsi="Calibri" w:cs="Times New Roman"/>
      <w:sz w:val="22"/>
      <w:szCs w:val="22"/>
    </w:rPr>
  </w:style>
  <w:style w:type="paragraph" w:styleId="af2">
    <w:name w:val="Normal (Web)"/>
    <w:basedOn w:val="a"/>
    <w:uiPriority w:val="99"/>
    <w:unhideWhenUsed/>
    <w:qFormat/>
    <w:pPr>
      <w:spacing w:before="100" w:beforeAutospacing="1" w:after="100" w:afterAutospacing="1"/>
    </w:pPr>
  </w:style>
  <w:style w:type="paragraph" w:styleId="af3">
    <w:name w:val="annotation subject"/>
    <w:basedOn w:val="a8"/>
    <w:next w:val="a8"/>
    <w:link w:val="af4"/>
    <w:unhideWhenUsed/>
    <w:qFormat/>
    <w:rPr>
      <w:b/>
      <w:bCs/>
    </w:rPr>
  </w:style>
  <w:style w:type="character" w:styleId="af5">
    <w:name w:val="page number"/>
    <w:basedOn w:val="a1"/>
    <w:qFormat/>
  </w:style>
  <w:style w:type="character" w:styleId="af6">
    <w:name w:val="Hyperlink"/>
    <w:uiPriority w:val="99"/>
    <w:unhideWhenUsed/>
    <w:qFormat/>
    <w:rPr>
      <w:rFonts w:cs="Times New Roman"/>
      <w:color w:val="0000FF"/>
      <w:u w:val="single"/>
    </w:rPr>
  </w:style>
  <w:style w:type="character" w:styleId="af7">
    <w:name w:val="annotation reference"/>
    <w:uiPriority w:val="99"/>
    <w:unhideWhenUsed/>
    <w:qFormat/>
    <w:rPr>
      <w:sz w:val="21"/>
      <w:szCs w:val="21"/>
    </w:rPr>
  </w:style>
  <w:style w:type="character" w:customStyle="1" w:styleId="10">
    <w:name w:val="标题 1 字符"/>
    <w:link w:val="1"/>
    <w:uiPriority w:val="9"/>
    <w:qFormat/>
    <w:locked/>
    <w:rPr>
      <w:rFonts w:ascii="Times New Roman" w:eastAsia="宋体" w:hAnsi="Times New Roman" w:cs="Times New Roman"/>
      <w:b/>
      <w:bCs/>
      <w:kern w:val="44"/>
      <w:sz w:val="44"/>
      <w:szCs w:val="44"/>
    </w:rPr>
  </w:style>
  <w:style w:type="character" w:customStyle="1" w:styleId="20">
    <w:name w:val="标题 2 字符"/>
    <w:link w:val="2"/>
    <w:qFormat/>
    <w:locked/>
    <w:rPr>
      <w:rFonts w:ascii="Cambria" w:eastAsia="楷体" w:hAnsi="Cambria" w:cs="Times New Roman"/>
      <w:b/>
      <w:bCs/>
      <w:sz w:val="32"/>
      <w:szCs w:val="32"/>
    </w:rPr>
  </w:style>
  <w:style w:type="character" w:customStyle="1" w:styleId="30">
    <w:name w:val="标题 3 字符"/>
    <w:link w:val="3"/>
    <w:qFormat/>
    <w:locked/>
    <w:rPr>
      <w:rFonts w:ascii="Times New Roman" w:eastAsia="宋体" w:hAnsi="Times New Roman" w:cs="Times New Roman"/>
      <w:b/>
      <w:bCs/>
      <w:sz w:val="32"/>
      <w:szCs w:val="32"/>
    </w:rPr>
  </w:style>
  <w:style w:type="character" w:customStyle="1" w:styleId="40">
    <w:name w:val="标题 4 字符"/>
    <w:link w:val="4"/>
    <w:uiPriority w:val="9"/>
    <w:semiHidden/>
    <w:qFormat/>
    <w:rPr>
      <w:rFonts w:ascii="Cambria" w:eastAsia="宋体" w:hAnsi="Cambria" w:cs="黑体"/>
      <w:b/>
      <w:bCs/>
      <w:kern w:val="2"/>
      <w:sz w:val="28"/>
      <w:szCs w:val="28"/>
    </w:rPr>
  </w:style>
  <w:style w:type="character" w:customStyle="1" w:styleId="a5">
    <w:name w:val="正文缩进 字符"/>
    <w:link w:val="a4"/>
    <w:qFormat/>
    <w:rPr>
      <w:rFonts w:ascii="Times New Roman" w:hAnsi="Times New Roman"/>
      <w:sz w:val="24"/>
      <w:szCs w:val="24"/>
      <w:lang w:val="zh-CN" w:eastAsia="zh-CN"/>
    </w:rPr>
  </w:style>
  <w:style w:type="character" w:customStyle="1" w:styleId="a7">
    <w:name w:val="文档结构图 字符"/>
    <w:link w:val="a6"/>
    <w:uiPriority w:val="99"/>
    <w:semiHidden/>
    <w:qFormat/>
    <w:locked/>
    <w:rPr>
      <w:rFonts w:ascii="宋体" w:eastAsia="宋体" w:hAnsi="Times New Roman" w:cs="Times New Roman"/>
      <w:sz w:val="18"/>
      <w:szCs w:val="18"/>
    </w:rPr>
  </w:style>
  <w:style w:type="character" w:customStyle="1" w:styleId="a9">
    <w:name w:val="批注文字 字符"/>
    <w:link w:val="a8"/>
    <w:uiPriority w:val="99"/>
    <w:qFormat/>
    <w:rPr>
      <w:rFonts w:ascii="宋体" w:hAnsi="宋体" w:cs="宋体"/>
      <w:sz w:val="24"/>
      <w:szCs w:val="24"/>
    </w:rPr>
  </w:style>
  <w:style w:type="character" w:customStyle="1" w:styleId="ab">
    <w:name w:val="纯文本 字符"/>
    <w:link w:val="aa"/>
    <w:qFormat/>
    <w:rPr>
      <w:rFonts w:ascii="宋体" w:hAnsi="Courier New"/>
      <w:kern w:val="2"/>
      <w:sz w:val="21"/>
      <w:szCs w:val="21"/>
    </w:rPr>
  </w:style>
  <w:style w:type="character" w:customStyle="1" w:styleId="ad">
    <w:name w:val="批注框文本 字符"/>
    <w:link w:val="ac"/>
    <w:uiPriority w:val="99"/>
    <w:semiHidden/>
    <w:qFormat/>
    <w:locked/>
    <w:rPr>
      <w:rFonts w:ascii="Times New Roman" w:eastAsia="宋体" w:hAnsi="Times New Roman" w:cs="Times New Roman"/>
      <w:sz w:val="18"/>
      <w:szCs w:val="18"/>
    </w:rPr>
  </w:style>
  <w:style w:type="character" w:customStyle="1" w:styleId="af">
    <w:name w:val="页脚 字符"/>
    <w:link w:val="ae"/>
    <w:uiPriority w:val="99"/>
    <w:qFormat/>
    <w:locked/>
    <w:rPr>
      <w:rFonts w:cs="Times New Roman"/>
      <w:sz w:val="18"/>
      <w:szCs w:val="18"/>
    </w:rPr>
  </w:style>
  <w:style w:type="character" w:customStyle="1" w:styleId="af1">
    <w:name w:val="页眉 字符"/>
    <w:link w:val="af0"/>
    <w:uiPriority w:val="99"/>
    <w:semiHidden/>
    <w:qFormat/>
    <w:locked/>
    <w:rPr>
      <w:rFonts w:cs="Times New Roman"/>
      <w:sz w:val="18"/>
      <w:szCs w:val="18"/>
    </w:rPr>
  </w:style>
  <w:style w:type="character" w:customStyle="1" w:styleId="af4">
    <w:name w:val="批注主题 字符"/>
    <w:link w:val="af3"/>
    <w:semiHidden/>
    <w:qFormat/>
    <w:rPr>
      <w:rFonts w:ascii="宋体" w:hAnsi="宋体" w:cs="宋体"/>
      <w:b/>
      <w:bCs/>
      <w:sz w:val="24"/>
      <w:szCs w:val="24"/>
    </w:rPr>
  </w:style>
  <w:style w:type="character" w:customStyle="1" w:styleId="apple-converted-space">
    <w:name w:val="apple-converted-space"/>
    <w:basedOn w:val="a1"/>
    <w:qFormat/>
  </w:style>
  <w:style w:type="character" w:customStyle="1" w:styleId="Char1">
    <w:name w:val="报告正文 Char1"/>
    <w:link w:val="af8"/>
    <w:qFormat/>
    <w:rPr>
      <w:kern w:val="2"/>
      <w:sz w:val="24"/>
    </w:rPr>
  </w:style>
  <w:style w:type="paragraph" w:customStyle="1" w:styleId="af8">
    <w:name w:val="报告正文"/>
    <w:basedOn w:val="a"/>
    <w:link w:val="Char1"/>
    <w:qFormat/>
    <w:pPr>
      <w:widowControl w:val="0"/>
      <w:spacing w:line="400" w:lineRule="exact"/>
      <w:ind w:firstLine="482"/>
      <w:jc w:val="both"/>
    </w:pPr>
    <w:rPr>
      <w:rFonts w:ascii="Calibri" w:hAnsi="Calibri" w:cs="Times New Roman"/>
      <w:kern w:val="2"/>
      <w:szCs w:val="20"/>
    </w:rPr>
  </w:style>
  <w:style w:type="character" w:customStyle="1" w:styleId="11">
    <w:name w:val="页码1"/>
    <w:qFormat/>
    <w:rPr>
      <w:rFonts w:cs="Times New Roman"/>
    </w:rPr>
  </w:style>
  <w:style w:type="character" w:customStyle="1" w:styleId="defaultfont">
    <w:name w:val="defaultfont"/>
    <w:qFormat/>
    <w:rPr>
      <w:rFonts w:cs="Times New Roman"/>
    </w:rPr>
  </w:style>
  <w:style w:type="character" w:customStyle="1" w:styleId="Char">
    <w:name w:val="样式 正文缩进正文（首行缩进两字） + 黑色 Char"/>
    <w:link w:val="af9"/>
    <w:qFormat/>
    <w:rPr>
      <w:color w:val="000000"/>
      <w:sz w:val="24"/>
    </w:rPr>
  </w:style>
  <w:style w:type="paragraph" w:customStyle="1" w:styleId="af9">
    <w:name w:val="样式 正文缩进正文（首行缩进两字） + 黑色"/>
    <w:basedOn w:val="a4"/>
    <w:link w:val="Char"/>
    <w:qFormat/>
    <w:pPr>
      <w:jc w:val="left"/>
    </w:pPr>
    <w:rPr>
      <w:rFonts w:ascii="Calibri" w:hAnsi="Calibri"/>
      <w:color w:val="000000"/>
      <w:szCs w:val="20"/>
      <w:lang w:val="en-US"/>
    </w:rPr>
  </w:style>
  <w:style w:type="paragraph" w:customStyle="1" w:styleId="12">
    <w:name w:val="列表段落1"/>
    <w:basedOn w:val="a"/>
    <w:uiPriority w:val="34"/>
    <w:qFormat/>
    <w:pPr>
      <w:ind w:firstLineChars="200" w:firstLine="420"/>
    </w:pPr>
    <w:rPr>
      <w:szCs w:val="34"/>
    </w:rPr>
  </w:style>
  <w:style w:type="paragraph" w:customStyle="1" w:styleId="Char1CharCharChar">
    <w:name w:val="Char1 Char Char Char"/>
    <w:basedOn w:val="a"/>
    <w:qFormat/>
    <w:pPr>
      <w:widowControl w:val="0"/>
      <w:spacing w:line="360" w:lineRule="auto"/>
      <w:ind w:firstLineChars="200" w:firstLine="200"/>
      <w:jc w:val="both"/>
    </w:pPr>
    <w:rPr>
      <w:kern w:val="2"/>
    </w:rPr>
  </w:style>
  <w:style w:type="paragraph" w:customStyle="1" w:styleId="afa">
    <w:name w:val="方案正文"/>
    <w:basedOn w:val="a"/>
    <w:qFormat/>
    <w:pPr>
      <w:widowControl w:val="0"/>
      <w:spacing w:beforeLines="50" w:afterLines="50" w:line="360" w:lineRule="auto"/>
      <w:ind w:firstLineChars="200" w:firstLine="480"/>
      <w:jc w:val="both"/>
    </w:pPr>
    <w:rPr>
      <w:rFonts w:cs="黑体"/>
      <w:kern w:val="2"/>
      <w:szCs w:val="20"/>
    </w:rPr>
  </w:style>
  <w:style w:type="paragraph" w:customStyle="1" w:styleId="Char0">
    <w:name w:val="Char"/>
    <w:basedOn w:val="1"/>
    <w:qFormat/>
    <w:pPr>
      <w:snapToGrid w:val="0"/>
      <w:spacing w:before="240" w:after="240" w:line="348" w:lineRule="auto"/>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Style47">
    <w:name w:val="_Style 47"/>
    <w:uiPriority w:val="99"/>
    <w:unhideWhenUsed/>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1902</Words>
  <Characters>10848</Characters>
  <Application>Microsoft Office Word</Application>
  <DocSecurity>0</DocSecurity>
  <Lines>90</Lines>
  <Paragraphs>25</Paragraphs>
  <ScaleCrop>false</ScaleCrop>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珠海市防震减灾“十三五”规划</dc:title>
  <dc:creator>lenovo</dc:creator>
  <cp:lastModifiedBy>生 赖</cp:lastModifiedBy>
  <cp:revision>14</cp:revision>
  <cp:lastPrinted>2021-06-28T09:35:00Z</cp:lastPrinted>
  <dcterms:created xsi:type="dcterms:W3CDTF">2021-06-29T05:27:00Z</dcterms:created>
  <dcterms:modified xsi:type="dcterms:W3CDTF">2026-02-13T08:49:00Z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BA3813291C9447AF9851FBF5B619C1D7</vt:lpwstr>
  </property>
</Properties>
</file>