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B66D9">
      <w:pPr>
        <w:pStyle w:val="4"/>
        <w:keepNext w:val="0"/>
        <w:keepLines w:val="0"/>
        <w:widowControl/>
        <w:suppressLineNumbers w:val="0"/>
        <w:spacing w:before="0" w:beforeAutospacing="0" w:after="0" w:afterAutospacing="0"/>
        <w:ind w:left="0" w:right="0" w:firstLine="0"/>
        <w:jc w:val="center"/>
        <w:rPr>
          <w:rFonts w:hint="eastAsia" w:eastAsiaTheme="minorEastAsia"/>
          <w:sz w:val="32"/>
          <w:szCs w:val="32"/>
          <w:lang w:val="en-US" w:eastAsia="zh-CN"/>
        </w:rPr>
      </w:pPr>
      <w:r>
        <w:rPr>
          <w:rFonts w:hint="eastAsia" w:ascii="方正楷体_GB2312" w:hAnsi="方正楷体_GB2312" w:eastAsia="方正楷体_GB2312" w:cs="方正楷体_GB2312"/>
          <w:b/>
          <w:bCs/>
          <w:sz w:val="32"/>
          <w:szCs w:val="32"/>
        </w:rPr>
        <w:t>表</w:t>
      </w:r>
      <w:r>
        <w:rPr>
          <w:rFonts w:hint="eastAsia" w:ascii="方正楷体_GB2312" w:hAnsi="方正楷体_GB2312" w:eastAsia="方正楷体_GB2312" w:cs="方正楷体_GB2312"/>
          <w:b/>
          <w:bCs/>
          <w:sz w:val="32"/>
          <w:szCs w:val="32"/>
          <w:lang w:val="en-US" w:eastAsia="zh-CN"/>
        </w:rPr>
        <w:t>1</w:t>
      </w:r>
      <w:r>
        <w:rPr>
          <w:rFonts w:hint="eastAsia" w:ascii="方正楷体_GB2312" w:hAnsi="方正楷体_GB2312" w:eastAsia="方正楷体_GB2312" w:cs="方正楷体_GB2312"/>
          <w:b/>
          <w:bCs/>
          <w:sz w:val="32"/>
          <w:szCs w:val="32"/>
        </w:rPr>
        <w:t>-1 中山市好小区好房子自评价表（一）：基本</w:t>
      </w:r>
      <w:r>
        <w:rPr>
          <w:rFonts w:hint="eastAsia" w:ascii="方正楷体_GB2312" w:hAnsi="方正楷体_GB2312" w:eastAsia="方正楷体_GB2312" w:cs="方正楷体_GB2312"/>
          <w:b/>
          <w:bCs/>
          <w:sz w:val="32"/>
          <w:szCs w:val="32"/>
          <w:lang w:val="en-US" w:eastAsia="zh-CN"/>
        </w:rPr>
        <w:t>类</w:t>
      </w:r>
      <w:r>
        <w:rPr>
          <w:rFonts w:hint="eastAsia" w:ascii="方正楷体_GB2312" w:hAnsi="方正楷体_GB2312" w:eastAsia="方正楷体_GB2312" w:cs="方正楷体_GB2312"/>
          <w:b/>
          <w:bCs/>
          <w:sz w:val="32"/>
          <w:szCs w:val="32"/>
        </w:rPr>
        <w:t>及星级技术</w:t>
      </w:r>
      <w:r>
        <w:rPr>
          <w:rFonts w:hint="eastAsia" w:ascii="方正楷体_GB2312" w:hAnsi="方正楷体_GB2312" w:eastAsia="方正楷体_GB2312" w:cs="方正楷体_GB2312"/>
          <w:b/>
          <w:bCs/>
          <w:sz w:val="32"/>
          <w:szCs w:val="32"/>
          <w:lang w:val="en-US" w:eastAsia="zh-CN"/>
        </w:rPr>
        <w:t>要求</w:t>
      </w:r>
    </w:p>
    <w:tbl>
      <w:tblPr>
        <w:tblStyle w:val="5"/>
        <w:tblW w:w="15949"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9"/>
        <w:gridCol w:w="590"/>
        <w:gridCol w:w="465"/>
        <w:gridCol w:w="1015"/>
        <w:gridCol w:w="7712"/>
        <w:gridCol w:w="1088"/>
        <w:gridCol w:w="1722"/>
        <w:gridCol w:w="2748"/>
      </w:tblGrid>
      <w:tr w14:paraId="3FA26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06B4D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序号    </w:t>
            </w:r>
          </w:p>
        </w:tc>
        <w:tc>
          <w:tcPr>
            <w:tcW w:w="590" w:type="dxa"/>
            <w:tcBorders>
              <w:tl2br w:val="nil"/>
              <w:tr2bl w:val="nil"/>
            </w:tcBorders>
            <w:shd w:val="clear" w:color="auto" w:fill="auto"/>
            <w:vAlign w:val="center"/>
          </w:tcPr>
          <w:p w14:paraId="0ABF1E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评价项</w:t>
            </w:r>
          </w:p>
        </w:tc>
        <w:tc>
          <w:tcPr>
            <w:tcW w:w="465" w:type="dxa"/>
            <w:tcBorders>
              <w:tl2br w:val="nil"/>
              <w:tr2bl w:val="nil"/>
            </w:tcBorders>
            <w:shd w:val="clear" w:color="auto" w:fill="auto"/>
            <w:vAlign w:val="center"/>
          </w:tcPr>
          <w:p w14:paraId="0BEEC4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类别</w:t>
            </w:r>
          </w:p>
        </w:tc>
        <w:tc>
          <w:tcPr>
            <w:tcW w:w="1015" w:type="dxa"/>
            <w:tcBorders>
              <w:tl2br w:val="nil"/>
              <w:tr2bl w:val="nil"/>
            </w:tcBorders>
            <w:shd w:val="clear" w:color="auto" w:fill="auto"/>
            <w:vAlign w:val="center"/>
          </w:tcPr>
          <w:p w14:paraId="210F9C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编号</w:t>
            </w:r>
          </w:p>
        </w:tc>
        <w:tc>
          <w:tcPr>
            <w:tcW w:w="7712" w:type="dxa"/>
            <w:tcBorders>
              <w:tl2br w:val="nil"/>
              <w:tr2bl w:val="nil"/>
            </w:tcBorders>
            <w:shd w:val="clear" w:color="auto" w:fill="auto"/>
            <w:vAlign w:val="center"/>
          </w:tcPr>
          <w:p w14:paraId="38EA8E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评价内容</w:t>
            </w:r>
          </w:p>
        </w:tc>
        <w:tc>
          <w:tcPr>
            <w:tcW w:w="1088" w:type="dxa"/>
            <w:tcBorders>
              <w:tl2br w:val="nil"/>
              <w:tr2bl w:val="nil"/>
            </w:tcBorders>
            <w:shd w:val="clear" w:color="auto" w:fill="auto"/>
            <w:noWrap/>
            <w:vAlign w:val="center"/>
          </w:tcPr>
          <w:p w14:paraId="406814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所属专业</w:t>
            </w:r>
          </w:p>
        </w:tc>
        <w:tc>
          <w:tcPr>
            <w:tcW w:w="1722" w:type="dxa"/>
            <w:tcBorders>
              <w:tl2br w:val="nil"/>
              <w:tr2bl w:val="nil"/>
            </w:tcBorders>
            <w:shd w:val="clear" w:color="auto" w:fill="auto"/>
            <w:noWrap/>
            <w:vAlign w:val="center"/>
          </w:tcPr>
          <w:p w14:paraId="59760EC4">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自评价（勾选）</w:t>
            </w:r>
          </w:p>
        </w:tc>
        <w:tc>
          <w:tcPr>
            <w:tcW w:w="2748" w:type="dxa"/>
            <w:tcBorders>
              <w:tl2br w:val="nil"/>
              <w:tr2bl w:val="nil"/>
            </w:tcBorders>
            <w:shd w:val="clear" w:color="auto" w:fill="auto"/>
            <w:noWrap/>
            <w:vAlign w:val="center"/>
          </w:tcPr>
          <w:p w14:paraId="2A86E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需提交证明材料要求</w:t>
            </w:r>
          </w:p>
        </w:tc>
      </w:tr>
      <w:tr w14:paraId="5925F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8" w:hRule="atLeast"/>
        </w:trPr>
        <w:tc>
          <w:tcPr>
            <w:tcW w:w="15949" w:type="dxa"/>
            <w:gridSpan w:val="8"/>
            <w:tcBorders>
              <w:tl2br w:val="nil"/>
              <w:tr2bl w:val="nil"/>
            </w:tcBorders>
            <w:shd w:val="clear" w:color="auto" w:fill="auto"/>
            <w:vAlign w:val="center"/>
          </w:tcPr>
          <w:p w14:paraId="76E86CF2">
            <w:pPr>
              <w:keepNext w:val="0"/>
              <w:keepLines w:val="0"/>
              <w:pageBreakBefore w:val="0"/>
              <w:widowControl w:val="0"/>
              <w:numPr>
                <w:ilvl w:val="0"/>
                <w:numId w:val="1"/>
              </w:numPr>
              <w:suppressLineNumbers w:val="0"/>
              <w:kinsoku/>
              <w:wordWrap/>
              <w:overflowPunct/>
              <w:topLinePunct w:val="0"/>
              <w:autoSpaceDE/>
              <w:autoSpaceDN/>
              <w:bidi w:val="0"/>
              <w:adjustRightInd/>
              <w:snapToGrid/>
              <w:jc w:val="center"/>
              <w:textAlignment w:val="center"/>
              <w:rPr>
                <w:rFonts w:hint="default" w:ascii="仿宋" w:hAnsi="仿宋" w:eastAsia="仿宋" w:cs="仿宋"/>
                <w:b/>
                <w:bCs/>
                <w:i w:val="0"/>
                <w:iCs w:val="0"/>
                <w:color w:val="auto"/>
                <w:kern w:val="0"/>
                <w:sz w:val="26"/>
                <w:szCs w:val="26"/>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 xml:space="preserve">环境宜居 </w:t>
            </w:r>
          </w:p>
          <w:p w14:paraId="3DE360AD">
            <w:pPr>
              <w:keepNext w:val="0"/>
              <w:keepLines w:val="0"/>
              <w:pageBreakBefore w:val="0"/>
              <w:widowControl w:val="0"/>
              <w:numPr>
                <w:ilvl w:val="-1"/>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（基本类25条，预评价全部参评。</w:t>
            </w:r>
            <w:r>
              <w:rPr>
                <w:rFonts w:hint="eastAsia" w:ascii="仿宋" w:hAnsi="仿宋" w:eastAsia="仿宋" w:cs="仿宋"/>
                <w:i w:val="0"/>
                <w:iCs w:val="0"/>
                <w:color w:val="auto"/>
                <w:kern w:val="0"/>
                <w:sz w:val="16"/>
                <w:szCs w:val="16"/>
                <w:highlight w:val="none"/>
                <w:u w:val="none"/>
                <w:lang w:val="en-US" w:eastAsia="zh-CN" w:bidi="ar"/>
              </w:rPr>
              <w:t>）</w:t>
            </w:r>
          </w:p>
        </w:tc>
      </w:tr>
      <w:tr w14:paraId="3CF00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2" w:hRule="atLeast"/>
        </w:trPr>
        <w:tc>
          <w:tcPr>
            <w:tcW w:w="609" w:type="dxa"/>
            <w:tcBorders>
              <w:tl2br w:val="nil"/>
              <w:tr2bl w:val="nil"/>
            </w:tcBorders>
            <w:shd w:val="clear" w:color="auto" w:fill="auto"/>
            <w:vAlign w:val="center"/>
          </w:tcPr>
          <w:p w14:paraId="526981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590" w:type="dxa"/>
            <w:vMerge w:val="restart"/>
            <w:tcBorders>
              <w:tl2br w:val="nil"/>
              <w:tr2bl w:val="nil"/>
            </w:tcBorders>
            <w:shd w:val="clear" w:color="auto" w:fill="auto"/>
            <w:vAlign w:val="center"/>
          </w:tcPr>
          <w:p w14:paraId="18C589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 空间布局</w:t>
            </w:r>
          </w:p>
        </w:tc>
        <w:tc>
          <w:tcPr>
            <w:tcW w:w="465" w:type="dxa"/>
            <w:vMerge w:val="restart"/>
            <w:tcBorders>
              <w:tl2br w:val="nil"/>
              <w:tr2bl w:val="nil"/>
            </w:tcBorders>
            <w:shd w:val="clear" w:color="auto" w:fill="auto"/>
            <w:vAlign w:val="center"/>
          </w:tcPr>
          <w:p w14:paraId="392E61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D5B57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3.1.1</w:t>
            </w:r>
          </w:p>
        </w:tc>
        <w:tc>
          <w:tcPr>
            <w:tcW w:w="7712" w:type="dxa"/>
            <w:tcBorders>
              <w:tl2br w:val="nil"/>
              <w:tr2bl w:val="nil"/>
            </w:tcBorders>
            <w:shd w:val="clear" w:color="auto" w:fill="auto"/>
            <w:vAlign w:val="center"/>
          </w:tcPr>
          <w:p w14:paraId="0C47AE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布局符合城市总体规划、控制性详细规划及城市设计的要求，依据中山市气候特点与环境条件、经济社会发展水平和文化习俗，遵循统一规划、合理布局、节约土地、因地制宜、配套建设、综合开发的原则，满足现行国家标准以及《中山市国土空间规划技术标准与准则》的有关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 xml:space="preserve">1  综合考虑周边环境、路网结构、市政设施、建筑布局、绿地景观系统等内在联系，构建一个完善的、相对独立的有机整体； </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合理规划功能分区，不同分区相对独立，注重动静分区，避免相互干扰；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合理布置小区配套商业，避免商业设施对住户产生异味、噪声污染等影响。</w:t>
            </w:r>
          </w:p>
        </w:tc>
        <w:tc>
          <w:tcPr>
            <w:tcW w:w="1088" w:type="dxa"/>
            <w:tcBorders>
              <w:tl2br w:val="nil"/>
              <w:tr2bl w:val="nil"/>
            </w:tcBorders>
            <w:shd w:val="clear" w:color="auto" w:fill="auto"/>
            <w:noWrap/>
            <w:vAlign w:val="center"/>
          </w:tcPr>
          <w:p w14:paraId="3D0CC84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0D91E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C39C3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DA77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w:t>
            </w:r>
          </w:p>
        </w:tc>
      </w:tr>
      <w:tr w14:paraId="5D03F7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7A595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590" w:type="dxa"/>
            <w:vMerge w:val="continue"/>
            <w:tcBorders>
              <w:tl2br w:val="nil"/>
              <w:tr2bl w:val="nil"/>
            </w:tcBorders>
            <w:shd w:val="clear" w:color="auto" w:fill="auto"/>
            <w:vAlign w:val="center"/>
          </w:tcPr>
          <w:p w14:paraId="369129E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F653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7DAB0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3.1.2</w:t>
            </w:r>
          </w:p>
        </w:tc>
        <w:tc>
          <w:tcPr>
            <w:tcW w:w="7712" w:type="dxa"/>
            <w:tcBorders>
              <w:tl2br w:val="nil"/>
              <w:tr2bl w:val="nil"/>
            </w:tcBorders>
            <w:shd w:val="clear" w:color="auto" w:fill="auto"/>
            <w:vAlign w:val="center"/>
          </w:tcPr>
          <w:p w14:paraId="5FAED7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小区规划布局充分保护和利用好中山市自然山水格局，延续中山历史文脉、保护历史文化遗产并与传统风貌相协调。</w:t>
            </w:r>
          </w:p>
        </w:tc>
        <w:tc>
          <w:tcPr>
            <w:tcW w:w="1088" w:type="dxa"/>
            <w:tcBorders>
              <w:tl2br w:val="nil"/>
              <w:tr2bl w:val="nil"/>
            </w:tcBorders>
            <w:shd w:val="clear" w:color="auto" w:fill="auto"/>
            <w:noWrap/>
            <w:vAlign w:val="center"/>
          </w:tcPr>
          <w:p w14:paraId="7D79751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D82CE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7A836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54DF1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3A401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65EB95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590" w:type="dxa"/>
            <w:vMerge w:val="continue"/>
            <w:tcBorders>
              <w:tl2br w:val="nil"/>
              <w:tr2bl w:val="nil"/>
            </w:tcBorders>
            <w:shd w:val="clear" w:color="auto" w:fill="auto"/>
            <w:vAlign w:val="center"/>
          </w:tcPr>
          <w:p w14:paraId="4E1DE8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FD8EC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98C1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3.1.3</w:t>
            </w:r>
          </w:p>
        </w:tc>
        <w:tc>
          <w:tcPr>
            <w:tcW w:w="7712" w:type="dxa"/>
            <w:tcBorders>
              <w:tl2br w:val="nil"/>
              <w:tr2bl w:val="nil"/>
            </w:tcBorders>
            <w:shd w:val="clear" w:color="auto" w:fill="auto"/>
            <w:vAlign w:val="center"/>
          </w:tcPr>
          <w:p w14:paraId="1569B8C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小区规划设计结合庭院、道路、公共绿地及小广场等空间形成连续、完整的公共空间系统，并符合下列规定：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通过建筑布局形成层次丰富、尺度适宜的庭院空间；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结合配套设施的布局塑造连续、宜人、有活力的公共空间；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构建动静分区合理、边界清晰连续的公共活动场地。</w:t>
            </w:r>
          </w:p>
        </w:tc>
        <w:tc>
          <w:tcPr>
            <w:tcW w:w="1088" w:type="dxa"/>
            <w:tcBorders>
              <w:tl2br w:val="nil"/>
              <w:tr2bl w:val="nil"/>
            </w:tcBorders>
            <w:shd w:val="clear" w:color="auto" w:fill="auto"/>
            <w:noWrap/>
            <w:vAlign w:val="center"/>
          </w:tcPr>
          <w:p w14:paraId="63C6EE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87B1B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34A7A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5FE96F7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CC01F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31B40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7C02E6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590" w:type="dxa"/>
            <w:vMerge w:val="continue"/>
            <w:tcBorders>
              <w:tl2br w:val="nil"/>
              <w:tr2bl w:val="nil"/>
            </w:tcBorders>
            <w:shd w:val="clear" w:color="auto" w:fill="auto"/>
            <w:vAlign w:val="center"/>
          </w:tcPr>
          <w:p w14:paraId="1E76A1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C9CDA5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1992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3.1.4</w:t>
            </w:r>
          </w:p>
        </w:tc>
        <w:tc>
          <w:tcPr>
            <w:tcW w:w="7712" w:type="dxa"/>
            <w:tcBorders>
              <w:tl2br w:val="nil"/>
              <w:tr2bl w:val="nil"/>
            </w:tcBorders>
            <w:shd w:val="clear" w:color="auto" w:fill="auto"/>
            <w:vAlign w:val="center"/>
          </w:tcPr>
          <w:p w14:paraId="4F922B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小区结合中山亚热带季风气候特点，建筑布局利于夏季自然通风，减轻热岛效应，同时有利于冬季增加日照、降低冷风对建筑的影响。</w:t>
            </w:r>
          </w:p>
        </w:tc>
        <w:tc>
          <w:tcPr>
            <w:tcW w:w="1088" w:type="dxa"/>
            <w:tcBorders>
              <w:tl2br w:val="nil"/>
              <w:tr2bl w:val="nil"/>
            </w:tcBorders>
            <w:shd w:val="clear" w:color="auto" w:fill="auto"/>
            <w:noWrap/>
            <w:vAlign w:val="center"/>
          </w:tcPr>
          <w:p w14:paraId="40A6413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7813B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F00F0B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3EDD9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38D4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2DF25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590" w:type="dxa"/>
            <w:vMerge w:val="continue"/>
            <w:tcBorders>
              <w:tl2br w:val="nil"/>
              <w:tr2bl w:val="nil"/>
            </w:tcBorders>
            <w:shd w:val="clear" w:color="auto" w:fill="auto"/>
            <w:vAlign w:val="center"/>
          </w:tcPr>
          <w:p w14:paraId="6B5AA89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3358C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809AE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3.1.5</w:t>
            </w:r>
          </w:p>
        </w:tc>
        <w:tc>
          <w:tcPr>
            <w:tcW w:w="7712" w:type="dxa"/>
            <w:tcBorders>
              <w:tl2br w:val="nil"/>
              <w:tr2bl w:val="nil"/>
            </w:tcBorders>
            <w:shd w:val="clear" w:color="auto" w:fill="auto"/>
            <w:vAlign w:val="center"/>
          </w:tcPr>
          <w:p w14:paraId="7FD9595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小区对外交通组织与公共交通、消防、急救、环卫等功能流线衔接顺畅，小区出入口距离公共交通站点500m覆盖率达到100%，合理设置小区停车场所出入口，车行出入口设有安全缓冲距离。</w:t>
            </w:r>
          </w:p>
        </w:tc>
        <w:tc>
          <w:tcPr>
            <w:tcW w:w="1088" w:type="dxa"/>
            <w:tcBorders>
              <w:tl2br w:val="nil"/>
              <w:tr2bl w:val="nil"/>
            </w:tcBorders>
            <w:shd w:val="clear" w:color="auto" w:fill="auto"/>
            <w:noWrap/>
            <w:vAlign w:val="center"/>
          </w:tcPr>
          <w:p w14:paraId="4D3FC7B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839E69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1935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EFED1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456A6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7B95D9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590" w:type="dxa"/>
            <w:vMerge w:val="continue"/>
            <w:tcBorders>
              <w:tl2br w:val="nil"/>
              <w:tr2bl w:val="nil"/>
            </w:tcBorders>
            <w:shd w:val="clear" w:color="auto" w:fill="auto"/>
            <w:vAlign w:val="center"/>
          </w:tcPr>
          <w:p w14:paraId="5FE9B1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7630F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C462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3.1.6</w:t>
            </w:r>
          </w:p>
        </w:tc>
        <w:tc>
          <w:tcPr>
            <w:tcW w:w="7712" w:type="dxa"/>
            <w:tcBorders>
              <w:tl2br w:val="nil"/>
              <w:tr2bl w:val="nil"/>
            </w:tcBorders>
            <w:shd w:val="clear" w:color="auto" w:fill="auto"/>
            <w:vAlign w:val="center"/>
          </w:tcPr>
          <w:p w14:paraId="4B9F2BD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小区进行人车分流设计，合理规划不同的流动路线，避免各动线交叉，满足以下要求： </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实行“人、车、非机动车”分流设计，通过人行流线与车行流线的分层组织，减少不同交通方式的相互干扰；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小区合理规划住户、访客、出租车、搬家、消防、急救、快递、垃圾清运等不同车辆的动线。急救车辆能到达每个单元主出入口，消防车、救护车、搬家货运车能够通达每栋住宅楼大堂前15m范围处；</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小区形成连续、安全、通达的非机动车交通系统，非机动车停车位设于地下时，设置非机动车专用坡道；</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无障碍机动车停车位设置在通行方便、路线短的停车区域；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小区设置完整的慢行系统，连接各类配套设施、公共活动空间、各楼栋大堂及小区出入口。小区主要人行道宽度不小于2.5m，并配备良好的夜间照明设施。</w:t>
            </w:r>
          </w:p>
        </w:tc>
        <w:tc>
          <w:tcPr>
            <w:tcW w:w="1088" w:type="dxa"/>
            <w:tcBorders>
              <w:tl2br w:val="nil"/>
              <w:tr2bl w:val="nil"/>
            </w:tcBorders>
            <w:shd w:val="clear" w:color="auto" w:fill="auto"/>
            <w:noWrap/>
            <w:vAlign w:val="center"/>
          </w:tcPr>
          <w:p w14:paraId="230675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95B0E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69F417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5C188D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6B5790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43BBD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590" w:type="dxa"/>
            <w:vMerge w:val="continue"/>
            <w:tcBorders>
              <w:tl2br w:val="nil"/>
              <w:tr2bl w:val="nil"/>
            </w:tcBorders>
            <w:shd w:val="clear" w:color="auto" w:fill="auto"/>
            <w:vAlign w:val="center"/>
          </w:tcPr>
          <w:p w14:paraId="2EB27B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2922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CAEEE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3.1.7</w:t>
            </w:r>
          </w:p>
        </w:tc>
        <w:tc>
          <w:tcPr>
            <w:tcW w:w="7712" w:type="dxa"/>
            <w:tcBorders>
              <w:tl2br w:val="nil"/>
              <w:tr2bl w:val="nil"/>
            </w:tcBorders>
            <w:shd w:val="clear" w:color="auto" w:fill="auto"/>
            <w:vAlign w:val="center"/>
          </w:tcPr>
          <w:p w14:paraId="4ACCEE4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小区满足无障碍和适龄化相关强制性标准要求。</w:t>
            </w:r>
          </w:p>
        </w:tc>
        <w:tc>
          <w:tcPr>
            <w:tcW w:w="1088" w:type="dxa"/>
            <w:tcBorders>
              <w:tl2br w:val="nil"/>
              <w:tr2bl w:val="nil"/>
            </w:tcBorders>
            <w:shd w:val="clear" w:color="auto" w:fill="auto"/>
            <w:noWrap/>
            <w:vAlign w:val="center"/>
          </w:tcPr>
          <w:p w14:paraId="379519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3A6D8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F336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E3F6DE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65B2D1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1666BB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590" w:type="dxa"/>
            <w:vMerge w:val="restart"/>
            <w:tcBorders>
              <w:tl2br w:val="nil"/>
              <w:tr2bl w:val="nil"/>
            </w:tcBorders>
            <w:shd w:val="clear" w:color="auto" w:fill="auto"/>
            <w:vAlign w:val="center"/>
          </w:tcPr>
          <w:p w14:paraId="2906D3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 配套设施</w:t>
            </w:r>
          </w:p>
        </w:tc>
        <w:tc>
          <w:tcPr>
            <w:tcW w:w="465" w:type="dxa"/>
            <w:vMerge w:val="restart"/>
            <w:tcBorders>
              <w:tl2br w:val="nil"/>
              <w:tr2bl w:val="nil"/>
            </w:tcBorders>
            <w:shd w:val="clear" w:color="auto" w:fill="auto"/>
            <w:vAlign w:val="center"/>
          </w:tcPr>
          <w:p w14:paraId="6D9142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380171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3.2.1</w:t>
            </w:r>
          </w:p>
        </w:tc>
        <w:tc>
          <w:tcPr>
            <w:tcW w:w="7712" w:type="dxa"/>
            <w:tcBorders>
              <w:tl2br w:val="nil"/>
              <w:tr2bl w:val="nil"/>
            </w:tcBorders>
            <w:shd w:val="clear" w:color="auto" w:fill="auto"/>
            <w:vAlign w:val="center"/>
          </w:tcPr>
          <w:p w14:paraId="117F12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小区的配套设施遵循方便使用、统筹开放、兼顾发展的原则进行配置，其用地及建筑面积与居住人口规模和设施服务半径相匹配，并符合现行《中山市国土空间规划技术标准与准则》的公共服务设施配置标准。</w:t>
            </w:r>
          </w:p>
        </w:tc>
        <w:tc>
          <w:tcPr>
            <w:tcW w:w="1088" w:type="dxa"/>
            <w:tcBorders>
              <w:tl2br w:val="nil"/>
              <w:tr2bl w:val="nil"/>
            </w:tcBorders>
            <w:shd w:val="clear" w:color="auto" w:fill="auto"/>
            <w:noWrap/>
            <w:vAlign w:val="center"/>
          </w:tcPr>
          <w:p w14:paraId="54097B1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FF9E8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A6117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9A051E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252C5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4E5FFE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w:t>
            </w:r>
          </w:p>
        </w:tc>
        <w:tc>
          <w:tcPr>
            <w:tcW w:w="590" w:type="dxa"/>
            <w:vMerge w:val="continue"/>
            <w:tcBorders>
              <w:tl2br w:val="nil"/>
              <w:tr2bl w:val="nil"/>
            </w:tcBorders>
            <w:shd w:val="clear" w:color="auto" w:fill="auto"/>
            <w:vAlign w:val="center"/>
          </w:tcPr>
          <w:p w14:paraId="38EB03B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CF66A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1B4AA1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3.2.2</w:t>
            </w:r>
          </w:p>
        </w:tc>
        <w:tc>
          <w:tcPr>
            <w:tcW w:w="7712" w:type="dxa"/>
            <w:tcBorders>
              <w:tl2br w:val="nil"/>
              <w:tr2bl w:val="nil"/>
            </w:tcBorders>
            <w:shd w:val="clear" w:color="auto" w:fill="auto"/>
            <w:vAlign w:val="center"/>
          </w:tcPr>
          <w:p w14:paraId="7E79E5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小区结合人口规模设置“一老一小”养老托育服务设施，按需求配套老年人活动中心、老人日间照料中心、长者饭堂、托儿所等。具体配建指标按相关标准执行。</w:t>
            </w:r>
          </w:p>
        </w:tc>
        <w:tc>
          <w:tcPr>
            <w:tcW w:w="1088" w:type="dxa"/>
            <w:tcBorders>
              <w:tl2br w:val="nil"/>
              <w:tr2bl w:val="nil"/>
            </w:tcBorders>
            <w:shd w:val="clear" w:color="auto" w:fill="auto"/>
            <w:noWrap/>
            <w:vAlign w:val="center"/>
          </w:tcPr>
          <w:p w14:paraId="6F4F7F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2BDBB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2301C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34EA7B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7C537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22C2D5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 xml:space="preserve">                                        10</w:t>
            </w:r>
          </w:p>
        </w:tc>
        <w:tc>
          <w:tcPr>
            <w:tcW w:w="590" w:type="dxa"/>
            <w:vMerge w:val="continue"/>
            <w:tcBorders>
              <w:tl2br w:val="nil"/>
              <w:tr2bl w:val="nil"/>
            </w:tcBorders>
            <w:shd w:val="clear" w:color="auto" w:fill="auto"/>
            <w:vAlign w:val="center"/>
          </w:tcPr>
          <w:p w14:paraId="02CAAD6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B31792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0D52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3.2.3</w:t>
            </w:r>
          </w:p>
        </w:tc>
        <w:tc>
          <w:tcPr>
            <w:tcW w:w="7712" w:type="dxa"/>
            <w:tcBorders>
              <w:tl2br w:val="nil"/>
              <w:tr2bl w:val="nil"/>
            </w:tcBorders>
            <w:shd w:val="clear" w:color="auto" w:fill="auto"/>
            <w:vAlign w:val="center"/>
          </w:tcPr>
          <w:p w14:paraId="7297AF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小区设置适合儿童游乐、老年人休憩的室外活动场地和室内活动空间，并对设施进行适老适幼设计与安装，且符合现行行业标准《老年人照料设施建筑设计标准》JGJ 450的有关规定。</w:t>
            </w:r>
          </w:p>
        </w:tc>
        <w:tc>
          <w:tcPr>
            <w:tcW w:w="1088" w:type="dxa"/>
            <w:tcBorders>
              <w:tl2br w:val="nil"/>
              <w:tr2bl w:val="nil"/>
            </w:tcBorders>
            <w:shd w:val="clear" w:color="auto" w:fill="auto"/>
            <w:noWrap/>
            <w:vAlign w:val="center"/>
          </w:tcPr>
          <w:p w14:paraId="33F4B2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58AD3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C86ED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49408D6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9CDCFB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4750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609" w:type="dxa"/>
            <w:tcBorders>
              <w:tl2br w:val="nil"/>
              <w:tr2bl w:val="nil"/>
            </w:tcBorders>
            <w:shd w:val="clear" w:color="auto" w:fill="auto"/>
            <w:vAlign w:val="center"/>
          </w:tcPr>
          <w:p w14:paraId="0AFAE4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w:t>
            </w:r>
          </w:p>
        </w:tc>
        <w:tc>
          <w:tcPr>
            <w:tcW w:w="590" w:type="dxa"/>
            <w:vMerge w:val="continue"/>
            <w:tcBorders>
              <w:tl2br w:val="nil"/>
              <w:tr2bl w:val="nil"/>
            </w:tcBorders>
            <w:shd w:val="clear" w:color="auto" w:fill="auto"/>
            <w:vAlign w:val="center"/>
          </w:tcPr>
          <w:p w14:paraId="41944CC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8DF29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F1EBD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3.2.4</w:t>
            </w:r>
          </w:p>
        </w:tc>
        <w:tc>
          <w:tcPr>
            <w:tcW w:w="7712" w:type="dxa"/>
            <w:tcBorders>
              <w:tl2br w:val="nil"/>
              <w:tr2bl w:val="nil"/>
            </w:tcBorders>
            <w:shd w:val="clear" w:color="auto" w:fill="auto"/>
            <w:vAlign w:val="center"/>
          </w:tcPr>
          <w:p w14:paraId="1378AA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小区公共活动场地设施满足以下要求：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公共空间场地设有休息座椅、垃圾箱、信息栏等服务设施，活动场地配有轮椅停放处、避雨、遮阳等设施；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公共空间场地100m范围内设有位于首层的供小区业主使用的卫生间，并设有无障碍厕位和洗手盆。</w:t>
            </w:r>
          </w:p>
        </w:tc>
        <w:tc>
          <w:tcPr>
            <w:tcW w:w="1088" w:type="dxa"/>
            <w:tcBorders>
              <w:tl2br w:val="nil"/>
              <w:tr2bl w:val="nil"/>
            </w:tcBorders>
            <w:shd w:val="clear" w:color="auto" w:fill="auto"/>
            <w:noWrap/>
            <w:vAlign w:val="center"/>
          </w:tcPr>
          <w:p w14:paraId="5594D4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017AD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66A9A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F6851D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4D8A67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r>
              <w:rPr>
                <w:rFonts w:hint="eastAsia" w:ascii="仿宋" w:hAnsi="仿宋" w:eastAsia="仿宋" w:cs="仿宋"/>
                <w:i w:val="0"/>
                <w:color w:val="auto"/>
                <w:kern w:val="0"/>
                <w:sz w:val="22"/>
                <w:szCs w:val="22"/>
                <w:highlight w:val="none"/>
                <w:u w:val="none"/>
                <w:lang w:val="en-US" w:eastAsia="zh-CN" w:bidi="ar"/>
              </w:rPr>
              <w:t>各类设施使用手册</w:t>
            </w:r>
          </w:p>
        </w:tc>
      </w:tr>
      <w:tr w14:paraId="20FAF1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552B5C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w:t>
            </w:r>
          </w:p>
        </w:tc>
        <w:tc>
          <w:tcPr>
            <w:tcW w:w="590" w:type="dxa"/>
            <w:vMerge w:val="continue"/>
            <w:tcBorders>
              <w:tl2br w:val="nil"/>
              <w:tr2bl w:val="nil"/>
            </w:tcBorders>
            <w:shd w:val="clear" w:color="auto" w:fill="auto"/>
            <w:vAlign w:val="center"/>
          </w:tcPr>
          <w:p w14:paraId="240A51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448DA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627BA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3.2.5</w:t>
            </w:r>
          </w:p>
        </w:tc>
        <w:tc>
          <w:tcPr>
            <w:tcW w:w="7712" w:type="dxa"/>
            <w:tcBorders>
              <w:tl2br w:val="nil"/>
              <w:tr2bl w:val="nil"/>
            </w:tcBorders>
            <w:shd w:val="clear" w:color="auto" w:fill="auto"/>
            <w:vAlign w:val="center"/>
          </w:tcPr>
          <w:p w14:paraId="3E2AC8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小区规划充分考虑变配电房、发电机房、水泵房、空调机房、环卫设施等设备用房与住宅建筑的关系，减少对住户生活的影响。</w:t>
            </w:r>
          </w:p>
        </w:tc>
        <w:tc>
          <w:tcPr>
            <w:tcW w:w="1088" w:type="dxa"/>
            <w:tcBorders>
              <w:tl2br w:val="nil"/>
              <w:tr2bl w:val="nil"/>
            </w:tcBorders>
            <w:shd w:val="clear" w:color="auto" w:fill="auto"/>
            <w:noWrap/>
            <w:vAlign w:val="center"/>
          </w:tcPr>
          <w:p w14:paraId="697E03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1AB6A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926EB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33D3B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5D1BB3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1025BC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w:t>
            </w:r>
          </w:p>
        </w:tc>
        <w:tc>
          <w:tcPr>
            <w:tcW w:w="590" w:type="dxa"/>
            <w:vMerge w:val="continue"/>
            <w:tcBorders>
              <w:tl2br w:val="nil"/>
              <w:tr2bl w:val="nil"/>
            </w:tcBorders>
            <w:shd w:val="clear" w:color="auto" w:fill="auto"/>
            <w:vAlign w:val="center"/>
          </w:tcPr>
          <w:p w14:paraId="0EC8EBD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D8AC59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BE89E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3.2.6</w:t>
            </w:r>
          </w:p>
        </w:tc>
        <w:tc>
          <w:tcPr>
            <w:tcW w:w="7712" w:type="dxa"/>
            <w:tcBorders>
              <w:tl2br w:val="nil"/>
              <w:tr2bl w:val="nil"/>
            </w:tcBorders>
            <w:shd w:val="clear" w:color="auto" w:fill="auto"/>
            <w:vAlign w:val="center"/>
          </w:tcPr>
          <w:p w14:paraId="2C9AA6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电动自行车停车库独立设于室外、半地下车库、地下一层或地面一层的独立防火单元内，不设于住宅架空层、地下二层及以下。</w:t>
            </w:r>
          </w:p>
        </w:tc>
        <w:tc>
          <w:tcPr>
            <w:tcW w:w="1088" w:type="dxa"/>
            <w:tcBorders>
              <w:tl2br w:val="nil"/>
              <w:tr2bl w:val="nil"/>
            </w:tcBorders>
            <w:shd w:val="clear" w:color="auto" w:fill="auto"/>
            <w:noWrap/>
            <w:vAlign w:val="center"/>
          </w:tcPr>
          <w:p w14:paraId="14FA22F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4F117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FC55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695A1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505C50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F0290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w:t>
            </w:r>
          </w:p>
        </w:tc>
        <w:tc>
          <w:tcPr>
            <w:tcW w:w="590" w:type="dxa"/>
            <w:vMerge w:val="restart"/>
            <w:tcBorders>
              <w:tl2br w:val="nil"/>
              <w:tr2bl w:val="nil"/>
            </w:tcBorders>
            <w:shd w:val="clear" w:color="auto" w:fill="auto"/>
            <w:vAlign w:val="center"/>
          </w:tcPr>
          <w:p w14:paraId="30B98F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 场地环境</w:t>
            </w:r>
          </w:p>
        </w:tc>
        <w:tc>
          <w:tcPr>
            <w:tcW w:w="465" w:type="dxa"/>
            <w:vMerge w:val="restart"/>
            <w:tcBorders>
              <w:tl2br w:val="nil"/>
              <w:tr2bl w:val="nil"/>
            </w:tcBorders>
            <w:shd w:val="clear" w:color="auto" w:fill="auto"/>
            <w:vAlign w:val="center"/>
          </w:tcPr>
          <w:p w14:paraId="5695C1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20E9A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w:t>
            </w:r>
          </w:p>
        </w:tc>
        <w:tc>
          <w:tcPr>
            <w:tcW w:w="7712" w:type="dxa"/>
            <w:tcBorders>
              <w:tl2br w:val="nil"/>
              <w:tr2bl w:val="nil"/>
            </w:tcBorders>
            <w:shd w:val="clear" w:color="auto" w:fill="auto"/>
            <w:vAlign w:val="center"/>
          </w:tcPr>
          <w:p w14:paraId="20F099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小区场地设计充分利用地形地貌条件，绿化景观设计疏密有致、收放有度，景观元素之间过渡自然，形成连续的景观空间系统。场地竖向设计为交通组织、土方平衡、给水、排水、植物种植创造良好条件。</w:t>
            </w:r>
          </w:p>
        </w:tc>
        <w:tc>
          <w:tcPr>
            <w:tcW w:w="1088" w:type="dxa"/>
            <w:tcBorders>
              <w:tl2br w:val="nil"/>
              <w:tr2bl w:val="nil"/>
            </w:tcBorders>
            <w:shd w:val="clear" w:color="auto" w:fill="auto"/>
            <w:noWrap/>
            <w:vAlign w:val="center"/>
          </w:tcPr>
          <w:p w14:paraId="780FD9D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E29A3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61B3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B152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1BB671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15098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w:t>
            </w:r>
          </w:p>
        </w:tc>
        <w:tc>
          <w:tcPr>
            <w:tcW w:w="590" w:type="dxa"/>
            <w:vMerge w:val="continue"/>
            <w:tcBorders>
              <w:tl2br w:val="nil"/>
              <w:tr2bl w:val="nil"/>
            </w:tcBorders>
            <w:shd w:val="clear" w:color="auto" w:fill="auto"/>
            <w:vAlign w:val="center"/>
          </w:tcPr>
          <w:p w14:paraId="4A34631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FAC66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B0836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3.3.2</w:t>
            </w:r>
          </w:p>
        </w:tc>
        <w:tc>
          <w:tcPr>
            <w:tcW w:w="7712" w:type="dxa"/>
            <w:tcBorders>
              <w:tl2br w:val="nil"/>
              <w:tr2bl w:val="nil"/>
            </w:tcBorders>
            <w:shd w:val="clear" w:color="auto" w:fill="auto"/>
            <w:vAlign w:val="center"/>
          </w:tcPr>
          <w:p w14:paraId="21762F5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小区设置不低于0.5m²/人的集中绿地，最小宽度不小于8m。在标准的建筑日照阴影线范围之外的绿地面积占比不小于1/3。</w:t>
            </w:r>
          </w:p>
        </w:tc>
        <w:tc>
          <w:tcPr>
            <w:tcW w:w="1088" w:type="dxa"/>
            <w:tcBorders>
              <w:tl2br w:val="nil"/>
              <w:tr2bl w:val="nil"/>
            </w:tcBorders>
            <w:shd w:val="clear" w:color="auto" w:fill="auto"/>
            <w:noWrap/>
            <w:vAlign w:val="center"/>
          </w:tcPr>
          <w:p w14:paraId="475336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9588E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D6CD3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DEA59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26A55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0" w:hRule="atLeast"/>
        </w:trPr>
        <w:tc>
          <w:tcPr>
            <w:tcW w:w="609" w:type="dxa"/>
            <w:tcBorders>
              <w:tl2br w:val="nil"/>
              <w:tr2bl w:val="nil"/>
            </w:tcBorders>
            <w:shd w:val="clear" w:color="auto" w:fill="auto"/>
            <w:vAlign w:val="center"/>
          </w:tcPr>
          <w:p w14:paraId="2D6586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w:t>
            </w:r>
          </w:p>
        </w:tc>
        <w:tc>
          <w:tcPr>
            <w:tcW w:w="590" w:type="dxa"/>
            <w:vMerge w:val="continue"/>
            <w:tcBorders>
              <w:tl2br w:val="nil"/>
              <w:tr2bl w:val="nil"/>
            </w:tcBorders>
            <w:shd w:val="clear" w:color="auto" w:fill="auto"/>
            <w:vAlign w:val="center"/>
          </w:tcPr>
          <w:p w14:paraId="4C5D1C6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6E530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59FB2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3.3.3</w:t>
            </w:r>
          </w:p>
        </w:tc>
        <w:tc>
          <w:tcPr>
            <w:tcW w:w="7712" w:type="dxa"/>
            <w:tcBorders>
              <w:tl2br w:val="nil"/>
              <w:tr2bl w:val="nil"/>
            </w:tcBorders>
            <w:shd w:val="clear" w:color="auto" w:fill="auto"/>
            <w:vAlign w:val="center"/>
          </w:tcPr>
          <w:p w14:paraId="4956D3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小区设有满足居民康体休闲活动需求的公共活动场地，配置相应的设施，合理布局功能场地，建设舒适宜人、功能完善的全龄友好型居住环境。并满足以下要求：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室外健身场地面积不少于总用地面积的0.5%，设置宽度不少于1.25m 的专用健身慢行道，其长度不小于净用地红线周长的1/4且不小于100m；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总建筑面积达到10万m²及以上的居住小区，按室内人均建筑面积不低于0.1m²或室外人均用地面积不低于0.3m²的标准，配建全民健身场地设施。</w:t>
            </w:r>
          </w:p>
        </w:tc>
        <w:tc>
          <w:tcPr>
            <w:tcW w:w="1088" w:type="dxa"/>
            <w:tcBorders>
              <w:tl2br w:val="nil"/>
              <w:tr2bl w:val="nil"/>
            </w:tcBorders>
            <w:shd w:val="clear" w:color="auto" w:fill="auto"/>
            <w:noWrap/>
            <w:vAlign w:val="center"/>
          </w:tcPr>
          <w:p w14:paraId="0E8254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569E8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1CE7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AD35E9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1A48AB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5A16DB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17</w:t>
            </w:r>
          </w:p>
        </w:tc>
        <w:tc>
          <w:tcPr>
            <w:tcW w:w="590" w:type="dxa"/>
            <w:vMerge w:val="continue"/>
            <w:tcBorders>
              <w:tl2br w:val="nil"/>
              <w:tr2bl w:val="nil"/>
            </w:tcBorders>
            <w:shd w:val="clear" w:color="auto" w:fill="auto"/>
            <w:vAlign w:val="center"/>
          </w:tcPr>
          <w:p w14:paraId="17C19C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73E1B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FD5D8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3.3.4</w:t>
            </w:r>
          </w:p>
        </w:tc>
        <w:tc>
          <w:tcPr>
            <w:tcW w:w="7712" w:type="dxa"/>
            <w:tcBorders>
              <w:tl2br w:val="nil"/>
              <w:tr2bl w:val="nil"/>
            </w:tcBorders>
            <w:shd w:val="clear" w:color="auto" w:fill="auto"/>
            <w:vAlign w:val="center"/>
          </w:tcPr>
          <w:p w14:paraId="129CB9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小区设置景观小品美化生活环境。</w:t>
            </w:r>
          </w:p>
        </w:tc>
        <w:tc>
          <w:tcPr>
            <w:tcW w:w="1088" w:type="dxa"/>
            <w:tcBorders>
              <w:tl2br w:val="nil"/>
              <w:tr2bl w:val="nil"/>
            </w:tcBorders>
            <w:shd w:val="clear" w:color="auto" w:fill="auto"/>
            <w:noWrap/>
            <w:vAlign w:val="center"/>
          </w:tcPr>
          <w:p w14:paraId="118760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7A7D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C5C37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D62FB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71665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F2534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18</w:t>
            </w:r>
          </w:p>
        </w:tc>
        <w:tc>
          <w:tcPr>
            <w:tcW w:w="590" w:type="dxa"/>
            <w:vMerge w:val="continue"/>
            <w:tcBorders>
              <w:tl2br w:val="nil"/>
              <w:tr2bl w:val="nil"/>
            </w:tcBorders>
            <w:shd w:val="clear" w:color="auto" w:fill="auto"/>
            <w:vAlign w:val="center"/>
          </w:tcPr>
          <w:p w14:paraId="518417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DB54F6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00D83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3.3.5</w:t>
            </w:r>
          </w:p>
        </w:tc>
        <w:tc>
          <w:tcPr>
            <w:tcW w:w="7712" w:type="dxa"/>
            <w:tcBorders>
              <w:tl2br w:val="nil"/>
              <w:tr2bl w:val="nil"/>
            </w:tcBorders>
            <w:shd w:val="clear" w:color="auto" w:fill="auto"/>
            <w:vAlign w:val="center"/>
          </w:tcPr>
          <w:p w14:paraId="1DD070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小区的围墙结合景观和场地竖向进行设计。</w:t>
            </w:r>
          </w:p>
        </w:tc>
        <w:tc>
          <w:tcPr>
            <w:tcW w:w="1088" w:type="dxa"/>
            <w:tcBorders>
              <w:tl2br w:val="nil"/>
              <w:tr2bl w:val="nil"/>
            </w:tcBorders>
            <w:shd w:val="clear" w:color="auto" w:fill="auto"/>
            <w:noWrap/>
            <w:vAlign w:val="center"/>
          </w:tcPr>
          <w:p w14:paraId="0F66982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4BAD9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1BEBD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34B47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B7734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7BAF48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19</w:t>
            </w:r>
          </w:p>
        </w:tc>
        <w:tc>
          <w:tcPr>
            <w:tcW w:w="590" w:type="dxa"/>
            <w:vMerge w:val="continue"/>
            <w:tcBorders>
              <w:tl2br w:val="nil"/>
              <w:tr2bl w:val="nil"/>
            </w:tcBorders>
            <w:shd w:val="clear" w:color="auto" w:fill="auto"/>
            <w:vAlign w:val="center"/>
          </w:tcPr>
          <w:p w14:paraId="3E76203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BFD72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AC442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3.3.6</w:t>
            </w:r>
          </w:p>
        </w:tc>
        <w:tc>
          <w:tcPr>
            <w:tcW w:w="7712" w:type="dxa"/>
            <w:tcBorders>
              <w:tl2br w:val="nil"/>
              <w:tr2bl w:val="nil"/>
            </w:tcBorders>
            <w:shd w:val="clear" w:color="auto" w:fill="auto"/>
            <w:vAlign w:val="center"/>
          </w:tcPr>
          <w:p w14:paraId="78BDC87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小区进行绿化设计与管理，并符合下列规定：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坚持植物造景的设计原则，并选用本土树种和传统花卉，本地植物指数不低于0.7；</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选择适应当地种植条件、易维护、耐淹、耐旱、防虫害、耐高温、蒸腾作用强的植物，不选择易产生飞絮、有异味、有毒、有刺等对人体健康不利的植物；</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小区的行道树具有抗强风能力，避免选择大型落叶落果树种；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乔灌草花的配置层次清晰，季相分明、密度合理。</w:t>
            </w:r>
          </w:p>
        </w:tc>
        <w:tc>
          <w:tcPr>
            <w:tcW w:w="1088" w:type="dxa"/>
            <w:tcBorders>
              <w:tl2br w:val="nil"/>
              <w:tr2bl w:val="nil"/>
            </w:tcBorders>
            <w:shd w:val="clear" w:color="auto" w:fill="auto"/>
            <w:noWrap/>
            <w:vAlign w:val="center"/>
          </w:tcPr>
          <w:p w14:paraId="2871BE0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3D32A3F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2FD0F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EBEF1F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color w:val="auto"/>
                <w:kern w:val="0"/>
                <w:sz w:val="22"/>
                <w:szCs w:val="22"/>
                <w:highlight w:val="none"/>
                <w:u w:val="none"/>
                <w:lang w:val="en-US" w:eastAsia="zh-CN" w:bidi="ar"/>
              </w:rPr>
              <w:t>室外景观园林平面图、小区绿化管理手册</w:t>
            </w:r>
          </w:p>
        </w:tc>
      </w:tr>
      <w:tr w14:paraId="383570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41E134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20</w:t>
            </w:r>
          </w:p>
        </w:tc>
        <w:tc>
          <w:tcPr>
            <w:tcW w:w="590" w:type="dxa"/>
            <w:vMerge w:val="continue"/>
            <w:tcBorders>
              <w:tl2br w:val="nil"/>
              <w:tr2bl w:val="nil"/>
            </w:tcBorders>
            <w:shd w:val="clear" w:color="auto" w:fill="auto"/>
            <w:vAlign w:val="center"/>
          </w:tcPr>
          <w:p w14:paraId="086C85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3053A2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0CF5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3.3.7</w:t>
            </w:r>
          </w:p>
        </w:tc>
        <w:tc>
          <w:tcPr>
            <w:tcW w:w="7712" w:type="dxa"/>
            <w:tcBorders>
              <w:tl2br w:val="nil"/>
              <w:tr2bl w:val="nil"/>
            </w:tcBorders>
            <w:shd w:val="clear" w:color="auto" w:fill="auto"/>
            <w:vAlign w:val="center"/>
          </w:tcPr>
          <w:p w14:paraId="3E94DC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小区采取措施降低热岛强度，道路和广场地面、公共和附属绿地的活动场地采用透水性地面铺装材料的范围和比例满足海绵城市设计要求，小区主要道路两侧和室外活动场地采用乔木、花架等遮阴措施。</w:t>
            </w:r>
          </w:p>
        </w:tc>
        <w:tc>
          <w:tcPr>
            <w:tcW w:w="1088" w:type="dxa"/>
            <w:tcBorders>
              <w:tl2br w:val="nil"/>
              <w:tr2bl w:val="nil"/>
            </w:tcBorders>
            <w:shd w:val="clear" w:color="auto" w:fill="auto"/>
            <w:noWrap/>
            <w:vAlign w:val="center"/>
          </w:tcPr>
          <w:p w14:paraId="27AEF09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/给排水/景观</w:t>
            </w:r>
          </w:p>
        </w:tc>
        <w:tc>
          <w:tcPr>
            <w:tcW w:w="1722" w:type="dxa"/>
            <w:tcBorders>
              <w:tl2br w:val="nil"/>
              <w:tr2bl w:val="nil"/>
            </w:tcBorders>
            <w:shd w:val="clear" w:color="auto" w:fill="auto"/>
            <w:noWrap/>
            <w:vAlign w:val="center"/>
          </w:tcPr>
          <w:p w14:paraId="28AAC1F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9925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A2416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color w:val="auto"/>
                <w:kern w:val="0"/>
                <w:sz w:val="22"/>
                <w:szCs w:val="22"/>
                <w:highlight w:val="none"/>
                <w:u w:val="none"/>
                <w:lang w:val="en-US" w:eastAsia="zh-CN" w:bidi="ar"/>
              </w:rPr>
              <w:t xml:space="preserve"> 室外景观园林平面图、海绵城市设计专篇。</w:t>
            </w:r>
          </w:p>
        </w:tc>
      </w:tr>
      <w:tr w14:paraId="146EDF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4A1DCF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21</w:t>
            </w:r>
          </w:p>
        </w:tc>
        <w:tc>
          <w:tcPr>
            <w:tcW w:w="590" w:type="dxa"/>
            <w:vMerge w:val="continue"/>
            <w:tcBorders>
              <w:tl2br w:val="nil"/>
              <w:tr2bl w:val="nil"/>
            </w:tcBorders>
            <w:shd w:val="clear" w:color="auto" w:fill="auto"/>
            <w:vAlign w:val="center"/>
          </w:tcPr>
          <w:p w14:paraId="118C68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34CE21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6D0F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3.3.8</w:t>
            </w:r>
          </w:p>
        </w:tc>
        <w:tc>
          <w:tcPr>
            <w:tcW w:w="7712" w:type="dxa"/>
            <w:tcBorders>
              <w:tl2br w:val="nil"/>
              <w:tr2bl w:val="nil"/>
            </w:tcBorders>
            <w:shd w:val="clear" w:color="auto" w:fill="auto"/>
            <w:vAlign w:val="center"/>
          </w:tcPr>
          <w:p w14:paraId="2D09747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室外给水、排水、强电、弱电管线、燃气设备、消防设施等符合统一规划、美观实用、维护方便的原则，合理设置相关的设备管线孔井和室外消火栓、消防水泵结合器等设施，各类井盖表面处理符合美观需要。</w:t>
            </w:r>
          </w:p>
        </w:tc>
        <w:tc>
          <w:tcPr>
            <w:tcW w:w="1088" w:type="dxa"/>
            <w:tcBorders>
              <w:tl2br w:val="nil"/>
              <w:tr2bl w:val="nil"/>
            </w:tcBorders>
            <w:shd w:val="clear" w:color="auto" w:fill="auto"/>
            <w:noWrap/>
            <w:vAlign w:val="center"/>
          </w:tcPr>
          <w:p w14:paraId="2A470F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04A307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8B1C0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6D21F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相关设计图纸及设计说明、综合管线图。</w:t>
            </w:r>
          </w:p>
        </w:tc>
      </w:tr>
      <w:tr w14:paraId="05E81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07415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22</w:t>
            </w:r>
          </w:p>
        </w:tc>
        <w:tc>
          <w:tcPr>
            <w:tcW w:w="590" w:type="dxa"/>
            <w:vMerge w:val="continue"/>
            <w:tcBorders>
              <w:tl2br w:val="nil"/>
              <w:tr2bl w:val="nil"/>
            </w:tcBorders>
            <w:shd w:val="clear" w:color="auto" w:fill="auto"/>
            <w:vAlign w:val="center"/>
          </w:tcPr>
          <w:p w14:paraId="415250F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97EEC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E8F1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3.3.9</w:t>
            </w:r>
          </w:p>
        </w:tc>
        <w:tc>
          <w:tcPr>
            <w:tcW w:w="7712" w:type="dxa"/>
            <w:tcBorders>
              <w:tl2br w:val="nil"/>
              <w:tr2bl w:val="nil"/>
            </w:tcBorders>
            <w:shd w:val="clear" w:color="auto" w:fill="auto"/>
            <w:vAlign w:val="center"/>
          </w:tcPr>
          <w:p w14:paraId="5AD901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夜景照明设施避免对行人和非机动车、机动车驾驶员造成眩光。夜景照明不影响卧室、起居室的正常使用。</w:t>
            </w:r>
          </w:p>
        </w:tc>
        <w:tc>
          <w:tcPr>
            <w:tcW w:w="1088" w:type="dxa"/>
            <w:tcBorders>
              <w:tl2br w:val="nil"/>
              <w:tr2bl w:val="nil"/>
            </w:tcBorders>
            <w:shd w:val="clear" w:color="auto" w:fill="auto"/>
            <w:noWrap/>
            <w:vAlign w:val="center"/>
          </w:tcPr>
          <w:p w14:paraId="5B2B64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FAD7C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FD668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0498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82049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8" w:hRule="atLeast"/>
        </w:trPr>
        <w:tc>
          <w:tcPr>
            <w:tcW w:w="609" w:type="dxa"/>
            <w:tcBorders>
              <w:tl2br w:val="nil"/>
              <w:tr2bl w:val="nil"/>
            </w:tcBorders>
            <w:shd w:val="clear" w:color="auto" w:fill="auto"/>
            <w:vAlign w:val="center"/>
          </w:tcPr>
          <w:p w14:paraId="7BD699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23</w:t>
            </w:r>
          </w:p>
        </w:tc>
        <w:tc>
          <w:tcPr>
            <w:tcW w:w="590" w:type="dxa"/>
            <w:vMerge w:val="continue"/>
            <w:tcBorders>
              <w:tl2br w:val="nil"/>
              <w:tr2bl w:val="nil"/>
            </w:tcBorders>
            <w:shd w:val="clear" w:color="auto" w:fill="auto"/>
            <w:vAlign w:val="center"/>
          </w:tcPr>
          <w:p w14:paraId="7DDBDB9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00D6BE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11D10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3.3.10</w:t>
            </w:r>
          </w:p>
        </w:tc>
        <w:tc>
          <w:tcPr>
            <w:tcW w:w="7712" w:type="dxa"/>
            <w:tcBorders>
              <w:tl2br w:val="nil"/>
              <w:tr2bl w:val="nil"/>
            </w:tcBorders>
            <w:shd w:val="clear" w:color="auto" w:fill="auto"/>
            <w:vAlign w:val="center"/>
          </w:tcPr>
          <w:p w14:paraId="42D2BAE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小区进行声功能规划及管理，小区环境噪声小于现行国家标准《声环境质量标准》GB 3096的2类声环境功能区标准值，并满足以下要求：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在小区规划阶段，合理规划，可能产生高噪声的设备或区域远离住宅；</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采用低噪声设备和技术；</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通过设置声屏障、绿化带等障碍物，减少外部噪声对小区住宅楼的干扰和影响。</w:t>
            </w:r>
          </w:p>
        </w:tc>
        <w:tc>
          <w:tcPr>
            <w:tcW w:w="1088" w:type="dxa"/>
            <w:tcBorders>
              <w:tl2br w:val="nil"/>
              <w:tr2bl w:val="nil"/>
            </w:tcBorders>
            <w:shd w:val="clear" w:color="auto" w:fill="auto"/>
            <w:noWrap/>
            <w:vAlign w:val="center"/>
          </w:tcPr>
          <w:p w14:paraId="0FC24A8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w:t>
            </w:r>
          </w:p>
        </w:tc>
        <w:tc>
          <w:tcPr>
            <w:tcW w:w="1722" w:type="dxa"/>
            <w:tcBorders>
              <w:tl2br w:val="nil"/>
              <w:tr2bl w:val="nil"/>
            </w:tcBorders>
            <w:shd w:val="clear" w:color="auto" w:fill="auto"/>
            <w:noWrap/>
            <w:vAlign w:val="center"/>
          </w:tcPr>
          <w:p w14:paraId="0AD92B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3680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091E2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相关设计图纸、环境噪声检测报告。</w:t>
            </w:r>
          </w:p>
        </w:tc>
      </w:tr>
      <w:tr w14:paraId="5D404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434A5D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24</w:t>
            </w:r>
          </w:p>
        </w:tc>
        <w:tc>
          <w:tcPr>
            <w:tcW w:w="590" w:type="dxa"/>
            <w:vMerge w:val="continue"/>
            <w:tcBorders>
              <w:tl2br w:val="nil"/>
              <w:tr2bl w:val="nil"/>
            </w:tcBorders>
            <w:shd w:val="clear" w:color="auto" w:fill="auto"/>
            <w:vAlign w:val="center"/>
          </w:tcPr>
          <w:p w14:paraId="3C97872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C65F2E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45BBF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3.3.11</w:t>
            </w:r>
          </w:p>
        </w:tc>
        <w:tc>
          <w:tcPr>
            <w:tcW w:w="7712" w:type="dxa"/>
            <w:tcBorders>
              <w:tl2br w:val="nil"/>
              <w:tr2bl w:val="nil"/>
            </w:tcBorders>
            <w:shd w:val="clear" w:color="auto" w:fill="auto"/>
            <w:vAlign w:val="center"/>
          </w:tcPr>
          <w:p w14:paraId="44D482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小区内无排放性局部污染源、开放性局部污染源和溢出性局部污染源。</w:t>
            </w:r>
          </w:p>
        </w:tc>
        <w:tc>
          <w:tcPr>
            <w:tcW w:w="1088" w:type="dxa"/>
            <w:tcBorders>
              <w:tl2br w:val="nil"/>
              <w:tr2bl w:val="nil"/>
            </w:tcBorders>
            <w:shd w:val="clear" w:color="auto" w:fill="auto"/>
            <w:noWrap/>
            <w:vAlign w:val="center"/>
          </w:tcPr>
          <w:p w14:paraId="0F9A53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/暖通/</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94D3B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CE657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9E324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07948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BA2EC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25</w:t>
            </w:r>
          </w:p>
        </w:tc>
        <w:tc>
          <w:tcPr>
            <w:tcW w:w="590" w:type="dxa"/>
            <w:vMerge w:val="continue"/>
            <w:tcBorders>
              <w:tl2br w:val="nil"/>
              <w:tr2bl w:val="nil"/>
            </w:tcBorders>
            <w:shd w:val="clear" w:color="auto" w:fill="auto"/>
            <w:vAlign w:val="center"/>
          </w:tcPr>
          <w:p w14:paraId="5EDB4A0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EE7493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D6A6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3.3.12</w:t>
            </w:r>
          </w:p>
        </w:tc>
        <w:tc>
          <w:tcPr>
            <w:tcW w:w="7712" w:type="dxa"/>
            <w:tcBorders>
              <w:tl2br w:val="nil"/>
              <w:tr2bl w:val="nil"/>
            </w:tcBorders>
            <w:shd w:val="clear" w:color="auto" w:fill="auto"/>
            <w:vAlign w:val="center"/>
          </w:tcPr>
          <w:p w14:paraId="2E3795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小区按照雨污分流的原则设计排水系统，除楼顶公共天面设置雨水排放系统外，阳台、露台的排水设施接入公共污水管网。小区排水管与市政排水管的接驳不错混接，并预留水量、水质检查井。</w:t>
            </w:r>
          </w:p>
        </w:tc>
        <w:tc>
          <w:tcPr>
            <w:tcW w:w="1088" w:type="dxa"/>
            <w:tcBorders>
              <w:tl2br w:val="nil"/>
              <w:tr2bl w:val="nil"/>
            </w:tcBorders>
            <w:shd w:val="clear" w:color="auto" w:fill="auto"/>
            <w:noWrap/>
            <w:vAlign w:val="center"/>
          </w:tcPr>
          <w:p w14:paraId="3825660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422EEC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2DD96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D16B5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DF40B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949" w:type="dxa"/>
            <w:gridSpan w:val="8"/>
            <w:tcBorders>
              <w:tl2br w:val="nil"/>
              <w:tr2bl w:val="nil"/>
            </w:tcBorders>
            <w:shd w:val="clear" w:color="auto" w:fill="auto"/>
            <w:vAlign w:val="center"/>
          </w:tcPr>
          <w:p w14:paraId="55A8D5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第四章 健康舒适</w:t>
            </w:r>
          </w:p>
          <w:p w14:paraId="638FD3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（基本类25条，预评价2条中各有1款有条件不参评。）</w:t>
            </w:r>
          </w:p>
        </w:tc>
      </w:tr>
      <w:tr w14:paraId="58532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6E149B8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26</w:t>
            </w:r>
          </w:p>
        </w:tc>
        <w:tc>
          <w:tcPr>
            <w:tcW w:w="590" w:type="dxa"/>
            <w:vMerge w:val="restart"/>
            <w:tcBorders>
              <w:tl2br w:val="nil"/>
              <w:tr2bl w:val="nil"/>
            </w:tcBorders>
            <w:shd w:val="clear" w:color="auto" w:fill="auto"/>
            <w:vAlign w:val="center"/>
          </w:tcPr>
          <w:p w14:paraId="294CA6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 公共空间</w:t>
            </w:r>
          </w:p>
        </w:tc>
        <w:tc>
          <w:tcPr>
            <w:tcW w:w="465" w:type="dxa"/>
            <w:vMerge w:val="restart"/>
            <w:tcBorders>
              <w:tl2br w:val="nil"/>
              <w:tr2bl w:val="nil"/>
            </w:tcBorders>
            <w:shd w:val="clear" w:color="auto" w:fill="auto"/>
            <w:vAlign w:val="center"/>
          </w:tcPr>
          <w:p w14:paraId="1D009F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06236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w:t>
            </w:r>
          </w:p>
        </w:tc>
        <w:tc>
          <w:tcPr>
            <w:tcW w:w="7712" w:type="dxa"/>
            <w:tcBorders>
              <w:tl2br w:val="nil"/>
              <w:tr2bl w:val="nil"/>
            </w:tcBorders>
            <w:shd w:val="clear" w:color="auto" w:fill="auto"/>
            <w:vAlign w:val="center"/>
          </w:tcPr>
          <w:p w14:paraId="1A32932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住宅公共空间设计满足住户便利性和安全性的需求，符合无障碍、适老化的标准要求及全龄友好的设计要求。</w:t>
            </w:r>
          </w:p>
        </w:tc>
        <w:tc>
          <w:tcPr>
            <w:tcW w:w="1088" w:type="dxa"/>
            <w:tcBorders>
              <w:tl2br w:val="nil"/>
              <w:tr2bl w:val="nil"/>
            </w:tcBorders>
            <w:shd w:val="clear" w:color="auto" w:fill="auto"/>
            <w:noWrap/>
            <w:vAlign w:val="center"/>
          </w:tcPr>
          <w:p w14:paraId="775EE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82BFE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5148B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9A012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55884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609" w:type="dxa"/>
            <w:tcBorders>
              <w:tl2br w:val="nil"/>
              <w:tr2bl w:val="nil"/>
            </w:tcBorders>
            <w:shd w:val="clear" w:color="auto" w:fill="auto"/>
            <w:vAlign w:val="center"/>
          </w:tcPr>
          <w:p w14:paraId="02C738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27</w:t>
            </w:r>
          </w:p>
        </w:tc>
        <w:tc>
          <w:tcPr>
            <w:tcW w:w="590" w:type="dxa"/>
            <w:vMerge w:val="continue"/>
            <w:tcBorders>
              <w:tl2br w:val="nil"/>
              <w:tr2bl w:val="nil"/>
            </w:tcBorders>
            <w:shd w:val="clear" w:color="auto" w:fill="auto"/>
            <w:vAlign w:val="center"/>
          </w:tcPr>
          <w:p w14:paraId="595736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85144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29FEE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4.1.2</w:t>
            </w:r>
          </w:p>
        </w:tc>
        <w:tc>
          <w:tcPr>
            <w:tcW w:w="7712" w:type="dxa"/>
            <w:tcBorders>
              <w:tl2br w:val="nil"/>
              <w:tr2bl w:val="nil"/>
            </w:tcBorders>
            <w:shd w:val="clear" w:color="auto" w:fill="auto"/>
            <w:vAlign w:val="center"/>
          </w:tcPr>
          <w:p w14:paraId="7717203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住宅主要公共出入口处设置尺度适宜的门厅。可视对讲主机、大堂内开门开关距离大门不超过2m。</w:t>
            </w:r>
          </w:p>
        </w:tc>
        <w:tc>
          <w:tcPr>
            <w:tcW w:w="1088" w:type="dxa"/>
            <w:tcBorders>
              <w:tl2br w:val="nil"/>
              <w:tr2bl w:val="nil"/>
            </w:tcBorders>
            <w:shd w:val="clear" w:color="auto" w:fill="auto"/>
            <w:noWrap/>
            <w:vAlign w:val="center"/>
          </w:tcPr>
          <w:p w14:paraId="6E9D8EC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/电气</w:t>
            </w:r>
          </w:p>
        </w:tc>
        <w:tc>
          <w:tcPr>
            <w:tcW w:w="1722" w:type="dxa"/>
            <w:tcBorders>
              <w:tl2br w:val="nil"/>
              <w:tr2bl w:val="nil"/>
            </w:tcBorders>
            <w:shd w:val="clear" w:color="auto" w:fill="auto"/>
            <w:noWrap/>
            <w:vAlign w:val="center"/>
          </w:tcPr>
          <w:p w14:paraId="0EC378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D3B195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DD0BA3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w:t>
            </w:r>
          </w:p>
        </w:tc>
      </w:tr>
      <w:tr w14:paraId="09AD1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22C6BA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28</w:t>
            </w:r>
          </w:p>
        </w:tc>
        <w:tc>
          <w:tcPr>
            <w:tcW w:w="590" w:type="dxa"/>
            <w:vMerge w:val="continue"/>
            <w:tcBorders>
              <w:tl2br w:val="nil"/>
              <w:tr2bl w:val="nil"/>
            </w:tcBorders>
            <w:shd w:val="clear" w:color="auto" w:fill="auto"/>
            <w:vAlign w:val="center"/>
          </w:tcPr>
          <w:p w14:paraId="52B4CF6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6A04E3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03265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4.1.3</w:t>
            </w:r>
          </w:p>
        </w:tc>
        <w:tc>
          <w:tcPr>
            <w:tcW w:w="7712" w:type="dxa"/>
            <w:tcBorders>
              <w:tl2br w:val="nil"/>
              <w:tr2bl w:val="nil"/>
            </w:tcBorders>
            <w:shd w:val="clear" w:color="auto" w:fill="auto"/>
            <w:vAlign w:val="center"/>
          </w:tcPr>
          <w:p w14:paraId="1624A4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门厅、电梯厅、过道等公共部位全装修交付。首层门厅层高不小于3.6m，门厅外留有的缓冲空间进深不小于1.5m。</w:t>
            </w:r>
          </w:p>
        </w:tc>
        <w:tc>
          <w:tcPr>
            <w:tcW w:w="1088" w:type="dxa"/>
            <w:tcBorders>
              <w:tl2br w:val="nil"/>
              <w:tr2bl w:val="nil"/>
            </w:tcBorders>
            <w:shd w:val="clear" w:color="auto" w:fill="auto"/>
            <w:noWrap/>
            <w:vAlign w:val="center"/>
          </w:tcPr>
          <w:p w14:paraId="68C459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E1787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9DCFE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C6603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相关设计图纸、设计说明及计算书。终评价尚需提交现场实测数据。</w:t>
            </w:r>
          </w:p>
        </w:tc>
      </w:tr>
      <w:tr w14:paraId="29EECF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7F154A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29</w:t>
            </w:r>
          </w:p>
        </w:tc>
        <w:tc>
          <w:tcPr>
            <w:tcW w:w="590" w:type="dxa"/>
            <w:vMerge w:val="continue"/>
            <w:tcBorders>
              <w:tl2br w:val="nil"/>
              <w:tr2bl w:val="nil"/>
            </w:tcBorders>
            <w:shd w:val="clear" w:color="auto" w:fill="auto"/>
            <w:vAlign w:val="center"/>
          </w:tcPr>
          <w:p w14:paraId="7EAA78D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E2477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8D140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4.1.4</w:t>
            </w:r>
          </w:p>
        </w:tc>
        <w:tc>
          <w:tcPr>
            <w:tcW w:w="7712" w:type="dxa"/>
            <w:tcBorders>
              <w:tl2br w:val="nil"/>
              <w:tr2bl w:val="nil"/>
            </w:tcBorders>
            <w:shd w:val="clear" w:color="auto" w:fill="auto"/>
            <w:vAlign w:val="center"/>
          </w:tcPr>
          <w:p w14:paraId="0A7FA9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门厅、电梯厅、过道等主要公共空间内的消火栓暗装处理，当走道侧墙上设有设备管井时，确保管井门开启后不影响走廊正常通行。门厅、电梯厅、过道等公共部位满足担架梯进出及无障碍设计要求。</w:t>
            </w:r>
          </w:p>
        </w:tc>
        <w:tc>
          <w:tcPr>
            <w:tcW w:w="1088" w:type="dxa"/>
            <w:tcBorders>
              <w:tl2br w:val="nil"/>
              <w:tr2bl w:val="nil"/>
            </w:tcBorders>
            <w:shd w:val="clear" w:color="auto" w:fill="auto"/>
            <w:noWrap/>
            <w:vAlign w:val="center"/>
          </w:tcPr>
          <w:p w14:paraId="0883750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08F770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09EB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8605D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173DF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2AFC63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30</w:t>
            </w:r>
          </w:p>
        </w:tc>
        <w:tc>
          <w:tcPr>
            <w:tcW w:w="590" w:type="dxa"/>
            <w:vMerge w:val="continue"/>
            <w:tcBorders>
              <w:tl2br w:val="nil"/>
              <w:tr2bl w:val="nil"/>
            </w:tcBorders>
            <w:shd w:val="clear" w:color="auto" w:fill="auto"/>
            <w:vAlign w:val="center"/>
          </w:tcPr>
          <w:p w14:paraId="2CDC138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0E84CC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3ED4B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4.1.5</w:t>
            </w:r>
          </w:p>
        </w:tc>
        <w:tc>
          <w:tcPr>
            <w:tcW w:w="7712" w:type="dxa"/>
            <w:tcBorders>
              <w:tl2br w:val="nil"/>
              <w:tr2bl w:val="nil"/>
            </w:tcBorders>
            <w:shd w:val="clear" w:color="auto" w:fill="auto"/>
            <w:vAlign w:val="center"/>
          </w:tcPr>
          <w:p w14:paraId="5B29F1C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首层门厅、底部商业的外部装饰性构件不影响上层住户的采光和视线。</w:t>
            </w:r>
          </w:p>
        </w:tc>
        <w:tc>
          <w:tcPr>
            <w:tcW w:w="1088" w:type="dxa"/>
            <w:tcBorders>
              <w:tl2br w:val="nil"/>
              <w:tr2bl w:val="nil"/>
            </w:tcBorders>
            <w:shd w:val="clear" w:color="auto" w:fill="auto"/>
            <w:noWrap/>
            <w:vAlign w:val="center"/>
          </w:tcPr>
          <w:p w14:paraId="5F2849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7A571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BFAF8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61F39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1B9AD2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C34C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31</w:t>
            </w:r>
          </w:p>
        </w:tc>
        <w:tc>
          <w:tcPr>
            <w:tcW w:w="590" w:type="dxa"/>
            <w:vMerge w:val="continue"/>
            <w:tcBorders>
              <w:tl2br w:val="nil"/>
              <w:tr2bl w:val="nil"/>
            </w:tcBorders>
            <w:shd w:val="clear" w:color="auto" w:fill="auto"/>
            <w:vAlign w:val="center"/>
          </w:tcPr>
          <w:p w14:paraId="11ECF5F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B861DC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70AC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4.1.6</w:t>
            </w:r>
          </w:p>
        </w:tc>
        <w:tc>
          <w:tcPr>
            <w:tcW w:w="7712" w:type="dxa"/>
            <w:tcBorders>
              <w:tl2br w:val="nil"/>
              <w:tr2bl w:val="nil"/>
            </w:tcBorders>
            <w:shd w:val="clear" w:color="auto" w:fill="auto"/>
            <w:vAlign w:val="center"/>
          </w:tcPr>
          <w:p w14:paraId="66B97E1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敞开式连廊采取防雨措施，地面铺贴防滑地砖并设置排水措施。</w:t>
            </w:r>
          </w:p>
        </w:tc>
        <w:tc>
          <w:tcPr>
            <w:tcW w:w="1088" w:type="dxa"/>
            <w:tcBorders>
              <w:tl2br w:val="nil"/>
              <w:tr2bl w:val="nil"/>
            </w:tcBorders>
            <w:shd w:val="clear" w:color="auto" w:fill="auto"/>
            <w:noWrap/>
            <w:vAlign w:val="center"/>
          </w:tcPr>
          <w:p w14:paraId="5786B8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9A980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C4272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8A17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E60B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1" w:hRule="atLeast"/>
        </w:trPr>
        <w:tc>
          <w:tcPr>
            <w:tcW w:w="609" w:type="dxa"/>
            <w:tcBorders>
              <w:tl2br w:val="nil"/>
              <w:tr2bl w:val="nil"/>
            </w:tcBorders>
            <w:shd w:val="clear" w:color="auto" w:fill="auto"/>
            <w:vAlign w:val="center"/>
          </w:tcPr>
          <w:p w14:paraId="551F69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32</w:t>
            </w:r>
          </w:p>
        </w:tc>
        <w:tc>
          <w:tcPr>
            <w:tcW w:w="590" w:type="dxa"/>
            <w:vMerge w:val="continue"/>
            <w:tcBorders>
              <w:tl2br w:val="nil"/>
              <w:tr2bl w:val="nil"/>
            </w:tcBorders>
            <w:shd w:val="clear" w:color="auto" w:fill="auto"/>
            <w:vAlign w:val="center"/>
          </w:tcPr>
          <w:p w14:paraId="3F0FD5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59556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DF193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4.1.7</w:t>
            </w:r>
          </w:p>
        </w:tc>
        <w:tc>
          <w:tcPr>
            <w:tcW w:w="7712" w:type="dxa"/>
            <w:tcBorders>
              <w:tl2br w:val="nil"/>
              <w:tr2bl w:val="nil"/>
            </w:tcBorders>
            <w:shd w:val="clear" w:color="auto" w:fill="auto"/>
            <w:vAlign w:val="center"/>
          </w:tcPr>
          <w:p w14:paraId="6325E6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住宅电梯的设置符合下列规定：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候梯厅深度不小于多台电梯中最大轿厢深度且不小于1.8m；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所有电梯均直达地上全部楼层和地下车库各层；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每台电梯服务户数不超过60户；</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电梯轿厢内设置空调；</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安装不影响通行宽度的扶手。</w:t>
            </w:r>
          </w:p>
          <w:p w14:paraId="6C63FC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注：第3款保障性住房调整至不超过80户/梯</w:t>
            </w:r>
          </w:p>
        </w:tc>
        <w:tc>
          <w:tcPr>
            <w:tcW w:w="1088" w:type="dxa"/>
            <w:tcBorders>
              <w:tl2br w:val="nil"/>
              <w:tr2bl w:val="nil"/>
            </w:tcBorders>
            <w:shd w:val="clear" w:color="auto" w:fill="auto"/>
            <w:noWrap/>
            <w:vAlign w:val="center"/>
          </w:tcPr>
          <w:p w14:paraId="61C3E12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07945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B93D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3D2B1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w:t>
            </w:r>
          </w:p>
        </w:tc>
      </w:tr>
      <w:tr w14:paraId="51CF54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4" w:hRule="atLeast"/>
        </w:trPr>
        <w:tc>
          <w:tcPr>
            <w:tcW w:w="609" w:type="dxa"/>
            <w:tcBorders>
              <w:tl2br w:val="nil"/>
              <w:tr2bl w:val="nil"/>
            </w:tcBorders>
            <w:shd w:val="clear" w:color="auto" w:fill="auto"/>
            <w:vAlign w:val="center"/>
          </w:tcPr>
          <w:p w14:paraId="739C9F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33</w:t>
            </w:r>
          </w:p>
        </w:tc>
        <w:tc>
          <w:tcPr>
            <w:tcW w:w="590" w:type="dxa"/>
            <w:vMerge w:val="continue"/>
            <w:tcBorders>
              <w:tl2br w:val="nil"/>
              <w:tr2bl w:val="nil"/>
            </w:tcBorders>
            <w:shd w:val="clear" w:color="auto" w:fill="auto"/>
            <w:vAlign w:val="center"/>
          </w:tcPr>
          <w:p w14:paraId="1B714C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0B7D85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D709C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4.1.8</w:t>
            </w:r>
          </w:p>
        </w:tc>
        <w:tc>
          <w:tcPr>
            <w:tcW w:w="7712" w:type="dxa"/>
            <w:tcBorders>
              <w:tl2br w:val="nil"/>
              <w:tr2bl w:val="nil"/>
            </w:tcBorders>
            <w:shd w:val="clear" w:color="auto" w:fill="auto"/>
            <w:vAlign w:val="center"/>
          </w:tcPr>
          <w:p w14:paraId="0DDDD0EF">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地下车库设计符合下列规定：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设置有地下车库的住宅，设置地下单元门厅，门厅入口按无障碍入口设计，入口处设置尺度适宜的落客区；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地下单元门厅、电梯厅、过道等公共部位全装修交付，地下室门厅及电梯厅负一层净高不低于2.8m，负二及以下层净高不低于2.6m；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地下停车库出入口不垂直正对住户外窗，地下停车库出入口和坡道上方设置雨</w:t>
            </w:r>
            <w:r>
              <w:rPr>
                <w:rFonts w:ascii="仿宋" w:hAnsi="仿宋" w:eastAsia="仿宋" w:cs="仿宋"/>
                <w:color w:val="auto"/>
                <w:kern w:val="0"/>
                <w:sz w:val="22"/>
                <w:szCs w:val="22"/>
                <w:highlight w:val="none"/>
                <w:lang w:val="en-US" w:eastAsia="zh-CN" w:bidi="ar"/>
              </w:rPr>
              <w:t>篷</w:t>
            </w: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地下车库交通流线组织顺畅，车位布局合理高效，车位布置便于使用和出入。地下车库设置清晰、明确的标识系统；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无障碍停车位在地下车库入户大堂出入口就近设置；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地下车库出入口、坡道以及主车道净高不低于2.4m，车位净高不低于2.2m。单向直线式坡道净宽度不小于4m，曲线式坡道不小于5m；双向直线式坡道净宽度不小于7m，曲线式坡道不小于7.5m；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地下车库地坪采用具有防尘、减噪、防滑、耐磨损、易清理、耐腐蚀的材料，地坪面层采取防止地面开裂的措施；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地下车库优先采取自然通风，当不具备自然通风条件时：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1）设置机械排风系统，并设置与排风设备联动的一氧化碳浓度监测装置；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2）送风系统直接从室外引入空气；</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9  地下车库的排风出口布置在主导风的下风向，远离人员活动区，且设置消声措施，噪声值满足环保要求；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10  集水坑井盖采用轻质钢构载重型密闭井盖，排水沟采用降噪盖板，地下车库非出入口处排水沟不穿越主要车行道；</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11  地下车库集水坑、潜污泵出水管、管线阀门、人防密闭门、人防排气活门及消火栓不影响车行及车位使用。</w:t>
            </w:r>
          </w:p>
        </w:tc>
        <w:tc>
          <w:tcPr>
            <w:tcW w:w="1088" w:type="dxa"/>
            <w:tcBorders>
              <w:tl2br w:val="nil"/>
              <w:tr2bl w:val="nil"/>
            </w:tcBorders>
            <w:shd w:val="clear" w:color="auto" w:fill="auto"/>
            <w:noWrap/>
            <w:vAlign w:val="center"/>
          </w:tcPr>
          <w:p w14:paraId="7D96D36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w:t>
            </w:r>
          </w:p>
        </w:tc>
        <w:tc>
          <w:tcPr>
            <w:tcW w:w="1722" w:type="dxa"/>
            <w:tcBorders>
              <w:tl2br w:val="nil"/>
              <w:tr2bl w:val="nil"/>
            </w:tcBorders>
            <w:shd w:val="clear" w:color="auto" w:fill="auto"/>
            <w:noWrap/>
            <w:vAlign w:val="center"/>
          </w:tcPr>
          <w:p w14:paraId="62F278B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D108A8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C0F41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相关设计图纸、设计说明。终评价尚需提交现场实测数据、管线综合图。</w:t>
            </w:r>
          </w:p>
        </w:tc>
      </w:tr>
      <w:tr w14:paraId="59B095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6CEDE9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34</w:t>
            </w:r>
          </w:p>
        </w:tc>
        <w:tc>
          <w:tcPr>
            <w:tcW w:w="590" w:type="dxa"/>
            <w:vMerge w:val="continue"/>
            <w:tcBorders>
              <w:tl2br w:val="nil"/>
              <w:tr2bl w:val="nil"/>
            </w:tcBorders>
            <w:shd w:val="clear" w:color="auto" w:fill="auto"/>
            <w:vAlign w:val="center"/>
          </w:tcPr>
          <w:p w14:paraId="28CA2FE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445A1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2D73B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4.1.9</w:t>
            </w:r>
          </w:p>
        </w:tc>
        <w:tc>
          <w:tcPr>
            <w:tcW w:w="7712" w:type="dxa"/>
            <w:tcBorders>
              <w:tl2br w:val="nil"/>
              <w:tr2bl w:val="nil"/>
            </w:tcBorders>
            <w:shd w:val="clear" w:color="auto" w:fill="auto"/>
            <w:vAlign w:val="center"/>
          </w:tcPr>
          <w:p w14:paraId="34D83B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住宅楼栋、单元、电梯厅、住户设置明显标识标牌，标识标牌夜间清晰可见。</w:t>
            </w:r>
          </w:p>
        </w:tc>
        <w:tc>
          <w:tcPr>
            <w:tcW w:w="1088" w:type="dxa"/>
            <w:tcBorders>
              <w:tl2br w:val="nil"/>
              <w:tr2bl w:val="nil"/>
            </w:tcBorders>
            <w:shd w:val="clear" w:color="auto" w:fill="auto"/>
            <w:noWrap/>
            <w:vAlign w:val="center"/>
          </w:tcPr>
          <w:p w14:paraId="56DEBD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744C0B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4FA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AD762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5A018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2882B6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35</w:t>
            </w:r>
          </w:p>
        </w:tc>
        <w:tc>
          <w:tcPr>
            <w:tcW w:w="590" w:type="dxa"/>
            <w:vMerge w:val="restart"/>
            <w:tcBorders>
              <w:tl2br w:val="nil"/>
              <w:tr2bl w:val="nil"/>
            </w:tcBorders>
            <w:shd w:val="clear" w:color="auto" w:fill="auto"/>
            <w:vAlign w:val="center"/>
          </w:tcPr>
          <w:p w14:paraId="0BF247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 套内空间</w:t>
            </w:r>
          </w:p>
        </w:tc>
        <w:tc>
          <w:tcPr>
            <w:tcW w:w="465" w:type="dxa"/>
            <w:vMerge w:val="restart"/>
            <w:tcBorders>
              <w:tl2br w:val="nil"/>
              <w:tr2bl w:val="nil"/>
            </w:tcBorders>
            <w:shd w:val="clear" w:color="auto" w:fill="auto"/>
            <w:vAlign w:val="center"/>
          </w:tcPr>
          <w:p w14:paraId="516A86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D504F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w:t>
            </w:r>
          </w:p>
        </w:tc>
        <w:tc>
          <w:tcPr>
            <w:tcW w:w="7712" w:type="dxa"/>
            <w:tcBorders>
              <w:tl2br w:val="nil"/>
              <w:tr2bl w:val="nil"/>
            </w:tcBorders>
            <w:shd w:val="clear" w:color="auto" w:fill="auto"/>
            <w:vAlign w:val="center"/>
          </w:tcPr>
          <w:p w14:paraId="075CD84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住宅套型确保住户的健康、舒适、安全、适用，基本功能空间和设备设施齐备，并符合下列规定：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套型与功能空间数量、面积相匹配，包括卧室、起居室、厨房、卫生间和阳台等基本功能空间；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套内空间合理布局、方正实用、尺度适宜、流线合理，套内注重动静分区、干湿分离、洁污分区；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住宅采用与建筑功能和空间相适应的设备设施布置方式和结构形式；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套内的主要生活空间具有隐私性，起居室和卧室具有良好视野。</w:t>
            </w:r>
          </w:p>
        </w:tc>
        <w:tc>
          <w:tcPr>
            <w:tcW w:w="1088" w:type="dxa"/>
            <w:tcBorders>
              <w:tl2br w:val="nil"/>
              <w:tr2bl w:val="nil"/>
            </w:tcBorders>
            <w:shd w:val="clear" w:color="auto" w:fill="auto"/>
            <w:noWrap/>
            <w:vAlign w:val="center"/>
          </w:tcPr>
          <w:p w14:paraId="4534AA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EC0A5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17D07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34CAC6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48655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2EAE8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569B61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36</w:t>
            </w:r>
          </w:p>
        </w:tc>
        <w:tc>
          <w:tcPr>
            <w:tcW w:w="590" w:type="dxa"/>
            <w:vMerge w:val="continue"/>
            <w:tcBorders>
              <w:tl2br w:val="nil"/>
              <w:tr2bl w:val="nil"/>
            </w:tcBorders>
            <w:shd w:val="clear" w:color="auto" w:fill="auto"/>
            <w:vAlign w:val="center"/>
          </w:tcPr>
          <w:p w14:paraId="4A51E5B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2DD628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760074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4.2.2</w:t>
            </w:r>
          </w:p>
        </w:tc>
        <w:tc>
          <w:tcPr>
            <w:tcW w:w="7712" w:type="dxa"/>
            <w:tcBorders>
              <w:tl2br w:val="nil"/>
              <w:tr2bl w:val="nil"/>
            </w:tcBorders>
            <w:shd w:val="clear" w:color="auto" w:fill="auto"/>
            <w:vAlign w:val="center"/>
          </w:tcPr>
          <w:p w14:paraId="1D210B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住宅层高设置合理，标准层层高不低于3m。建筑面积140㎡及以上设有户式中央空调和集中新风系统的套型，标准层层高不低于3.15m。</w:t>
            </w:r>
          </w:p>
        </w:tc>
        <w:tc>
          <w:tcPr>
            <w:tcW w:w="1088" w:type="dxa"/>
            <w:tcBorders>
              <w:tl2br w:val="nil"/>
              <w:tr2bl w:val="nil"/>
            </w:tcBorders>
            <w:shd w:val="clear" w:color="auto" w:fill="auto"/>
            <w:noWrap/>
            <w:vAlign w:val="center"/>
          </w:tcPr>
          <w:p w14:paraId="5419DA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32D33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06E9A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775B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3CED6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BCE3E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37</w:t>
            </w:r>
          </w:p>
        </w:tc>
        <w:tc>
          <w:tcPr>
            <w:tcW w:w="590" w:type="dxa"/>
            <w:vMerge w:val="continue"/>
            <w:tcBorders>
              <w:tl2br w:val="nil"/>
              <w:tr2bl w:val="nil"/>
            </w:tcBorders>
            <w:shd w:val="clear" w:color="auto" w:fill="auto"/>
            <w:vAlign w:val="center"/>
          </w:tcPr>
          <w:p w14:paraId="44F85AC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519DC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B2B6A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4.2.3</w:t>
            </w:r>
          </w:p>
        </w:tc>
        <w:tc>
          <w:tcPr>
            <w:tcW w:w="7712" w:type="dxa"/>
            <w:tcBorders>
              <w:tl2br w:val="nil"/>
              <w:tr2bl w:val="nil"/>
            </w:tcBorders>
            <w:shd w:val="clear" w:color="auto" w:fill="auto"/>
            <w:vAlign w:val="center"/>
          </w:tcPr>
          <w:p w14:paraId="283F095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每套住宅设阳台，并符合下列规定：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主要生活阳台进深不小于1.5m；服务阳台进深不小于1.2m；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在有阳光直射的阳台设置晾晒空间，当无直射阳光晾晒条件时，设置有杀菌功能的衣物烘干设备或预留设置条件。</w:t>
            </w:r>
          </w:p>
          <w:p w14:paraId="182D47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注：保障性住房设阳台时进深不少于1.2m；不设阳台时，本条不参评。</w:t>
            </w:r>
          </w:p>
        </w:tc>
        <w:tc>
          <w:tcPr>
            <w:tcW w:w="1088" w:type="dxa"/>
            <w:tcBorders>
              <w:tl2br w:val="nil"/>
              <w:tr2bl w:val="nil"/>
            </w:tcBorders>
            <w:shd w:val="clear" w:color="auto" w:fill="auto"/>
            <w:noWrap/>
            <w:vAlign w:val="center"/>
          </w:tcPr>
          <w:p w14:paraId="7AF7E6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E0754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FA140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9D24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30AD0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99" w:hRule="atLeast"/>
        </w:trPr>
        <w:tc>
          <w:tcPr>
            <w:tcW w:w="609" w:type="dxa"/>
            <w:tcBorders>
              <w:tl2br w:val="nil"/>
              <w:tr2bl w:val="nil"/>
            </w:tcBorders>
            <w:shd w:val="clear" w:color="auto" w:fill="auto"/>
            <w:vAlign w:val="center"/>
          </w:tcPr>
          <w:p w14:paraId="34BAF5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38</w:t>
            </w:r>
          </w:p>
        </w:tc>
        <w:tc>
          <w:tcPr>
            <w:tcW w:w="590" w:type="dxa"/>
            <w:vMerge w:val="continue"/>
            <w:tcBorders>
              <w:tl2br w:val="nil"/>
              <w:tr2bl w:val="nil"/>
            </w:tcBorders>
            <w:shd w:val="clear" w:color="auto" w:fill="auto"/>
            <w:vAlign w:val="center"/>
          </w:tcPr>
          <w:p w14:paraId="011735B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1D011E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D080B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4.2.4</w:t>
            </w:r>
          </w:p>
        </w:tc>
        <w:tc>
          <w:tcPr>
            <w:tcW w:w="7712" w:type="dxa"/>
            <w:tcBorders>
              <w:tl2br w:val="nil"/>
              <w:tr2bl w:val="nil"/>
            </w:tcBorders>
            <w:shd w:val="clear" w:color="auto" w:fill="auto"/>
            <w:vAlign w:val="center"/>
          </w:tcPr>
          <w:p w14:paraId="433C97E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住宅户门开启符合下列规定：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户门开启不影响电梯厅、楼梯、走廊、相邻住户的通行及消火栓的使用；</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相邻户门并列布置时，门扇间最小净距离不小于0.4m；相邻户门为L型布置时，门扇开启过程中最小净距离不小于0.6m。户门外两侧预留不小于0.2m的墙垛；</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公共空间内设备井检修门开启时不影响相邻住户户门的开启。</w:t>
            </w:r>
          </w:p>
          <w:p w14:paraId="310F0A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注：保障性住房本条第2款不参评。</w:t>
            </w:r>
          </w:p>
        </w:tc>
        <w:tc>
          <w:tcPr>
            <w:tcW w:w="1088" w:type="dxa"/>
            <w:tcBorders>
              <w:tl2br w:val="nil"/>
              <w:tr2bl w:val="nil"/>
            </w:tcBorders>
            <w:shd w:val="clear" w:color="auto" w:fill="auto"/>
            <w:noWrap/>
            <w:vAlign w:val="center"/>
          </w:tcPr>
          <w:p w14:paraId="6F1087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051158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49FD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C7885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007E1C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78" w:hRule="atLeast"/>
        </w:trPr>
        <w:tc>
          <w:tcPr>
            <w:tcW w:w="609" w:type="dxa"/>
            <w:tcBorders>
              <w:tl2br w:val="nil"/>
              <w:tr2bl w:val="nil"/>
            </w:tcBorders>
            <w:shd w:val="clear" w:color="auto" w:fill="auto"/>
            <w:vAlign w:val="center"/>
          </w:tcPr>
          <w:p w14:paraId="668204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39</w:t>
            </w:r>
          </w:p>
        </w:tc>
        <w:tc>
          <w:tcPr>
            <w:tcW w:w="590" w:type="dxa"/>
            <w:vMerge w:val="continue"/>
            <w:tcBorders>
              <w:tl2br w:val="nil"/>
              <w:tr2bl w:val="nil"/>
            </w:tcBorders>
            <w:shd w:val="clear" w:color="auto" w:fill="auto"/>
            <w:vAlign w:val="center"/>
          </w:tcPr>
          <w:p w14:paraId="1C1EAF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C90089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6BDE7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4.2.5</w:t>
            </w:r>
          </w:p>
        </w:tc>
        <w:tc>
          <w:tcPr>
            <w:tcW w:w="7712" w:type="dxa"/>
            <w:tcBorders>
              <w:tl2br w:val="nil"/>
              <w:tr2bl w:val="nil"/>
            </w:tcBorders>
            <w:shd w:val="clear" w:color="auto" w:fill="auto"/>
            <w:vAlign w:val="center"/>
          </w:tcPr>
          <w:p w14:paraId="46B69C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住宅户门通行净宽不小于0.9m，且净高不低于2.1m；厨房、卫生间门的通行净宽不小于0.8m；当卫生间门向内开启时，预留向外开启或推拉开启的空间条件；服务阳台门净宽不少于0.8m。</w:t>
            </w:r>
          </w:p>
          <w:p w14:paraId="1F2442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注：保障性住房厨卫通行净宽要求按《住宅项目规范》第4.1.14条要求执行。</w:t>
            </w:r>
          </w:p>
        </w:tc>
        <w:tc>
          <w:tcPr>
            <w:tcW w:w="1088" w:type="dxa"/>
            <w:tcBorders>
              <w:tl2br w:val="nil"/>
              <w:tr2bl w:val="nil"/>
            </w:tcBorders>
            <w:shd w:val="clear" w:color="auto" w:fill="auto"/>
            <w:noWrap/>
            <w:vAlign w:val="center"/>
          </w:tcPr>
          <w:p w14:paraId="6F0FF7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FC92BE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57609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EBD39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45D0DA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609" w:type="dxa"/>
            <w:tcBorders>
              <w:tl2br w:val="nil"/>
              <w:tr2bl w:val="nil"/>
            </w:tcBorders>
            <w:shd w:val="clear" w:color="auto" w:fill="auto"/>
            <w:vAlign w:val="center"/>
          </w:tcPr>
          <w:p w14:paraId="314903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w:t>
            </w:r>
          </w:p>
        </w:tc>
        <w:tc>
          <w:tcPr>
            <w:tcW w:w="590" w:type="dxa"/>
            <w:vMerge w:val="continue"/>
            <w:tcBorders>
              <w:tl2br w:val="nil"/>
              <w:tr2bl w:val="nil"/>
            </w:tcBorders>
            <w:shd w:val="clear" w:color="auto" w:fill="auto"/>
            <w:vAlign w:val="center"/>
          </w:tcPr>
          <w:p w14:paraId="173590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CD41A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01676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4.2.6</w:t>
            </w:r>
          </w:p>
        </w:tc>
        <w:tc>
          <w:tcPr>
            <w:tcW w:w="7712" w:type="dxa"/>
            <w:tcBorders>
              <w:tl2br w:val="nil"/>
              <w:tr2bl w:val="nil"/>
            </w:tcBorders>
            <w:shd w:val="clear" w:color="auto" w:fill="auto"/>
            <w:vAlign w:val="center"/>
          </w:tcPr>
          <w:p w14:paraId="09C860F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卧室门在门套上加装密封条以增加隔声效果，卫生间门框下部采取防潮措施。</w:t>
            </w:r>
          </w:p>
        </w:tc>
        <w:tc>
          <w:tcPr>
            <w:tcW w:w="1088" w:type="dxa"/>
            <w:tcBorders>
              <w:tl2br w:val="nil"/>
              <w:tr2bl w:val="nil"/>
            </w:tcBorders>
            <w:shd w:val="clear" w:color="auto" w:fill="auto"/>
            <w:noWrap/>
            <w:vAlign w:val="center"/>
          </w:tcPr>
          <w:p w14:paraId="78198FF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1E6B79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2ED6FC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467C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45CA66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5" w:hRule="atLeast"/>
        </w:trPr>
        <w:tc>
          <w:tcPr>
            <w:tcW w:w="609" w:type="dxa"/>
            <w:tcBorders>
              <w:tl2br w:val="nil"/>
              <w:tr2bl w:val="nil"/>
            </w:tcBorders>
            <w:shd w:val="clear" w:color="auto" w:fill="auto"/>
            <w:vAlign w:val="center"/>
          </w:tcPr>
          <w:p w14:paraId="4DF563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w:t>
            </w:r>
          </w:p>
        </w:tc>
        <w:tc>
          <w:tcPr>
            <w:tcW w:w="590" w:type="dxa"/>
            <w:vMerge w:val="continue"/>
            <w:tcBorders>
              <w:tl2br w:val="nil"/>
              <w:tr2bl w:val="nil"/>
            </w:tcBorders>
            <w:shd w:val="clear" w:color="auto" w:fill="auto"/>
            <w:vAlign w:val="center"/>
          </w:tcPr>
          <w:p w14:paraId="621367D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C764C8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CC045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4.2.7</w:t>
            </w:r>
          </w:p>
        </w:tc>
        <w:tc>
          <w:tcPr>
            <w:tcW w:w="7712" w:type="dxa"/>
            <w:tcBorders>
              <w:tl2br w:val="nil"/>
              <w:tr2bl w:val="nil"/>
            </w:tcBorders>
            <w:shd w:val="clear" w:color="auto" w:fill="auto"/>
            <w:vAlign w:val="center"/>
          </w:tcPr>
          <w:p w14:paraId="641DB6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厨房、卫生间的设备设施合理设置，并符合下列规定：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厨房设置直通屋面的排油烟成品管道，该管道具备防火、导流、防倒灌功能，并符合国家和当地相关标准。连接竖向主管道的各层水平支管上设置150℃防火止回阀；</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厨房天花采用密闭式吊顶时，厨房排油烟管道上的防火止回阀处设置不小于300x300mm 的隐蔽式检修口，且检修口不可被遮挡。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厨房预留洗碗机、蒸箱、厨余垃圾处理器、水浸报警装置等设备设施的位置及插座等条件。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无外窗的卫生间设置机械排风系统，通风换气次数不小于10次/h；</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卫生间地漏具有防反溢、防异味功能；洗衣机处地漏采用具有防反溢、防干涸功能的专用地漏；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存水弯出水管与排水管道连接处使用良好密封材料和构造，便器选用构造内自带水封的产品；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卫生间采用同层排水系统，并做好沉箱底和完成面两道防水措施。</w:t>
            </w:r>
          </w:p>
          <w:p w14:paraId="631DF2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注：对保障性住房，仅需预留水浸报警装置的位置及插座等条件第3款即达标。</w:t>
            </w:r>
          </w:p>
        </w:tc>
        <w:tc>
          <w:tcPr>
            <w:tcW w:w="1088" w:type="dxa"/>
            <w:tcBorders>
              <w:tl2br w:val="nil"/>
              <w:tr2bl w:val="nil"/>
            </w:tcBorders>
            <w:shd w:val="clear" w:color="auto" w:fill="auto"/>
            <w:noWrap/>
            <w:vAlign w:val="center"/>
          </w:tcPr>
          <w:p w14:paraId="5E036C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建筑牵头，电气、给排水配合。</w:t>
            </w:r>
          </w:p>
        </w:tc>
        <w:tc>
          <w:tcPr>
            <w:tcW w:w="1722" w:type="dxa"/>
            <w:tcBorders>
              <w:tl2br w:val="nil"/>
              <w:tr2bl w:val="nil"/>
            </w:tcBorders>
            <w:shd w:val="clear" w:color="auto" w:fill="auto"/>
            <w:noWrap/>
            <w:vAlign w:val="center"/>
          </w:tcPr>
          <w:p w14:paraId="016E31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D89C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9F08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相关设计图纸、设计说明及计算书。终评价尚需提交现场图片</w:t>
            </w:r>
          </w:p>
        </w:tc>
      </w:tr>
      <w:tr w14:paraId="040FA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52" w:hRule="atLeast"/>
        </w:trPr>
        <w:tc>
          <w:tcPr>
            <w:tcW w:w="609" w:type="dxa"/>
            <w:tcBorders>
              <w:tl2br w:val="nil"/>
              <w:tr2bl w:val="nil"/>
            </w:tcBorders>
            <w:shd w:val="clear" w:color="auto" w:fill="auto"/>
            <w:vAlign w:val="center"/>
          </w:tcPr>
          <w:p w14:paraId="0440A2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w:t>
            </w:r>
          </w:p>
        </w:tc>
        <w:tc>
          <w:tcPr>
            <w:tcW w:w="590" w:type="dxa"/>
            <w:vMerge w:val="continue"/>
            <w:tcBorders>
              <w:tl2br w:val="nil"/>
              <w:tr2bl w:val="nil"/>
            </w:tcBorders>
            <w:shd w:val="clear" w:color="auto" w:fill="auto"/>
            <w:vAlign w:val="center"/>
          </w:tcPr>
          <w:p w14:paraId="6FD137C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62261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CCBAB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4.2.8</w:t>
            </w:r>
          </w:p>
        </w:tc>
        <w:tc>
          <w:tcPr>
            <w:tcW w:w="7712" w:type="dxa"/>
            <w:tcBorders>
              <w:tl2br w:val="nil"/>
              <w:tr2bl w:val="nil"/>
            </w:tcBorders>
            <w:shd w:val="clear" w:color="auto" w:fill="auto"/>
            <w:vAlign w:val="center"/>
          </w:tcPr>
          <w:p w14:paraId="782FE7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住宅的电源插座布置满足《住宅项目规范》GB 55038中7.4.5条规定的要求，并符合下列规定：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卫生间内坐便器侧预留电源插座，厨房台盆下方预留净水器等设备电源插座，电源插座防护符合《外壳防护等级（IP代码）》GB/T 4208规定的IP54防护等级的要求；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起居室电视墙设置不少于2个单相五孔插座，居中布置的床头两侧设置床头插座，靠墙布置的床头不靠墙侧设置床头插座；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厨房除设置特定功能插座外，设置不少于3处操作台面插座（每处设2个单相五孔插座）；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起居室、卧室除设置特定功能插座外，保证房间各墙角均有设置，连续墙上的插座间距不超过3m。</w:t>
            </w:r>
          </w:p>
        </w:tc>
        <w:tc>
          <w:tcPr>
            <w:tcW w:w="1088" w:type="dxa"/>
            <w:tcBorders>
              <w:tl2br w:val="nil"/>
              <w:tr2bl w:val="nil"/>
            </w:tcBorders>
            <w:shd w:val="clear" w:color="auto" w:fill="auto"/>
            <w:noWrap/>
            <w:vAlign w:val="center"/>
          </w:tcPr>
          <w:p w14:paraId="4D1807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电气、建筑</w:t>
            </w:r>
          </w:p>
        </w:tc>
        <w:tc>
          <w:tcPr>
            <w:tcW w:w="1722" w:type="dxa"/>
            <w:tcBorders>
              <w:tl2br w:val="nil"/>
              <w:tr2bl w:val="nil"/>
            </w:tcBorders>
            <w:shd w:val="clear" w:color="auto" w:fill="auto"/>
            <w:noWrap/>
            <w:vAlign w:val="center"/>
          </w:tcPr>
          <w:p w14:paraId="7235443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B9CC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072D2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5345D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9" w:hRule="atLeast"/>
        </w:trPr>
        <w:tc>
          <w:tcPr>
            <w:tcW w:w="609" w:type="dxa"/>
            <w:tcBorders>
              <w:tl2br w:val="nil"/>
              <w:tr2bl w:val="nil"/>
            </w:tcBorders>
            <w:shd w:val="clear" w:color="auto" w:fill="auto"/>
            <w:vAlign w:val="center"/>
          </w:tcPr>
          <w:p w14:paraId="13DA2E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w:t>
            </w:r>
          </w:p>
        </w:tc>
        <w:tc>
          <w:tcPr>
            <w:tcW w:w="590" w:type="dxa"/>
            <w:vMerge w:val="continue"/>
            <w:tcBorders>
              <w:tl2br w:val="nil"/>
              <w:tr2bl w:val="nil"/>
            </w:tcBorders>
            <w:shd w:val="clear" w:color="auto" w:fill="auto"/>
            <w:vAlign w:val="center"/>
          </w:tcPr>
          <w:p w14:paraId="7BAE908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AE0D05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85FE8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4.2.9</w:t>
            </w:r>
          </w:p>
        </w:tc>
        <w:tc>
          <w:tcPr>
            <w:tcW w:w="7712" w:type="dxa"/>
            <w:tcBorders>
              <w:tl2br w:val="nil"/>
              <w:tr2bl w:val="nil"/>
            </w:tcBorders>
            <w:shd w:val="clear" w:color="auto" w:fill="auto"/>
            <w:vAlign w:val="center"/>
          </w:tcPr>
          <w:p w14:paraId="25B223C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住宅套内空间加强气流组织及自然通风路径设计，提高通风效率。</w:t>
            </w:r>
          </w:p>
        </w:tc>
        <w:tc>
          <w:tcPr>
            <w:tcW w:w="1088" w:type="dxa"/>
            <w:tcBorders>
              <w:tl2br w:val="nil"/>
              <w:tr2bl w:val="nil"/>
            </w:tcBorders>
            <w:shd w:val="clear" w:color="auto" w:fill="auto"/>
            <w:noWrap/>
            <w:vAlign w:val="center"/>
          </w:tcPr>
          <w:p w14:paraId="368A8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F38AE9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48E9A6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B011FC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7818C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39" w:hRule="atLeast"/>
        </w:trPr>
        <w:tc>
          <w:tcPr>
            <w:tcW w:w="609" w:type="dxa"/>
            <w:tcBorders>
              <w:tl2br w:val="nil"/>
              <w:tr2bl w:val="nil"/>
            </w:tcBorders>
            <w:shd w:val="clear" w:color="auto" w:fill="auto"/>
            <w:vAlign w:val="center"/>
          </w:tcPr>
          <w:p w14:paraId="471B14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44</w:t>
            </w:r>
          </w:p>
        </w:tc>
        <w:tc>
          <w:tcPr>
            <w:tcW w:w="590" w:type="dxa"/>
            <w:vMerge w:val="continue"/>
            <w:tcBorders>
              <w:tl2br w:val="nil"/>
              <w:tr2bl w:val="nil"/>
            </w:tcBorders>
            <w:shd w:val="clear" w:color="auto" w:fill="auto"/>
            <w:vAlign w:val="center"/>
          </w:tcPr>
          <w:p w14:paraId="745FCDE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4BDCC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1CF5D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4.2.10</w:t>
            </w:r>
          </w:p>
        </w:tc>
        <w:tc>
          <w:tcPr>
            <w:tcW w:w="7712" w:type="dxa"/>
            <w:tcBorders>
              <w:tl2br w:val="nil"/>
              <w:tr2bl w:val="nil"/>
            </w:tcBorders>
            <w:shd w:val="clear" w:color="auto" w:fill="auto"/>
            <w:vAlign w:val="center"/>
          </w:tcPr>
          <w:p w14:paraId="2EC6F3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空调及新风系统的室外机位置不对人员和相邻居室窗口形成热污染、噪声及振动干扰等不利影响。</w:t>
            </w:r>
          </w:p>
        </w:tc>
        <w:tc>
          <w:tcPr>
            <w:tcW w:w="1088" w:type="dxa"/>
            <w:tcBorders>
              <w:tl2br w:val="nil"/>
              <w:tr2bl w:val="nil"/>
            </w:tcBorders>
            <w:shd w:val="clear" w:color="auto" w:fill="auto"/>
            <w:noWrap/>
            <w:vAlign w:val="center"/>
          </w:tcPr>
          <w:p w14:paraId="35F614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7B8D7B6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09B29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B9630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相关设计图纸及设计说明。终评价尚需提交现场必要的检测数据及图片。</w:t>
            </w:r>
          </w:p>
        </w:tc>
      </w:tr>
      <w:tr w14:paraId="1F01E4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3" w:hRule="atLeast"/>
        </w:trPr>
        <w:tc>
          <w:tcPr>
            <w:tcW w:w="609" w:type="dxa"/>
            <w:tcBorders>
              <w:tl2br w:val="nil"/>
              <w:tr2bl w:val="nil"/>
            </w:tcBorders>
            <w:shd w:val="clear" w:color="auto" w:fill="auto"/>
            <w:vAlign w:val="center"/>
          </w:tcPr>
          <w:p w14:paraId="53EA03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45</w:t>
            </w:r>
          </w:p>
        </w:tc>
        <w:tc>
          <w:tcPr>
            <w:tcW w:w="590" w:type="dxa"/>
            <w:vMerge w:val="restart"/>
            <w:tcBorders>
              <w:tl2br w:val="nil"/>
              <w:tr2bl w:val="nil"/>
            </w:tcBorders>
            <w:shd w:val="clear" w:color="auto" w:fill="auto"/>
            <w:vAlign w:val="center"/>
          </w:tcPr>
          <w:p w14:paraId="15813E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 室内环境</w:t>
            </w:r>
          </w:p>
        </w:tc>
        <w:tc>
          <w:tcPr>
            <w:tcW w:w="465" w:type="dxa"/>
            <w:vMerge w:val="restart"/>
            <w:tcBorders>
              <w:tl2br w:val="nil"/>
              <w:tr2bl w:val="nil"/>
            </w:tcBorders>
            <w:shd w:val="clear" w:color="auto" w:fill="auto"/>
            <w:vAlign w:val="center"/>
          </w:tcPr>
          <w:p w14:paraId="5E1E05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249FBD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w:t>
            </w:r>
          </w:p>
        </w:tc>
        <w:tc>
          <w:tcPr>
            <w:tcW w:w="7712" w:type="dxa"/>
            <w:tcBorders>
              <w:tl2br w:val="nil"/>
              <w:tr2bl w:val="nil"/>
            </w:tcBorders>
            <w:shd w:val="clear" w:color="auto" w:fill="auto"/>
            <w:vAlign w:val="center"/>
          </w:tcPr>
          <w:p w14:paraId="1024DB8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住宅的日照采光通风满足下列规定：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每套住宅至少有1个卧室或起居室能满足日照标准；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起居室、卧室、厨房有直接采光和自然通风；</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每套住宅至少有1个卫生间有直接采光和自然通风。</w:t>
            </w:r>
          </w:p>
        </w:tc>
        <w:tc>
          <w:tcPr>
            <w:tcW w:w="1088" w:type="dxa"/>
            <w:tcBorders>
              <w:tl2br w:val="nil"/>
              <w:tr2bl w:val="nil"/>
            </w:tcBorders>
            <w:shd w:val="clear" w:color="auto" w:fill="auto"/>
            <w:noWrap/>
            <w:vAlign w:val="center"/>
          </w:tcPr>
          <w:p w14:paraId="5F3EBB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41E41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5530C9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821D7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相关设计图纸、日照分析报告、自然通风模拟分析报告。</w:t>
            </w:r>
          </w:p>
        </w:tc>
      </w:tr>
      <w:tr w14:paraId="5E50A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9" w:hRule="atLeast"/>
        </w:trPr>
        <w:tc>
          <w:tcPr>
            <w:tcW w:w="609" w:type="dxa"/>
            <w:tcBorders>
              <w:tl2br w:val="nil"/>
              <w:tr2bl w:val="nil"/>
            </w:tcBorders>
            <w:shd w:val="clear" w:color="auto" w:fill="auto"/>
            <w:vAlign w:val="center"/>
          </w:tcPr>
          <w:p w14:paraId="6010A9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46</w:t>
            </w:r>
          </w:p>
        </w:tc>
        <w:tc>
          <w:tcPr>
            <w:tcW w:w="590" w:type="dxa"/>
            <w:vMerge w:val="continue"/>
            <w:tcBorders>
              <w:tl2br w:val="nil"/>
              <w:tr2bl w:val="nil"/>
            </w:tcBorders>
            <w:shd w:val="clear" w:color="auto" w:fill="auto"/>
            <w:vAlign w:val="center"/>
          </w:tcPr>
          <w:p w14:paraId="430D36B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35C28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663A2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4.3.2</w:t>
            </w:r>
          </w:p>
        </w:tc>
        <w:tc>
          <w:tcPr>
            <w:tcW w:w="7712" w:type="dxa"/>
            <w:tcBorders>
              <w:tl2br w:val="nil"/>
              <w:tr2bl w:val="nil"/>
            </w:tcBorders>
            <w:shd w:val="clear" w:color="auto" w:fill="auto"/>
            <w:vAlign w:val="center"/>
          </w:tcPr>
          <w:p w14:paraId="1A9AD50A">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住宅室内空气质量符合下列规定：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室内空气污染物浓度限值符合表4.3.2的规定；</w:t>
            </w:r>
          </w:p>
          <w:p w14:paraId="00655355">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表4.3.2 室内空气污染物浓度限值</w:t>
            </w:r>
          </w:p>
          <w:tbl>
            <w:tblPr>
              <w:tblStyle w:val="10"/>
              <w:tblW w:w="6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2237"/>
              <w:gridCol w:w="1963"/>
            </w:tblGrid>
            <w:tr w14:paraId="4725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872" w:type="dxa"/>
                  <w:vAlign w:val="center"/>
                </w:tcPr>
                <w:p w14:paraId="7D9693B5">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指标</w:t>
                  </w:r>
                </w:p>
              </w:tc>
              <w:tc>
                <w:tcPr>
                  <w:tcW w:w="2237" w:type="dxa"/>
                  <w:vAlign w:val="center"/>
                </w:tcPr>
                <w:p w14:paraId="2FE273B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污染物浓度限值</w:t>
                  </w:r>
                </w:p>
              </w:tc>
              <w:tc>
                <w:tcPr>
                  <w:tcW w:w="1963" w:type="dxa"/>
                  <w:vAlign w:val="center"/>
                </w:tcPr>
                <w:p w14:paraId="3C19FDAD">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平均数时限</w:t>
                  </w:r>
                </w:p>
              </w:tc>
            </w:tr>
            <w:tr w14:paraId="4D17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51BF20D7">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二氧化碳（%）</w:t>
                  </w:r>
                </w:p>
              </w:tc>
              <w:tc>
                <w:tcPr>
                  <w:tcW w:w="2237" w:type="dxa"/>
                  <w:vAlign w:val="center"/>
                </w:tcPr>
                <w:p w14:paraId="5FFF33F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≤0.01</w:t>
                  </w:r>
                </w:p>
              </w:tc>
              <w:tc>
                <w:tcPr>
                  <w:tcW w:w="1963" w:type="dxa"/>
                  <w:vAlign w:val="center"/>
                </w:tcPr>
                <w:p w14:paraId="6DAB00D2">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24h平均值</w:t>
                  </w:r>
                </w:p>
              </w:tc>
            </w:tr>
            <w:tr w14:paraId="5C5D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7E2565AC">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甲醛（mg/m³）</w:t>
                  </w:r>
                </w:p>
              </w:tc>
              <w:tc>
                <w:tcPr>
                  <w:tcW w:w="2237" w:type="dxa"/>
                  <w:vAlign w:val="center"/>
                </w:tcPr>
                <w:p w14:paraId="3257107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≤0.07</w:t>
                  </w:r>
                </w:p>
              </w:tc>
              <w:tc>
                <w:tcPr>
                  <w:tcW w:w="1963" w:type="dxa"/>
                  <w:vAlign w:val="center"/>
                </w:tcPr>
                <w:p w14:paraId="11F9AB9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64AB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2EF7A341">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苯（mg/m³）</w:t>
                  </w:r>
                </w:p>
              </w:tc>
              <w:tc>
                <w:tcPr>
                  <w:tcW w:w="2237" w:type="dxa"/>
                  <w:vAlign w:val="center"/>
                </w:tcPr>
                <w:p w14:paraId="7F15437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≤0.03</w:t>
                  </w:r>
                </w:p>
              </w:tc>
              <w:tc>
                <w:tcPr>
                  <w:tcW w:w="1963" w:type="dxa"/>
                  <w:vAlign w:val="center"/>
                </w:tcPr>
                <w:p w14:paraId="51BD49E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7418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3218DA00">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甲苯（mg/m³）</w:t>
                  </w:r>
                </w:p>
              </w:tc>
              <w:tc>
                <w:tcPr>
                  <w:tcW w:w="2237" w:type="dxa"/>
                  <w:vAlign w:val="center"/>
                </w:tcPr>
                <w:p w14:paraId="15408C4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≤0.15</w:t>
                  </w:r>
                </w:p>
              </w:tc>
              <w:tc>
                <w:tcPr>
                  <w:tcW w:w="1963" w:type="dxa"/>
                  <w:vAlign w:val="center"/>
                </w:tcPr>
                <w:p w14:paraId="63A5313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7759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0801CF3F">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二甲苯（mg/m³）</w:t>
                  </w:r>
                </w:p>
              </w:tc>
              <w:tc>
                <w:tcPr>
                  <w:tcW w:w="2237" w:type="dxa"/>
                  <w:vAlign w:val="center"/>
                </w:tcPr>
                <w:p w14:paraId="737903F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w:t>
                  </w:r>
                </w:p>
              </w:tc>
              <w:tc>
                <w:tcPr>
                  <w:tcW w:w="1963" w:type="dxa"/>
                  <w:vAlign w:val="center"/>
                </w:tcPr>
                <w:p w14:paraId="2FAE48C2">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1EA9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72" w:type="dxa"/>
                  <w:vAlign w:val="center"/>
                </w:tcPr>
                <w:p w14:paraId="6229C221">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总挥发性有机化合物 TVOC（mg/m³）</w:t>
                  </w:r>
                </w:p>
              </w:tc>
              <w:tc>
                <w:tcPr>
                  <w:tcW w:w="2237" w:type="dxa"/>
                  <w:vAlign w:val="center"/>
                </w:tcPr>
                <w:p w14:paraId="543B5FBB">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w:t>
                  </w:r>
                </w:p>
              </w:tc>
              <w:tc>
                <w:tcPr>
                  <w:tcW w:w="1963" w:type="dxa"/>
                  <w:vAlign w:val="center"/>
                </w:tcPr>
                <w:p w14:paraId="07B5C9D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8h平均值</w:t>
                  </w:r>
                </w:p>
              </w:tc>
            </w:tr>
            <w:tr w14:paraId="2BE3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2705888F">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细菌总数（CFU/m³）</w:t>
                  </w:r>
                </w:p>
              </w:tc>
              <w:tc>
                <w:tcPr>
                  <w:tcW w:w="2237" w:type="dxa"/>
                  <w:vAlign w:val="center"/>
                </w:tcPr>
                <w:p w14:paraId="13C6798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≤1500</w:t>
                  </w:r>
                </w:p>
              </w:tc>
              <w:tc>
                <w:tcPr>
                  <w:tcW w:w="1963" w:type="dxa"/>
                  <w:vAlign w:val="center"/>
                </w:tcPr>
                <w:p w14:paraId="5317F37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r>
            <w:tr w14:paraId="4A0B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872" w:type="dxa"/>
                  <w:vAlign w:val="center"/>
                </w:tcPr>
                <w:p w14:paraId="11242E82">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氡（Bq/m³）</w:t>
                  </w:r>
                </w:p>
              </w:tc>
              <w:tc>
                <w:tcPr>
                  <w:tcW w:w="2237" w:type="dxa"/>
                  <w:vAlign w:val="center"/>
                </w:tcPr>
                <w:p w14:paraId="22CA135D">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w:t>
                  </w:r>
                </w:p>
              </w:tc>
              <w:tc>
                <w:tcPr>
                  <w:tcW w:w="1963" w:type="dxa"/>
                  <w:vAlign w:val="center"/>
                </w:tcPr>
                <w:p w14:paraId="779E26E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年平均值</w:t>
                  </w:r>
                </w:p>
              </w:tc>
            </w:tr>
            <w:tr w14:paraId="3009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872" w:type="dxa"/>
                  <w:vAlign w:val="center"/>
                </w:tcPr>
                <w:p w14:paraId="1922A389">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臭氧（mg/m³）</w:t>
                  </w:r>
                </w:p>
              </w:tc>
              <w:tc>
                <w:tcPr>
                  <w:tcW w:w="2237" w:type="dxa"/>
                  <w:vAlign w:val="center"/>
                </w:tcPr>
                <w:p w14:paraId="395BAC0A">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≤0.16</w:t>
                  </w:r>
                </w:p>
              </w:tc>
              <w:tc>
                <w:tcPr>
                  <w:tcW w:w="1963" w:type="dxa"/>
                  <w:vAlign w:val="center"/>
                </w:tcPr>
                <w:p w14:paraId="786DCA4B">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6DEC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872" w:type="dxa"/>
                  <w:vAlign w:val="center"/>
                </w:tcPr>
                <w:p w14:paraId="797ACDDC">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氨（mg/m³）</w:t>
                  </w:r>
                </w:p>
              </w:tc>
              <w:tc>
                <w:tcPr>
                  <w:tcW w:w="2237" w:type="dxa"/>
                  <w:vAlign w:val="center"/>
                </w:tcPr>
                <w:p w14:paraId="085D8518">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≤0.15</w:t>
                  </w:r>
                </w:p>
              </w:tc>
              <w:tc>
                <w:tcPr>
                  <w:tcW w:w="1963" w:type="dxa"/>
                  <w:vAlign w:val="center"/>
                </w:tcPr>
                <w:p w14:paraId="7916C299">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bl>
          <w:p w14:paraId="40D7BA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rPr>
              <w:t>2  建筑材料和室内装饰装修材料的有害物质限值满足现行相关国家和行业标准要求，不得使用含有石棉、苯的建筑材料和物品；木器漆、防火涂料及饰面材料等的铅含量不得超过90mg/kg；含有异氰酸盐的聚氨酯产品不得用于室内装饰和现场发泡的保温材料。</w:t>
            </w:r>
          </w:p>
        </w:tc>
        <w:tc>
          <w:tcPr>
            <w:tcW w:w="1088" w:type="dxa"/>
            <w:tcBorders>
              <w:tl2br w:val="nil"/>
              <w:tr2bl w:val="nil"/>
            </w:tcBorders>
            <w:shd w:val="clear" w:color="auto" w:fill="auto"/>
            <w:noWrap/>
            <w:vAlign w:val="center"/>
          </w:tcPr>
          <w:p w14:paraId="2731BD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483243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7B2661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B1FC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相关设计图纸及设计说明。终评价尚需提交进入现场相关材料复验报告以及现场检测报告。</w:t>
            </w:r>
          </w:p>
        </w:tc>
      </w:tr>
      <w:tr w14:paraId="506508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609" w:type="dxa"/>
            <w:tcBorders>
              <w:tl2br w:val="nil"/>
              <w:tr2bl w:val="nil"/>
            </w:tcBorders>
            <w:shd w:val="clear" w:color="auto" w:fill="auto"/>
            <w:vAlign w:val="center"/>
          </w:tcPr>
          <w:p w14:paraId="299391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47</w:t>
            </w:r>
          </w:p>
        </w:tc>
        <w:tc>
          <w:tcPr>
            <w:tcW w:w="590" w:type="dxa"/>
            <w:vMerge w:val="continue"/>
            <w:tcBorders>
              <w:tl2br w:val="nil"/>
              <w:tr2bl w:val="nil"/>
            </w:tcBorders>
            <w:shd w:val="clear" w:color="auto" w:fill="auto"/>
            <w:vAlign w:val="center"/>
          </w:tcPr>
          <w:p w14:paraId="3AA7074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EF56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4D505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4.3.3</w:t>
            </w:r>
          </w:p>
        </w:tc>
        <w:tc>
          <w:tcPr>
            <w:tcW w:w="7712" w:type="dxa"/>
            <w:tcBorders>
              <w:tl2br w:val="nil"/>
              <w:tr2bl w:val="nil"/>
            </w:tcBorders>
            <w:shd w:val="clear" w:color="auto" w:fill="auto"/>
            <w:vAlign w:val="center"/>
          </w:tcPr>
          <w:p w14:paraId="780CEB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住宅隔声降噪性能满足现行《住宅项目规范》GB 55038、《建筑环境通用规范》GB 55016以及《民用建筑隔声设计规范》GB 50118中的相关要求，并符合下列规定：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卧室分户墙及分户楼板两侧房间之间的计权标准化声压级差与粉红噪声频谱修正量之和（D</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+C）不小于50dB；其他分户墙及分户楼板两侧房间之间的计权标准化声压级差与粉红噪声频谱修正量之和（D</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+C）不小于48dB。分户楼板计权标准化撞击声压级L′</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不大于65dB；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分户墙不嵌入设置配电箱、弱电箱，开关、插座错位布置，间距不小于250mm，且设置相应的隔声封堵措施；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分户墙采用混凝土墙体时，墙体厚度不小于200mm。当非承重内隔墙采用轻质砌块（条板）墙体时，分户墙体厚度不小于250mm，户内分室墙厚度不小于120mm；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卧室室内噪声限值昼间不大于40dB（A），夜间不大于30dB（A）；起居室室内噪声限值不大于40dB（A）；</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紧邻城市交通干线两侧的卧室、起居室的窗计权隔声量与交通噪声频谱修正量之和（R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）不小于35dB。其他外门窗的计权隔声量与交通噪声频谱修正量之和（R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）不小于30dB。外墙的计权隔声量与交通噪声频谱修正量（</w:t>
            </w:r>
            <w:r>
              <w:rPr>
                <w:rFonts w:hint="eastAsia" w:ascii="仿宋" w:hAnsi="仿宋" w:eastAsia="仿宋" w:cs="仿宋"/>
                <w:i w:val="0"/>
                <w:iCs w:val="0"/>
                <w:color w:val="auto"/>
                <w:kern w:val="0"/>
                <w:sz w:val="22"/>
                <w:szCs w:val="22"/>
                <w:highlight w:val="none"/>
                <w:u w:val="none"/>
                <w:vertAlign w:val="baseline"/>
                <w:lang w:val="en-US" w:eastAsia="zh-CN" w:bidi="ar"/>
              </w:rPr>
              <w:t>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）不小于45dB；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供水、空调、通风等设备系统选用低噪声产品，并对噪声源、管道等进行隔振、隔声、消声处理；新风热回收装置的新风出口和回风入口处设置消声装置及软连接，新风管道进入卧室、起居室等房间前在管道上设置消声器或消声弯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与卧室相邻的卫生间内，排水立管不贴邻与卧室共用的墙体，且采取隔声包覆处理措施。上层卫生间排水时，在卧室内测得的排水噪声等效声级不大于33dB；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电梯井道及电梯机房，水泵机房、通风机房，水池（箱）、变电所（含发电机房）等不紧邻卧室和起居室布置；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9  地下生活给水泵房不设置在住宅建筑的投影正下方；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10  出入口雨篷材质选用低噪声材料或采取可降低雨滴噪声的措施和做法。</w:t>
            </w:r>
          </w:p>
        </w:tc>
        <w:tc>
          <w:tcPr>
            <w:tcW w:w="1088" w:type="dxa"/>
            <w:tcBorders>
              <w:tl2br w:val="nil"/>
              <w:tr2bl w:val="nil"/>
            </w:tcBorders>
            <w:shd w:val="clear" w:color="auto" w:fill="auto"/>
            <w:noWrap/>
            <w:vAlign w:val="center"/>
          </w:tcPr>
          <w:p w14:paraId="675374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建筑牵头</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各专业配合</w:t>
            </w:r>
          </w:p>
        </w:tc>
        <w:tc>
          <w:tcPr>
            <w:tcW w:w="1722" w:type="dxa"/>
            <w:tcBorders>
              <w:tl2br w:val="nil"/>
              <w:tr2bl w:val="nil"/>
            </w:tcBorders>
            <w:shd w:val="clear" w:color="auto" w:fill="auto"/>
            <w:noWrap/>
            <w:vAlign w:val="center"/>
          </w:tcPr>
          <w:p w14:paraId="077C8F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587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A1CA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相关设计图纸、设计说明。及计算书（实验室检测报告、模拟分析报告）。终评价尚需提交进入现场相关材料复验报告、现场实测报告及现场相关尺寸核查数据。</w:t>
            </w:r>
          </w:p>
        </w:tc>
      </w:tr>
      <w:tr w14:paraId="679CF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FE821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48</w:t>
            </w:r>
          </w:p>
        </w:tc>
        <w:tc>
          <w:tcPr>
            <w:tcW w:w="590" w:type="dxa"/>
            <w:vMerge w:val="continue"/>
            <w:tcBorders>
              <w:tl2br w:val="nil"/>
              <w:tr2bl w:val="nil"/>
            </w:tcBorders>
            <w:shd w:val="clear" w:color="auto" w:fill="auto"/>
            <w:vAlign w:val="center"/>
          </w:tcPr>
          <w:p w14:paraId="5CD9009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DDEF5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3FAC3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4.3.4</w:t>
            </w:r>
          </w:p>
        </w:tc>
        <w:tc>
          <w:tcPr>
            <w:tcW w:w="7712" w:type="dxa"/>
            <w:tcBorders>
              <w:tl2br w:val="nil"/>
              <w:tr2bl w:val="nil"/>
            </w:tcBorders>
            <w:shd w:val="clear" w:color="auto" w:fill="auto"/>
            <w:vAlign w:val="center"/>
          </w:tcPr>
          <w:p w14:paraId="559B2A0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住宅吊顶内的给水管道采取防结露措施，生活热水管道设置保温措施。</w:t>
            </w:r>
          </w:p>
        </w:tc>
        <w:tc>
          <w:tcPr>
            <w:tcW w:w="1088" w:type="dxa"/>
            <w:tcBorders>
              <w:tl2br w:val="nil"/>
              <w:tr2bl w:val="nil"/>
            </w:tcBorders>
            <w:shd w:val="clear" w:color="auto" w:fill="auto"/>
            <w:noWrap/>
            <w:vAlign w:val="center"/>
          </w:tcPr>
          <w:p w14:paraId="7C57003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131DA2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AE936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6ADC9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665A9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8131B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49</w:t>
            </w:r>
          </w:p>
        </w:tc>
        <w:tc>
          <w:tcPr>
            <w:tcW w:w="590" w:type="dxa"/>
            <w:vMerge w:val="continue"/>
            <w:tcBorders>
              <w:tl2br w:val="nil"/>
              <w:tr2bl w:val="nil"/>
            </w:tcBorders>
            <w:shd w:val="clear" w:color="auto" w:fill="auto"/>
            <w:vAlign w:val="center"/>
          </w:tcPr>
          <w:p w14:paraId="21F1024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39E802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F13CF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4.3.5</w:t>
            </w:r>
          </w:p>
        </w:tc>
        <w:tc>
          <w:tcPr>
            <w:tcW w:w="7712" w:type="dxa"/>
            <w:tcBorders>
              <w:tl2br w:val="nil"/>
              <w:tr2bl w:val="nil"/>
            </w:tcBorders>
            <w:shd w:val="clear" w:color="auto" w:fill="auto"/>
            <w:vAlign w:val="center"/>
          </w:tcPr>
          <w:p w14:paraId="504261B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空调及新风系统的气流组织满足人体热舒适要求，避免直吹。</w:t>
            </w:r>
          </w:p>
        </w:tc>
        <w:tc>
          <w:tcPr>
            <w:tcW w:w="1088" w:type="dxa"/>
            <w:tcBorders>
              <w:tl2br w:val="nil"/>
              <w:tr2bl w:val="nil"/>
            </w:tcBorders>
            <w:shd w:val="clear" w:color="auto" w:fill="auto"/>
            <w:noWrap/>
            <w:vAlign w:val="center"/>
          </w:tcPr>
          <w:p w14:paraId="0DCFD5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4DA88B8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24E3B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E571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0C81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39C7B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50</w:t>
            </w:r>
          </w:p>
        </w:tc>
        <w:tc>
          <w:tcPr>
            <w:tcW w:w="590" w:type="dxa"/>
            <w:vMerge w:val="continue"/>
            <w:tcBorders>
              <w:tl2br w:val="nil"/>
              <w:tr2bl w:val="nil"/>
            </w:tcBorders>
            <w:shd w:val="clear" w:color="auto" w:fill="auto"/>
            <w:vAlign w:val="center"/>
          </w:tcPr>
          <w:p w14:paraId="3810D6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B25208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512F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4.3.6</w:t>
            </w:r>
          </w:p>
        </w:tc>
        <w:tc>
          <w:tcPr>
            <w:tcW w:w="7712" w:type="dxa"/>
            <w:tcBorders>
              <w:tl2br w:val="nil"/>
              <w:tr2bl w:val="nil"/>
            </w:tcBorders>
            <w:shd w:val="clear" w:color="auto" w:fill="auto"/>
            <w:vAlign w:val="center"/>
          </w:tcPr>
          <w:p w14:paraId="7F457F5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住宅套内预留新风换气系统的安装条件。</w:t>
            </w:r>
          </w:p>
        </w:tc>
        <w:tc>
          <w:tcPr>
            <w:tcW w:w="1088" w:type="dxa"/>
            <w:tcBorders>
              <w:tl2br w:val="nil"/>
              <w:tr2bl w:val="nil"/>
            </w:tcBorders>
            <w:shd w:val="clear" w:color="auto" w:fill="auto"/>
            <w:noWrap/>
            <w:vAlign w:val="center"/>
          </w:tcPr>
          <w:p w14:paraId="4E0854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53A280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9AA6C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44D02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3D1C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4D42A718">
            <w:pPr>
              <w:keepNext w:val="0"/>
              <w:keepLines w:val="0"/>
              <w:pageBreakBefore w:val="0"/>
              <w:widowControl w:val="0"/>
              <w:numPr>
                <w:ilvl w:val="0"/>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第五章 安全优质</w:t>
            </w:r>
          </w:p>
          <w:p w14:paraId="60085F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（基本类55条，预评价12条不参评。）</w:t>
            </w:r>
          </w:p>
        </w:tc>
      </w:tr>
      <w:tr w14:paraId="5365C9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606BF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51</w:t>
            </w:r>
          </w:p>
        </w:tc>
        <w:tc>
          <w:tcPr>
            <w:tcW w:w="590" w:type="dxa"/>
            <w:vMerge w:val="restart"/>
            <w:tcBorders>
              <w:tl2br w:val="nil"/>
              <w:tr2bl w:val="nil"/>
            </w:tcBorders>
            <w:shd w:val="clear" w:color="auto" w:fill="auto"/>
            <w:vAlign w:val="center"/>
          </w:tcPr>
          <w:p w14:paraId="1567FE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 防灾应急</w:t>
            </w:r>
          </w:p>
        </w:tc>
        <w:tc>
          <w:tcPr>
            <w:tcW w:w="465" w:type="dxa"/>
            <w:vMerge w:val="restart"/>
            <w:tcBorders>
              <w:tl2br w:val="nil"/>
              <w:tr2bl w:val="nil"/>
            </w:tcBorders>
            <w:shd w:val="clear" w:color="auto" w:fill="auto"/>
            <w:vAlign w:val="center"/>
          </w:tcPr>
          <w:p w14:paraId="47EB7F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D713A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w:t>
            </w:r>
          </w:p>
        </w:tc>
        <w:tc>
          <w:tcPr>
            <w:tcW w:w="7712" w:type="dxa"/>
            <w:tcBorders>
              <w:tl2br w:val="nil"/>
              <w:tr2bl w:val="nil"/>
            </w:tcBorders>
            <w:shd w:val="clear" w:color="auto" w:fill="auto"/>
            <w:vAlign w:val="center"/>
          </w:tcPr>
          <w:p w14:paraId="08DBD7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住宅避免选在有自然灾害风险的区域，选址前进行自然灾害风险评估。</w:t>
            </w:r>
          </w:p>
        </w:tc>
        <w:tc>
          <w:tcPr>
            <w:tcW w:w="1088" w:type="dxa"/>
            <w:tcBorders>
              <w:tl2br w:val="nil"/>
              <w:tr2bl w:val="nil"/>
            </w:tcBorders>
            <w:shd w:val="clear" w:color="auto" w:fill="auto"/>
            <w:noWrap/>
            <w:vAlign w:val="center"/>
          </w:tcPr>
          <w:p w14:paraId="29C05B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8C9602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B3A44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A6A590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相关设计图纸及设计说明。勘察报告</w:t>
            </w:r>
          </w:p>
        </w:tc>
      </w:tr>
      <w:tr w14:paraId="4866C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55560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w:t>
            </w:r>
          </w:p>
        </w:tc>
        <w:tc>
          <w:tcPr>
            <w:tcW w:w="590" w:type="dxa"/>
            <w:vMerge w:val="continue"/>
            <w:tcBorders>
              <w:tl2br w:val="nil"/>
              <w:tr2bl w:val="nil"/>
            </w:tcBorders>
            <w:shd w:val="clear" w:color="auto" w:fill="auto"/>
            <w:vAlign w:val="center"/>
          </w:tcPr>
          <w:p w14:paraId="5D4189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26225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D8D5E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5.1.2</w:t>
            </w:r>
          </w:p>
        </w:tc>
        <w:tc>
          <w:tcPr>
            <w:tcW w:w="7712" w:type="dxa"/>
            <w:tcBorders>
              <w:tl2br w:val="nil"/>
              <w:tr2bl w:val="nil"/>
            </w:tcBorders>
            <w:shd w:val="clear" w:color="auto" w:fill="auto"/>
            <w:vAlign w:val="center"/>
          </w:tcPr>
          <w:p w14:paraId="752B60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小区防灾符合下列规定：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内部及周边场地、道路等公共空间具备防灾、减灾、避灾等功能；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张贴紧急疏散线路图，居民能便捷获得城市灾害应急指导；</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建立防灾紧急预案，发生灾害时保证供电和通讯正常。</w:t>
            </w:r>
          </w:p>
        </w:tc>
        <w:tc>
          <w:tcPr>
            <w:tcW w:w="1088" w:type="dxa"/>
            <w:tcBorders>
              <w:tl2br w:val="nil"/>
              <w:tr2bl w:val="nil"/>
            </w:tcBorders>
            <w:shd w:val="clear" w:color="auto" w:fill="auto"/>
            <w:noWrap/>
            <w:vAlign w:val="center"/>
          </w:tcPr>
          <w:p w14:paraId="48BD3D6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42D8902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2EC74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E15C8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r>
              <w:rPr>
                <w:rFonts w:hint="eastAsia" w:ascii="仿宋" w:hAnsi="仿宋" w:eastAsia="仿宋" w:cs="仿宋"/>
                <w:i w:val="0"/>
                <w:iCs w:val="0"/>
                <w:color w:val="auto"/>
                <w:kern w:val="0"/>
                <w:sz w:val="22"/>
                <w:szCs w:val="22"/>
                <w:highlight w:val="none"/>
                <w:u w:val="none"/>
                <w:lang w:val="en-US" w:eastAsia="zh-CN" w:bidi="ar"/>
              </w:rPr>
              <w:t>紧急疏散线路图及防灾紧急预案。</w:t>
            </w:r>
          </w:p>
        </w:tc>
      </w:tr>
      <w:tr w14:paraId="35AD0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3DC830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w:t>
            </w:r>
          </w:p>
        </w:tc>
        <w:tc>
          <w:tcPr>
            <w:tcW w:w="590" w:type="dxa"/>
            <w:vMerge w:val="continue"/>
            <w:tcBorders>
              <w:tl2br w:val="nil"/>
              <w:tr2bl w:val="nil"/>
            </w:tcBorders>
            <w:shd w:val="clear" w:color="auto" w:fill="auto"/>
            <w:vAlign w:val="center"/>
          </w:tcPr>
          <w:p w14:paraId="0E361C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8AF94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C2B6D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5.1.3</w:t>
            </w:r>
          </w:p>
        </w:tc>
        <w:tc>
          <w:tcPr>
            <w:tcW w:w="7712" w:type="dxa"/>
            <w:tcBorders>
              <w:tl2br w:val="nil"/>
              <w:tr2bl w:val="nil"/>
            </w:tcBorders>
            <w:shd w:val="clear" w:color="auto" w:fill="auto"/>
            <w:vAlign w:val="center"/>
          </w:tcPr>
          <w:p w14:paraId="289B1B8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小区设置煤气泄漏、火灾、紧急求助等安防报警系统。</w:t>
            </w:r>
          </w:p>
        </w:tc>
        <w:tc>
          <w:tcPr>
            <w:tcW w:w="1088" w:type="dxa"/>
            <w:tcBorders>
              <w:tl2br w:val="nil"/>
              <w:tr2bl w:val="nil"/>
            </w:tcBorders>
            <w:shd w:val="clear" w:color="auto" w:fill="auto"/>
            <w:noWrap/>
            <w:vAlign w:val="center"/>
          </w:tcPr>
          <w:p w14:paraId="35DF9D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E2B87A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04F55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FE09F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7AC8B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95" w:hRule="atLeast"/>
        </w:trPr>
        <w:tc>
          <w:tcPr>
            <w:tcW w:w="609" w:type="dxa"/>
            <w:tcBorders>
              <w:tl2br w:val="nil"/>
              <w:tr2bl w:val="nil"/>
            </w:tcBorders>
            <w:shd w:val="clear" w:color="auto" w:fill="auto"/>
            <w:vAlign w:val="center"/>
          </w:tcPr>
          <w:p w14:paraId="4294A9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w:t>
            </w:r>
          </w:p>
        </w:tc>
        <w:tc>
          <w:tcPr>
            <w:tcW w:w="590" w:type="dxa"/>
            <w:vMerge w:val="continue"/>
            <w:tcBorders>
              <w:tl2br w:val="nil"/>
              <w:tr2bl w:val="nil"/>
            </w:tcBorders>
            <w:shd w:val="clear" w:color="auto" w:fill="auto"/>
            <w:vAlign w:val="center"/>
          </w:tcPr>
          <w:p w14:paraId="596F6EE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9AF801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1F43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5.1.4</w:t>
            </w:r>
          </w:p>
        </w:tc>
        <w:tc>
          <w:tcPr>
            <w:tcW w:w="7712" w:type="dxa"/>
            <w:tcBorders>
              <w:tl2br w:val="nil"/>
              <w:tr2bl w:val="nil"/>
            </w:tcBorders>
            <w:shd w:val="clear" w:color="auto" w:fill="auto"/>
            <w:vAlign w:val="center"/>
          </w:tcPr>
          <w:p w14:paraId="4B3C3DF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小区统筹设置应对突发公共安全事件的避难场所及疏散通道，并符合下列规定：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应急避难场所设置在地形较为平坦、空旷且易于排水的区域，便于救援人员和车辆的进出；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疏散通道有效宽度不小于4m， 净空高度不小于4m；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避难场所边界与周边建筑的缓冲带宽度，不小于相邻建筑高度的1/2；</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结合小区出入口设置疏散、应急广场，满足平急转换弹性空间使用要求。</w:t>
            </w:r>
          </w:p>
        </w:tc>
        <w:tc>
          <w:tcPr>
            <w:tcW w:w="1088" w:type="dxa"/>
            <w:tcBorders>
              <w:tl2br w:val="nil"/>
              <w:tr2bl w:val="nil"/>
            </w:tcBorders>
            <w:shd w:val="clear" w:color="auto" w:fill="auto"/>
            <w:noWrap/>
            <w:vAlign w:val="center"/>
          </w:tcPr>
          <w:p w14:paraId="410F5B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D9BDC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52130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84611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5CC5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45BB0A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w:t>
            </w:r>
          </w:p>
        </w:tc>
        <w:tc>
          <w:tcPr>
            <w:tcW w:w="590" w:type="dxa"/>
            <w:vMerge w:val="continue"/>
            <w:tcBorders>
              <w:tl2br w:val="nil"/>
              <w:tr2bl w:val="nil"/>
            </w:tcBorders>
            <w:shd w:val="clear" w:color="auto" w:fill="auto"/>
            <w:vAlign w:val="center"/>
          </w:tcPr>
          <w:p w14:paraId="43D85A4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E8ADC0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C3854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5.1.5</w:t>
            </w:r>
          </w:p>
        </w:tc>
        <w:tc>
          <w:tcPr>
            <w:tcW w:w="7712" w:type="dxa"/>
            <w:tcBorders>
              <w:tl2br w:val="nil"/>
              <w:tr2bl w:val="nil"/>
            </w:tcBorders>
            <w:shd w:val="clear" w:color="auto" w:fill="auto"/>
            <w:vAlign w:val="center"/>
          </w:tcPr>
          <w:p w14:paraId="616AF0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小区对电动自行车停放充电场所进行统一布局和管理，并符合下列规定：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电动自行车停放充电场所集中设置，边界与住宅门厅外门、窗、洞口等开口部位，以及安全出口之间最近边缘的水平间距不小于6m；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地下、半地下电动自行车库设置自动喷水灭火系统、火灾自动报警系统及排烟设施；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定期向小区内电动自行车违规停放、充电，以及占用、堵塞疏散通道和安全出口等违法违规行为公示警示信息。</w:t>
            </w:r>
          </w:p>
        </w:tc>
        <w:tc>
          <w:tcPr>
            <w:tcW w:w="1088" w:type="dxa"/>
            <w:tcBorders>
              <w:tl2br w:val="nil"/>
              <w:tr2bl w:val="nil"/>
            </w:tcBorders>
            <w:shd w:val="clear" w:color="auto" w:fill="auto"/>
            <w:noWrap/>
            <w:vAlign w:val="center"/>
          </w:tcPr>
          <w:p w14:paraId="012AF36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6D3541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3EA19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0F2961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iCs w:val="0"/>
                <w:color w:val="auto"/>
                <w:kern w:val="0"/>
                <w:sz w:val="22"/>
                <w:szCs w:val="22"/>
                <w:highlight w:val="none"/>
                <w:u w:val="none"/>
                <w:lang w:val="en-US" w:eastAsia="zh-CN" w:bidi="ar"/>
              </w:rPr>
              <w:t>公示警示信息表。终评价尚需</w:t>
            </w:r>
            <w:r>
              <w:rPr>
                <w:rFonts w:hint="eastAsia" w:ascii="仿宋" w:hAnsi="仿宋" w:eastAsia="仿宋" w:cs="仿宋"/>
                <w:i w:val="0"/>
                <w:iCs w:val="0"/>
                <w:color w:val="auto"/>
                <w:sz w:val="22"/>
                <w:szCs w:val="22"/>
                <w:highlight w:val="none"/>
                <w:u w:val="none"/>
                <w:lang w:val="en-US" w:eastAsia="zh-CN"/>
              </w:rPr>
              <w:t>现场核查。</w:t>
            </w:r>
          </w:p>
        </w:tc>
      </w:tr>
      <w:tr w14:paraId="635FD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038CD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56</w:t>
            </w:r>
          </w:p>
        </w:tc>
        <w:tc>
          <w:tcPr>
            <w:tcW w:w="590" w:type="dxa"/>
            <w:vMerge w:val="continue"/>
            <w:tcBorders>
              <w:tl2br w:val="nil"/>
              <w:tr2bl w:val="nil"/>
            </w:tcBorders>
            <w:shd w:val="clear" w:color="auto" w:fill="auto"/>
            <w:vAlign w:val="center"/>
          </w:tcPr>
          <w:p w14:paraId="74472B2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6830A1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E27B0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5.1.6</w:t>
            </w:r>
          </w:p>
        </w:tc>
        <w:tc>
          <w:tcPr>
            <w:tcW w:w="7712" w:type="dxa"/>
            <w:tcBorders>
              <w:tl2br w:val="nil"/>
              <w:tr2bl w:val="nil"/>
            </w:tcBorders>
            <w:shd w:val="clear" w:color="auto" w:fill="auto"/>
            <w:vAlign w:val="center"/>
          </w:tcPr>
          <w:p w14:paraId="2915DC4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小区重要基础设施配备应急备用电源接入设施。</w:t>
            </w:r>
          </w:p>
        </w:tc>
        <w:tc>
          <w:tcPr>
            <w:tcW w:w="1088" w:type="dxa"/>
            <w:tcBorders>
              <w:tl2br w:val="nil"/>
              <w:tr2bl w:val="nil"/>
            </w:tcBorders>
            <w:shd w:val="clear" w:color="auto" w:fill="auto"/>
            <w:noWrap/>
            <w:vAlign w:val="center"/>
          </w:tcPr>
          <w:p w14:paraId="2726F27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22BFB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FF243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CAD3D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8902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0B8913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57</w:t>
            </w:r>
          </w:p>
        </w:tc>
        <w:tc>
          <w:tcPr>
            <w:tcW w:w="590" w:type="dxa"/>
            <w:vMerge w:val="continue"/>
            <w:tcBorders>
              <w:tl2br w:val="nil"/>
              <w:tr2bl w:val="nil"/>
            </w:tcBorders>
            <w:shd w:val="clear" w:color="auto" w:fill="auto"/>
            <w:vAlign w:val="center"/>
          </w:tcPr>
          <w:p w14:paraId="1C621F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5BD21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16B87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5.1.7</w:t>
            </w:r>
          </w:p>
        </w:tc>
        <w:tc>
          <w:tcPr>
            <w:tcW w:w="7712" w:type="dxa"/>
            <w:tcBorders>
              <w:tl2br w:val="nil"/>
              <w:tr2bl w:val="nil"/>
            </w:tcBorders>
            <w:shd w:val="clear" w:color="auto" w:fill="auto"/>
            <w:vAlign w:val="center"/>
          </w:tcPr>
          <w:p w14:paraId="2476D5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符合海绵城市建设管控指标要求，合理布局海绵化设施，提高对径流雨水的渗透、滞留、调蓄、净化、利用和排放能力，并符合《中山市海绵城市规划建设管理办法》的相关规定。</w:t>
            </w:r>
          </w:p>
        </w:tc>
        <w:tc>
          <w:tcPr>
            <w:tcW w:w="1088" w:type="dxa"/>
            <w:tcBorders>
              <w:tl2br w:val="nil"/>
              <w:tr2bl w:val="nil"/>
            </w:tcBorders>
            <w:shd w:val="clear" w:color="auto" w:fill="auto"/>
            <w:noWrap/>
            <w:vAlign w:val="center"/>
          </w:tcPr>
          <w:p w14:paraId="68599FC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给排水</w:t>
            </w:r>
            <w:r>
              <w:rPr>
                <w:rFonts w:hint="eastAsia" w:ascii="仿宋" w:hAnsi="仿宋" w:eastAsia="仿宋" w:cs="仿宋"/>
                <w:i w:val="0"/>
                <w:iCs w:val="0"/>
                <w:color w:val="auto"/>
                <w:sz w:val="22"/>
                <w:szCs w:val="22"/>
                <w:highlight w:val="none"/>
                <w:u w:val="none"/>
                <w:lang w:val="en-US" w:eastAsia="zh-CN"/>
              </w:rPr>
              <w:t>/景观</w:t>
            </w:r>
          </w:p>
        </w:tc>
        <w:tc>
          <w:tcPr>
            <w:tcW w:w="1722" w:type="dxa"/>
            <w:tcBorders>
              <w:tl2br w:val="nil"/>
              <w:tr2bl w:val="nil"/>
            </w:tcBorders>
            <w:shd w:val="clear" w:color="auto" w:fill="auto"/>
            <w:noWrap/>
            <w:vAlign w:val="center"/>
          </w:tcPr>
          <w:p w14:paraId="2346BA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73A0AA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8F048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相关设计图纸及设计说明。海绵城市设计专篇</w:t>
            </w:r>
          </w:p>
        </w:tc>
      </w:tr>
      <w:tr w14:paraId="776336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170505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58</w:t>
            </w:r>
          </w:p>
        </w:tc>
        <w:tc>
          <w:tcPr>
            <w:tcW w:w="590" w:type="dxa"/>
            <w:vMerge w:val="continue"/>
            <w:tcBorders>
              <w:tl2br w:val="nil"/>
              <w:tr2bl w:val="nil"/>
            </w:tcBorders>
            <w:shd w:val="clear" w:color="auto" w:fill="auto"/>
            <w:vAlign w:val="center"/>
          </w:tcPr>
          <w:p w14:paraId="29105CF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F4F665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74F21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5.1.8</w:t>
            </w:r>
          </w:p>
        </w:tc>
        <w:tc>
          <w:tcPr>
            <w:tcW w:w="7712" w:type="dxa"/>
            <w:tcBorders>
              <w:tl2br w:val="nil"/>
              <w:tr2bl w:val="nil"/>
            </w:tcBorders>
            <w:shd w:val="clear" w:color="auto" w:fill="auto"/>
            <w:vAlign w:val="center"/>
          </w:tcPr>
          <w:p w14:paraId="10040F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物业管理用房设置急救包、应急担架等应急设施存放空间。</w:t>
            </w:r>
          </w:p>
        </w:tc>
        <w:tc>
          <w:tcPr>
            <w:tcW w:w="1088" w:type="dxa"/>
            <w:tcBorders>
              <w:tl2br w:val="nil"/>
              <w:tr2bl w:val="nil"/>
            </w:tcBorders>
            <w:shd w:val="clear" w:color="auto" w:fill="auto"/>
            <w:noWrap/>
            <w:vAlign w:val="center"/>
          </w:tcPr>
          <w:p w14:paraId="600C9E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823B3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70586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0784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46192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405B1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59</w:t>
            </w:r>
          </w:p>
        </w:tc>
        <w:tc>
          <w:tcPr>
            <w:tcW w:w="590" w:type="dxa"/>
            <w:vMerge w:val="continue"/>
            <w:tcBorders>
              <w:tl2br w:val="nil"/>
              <w:tr2bl w:val="nil"/>
            </w:tcBorders>
            <w:shd w:val="clear" w:color="auto" w:fill="auto"/>
            <w:vAlign w:val="center"/>
          </w:tcPr>
          <w:p w14:paraId="106CEA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93F83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AED79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5.1.9</w:t>
            </w:r>
          </w:p>
        </w:tc>
        <w:tc>
          <w:tcPr>
            <w:tcW w:w="7712" w:type="dxa"/>
            <w:tcBorders>
              <w:tl2br w:val="nil"/>
              <w:tr2bl w:val="nil"/>
            </w:tcBorders>
            <w:shd w:val="clear" w:color="auto" w:fill="auto"/>
            <w:vAlign w:val="center"/>
          </w:tcPr>
          <w:p w14:paraId="62635DE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室外电动自行车停放充电有顶场所设置自动喷水灭火系统或简易喷水灭火系统及消火栓系统。</w:t>
            </w:r>
          </w:p>
        </w:tc>
        <w:tc>
          <w:tcPr>
            <w:tcW w:w="1088" w:type="dxa"/>
            <w:tcBorders>
              <w:tl2br w:val="nil"/>
              <w:tr2bl w:val="nil"/>
            </w:tcBorders>
            <w:shd w:val="clear" w:color="auto" w:fill="auto"/>
            <w:noWrap/>
            <w:vAlign w:val="center"/>
          </w:tcPr>
          <w:p w14:paraId="67D349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r>
              <w:rPr>
                <w:rFonts w:hint="eastAsia" w:ascii="仿宋" w:hAnsi="仿宋" w:eastAsia="仿宋" w:cs="仿宋"/>
                <w:i w:val="0"/>
                <w:iCs w:val="0"/>
                <w:color w:val="auto"/>
                <w:sz w:val="22"/>
                <w:szCs w:val="22"/>
                <w:highlight w:val="none"/>
                <w:u w:val="none"/>
                <w:lang w:val="en-US" w:eastAsia="zh-CN"/>
              </w:rPr>
              <w:t>/电气/</w:t>
            </w: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F1CCE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6D113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603D1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82EBA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42872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60</w:t>
            </w:r>
          </w:p>
        </w:tc>
        <w:tc>
          <w:tcPr>
            <w:tcW w:w="590" w:type="dxa"/>
            <w:vMerge w:val="continue"/>
            <w:tcBorders>
              <w:tl2br w:val="nil"/>
              <w:tr2bl w:val="nil"/>
            </w:tcBorders>
            <w:shd w:val="clear" w:color="auto" w:fill="auto"/>
            <w:vAlign w:val="center"/>
          </w:tcPr>
          <w:p w14:paraId="2A05B1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FD02E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2F85E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5.1.10</w:t>
            </w:r>
          </w:p>
        </w:tc>
        <w:tc>
          <w:tcPr>
            <w:tcW w:w="7712" w:type="dxa"/>
            <w:tcBorders>
              <w:tl2br w:val="nil"/>
              <w:tr2bl w:val="nil"/>
            </w:tcBorders>
            <w:shd w:val="clear" w:color="auto" w:fill="auto"/>
            <w:vAlign w:val="center"/>
          </w:tcPr>
          <w:p w14:paraId="4EBDB6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小区结合人口数量和结构，在小区门卫、物业活动中心及其它合适地点配置自动体外除颤器（AED） 紧急救援设施，并接入AED网络。</w:t>
            </w:r>
          </w:p>
        </w:tc>
        <w:tc>
          <w:tcPr>
            <w:tcW w:w="1088" w:type="dxa"/>
            <w:tcBorders>
              <w:tl2br w:val="nil"/>
              <w:tr2bl w:val="nil"/>
            </w:tcBorders>
            <w:shd w:val="clear" w:color="auto" w:fill="auto"/>
            <w:noWrap/>
            <w:vAlign w:val="center"/>
          </w:tcPr>
          <w:p w14:paraId="101050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E5041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61D9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E196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1D9AF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4BE228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61</w:t>
            </w:r>
          </w:p>
        </w:tc>
        <w:tc>
          <w:tcPr>
            <w:tcW w:w="590" w:type="dxa"/>
            <w:vMerge w:val="restart"/>
            <w:tcBorders>
              <w:tl2br w:val="nil"/>
              <w:tr2bl w:val="nil"/>
            </w:tcBorders>
            <w:shd w:val="clear" w:color="auto" w:fill="auto"/>
            <w:vAlign w:val="center"/>
          </w:tcPr>
          <w:p w14:paraId="7A5C93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 建筑安全</w:t>
            </w:r>
          </w:p>
        </w:tc>
        <w:tc>
          <w:tcPr>
            <w:tcW w:w="465" w:type="dxa"/>
            <w:vMerge w:val="restart"/>
            <w:tcBorders>
              <w:tl2br w:val="nil"/>
              <w:tr2bl w:val="nil"/>
            </w:tcBorders>
            <w:shd w:val="clear" w:color="auto" w:fill="auto"/>
            <w:vAlign w:val="center"/>
          </w:tcPr>
          <w:p w14:paraId="4BD5E9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95665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w:t>
            </w:r>
          </w:p>
        </w:tc>
        <w:tc>
          <w:tcPr>
            <w:tcW w:w="7712" w:type="dxa"/>
            <w:tcBorders>
              <w:tl2br w:val="nil"/>
              <w:tr2bl w:val="nil"/>
            </w:tcBorders>
            <w:shd w:val="clear" w:color="auto" w:fill="auto"/>
            <w:vAlign w:val="center"/>
          </w:tcPr>
          <w:p w14:paraId="3DF100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结构设计采用成熟可靠的技术、工艺、材料，满足绿色发展及可持续性需要。结构的安全性、适用性、耐久性满足国家标准、规范的要求。</w:t>
            </w:r>
          </w:p>
        </w:tc>
        <w:tc>
          <w:tcPr>
            <w:tcW w:w="1088" w:type="dxa"/>
            <w:tcBorders>
              <w:tl2br w:val="nil"/>
              <w:tr2bl w:val="nil"/>
            </w:tcBorders>
            <w:shd w:val="clear" w:color="auto" w:fill="auto"/>
            <w:noWrap/>
            <w:vAlign w:val="center"/>
          </w:tcPr>
          <w:p w14:paraId="6128FC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72D185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29288C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C7D4D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1EB15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F3AF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62</w:t>
            </w:r>
          </w:p>
        </w:tc>
        <w:tc>
          <w:tcPr>
            <w:tcW w:w="590" w:type="dxa"/>
            <w:vMerge w:val="continue"/>
            <w:tcBorders>
              <w:tl2br w:val="nil"/>
              <w:tr2bl w:val="nil"/>
            </w:tcBorders>
            <w:shd w:val="clear" w:color="auto" w:fill="auto"/>
            <w:vAlign w:val="center"/>
          </w:tcPr>
          <w:p w14:paraId="71398B9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B2A2E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537C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5.2.2</w:t>
            </w:r>
          </w:p>
        </w:tc>
        <w:tc>
          <w:tcPr>
            <w:tcW w:w="7712" w:type="dxa"/>
            <w:tcBorders>
              <w:tl2br w:val="nil"/>
              <w:tr2bl w:val="nil"/>
            </w:tcBorders>
            <w:shd w:val="clear" w:color="auto" w:fill="auto"/>
            <w:vAlign w:val="center"/>
          </w:tcPr>
          <w:p w14:paraId="60F858C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结构设计采用抗震性能良好的结构体系，对薄弱部位采取可靠的加强措施，必要时进行性能化设计，对关键部位提高抗震性能目标。</w:t>
            </w:r>
          </w:p>
        </w:tc>
        <w:tc>
          <w:tcPr>
            <w:tcW w:w="1088" w:type="dxa"/>
            <w:tcBorders>
              <w:tl2br w:val="nil"/>
              <w:tr2bl w:val="nil"/>
            </w:tcBorders>
            <w:shd w:val="clear" w:color="auto" w:fill="auto"/>
            <w:noWrap/>
            <w:vAlign w:val="center"/>
          </w:tcPr>
          <w:p w14:paraId="68759D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BE26FF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1F20A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513B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EB1F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8F03A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63</w:t>
            </w:r>
          </w:p>
        </w:tc>
        <w:tc>
          <w:tcPr>
            <w:tcW w:w="590" w:type="dxa"/>
            <w:vMerge w:val="continue"/>
            <w:tcBorders>
              <w:tl2br w:val="nil"/>
              <w:tr2bl w:val="nil"/>
            </w:tcBorders>
            <w:shd w:val="clear" w:color="auto" w:fill="auto"/>
            <w:vAlign w:val="center"/>
          </w:tcPr>
          <w:p w14:paraId="73436A6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2059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04E2A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5.2.3</w:t>
            </w:r>
          </w:p>
        </w:tc>
        <w:tc>
          <w:tcPr>
            <w:tcW w:w="7712" w:type="dxa"/>
            <w:tcBorders>
              <w:tl2br w:val="nil"/>
              <w:tr2bl w:val="nil"/>
            </w:tcBorders>
            <w:shd w:val="clear" w:color="auto" w:fill="auto"/>
            <w:vAlign w:val="center"/>
          </w:tcPr>
          <w:p w14:paraId="2467B9E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住宅的居住空间及建筑物阳角房间的楼板厚度不小于120mm。住宅天面板厚度不小于150mm，且采用双层双向通长配筋。</w:t>
            </w:r>
          </w:p>
        </w:tc>
        <w:tc>
          <w:tcPr>
            <w:tcW w:w="1088" w:type="dxa"/>
            <w:tcBorders>
              <w:tl2br w:val="nil"/>
              <w:tr2bl w:val="nil"/>
            </w:tcBorders>
            <w:shd w:val="clear" w:color="auto" w:fill="auto"/>
            <w:noWrap/>
            <w:vAlign w:val="center"/>
          </w:tcPr>
          <w:p w14:paraId="08C917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27F618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15818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6606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DFC7C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C3EE6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64</w:t>
            </w:r>
          </w:p>
        </w:tc>
        <w:tc>
          <w:tcPr>
            <w:tcW w:w="590" w:type="dxa"/>
            <w:vMerge w:val="continue"/>
            <w:tcBorders>
              <w:tl2br w:val="nil"/>
              <w:tr2bl w:val="nil"/>
            </w:tcBorders>
            <w:shd w:val="clear" w:color="auto" w:fill="auto"/>
            <w:vAlign w:val="center"/>
          </w:tcPr>
          <w:p w14:paraId="489547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FA5EC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53550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5.2.4</w:t>
            </w:r>
          </w:p>
        </w:tc>
        <w:tc>
          <w:tcPr>
            <w:tcW w:w="7712" w:type="dxa"/>
            <w:tcBorders>
              <w:tl2br w:val="nil"/>
              <w:tr2bl w:val="nil"/>
            </w:tcBorders>
            <w:shd w:val="clear" w:color="auto" w:fill="auto"/>
            <w:vAlign w:val="center"/>
          </w:tcPr>
          <w:p w14:paraId="6BC342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悬挑阳台、露台采用梁板式结构，悬挑超过3m的阳台、露台区域活荷载标准值不低于 3.5kN/m</w:t>
            </w:r>
            <w:r>
              <w:rPr>
                <w:rFonts w:hint="eastAsia" w:ascii="仿宋" w:hAnsi="仿宋" w:eastAsia="仿宋" w:cs="仿宋"/>
                <w:i w:val="0"/>
                <w:iCs w:val="0"/>
                <w:color w:val="auto"/>
                <w:kern w:val="0"/>
                <w:sz w:val="22"/>
                <w:szCs w:val="22"/>
                <w:highlight w:val="none"/>
                <w:u w:val="none"/>
                <w:vertAlign w:val="superscript"/>
                <w:lang w:val="en-US" w:eastAsia="zh-CN" w:bidi="ar"/>
              </w:rPr>
              <w:t>2</w:t>
            </w:r>
            <w:r>
              <w:rPr>
                <w:rFonts w:hint="eastAsia" w:ascii="仿宋" w:hAnsi="仿宋" w:eastAsia="仿宋" w:cs="仿宋"/>
                <w:i w:val="0"/>
                <w:iCs w:val="0"/>
                <w:color w:val="auto"/>
                <w:kern w:val="0"/>
                <w:sz w:val="22"/>
                <w:szCs w:val="22"/>
                <w:highlight w:val="none"/>
                <w:u w:val="none"/>
                <w:lang w:val="en-US" w:eastAsia="zh-CN" w:bidi="ar"/>
              </w:rPr>
              <w:t>。</w:t>
            </w:r>
          </w:p>
        </w:tc>
        <w:tc>
          <w:tcPr>
            <w:tcW w:w="1088" w:type="dxa"/>
            <w:tcBorders>
              <w:tl2br w:val="nil"/>
              <w:tr2bl w:val="nil"/>
            </w:tcBorders>
            <w:shd w:val="clear" w:color="auto" w:fill="auto"/>
            <w:noWrap/>
            <w:vAlign w:val="center"/>
          </w:tcPr>
          <w:p w14:paraId="478670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0F5DBD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E13AC3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D4686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43900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5" w:hRule="atLeast"/>
        </w:trPr>
        <w:tc>
          <w:tcPr>
            <w:tcW w:w="609" w:type="dxa"/>
            <w:tcBorders>
              <w:tl2br w:val="nil"/>
              <w:tr2bl w:val="nil"/>
            </w:tcBorders>
            <w:shd w:val="clear" w:color="auto" w:fill="auto"/>
            <w:vAlign w:val="center"/>
          </w:tcPr>
          <w:p w14:paraId="4D90FA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65</w:t>
            </w:r>
          </w:p>
        </w:tc>
        <w:tc>
          <w:tcPr>
            <w:tcW w:w="590" w:type="dxa"/>
            <w:vMerge w:val="continue"/>
            <w:tcBorders>
              <w:tl2br w:val="nil"/>
              <w:tr2bl w:val="nil"/>
            </w:tcBorders>
            <w:shd w:val="clear" w:color="auto" w:fill="auto"/>
            <w:vAlign w:val="center"/>
          </w:tcPr>
          <w:p w14:paraId="5523D79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E8C32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AB98D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5.2.5</w:t>
            </w:r>
          </w:p>
        </w:tc>
        <w:tc>
          <w:tcPr>
            <w:tcW w:w="7712" w:type="dxa"/>
            <w:tcBorders>
              <w:tl2br w:val="nil"/>
              <w:tr2bl w:val="nil"/>
            </w:tcBorders>
            <w:shd w:val="clear" w:color="auto" w:fill="auto"/>
            <w:vAlign w:val="center"/>
          </w:tcPr>
          <w:p w14:paraId="3AEC3A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围护结构、非结构构件和附属机电设备采取与主体结构可靠的连接或锚固措施，连接的承载力和变形能力符合国家标准的有关规定。轻质砌块（条板）墙体上悬挂吊柜、热水器、太阳能水箱等悬挂重物部位采用结构加强措施。</w:t>
            </w:r>
          </w:p>
        </w:tc>
        <w:tc>
          <w:tcPr>
            <w:tcW w:w="1088" w:type="dxa"/>
            <w:tcBorders>
              <w:tl2br w:val="nil"/>
              <w:tr2bl w:val="nil"/>
            </w:tcBorders>
            <w:shd w:val="clear" w:color="auto" w:fill="auto"/>
            <w:noWrap/>
            <w:vAlign w:val="center"/>
          </w:tcPr>
          <w:p w14:paraId="73A953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7553D7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58487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2C9C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DFBD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70" w:hRule="atLeast"/>
        </w:trPr>
        <w:tc>
          <w:tcPr>
            <w:tcW w:w="609" w:type="dxa"/>
            <w:tcBorders>
              <w:tl2br w:val="nil"/>
              <w:tr2bl w:val="nil"/>
            </w:tcBorders>
            <w:shd w:val="clear" w:color="auto" w:fill="auto"/>
            <w:vAlign w:val="center"/>
          </w:tcPr>
          <w:p w14:paraId="186573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66</w:t>
            </w:r>
          </w:p>
        </w:tc>
        <w:tc>
          <w:tcPr>
            <w:tcW w:w="590" w:type="dxa"/>
            <w:vMerge w:val="continue"/>
            <w:tcBorders>
              <w:tl2br w:val="nil"/>
              <w:tr2bl w:val="nil"/>
            </w:tcBorders>
            <w:shd w:val="clear" w:color="auto" w:fill="auto"/>
            <w:vAlign w:val="center"/>
          </w:tcPr>
          <w:p w14:paraId="3773EAF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3428B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BD8FA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5.2.6</w:t>
            </w:r>
          </w:p>
        </w:tc>
        <w:tc>
          <w:tcPr>
            <w:tcW w:w="7712" w:type="dxa"/>
            <w:tcBorders>
              <w:tl2br w:val="nil"/>
              <w:tr2bl w:val="nil"/>
            </w:tcBorders>
            <w:shd w:val="clear" w:color="auto" w:fill="auto"/>
            <w:vAlign w:val="center"/>
          </w:tcPr>
          <w:p w14:paraId="271C70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住宅内隔墙采用轻质砌块（条板）时，其强度等级不低于A5.0（或抗压强度不小于5.0MPa），轻质条板隔墙中构造柱的设置符合下列规定：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墙体长度超过 6m时墙体中部设置构造柱，构造柱的间距不大于4m；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长度方向为自由端的隔墙端部设置构造柱；</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门窗洞边采取加强措施，入户门门洞及其它洞口宽度大于1.2m的门窗洞口两侧设置构造柱。</w:t>
            </w:r>
          </w:p>
        </w:tc>
        <w:tc>
          <w:tcPr>
            <w:tcW w:w="1088" w:type="dxa"/>
            <w:tcBorders>
              <w:tl2br w:val="nil"/>
              <w:tr2bl w:val="nil"/>
            </w:tcBorders>
            <w:shd w:val="clear" w:color="auto" w:fill="auto"/>
            <w:noWrap/>
            <w:vAlign w:val="center"/>
          </w:tcPr>
          <w:p w14:paraId="7ABD25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4A3CC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96764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5FD22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5E74F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E1719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67</w:t>
            </w:r>
          </w:p>
        </w:tc>
        <w:tc>
          <w:tcPr>
            <w:tcW w:w="590" w:type="dxa"/>
            <w:vMerge w:val="continue"/>
            <w:tcBorders>
              <w:tl2br w:val="nil"/>
              <w:tr2bl w:val="nil"/>
            </w:tcBorders>
            <w:shd w:val="clear" w:color="auto" w:fill="auto"/>
            <w:vAlign w:val="center"/>
          </w:tcPr>
          <w:p w14:paraId="16A9C2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4D587A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C048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5.2.7</w:t>
            </w:r>
          </w:p>
        </w:tc>
        <w:tc>
          <w:tcPr>
            <w:tcW w:w="7712" w:type="dxa"/>
            <w:tcBorders>
              <w:tl2br w:val="nil"/>
              <w:tr2bl w:val="nil"/>
            </w:tcBorders>
            <w:shd w:val="clear" w:color="auto" w:fill="auto"/>
            <w:vAlign w:val="center"/>
          </w:tcPr>
          <w:p w14:paraId="2988899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小区及住宅符合国家及地方消防规范的安全要求。</w:t>
            </w:r>
          </w:p>
        </w:tc>
        <w:tc>
          <w:tcPr>
            <w:tcW w:w="1088" w:type="dxa"/>
            <w:tcBorders>
              <w:tl2br w:val="nil"/>
              <w:tr2bl w:val="nil"/>
            </w:tcBorders>
            <w:shd w:val="clear" w:color="auto" w:fill="auto"/>
            <w:noWrap/>
            <w:vAlign w:val="center"/>
          </w:tcPr>
          <w:p w14:paraId="6022A5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31454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91910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044C3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013B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609" w:type="dxa"/>
            <w:tcBorders>
              <w:tl2br w:val="nil"/>
              <w:tr2bl w:val="nil"/>
            </w:tcBorders>
            <w:shd w:val="clear" w:color="auto" w:fill="auto"/>
            <w:vAlign w:val="center"/>
          </w:tcPr>
          <w:p w14:paraId="1C7587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68</w:t>
            </w:r>
          </w:p>
        </w:tc>
        <w:tc>
          <w:tcPr>
            <w:tcW w:w="590" w:type="dxa"/>
            <w:vMerge w:val="continue"/>
            <w:tcBorders>
              <w:tl2br w:val="nil"/>
              <w:tr2bl w:val="nil"/>
            </w:tcBorders>
            <w:shd w:val="clear" w:color="auto" w:fill="auto"/>
            <w:vAlign w:val="center"/>
          </w:tcPr>
          <w:p w14:paraId="002A3E3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B7DEE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943F5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5.2.8</w:t>
            </w:r>
          </w:p>
        </w:tc>
        <w:tc>
          <w:tcPr>
            <w:tcW w:w="7712" w:type="dxa"/>
            <w:tcBorders>
              <w:tl2br w:val="nil"/>
              <w:tr2bl w:val="nil"/>
            </w:tcBorders>
            <w:shd w:val="clear" w:color="auto" w:fill="auto"/>
            <w:vAlign w:val="center"/>
          </w:tcPr>
          <w:p w14:paraId="60B3B3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外墙的非结构构件及装饰材料符合下列规定：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外门、外窗能承受按现行国家标准《建筑结构荷载规范》GB 50009计算的风荷载；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外墙饰面与外墙可靠连接，石材等脆性外墙饰面采取防坠落措施；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外墙及结构性热桥当需要采用复合保温构造时，采用内保温或夹芯保温，不采用外保温。</w:t>
            </w:r>
          </w:p>
        </w:tc>
        <w:tc>
          <w:tcPr>
            <w:tcW w:w="1088" w:type="dxa"/>
            <w:tcBorders>
              <w:tl2br w:val="nil"/>
              <w:tr2bl w:val="nil"/>
            </w:tcBorders>
            <w:shd w:val="clear" w:color="auto" w:fill="auto"/>
            <w:noWrap/>
            <w:vAlign w:val="center"/>
          </w:tcPr>
          <w:p w14:paraId="3EB702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9D4C1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DB67A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F03D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254BBC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2D80F9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69</w:t>
            </w:r>
          </w:p>
        </w:tc>
        <w:tc>
          <w:tcPr>
            <w:tcW w:w="590" w:type="dxa"/>
            <w:vMerge w:val="continue"/>
            <w:tcBorders>
              <w:tl2br w:val="nil"/>
              <w:tr2bl w:val="nil"/>
            </w:tcBorders>
            <w:shd w:val="clear" w:color="auto" w:fill="auto"/>
            <w:vAlign w:val="center"/>
          </w:tcPr>
          <w:p w14:paraId="13B5B4A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EEFFA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CFD8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5.2.9</w:t>
            </w:r>
          </w:p>
        </w:tc>
        <w:tc>
          <w:tcPr>
            <w:tcW w:w="7712" w:type="dxa"/>
            <w:tcBorders>
              <w:tl2br w:val="nil"/>
              <w:tr2bl w:val="nil"/>
            </w:tcBorders>
            <w:shd w:val="clear" w:color="auto" w:fill="auto"/>
            <w:vAlign w:val="center"/>
          </w:tcPr>
          <w:p w14:paraId="7B7CEB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住宅外墙、高于2m的景观墙以及住宅公共区域高度超过3m的内墙饰面采用单边尺寸大于0.2m的饰面砖（石材）时，采用粘挂结合或干挂的施工工艺。粘挂或干挂的配辅件满足耐久性要求。</w:t>
            </w:r>
          </w:p>
        </w:tc>
        <w:tc>
          <w:tcPr>
            <w:tcW w:w="1088" w:type="dxa"/>
            <w:tcBorders>
              <w:tl2br w:val="nil"/>
              <w:tr2bl w:val="nil"/>
            </w:tcBorders>
            <w:shd w:val="clear" w:color="auto" w:fill="auto"/>
            <w:noWrap/>
            <w:vAlign w:val="center"/>
          </w:tcPr>
          <w:p w14:paraId="6A96ED5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/结构</w:t>
            </w:r>
          </w:p>
        </w:tc>
        <w:tc>
          <w:tcPr>
            <w:tcW w:w="1722" w:type="dxa"/>
            <w:tcBorders>
              <w:tl2br w:val="nil"/>
              <w:tr2bl w:val="nil"/>
            </w:tcBorders>
            <w:shd w:val="clear" w:color="auto" w:fill="auto"/>
            <w:noWrap/>
            <w:vAlign w:val="center"/>
          </w:tcPr>
          <w:p w14:paraId="57F158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0B3BCE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CC6C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DC493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FC475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70</w:t>
            </w:r>
          </w:p>
        </w:tc>
        <w:tc>
          <w:tcPr>
            <w:tcW w:w="590" w:type="dxa"/>
            <w:vMerge w:val="continue"/>
            <w:tcBorders>
              <w:tl2br w:val="nil"/>
              <w:tr2bl w:val="nil"/>
            </w:tcBorders>
            <w:shd w:val="clear" w:color="auto" w:fill="auto"/>
            <w:vAlign w:val="center"/>
          </w:tcPr>
          <w:p w14:paraId="6D2356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DC0F2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DF044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5.2.10</w:t>
            </w:r>
          </w:p>
        </w:tc>
        <w:tc>
          <w:tcPr>
            <w:tcW w:w="7712" w:type="dxa"/>
            <w:tcBorders>
              <w:tl2br w:val="nil"/>
              <w:tr2bl w:val="nil"/>
            </w:tcBorders>
            <w:shd w:val="clear" w:color="auto" w:fill="auto"/>
            <w:vAlign w:val="center"/>
          </w:tcPr>
          <w:p w14:paraId="360D1F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门窗设计符合国家、行业及地方相关规范要求。外窗设置防坠落装置，门窗玻璃选用安全玻璃。</w:t>
            </w:r>
          </w:p>
        </w:tc>
        <w:tc>
          <w:tcPr>
            <w:tcW w:w="1088" w:type="dxa"/>
            <w:tcBorders>
              <w:tl2br w:val="nil"/>
              <w:tr2bl w:val="nil"/>
            </w:tcBorders>
            <w:shd w:val="clear" w:color="auto" w:fill="auto"/>
            <w:noWrap/>
            <w:vAlign w:val="center"/>
          </w:tcPr>
          <w:p w14:paraId="707764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ED705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82D9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BE423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15DC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2F767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71</w:t>
            </w:r>
          </w:p>
        </w:tc>
        <w:tc>
          <w:tcPr>
            <w:tcW w:w="590" w:type="dxa"/>
            <w:vMerge w:val="continue"/>
            <w:tcBorders>
              <w:tl2br w:val="nil"/>
              <w:tr2bl w:val="nil"/>
            </w:tcBorders>
            <w:shd w:val="clear" w:color="auto" w:fill="auto"/>
            <w:vAlign w:val="center"/>
          </w:tcPr>
          <w:p w14:paraId="72E4DF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964D4D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FDA8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5.2.11</w:t>
            </w:r>
          </w:p>
        </w:tc>
        <w:tc>
          <w:tcPr>
            <w:tcW w:w="7712" w:type="dxa"/>
            <w:tcBorders>
              <w:tl2br w:val="nil"/>
              <w:tr2bl w:val="nil"/>
            </w:tcBorders>
            <w:shd w:val="clear" w:color="auto" w:fill="auto"/>
            <w:vAlign w:val="center"/>
          </w:tcPr>
          <w:p w14:paraId="2CA001F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地下车库出入口地面的坡道外端设置防水反坡，防水反坡高度不小于0.15m。出入口和坡道低端设置截水沟和耐轮压沟盖板。出入口安装智能防淹装置、防淹门或防汛挡板，挡水高度不小于0.8m。小区地下空间出入口设置防倒灌设施。</w:t>
            </w:r>
          </w:p>
        </w:tc>
        <w:tc>
          <w:tcPr>
            <w:tcW w:w="1088" w:type="dxa"/>
            <w:tcBorders>
              <w:tl2br w:val="nil"/>
              <w:tr2bl w:val="nil"/>
            </w:tcBorders>
            <w:shd w:val="clear" w:color="auto" w:fill="auto"/>
            <w:noWrap/>
            <w:vAlign w:val="center"/>
          </w:tcPr>
          <w:p w14:paraId="292D56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72647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EDA6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1CB70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A3406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2F957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72</w:t>
            </w:r>
          </w:p>
        </w:tc>
        <w:tc>
          <w:tcPr>
            <w:tcW w:w="590" w:type="dxa"/>
            <w:vMerge w:val="continue"/>
            <w:tcBorders>
              <w:tl2br w:val="nil"/>
              <w:tr2bl w:val="nil"/>
            </w:tcBorders>
            <w:shd w:val="clear" w:color="auto" w:fill="auto"/>
            <w:vAlign w:val="center"/>
          </w:tcPr>
          <w:p w14:paraId="028A15D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A2326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C092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5.2.12</w:t>
            </w:r>
          </w:p>
        </w:tc>
        <w:tc>
          <w:tcPr>
            <w:tcW w:w="7712" w:type="dxa"/>
            <w:tcBorders>
              <w:tl2br w:val="nil"/>
              <w:tr2bl w:val="nil"/>
            </w:tcBorders>
            <w:shd w:val="clear" w:color="auto" w:fill="auto"/>
            <w:vAlign w:val="center"/>
          </w:tcPr>
          <w:p w14:paraId="18DA43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住宅充电设施的消防设计符合国家现行标准《建筑设计防火规范》GB 50016、《汽车库、修车库、停车场设计防火规范》GB 50067、《电动汽车分散充电设施工程技术标准》GB/T 51313的有关规定。</w:t>
            </w:r>
          </w:p>
        </w:tc>
        <w:tc>
          <w:tcPr>
            <w:tcW w:w="1088" w:type="dxa"/>
            <w:tcBorders>
              <w:tl2br w:val="nil"/>
              <w:tr2bl w:val="nil"/>
            </w:tcBorders>
            <w:shd w:val="clear" w:color="auto" w:fill="auto"/>
            <w:noWrap/>
            <w:vAlign w:val="center"/>
          </w:tcPr>
          <w:p w14:paraId="4F35342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3B55B11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4481A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C0BAD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35D7E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08BF9C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73</w:t>
            </w:r>
          </w:p>
        </w:tc>
        <w:tc>
          <w:tcPr>
            <w:tcW w:w="590" w:type="dxa"/>
            <w:vMerge w:val="continue"/>
            <w:tcBorders>
              <w:tl2br w:val="nil"/>
              <w:tr2bl w:val="nil"/>
            </w:tcBorders>
            <w:shd w:val="clear" w:color="auto" w:fill="auto"/>
            <w:vAlign w:val="center"/>
          </w:tcPr>
          <w:p w14:paraId="4079DBB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0C405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3699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5.2.13</w:t>
            </w:r>
          </w:p>
        </w:tc>
        <w:tc>
          <w:tcPr>
            <w:tcW w:w="7712" w:type="dxa"/>
            <w:tcBorders>
              <w:tl2br w:val="nil"/>
              <w:tr2bl w:val="nil"/>
            </w:tcBorders>
            <w:shd w:val="clear" w:color="auto" w:fill="auto"/>
            <w:vAlign w:val="center"/>
          </w:tcPr>
          <w:p w14:paraId="25A3B28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住宅设置疏散引导系统、消防设施使用引导系统和安全警示系统。</w:t>
            </w:r>
          </w:p>
        </w:tc>
        <w:tc>
          <w:tcPr>
            <w:tcW w:w="1088" w:type="dxa"/>
            <w:tcBorders>
              <w:tl2br w:val="nil"/>
              <w:tr2bl w:val="nil"/>
            </w:tcBorders>
            <w:shd w:val="clear" w:color="auto" w:fill="auto"/>
            <w:noWrap/>
            <w:vAlign w:val="center"/>
          </w:tcPr>
          <w:p w14:paraId="5C898A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786B63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FE7AF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570EE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4B339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49EAFC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74</w:t>
            </w:r>
          </w:p>
        </w:tc>
        <w:tc>
          <w:tcPr>
            <w:tcW w:w="590" w:type="dxa"/>
            <w:vMerge w:val="continue"/>
            <w:tcBorders>
              <w:tl2br w:val="nil"/>
              <w:tr2bl w:val="nil"/>
            </w:tcBorders>
            <w:shd w:val="clear" w:color="auto" w:fill="auto"/>
            <w:vAlign w:val="center"/>
          </w:tcPr>
          <w:p w14:paraId="77DBEB2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4B7C4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1BFAE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5.2.14</w:t>
            </w:r>
          </w:p>
        </w:tc>
        <w:tc>
          <w:tcPr>
            <w:tcW w:w="7712" w:type="dxa"/>
            <w:tcBorders>
              <w:tl2br w:val="nil"/>
              <w:tr2bl w:val="nil"/>
            </w:tcBorders>
            <w:shd w:val="clear" w:color="auto" w:fill="auto"/>
            <w:vAlign w:val="center"/>
          </w:tcPr>
          <w:p w14:paraId="65E3CE3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建筑材料和制品的燃烧性能符合现行国家标准《建筑设计防火规范》GB 50016 和《建筑内部装修设计防火规范》GB 50222的有关规定。</w:t>
            </w:r>
          </w:p>
        </w:tc>
        <w:tc>
          <w:tcPr>
            <w:tcW w:w="1088" w:type="dxa"/>
            <w:tcBorders>
              <w:tl2br w:val="nil"/>
              <w:tr2bl w:val="nil"/>
            </w:tcBorders>
            <w:shd w:val="clear" w:color="auto" w:fill="auto"/>
            <w:noWrap/>
            <w:vAlign w:val="center"/>
          </w:tcPr>
          <w:p w14:paraId="02B344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A6BAF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D27EF0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898F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8167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51E078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75</w:t>
            </w:r>
          </w:p>
        </w:tc>
        <w:tc>
          <w:tcPr>
            <w:tcW w:w="590" w:type="dxa"/>
            <w:vMerge w:val="continue"/>
            <w:tcBorders>
              <w:tl2br w:val="nil"/>
              <w:tr2bl w:val="nil"/>
            </w:tcBorders>
            <w:shd w:val="clear" w:color="auto" w:fill="auto"/>
            <w:vAlign w:val="center"/>
          </w:tcPr>
          <w:p w14:paraId="35D2423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35498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46A4E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5.2.15</w:t>
            </w:r>
          </w:p>
        </w:tc>
        <w:tc>
          <w:tcPr>
            <w:tcW w:w="7712" w:type="dxa"/>
            <w:tcBorders>
              <w:tl2br w:val="nil"/>
              <w:tr2bl w:val="nil"/>
            </w:tcBorders>
            <w:shd w:val="clear" w:color="auto" w:fill="auto"/>
            <w:vAlign w:val="center"/>
          </w:tcPr>
          <w:p w14:paraId="79D2F5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燃气管道和设备符合国家和地方相关规定。住宅内使用燃气的室内场所设置有联网功能的燃气泄漏报警器。</w:t>
            </w:r>
          </w:p>
        </w:tc>
        <w:tc>
          <w:tcPr>
            <w:tcW w:w="1088" w:type="dxa"/>
            <w:tcBorders>
              <w:tl2br w:val="nil"/>
              <w:tr2bl w:val="nil"/>
            </w:tcBorders>
            <w:shd w:val="clear" w:color="auto" w:fill="auto"/>
            <w:noWrap/>
            <w:vAlign w:val="center"/>
          </w:tcPr>
          <w:p w14:paraId="00A317A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C617C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61A37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F2B6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EDC2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10" w:hRule="atLeast"/>
        </w:trPr>
        <w:tc>
          <w:tcPr>
            <w:tcW w:w="609" w:type="dxa"/>
            <w:tcBorders>
              <w:tl2br w:val="nil"/>
              <w:tr2bl w:val="nil"/>
            </w:tcBorders>
            <w:shd w:val="clear" w:color="auto" w:fill="auto"/>
            <w:vAlign w:val="center"/>
          </w:tcPr>
          <w:p w14:paraId="1FFE93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76</w:t>
            </w:r>
          </w:p>
        </w:tc>
        <w:tc>
          <w:tcPr>
            <w:tcW w:w="590" w:type="dxa"/>
            <w:vMerge w:val="restart"/>
            <w:tcBorders>
              <w:tl2br w:val="nil"/>
              <w:tr2bl w:val="nil"/>
            </w:tcBorders>
            <w:shd w:val="clear" w:color="auto" w:fill="auto"/>
            <w:vAlign w:val="center"/>
          </w:tcPr>
          <w:p w14:paraId="0C6488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 使用安全</w:t>
            </w:r>
          </w:p>
        </w:tc>
        <w:tc>
          <w:tcPr>
            <w:tcW w:w="465" w:type="dxa"/>
            <w:vMerge w:val="restart"/>
            <w:tcBorders>
              <w:tl2br w:val="nil"/>
              <w:tr2bl w:val="nil"/>
            </w:tcBorders>
            <w:shd w:val="clear" w:color="auto" w:fill="auto"/>
            <w:vAlign w:val="center"/>
          </w:tcPr>
          <w:p w14:paraId="195EA0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8D55D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5.3.1</w:t>
            </w:r>
          </w:p>
        </w:tc>
        <w:tc>
          <w:tcPr>
            <w:tcW w:w="7712" w:type="dxa"/>
            <w:tcBorders>
              <w:tl2br w:val="nil"/>
              <w:tr2bl w:val="nil"/>
            </w:tcBorders>
            <w:shd w:val="clear" w:color="auto" w:fill="auto"/>
            <w:vAlign w:val="center"/>
          </w:tcPr>
          <w:p w14:paraId="5261B33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小区采取降低高空坠物风险的措施，并满足下列要求：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建筑物、构筑物的外围护结构、外部设施、装饰性构件，公共区域的广告牌、公示牌、路灯等安装和维护满足安全和防护的要求；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外墙装修材料、室外设备和管线等采取安全可靠的防坠落措施；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对于存在高空坠物风险的区域，设置有安全防护的警示和引导标识系统；并实行不间断动态监控；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开敞阳台临空处有放置花盆的设施时，设置高护栏或防护网；</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公共出入口设置雨篷，雨篷宽度不小于入口平台宽度，挑出深度不小于1.5m，并与人员通行区域的遮阳、遮风或挡雨措施结合；</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有人员行走或停留的区域与住宅的间距满足《住宅项目规范》GB 55038第3.2.6条规定。</w:t>
            </w:r>
          </w:p>
        </w:tc>
        <w:tc>
          <w:tcPr>
            <w:tcW w:w="1088" w:type="dxa"/>
            <w:tcBorders>
              <w:tl2br w:val="nil"/>
              <w:tr2bl w:val="nil"/>
            </w:tcBorders>
            <w:shd w:val="clear" w:color="auto" w:fill="auto"/>
            <w:noWrap/>
            <w:vAlign w:val="center"/>
          </w:tcPr>
          <w:p w14:paraId="024B9C2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74B054C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D75D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A57C0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97DCB5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相关设计图纸及设计说明，预评价需提交承诺达标函。终评价尚需提供物业管理相关规定并现场核查。</w:t>
            </w:r>
          </w:p>
        </w:tc>
      </w:tr>
      <w:tr w14:paraId="77B89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0" w:hRule="atLeast"/>
        </w:trPr>
        <w:tc>
          <w:tcPr>
            <w:tcW w:w="609" w:type="dxa"/>
            <w:tcBorders>
              <w:tl2br w:val="nil"/>
              <w:tr2bl w:val="nil"/>
            </w:tcBorders>
            <w:shd w:val="clear" w:color="auto" w:fill="auto"/>
            <w:vAlign w:val="center"/>
          </w:tcPr>
          <w:p w14:paraId="40C880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77</w:t>
            </w:r>
          </w:p>
        </w:tc>
        <w:tc>
          <w:tcPr>
            <w:tcW w:w="590" w:type="dxa"/>
            <w:vMerge w:val="continue"/>
            <w:tcBorders>
              <w:tl2br w:val="nil"/>
              <w:tr2bl w:val="nil"/>
            </w:tcBorders>
            <w:shd w:val="clear" w:color="auto" w:fill="auto"/>
            <w:vAlign w:val="center"/>
          </w:tcPr>
          <w:p w14:paraId="362680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11E9E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AD938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5.3.2</w:t>
            </w:r>
          </w:p>
        </w:tc>
        <w:tc>
          <w:tcPr>
            <w:tcW w:w="7712" w:type="dxa"/>
            <w:tcBorders>
              <w:tl2br w:val="nil"/>
              <w:tr2bl w:val="nil"/>
            </w:tcBorders>
            <w:shd w:val="clear" w:color="auto" w:fill="auto"/>
            <w:vAlign w:val="center"/>
          </w:tcPr>
          <w:p w14:paraId="16646E2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小区采取防止人员坠落的措施，并满足下列要求：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阳台的防护栏杆和距室内地面高度小于0.9m的临空外窗的窗台，设置防攀爬和防护措施，外窗开启扇可采用一体式或其他内附式的安全栏杆形式，并符合《住宅项目规范》GB 55038等的相关规定要求；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住宅采用设内天井的连廊户型时，敞开式连廊的防护栏杆等设置防攀爬和安全防护措施，并连接牢固，总高度不小于1.4m；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靠近屋面女儿墙的各类管线、高差位及其他设施考虑防攀爬措施。</w:t>
            </w:r>
          </w:p>
        </w:tc>
        <w:tc>
          <w:tcPr>
            <w:tcW w:w="1088" w:type="dxa"/>
            <w:tcBorders>
              <w:tl2br w:val="nil"/>
              <w:tr2bl w:val="nil"/>
            </w:tcBorders>
            <w:shd w:val="clear" w:color="auto" w:fill="auto"/>
            <w:noWrap/>
            <w:vAlign w:val="center"/>
          </w:tcPr>
          <w:p w14:paraId="6FFD40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4B05B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4778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471079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0C990F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3557A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45A985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78</w:t>
            </w:r>
          </w:p>
        </w:tc>
        <w:tc>
          <w:tcPr>
            <w:tcW w:w="590" w:type="dxa"/>
            <w:vMerge w:val="continue"/>
            <w:tcBorders>
              <w:tl2br w:val="nil"/>
              <w:tr2bl w:val="nil"/>
            </w:tcBorders>
            <w:shd w:val="clear" w:color="auto" w:fill="auto"/>
            <w:vAlign w:val="center"/>
          </w:tcPr>
          <w:p w14:paraId="2E5F31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A006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26E6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5.3.3</w:t>
            </w:r>
          </w:p>
        </w:tc>
        <w:tc>
          <w:tcPr>
            <w:tcW w:w="7712" w:type="dxa"/>
            <w:tcBorders>
              <w:tl2br w:val="nil"/>
              <w:tr2bl w:val="nil"/>
            </w:tcBorders>
            <w:shd w:val="clear" w:color="auto" w:fill="auto"/>
            <w:vAlign w:val="center"/>
          </w:tcPr>
          <w:p w14:paraId="753704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有人活动的地面的防滑等级和防滑措施符合《建筑地面工程防滑技术规程》JGJ/T 331等相关规定。</w:t>
            </w:r>
          </w:p>
        </w:tc>
        <w:tc>
          <w:tcPr>
            <w:tcW w:w="1088" w:type="dxa"/>
            <w:tcBorders>
              <w:tl2br w:val="nil"/>
              <w:tr2bl w:val="nil"/>
            </w:tcBorders>
            <w:shd w:val="clear" w:color="auto" w:fill="auto"/>
            <w:noWrap/>
            <w:vAlign w:val="center"/>
          </w:tcPr>
          <w:p w14:paraId="49CB69C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173EA2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BAB2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2E685E1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517CE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7E01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70" w:hRule="atLeast"/>
        </w:trPr>
        <w:tc>
          <w:tcPr>
            <w:tcW w:w="609" w:type="dxa"/>
            <w:tcBorders>
              <w:tl2br w:val="nil"/>
              <w:tr2bl w:val="nil"/>
            </w:tcBorders>
            <w:shd w:val="clear" w:color="auto" w:fill="auto"/>
            <w:vAlign w:val="center"/>
          </w:tcPr>
          <w:p w14:paraId="0133DB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79</w:t>
            </w:r>
          </w:p>
        </w:tc>
        <w:tc>
          <w:tcPr>
            <w:tcW w:w="590" w:type="dxa"/>
            <w:vMerge w:val="continue"/>
            <w:tcBorders>
              <w:tl2br w:val="nil"/>
              <w:tr2bl w:val="nil"/>
            </w:tcBorders>
            <w:shd w:val="clear" w:color="auto" w:fill="auto"/>
            <w:vAlign w:val="center"/>
          </w:tcPr>
          <w:p w14:paraId="2F6A84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4EB4FD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B21F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5.3.4</w:t>
            </w:r>
          </w:p>
        </w:tc>
        <w:tc>
          <w:tcPr>
            <w:tcW w:w="7712" w:type="dxa"/>
            <w:tcBorders>
              <w:tl2br w:val="nil"/>
              <w:tr2bl w:val="nil"/>
            </w:tcBorders>
            <w:shd w:val="clear" w:color="auto" w:fill="auto"/>
            <w:vAlign w:val="center"/>
          </w:tcPr>
          <w:p w14:paraId="6269A6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小区无障碍坡道符合下列规定：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坡道连续，并选择防滑、平整的路面材料；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地面反光小或无反光，防滑等级达到现行行业标准《建筑地面防滑技术规程》JGJ/T 331的Ad、Aw级规定；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设置扶手的临空侧设置安全阻挡措施。</w:t>
            </w:r>
          </w:p>
        </w:tc>
        <w:tc>
          <w:tcPr>
            <w:tcW w:w="1088" w:type="dxa"/>
            <w:tcBorders>
              <w:tl2br w:val="nil"/>
              <w:tr2bl w:val="nil"/>
            </w:tcBorders>
            <w:shd w:val="clear" w:color="auto" w:fill="auto"/>
            <w:noWrap/>
            <w:vAlign w:val="center"/>
          </w:tcPr>
          <w:p w14:paraId="5A2078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ECB64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D076D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7B550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996E0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1052C0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0" w:hRule="atLeast"/>
        </w:trPr>
        <w:tc>
          <w:tcPr>
            <w:tcW w:w="609" w:type="dxa"/>
            <w:tcBorders>
              <w:tl2br w:val="nil"/>
              <w:tr2bl w:val="nil"/>
            </w:tcBorders>
            <w:shd w:val="clear" w:color="auto" w:fill="auto"/>
            <w:vAlign w:val="center"/>
          </w:tcPr>
          <w:p w14:paraId="2DC4D9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80</w:t>
            </w:r>
          </w:p>
        </w:tc>
        <w:tc>
          <w:tcPr>
            <w:tcW w:w="590" w:type="dxa"/>
            <w:vMerge w:val="continue"/>
            <w:tcBorders>
              <w:tl2br w:val="nil"/>
              <w:tr2bl w:val="nil"/>
            </w:tcBorders>
            <w:shd w:val="clear" w:color="auto" w:fill="auto"/>
            <w:vAlign w:val="center"/>
          </w:tcPr>
          <w:p w14:paraId="761A0C7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9905C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E4F53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5.3.5</w:t>
            </w:r>
          </w:p>
        </w:tc>
        <w:tc>
          <w:tcPr>
            <w:tcW w:w="7712" w:type="dxa"/>
            <w:tcBorders>
              <w:tl2br w:val="nil"/>
              <w:tr2bl w:val="nil"/>
            </w:tcBorders>
            <w:shd w:val="clear" w:color="auto" w:fill="auto"/>
            <w:vAlign w:val="center"/>
          </w:tcPr>
          <w:p w14:paraId="2DE5C6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小区设置防溺水措施，并符合下列规定：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小区内游泳池、水塘等水域设置明显的警示标志；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小区内泳池配备救生圈等专业救援设施；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定期检查维护小区内临水护栏、栏杆等安全设施；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临湖、临河小区对区域内的水域实行不间断监控。</w:t>
            </w:r>
          </w:p>
        </w:tc>
        <w:tc>
          <w:tcPr>
            <w:tcW w:w="1088" w:type="dxa"/>
            <w:tcBorders>
              <w:tl2br w:val="nil"/>
              <w:tr2bl w:val="nil"/>
            </w:tcBorders>
            <w:shd w:val="clear" w:color="auto" w:fill="auto"/>
            <w:noWrap/>
            <w:vAlign w:val="center"/>
          </w:tcPr>
          <w:p w14:paraId="203D97D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228C33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1AC00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15F317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20EA3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相关设计图纸及设计说明，预评价需提交承诺达标函。终评价尚需提供物业管理相关规定并现场核查。</w:t>
            </w:r>
          </w:p>
        </w:tc>
      </w:tr>
      <w:tr w14:paraId="34AAFC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43798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81</w:t>
            </w:r>
          </w:p>
        </w:tc>
        <w:tc>
          <w:tcPr>
            <w:tcW w:w="590" w:type="dxa"/>
            <w:vMerge w:val="continue"/>
            <w:tcBorders>
              <w:tl2br w:val="nil"/>
              <w:tr2bl w:val="nil"/>
            </w:tcBorders>
            <w:shd w:val="clear" w:color="auto" w:fill="auto"/>
            <w:vAlign w:val="center"/>
          </w:tcPr>
          <w:p w14:paraId="11F590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8A76FF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C6EFD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5.3.6</w:t>
            </w:r>
          </w:p>
        </w:tc>
        <w:tc>
          <w:tcPr>
            <w:tcW w:w="7712" w:type="dxa"/>
            <w:tcBorders>
              <w:tl2br w:val="nil"/>
              <w:tr2bl w:val="nil"/>
            </w:tcBorders>
            <w:shd w:val="clear" w:color="auto" w:fill="auto"/>
            <w:vAlign w:val="center"/>
          </w:tcPr>
          <w:p w14:paraId="2E7D893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住宅楼栋内禁止电动自行车或电动自行车充电电池进入。</w:t>
            </w:r>
          </w:p>
        </w:tc>
        <w:tc>
          <w:tcPr>
            <w:tcW w:w="1088" w:type="dxa"/>
            <w:tcBorders>
              <w:tl2br w:val="nil"/>
              <w:tr2bl w:val="nil"/>
            </w:tcBorders>
            <w:shd w:val="clear" w:color="auto" w:fill="auto"/>
            <w:noWrap/>
            <w:vAlign w:val="center"/>
          </w:tcPr>
          <w:p w14:paraId="1B27B7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FD194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D6227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2DFB86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65F9ED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预评价需提交承诺达标函。终评价尚需提供物业管理相关规定并现场核查。</w:t>
            </w:r>
          </w:p>
        </w:tc>
      </w:tr>
      <w:tr w14:paraId="698C6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63B80C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82</w:t>
            </w:r>
          </w:p>
        </w:tc>
        <w:tc>
          <w:tcPr>
            <w:tcW w:w="590" w:type="dxa"/>
            <w:vMerge w:val="continue"/>
            <w:tcBorders>
              <w:tl2br w:val="nil"/>
              <w:tr2bl w:val="nil"/>
            </w:tcBorders>
            <w:shd w:val="clear" w:color="auto" w:fill="auto"/>
            <w:vAlign w:val="center"/>
          </w:tcPr>
          <w:p w14:paraId="2DC022E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1126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60493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5.3.7</w:t>
            </w:r>
          </w:p>
        </w:tc>
        <w:tc>
          <w:tcPr>
            <w:tcW w:w="7712" w:type="dxa"/>
            <w:tcBorders>
              <w:tl2br w:val="nil"/>
              <w:tr2bl w:val="nil"/>
            </w:tcBorders>
            <w:shd w:val="clear" w:color="auto" w:fill="auto"/>
            <w:vAlign w:val="center"/>
          </w:tcPr>
          <w:p w14:paraId="31316F6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住户家庭网络安全与隐私保护满足现行国家标准《信息技术安全技术信息安全管理体系要求》GB/T 22080和《信息安全技术个人信息安全规范》GB/T 35273的有关规定。</w:t>
            </w:r>
          </w:p>
        </w:tc>
        <w:tc>
          <w:tcPr>
            <w:tcW w:w="1088" w:type="dxa"/>
            <w:tcBorders>
              <w:tl2br w:val="nil"/>
              <w:tr2bl w:val="nil"/>
            </w:tcBorders>
            <w:shd w:val="clear" w:color="auto" w:fill="auto"/>
            <w:noWrap/>
            <w:vAlign w:val="center"/>
          </w:tcPr>
          <w:p w14:paraId="2E138BE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20432E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CD3CD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9642D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7C7A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4" w:hRule="atLeast"/>
        </w:trPr>
        <w:tc>
          <w:tcPr>
            <w:tcW w:w="609" w:type="dxa"/>
            <w:tcBorders>
              <w:tl2br w:val="nil"/>
              <w:tr2bl w:val="nil"/>
            </w:tcBorders>
            <w:shd w:val="clear" w:color="auto" w:fill="auto"/>
            <w:vAlign w:val="center"/>
          </w:tcPr>
          <w:p w14:paraId="3F5790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shd w:val="clear" w:color="auto" w:fill="auto"/>
                <w:lang w:val="en-US" w:eastAsia="zh-CN" w:bidi="ar"/>
              </w:rPr>
            </w:pPr>
            <w:r>
              <w:rPr>
                <w:rFonts w:hint="eastAsia" w:ascii="仿宋" w:hAnsi="仿宋" w:eastAsia="仿宋" w:cs="仿宋"/>
                <w:i w:val="0"/>
                <w:iCs w:val="0"/>
                <w:color w:val="auto"/>
                <w:kern w:val="0"/>
                <w:sz w:val="22"/>
                <w:szCs w:val="22"/>
                <w:highlight w:val="none"/>
                <w:u w:val="none"/>
                <w:shd w:val="clear" w:color="auto" w:fill="auto"/>
                <w:lang w:val="en-US" w:eastAsia="zh-CN" w:bidi="ar"/>
              </w:rPr>
              <w:t>83</w:t>
            </w:r>
          </w:p>
        </w:tc>
        <w:tc>
          <w:tcPr>
            <w:tcW w:w="590" w:type="dxa"/>
            <w:vMerge w:val="restart"/>
            <w:tcBorders>
              <w:tl2br w:val="nil"/>
              <w:tr2bl w:val="nil"/>
            </w:tcBorders>
            <w:shd w:val="clear" w:color="auto" w:fill="auto"/>
            <w:vAlign w:val="center"/>
          </w:tcPr>
          <w:p w14:paraId="1F0848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5.4 品质长久</w:t>
            </w:r>
          </w:p>
        </w:tc>
        <w:tc>
          <w:tcPr>
            <w:tcW w:w="465" w:type="dxa"/>
            <w:vMerge w:val="restart"/>
            <w:tcBorders>
              <w:tl2br w:val="nil"/>
              <w:tr2bl w:val="nil"/>
            </w:tcBorders>
            <w:shd w:val="clear" w:color="auto" w:fill="auto"/>
            <w:vAlign w:val="center"/>
          </w:tcPr>
          <w:p w14:paraId="62DE28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014317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w:t>
            </w:r>
          </w:p>
        </w:tc>
        <w:tc>
          <w:tcPr>
            <w:tcW w:w="7712" w:type="dxa"/>
            <w:tcBorders>
              <w:tl2br w:val="nil"/>
              <w:tr2bl w:val="nil"/>
            </w:tcBorders>
            <w:shd w:val="clear" w:color="auto" w:fill="auto"/>
            <w:vAlign w:val="center"/>
          </w:tcPr>
          <w:p w14:paraId="6D04C82E">
            <w:pPr>
              <w:pStyle w:val="9"/>
              <w:keepNext w:val="0"/>
              <w:keepLines w:val="0"/>
              <w:pageBreakBefore w:val="0"/>
              <w:widowControl w:val="0"/>
              <w:kinsoku/>
              <w:wordWrap/>
              <w:overflowPunct/>
              <w:topLinePunct w:val="0"/>
              <w:autoSpaceDE/>
              <w:autoSpaceDN/>
              <w:bidi w:val="0"/>
              <w:adjustRightInd/>
              <w:snapToGrid/>
              <w:ind w:firstLine="220" w:firstLineChars="100"/>
              <w:jc w:val="left"/>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住宅设计工作年限不低于表5.4.1的规定。</w:t>
            </w:r>
          </w:p>
          <w:p w14:paraId="4BA71599">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表5.4.1 住宅设计工作年限</w:t>
            </w:r>
          </w:p>
          <w:tbl>
            <w:tblPr>
              <w:tblStyle w:val="10"/>
              <w:tblW w:w="6121"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7"/>
              <w:gridCol w:w="2904"/>
            </w:tblGrid>
            <w:tr w14:paraId="19FD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217" w:type="dxa"/>
                </w:tcPr>
                <w:p w14:paraId="3976126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分部工程</w:t>
                  </w:r>
                </w:p>
              </w:tc>
              <w:tc>
                <w:tcPr>
                  <w:tcW w:w="2904" w:type="dxa"/>
                </w:tcPr>
                <w:p w14:paraId="1C88DC19">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设计工作年限（年）</w:t>
                  </w:r>
                </w:p>
              </w:tc>
            </w:tr>
            <w:tr w14:paraId="7E1B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17" w:type="dxa"/>
                </w:tcPr>
                <w:p w14:paraId="7FE86AEE">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建筑结构</w:t>
                  </w:r>
                </w:p>
              </w:tc>
              <w:tc>
                <w:tcPr>
                  <w:tcW w:w="2904" w:type="dxa"/>
                </w:tcPr>
                <w:p w14:paraId="5DA4C4F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w:t>
                  </w:r>
                </w:p>
              </w:tc>
            </w:tr>
            <w:tr w14:paraId="73D1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35ED159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临近住宅的永久边坡工程</w:t>
                  </w:r>
                </w:p>
              </w:tc>
              <w:tc>
                <w:tcPr>
                  <w:tcW w:w="2904" w:type="dxa"/>
                </w:tcPr>
                <w:p w14:paraId="7A1DF2B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自住宅竣工验收起算.50</w:t>
                  </w:r>
                </w:p>
              </w:tc>
            </w:tr>
            <w:tr w14:paraId="6FE24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217" w:type="dxa"/>
                </w:tcPr>
                <w:p w14:paraId="7269B1FA">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屋面防水工程</w:t>
                  </w:r>
                </w:p>
              </w:tc>
              <w:tc>
                <w:tcPr>
                  <w:tcW w:w="2904" w:type="dxa"/>
                </w:tcPr>
                <w:p w14:paraId="569A5A9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r>
            <w:tr w14:paraId="3A80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0034268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室内防水工程</w:t>
                  </w:r>
                </w:p>
              </w:tc>
              <w:tc>
                <w:tcPr>
                  <w:tcW w:w="2904" w:type="dxa"/>
                </w:tcPr>
                <w:p w14:paraId="4E7A8ED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r>
            <w:tr w14:paraId="1121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3F0A1EFC">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地下防水工程</w:t>
                  </w:r>
                </w:p>
              </w:tc>
              <w:tc>
                <w:tcPr>
                  <w:tcW w:w="2904" w:type="dxa"/>
                </w:tcPr>
                <w:p w14:paraId="731DE0F0">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同建筑结构，50</w:t>
                  </w:r>
                </w:p>
              </w:tc>
            </w:tr>
            <w:tr w14:paraId="1578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17" w:type="dxa"/>
                </w:tcPr>
                <w:p w14:paraId="5DF29D1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门窗工程</w:t>
                  </w:r>
                </w:p>
              </w:tc>
              <w:tc>
                <w:tcPr>
                  <w:tcW w:w="2904" w:type="dxa"/>
                </w:tcPr>
                <w:p w14:paraId="55482EA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r>
          </w:tbl>
          <w:p w14:paraId="3EC02D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88" w:type="dxa"/>
            <w:tcBorders>
              <w:tl2br w:val="nil"/>
              <w:tr2bl w:val="nil"/>
            </w:tcBorders>
            <w:shd w:val="clear" w:color="auto" w:fill="auto"/>
            <w:noWrap/>
            <w:vAlign w:val="center"/>
          </w:tcPr>
          <w:p w14:paraId="6039B9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03D64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E4EE1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A8729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20E0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308238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w:t>
            </w:r>
          </w:p>
        </w:tc>
        <w:tc>
          <w:tcPr>
            <w:tcW w:w="590" w:type="dxa"/>
            <w:vMerge w:val="continue"/>
            <w:tcBorders>
              <w:tl2br w:val="nil"/>
              <w:tr2bl w:val="nil"/>
            </w:tcBorders>
            <w:shd w:val="clear" w:color="auto" w:fill="auto"/>
            <w:vAlign w:val="center"/>
          </w:tcPr>
          <w:p w14:paraId="0BCA17C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9E50C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CD4CB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5.4.2</w:t>
            </w:r>
          </w:p>
        </w:tc>
        <w:tc>
          <w:tcPr>
            <w:tcW w:w="7712" w:type="dxa"/>
            <w:tcBorders>
              <w:tl2br w:val="nil"/>
              <w:tr2bl w:val="nil"/>
            </w:tcBorders>
            <w:shd w:val="clear" w:color="auto" w:fill="auto"/>
            <w:vAlign w:val="center"/>
          </w:tcPr>
          <w:p w14:paraId="7BB72A1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结构选用高耐久性混凝土、高强钢筋、耐候结构钢、耐候型防腐涂料等材料，对构件及连接进行耐久性设计，耐久性措施满足国家相关标准的要求。</w:t>
            </w:r>
          </w:p>
        </w:tc>
        <w:tc>
          <w:tcPr>
            <w:tcW w:w="1088" w:type="dxa"/>
            <w:tcBorders>
              <w:tl2br w:val="nil"/>
              <w:tr2bl w:val="nil"/>
            </w:tcBorders>
            <w:shd w:val="clear" w:color="auto" w:fill="auto"/>
            <w:noWrap/>
            <w:vAlign w:val="center"/>
          </w:tcPr>
          <w:p w14:paraId="31E5300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4AEF0F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A22D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685BEF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1F23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DD3C4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85</w:t>
            </w:r>
          </w:p>
        </w:tc>
        <w:tc>
          <w:tcPr>
            <w:tcW w:w="590" w:type="dxa"/>
            <w:vMerge w:val="continue"/>
            <w:tcBorders>
              <w:tl2br w:val="nil"/>
              <w:tr2bl w:val="nil"/>
            </w:tcBorders>
            <w:shd w:val="clear" w:color="auto" w:fill="auto"/>
            <w:vAlign w:val="center"/>
          </w:tcPr>
          <w:p w14:paraId="125F57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96598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063D3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5.4.3</w:t>
            </w:r>
          </w:p>
        </w:tc>
        <w:tc>
          <w:tcPr>
            <w:tcW w:w="7712" w:type="dxa"/>
            <w:tcBorders>
              <w:tl2br w:val="nil"/>
              <w:tr2bl w:val="nil"/>
            </w:tcBorders>
            <w:shd w:val="clear" w:color="auto" w:fill="auto"/>
            <w:vAlign w:val="center"/>
          </w:tcPr>
          <w:p w14:paraId="4ECA48B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住宅的楼盖满足楼盖竖向振动舒适度要求，高层住宅满足10年重现期水平风荷载作用的振动舒适度要求。</w:t>
            </w:r>
          </w:p>
        </w:tc>
        <w:tc>
          <w:tcPr>
            <w:tcW w:w="1088" w:type="dxa"/>
            <w:tcBorders>
              <w:tl2br w:val="nil"/>
              <w:tr2bl w:val="nil"/>
            </w:tcBorders>
            <w:shd w:val="clear" w:color="auto" w:fill="auto"/>
            <w:noWrap/>
            <w:vAlign w:val="center"/>
          </w:tcPr>
          <w:p w14:paraId="7FDFA90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389A6D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0880C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24797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相关设计图纸、设计说明、分析报告及相关计算书。</w:t>
            </w:r>
          </w:p>
        </w:tc>
      </w:tr>
      <w:tr w14:paraId="62C8A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6FE5B9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86</w:t>
            </w:r>
          </w:p>
        </w:tc>
        <w:tc>
          <w:tcPr>
            <w:tcW w:w="590" w:type="dxa"/>
            <w:vMerge w:val="continue"/>
            <w:tcBorders>
              <w:tl2br w:val="nil"/>
              <w:tr2bl w:val="nil"/>
            </w:tcBorders>
            <w:shd w:val="clear" w:color="auto" w:fill="auto"/>
            <w:vAlign w:val="center"/>
          </w:tcPr>
          <w:p w14:paraId="040DF6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F23506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51A27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5.4.4</w:t>
            </w:r>
          </w:p>
        </w:tc>
        <w:tc>
          <w:tcPr>
            <w:tcW w:w="7712" w:type="dxa"/>
            <w:tcBorders>
              <w:tl2br w:val="nil"/>
              <w:tr2bl w:val="nil"/>
            </w:tcBorders>
            <w:shd w:val="clear" w:color="auto" w:fill="auto"/>
            <w:vAlign w:val="center"/>
          </w:tcPr>
          <w:p w14:paraId="20D1E6D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门窗反复启闭性能试验符合现行国家标准《门窗反复启闭耐久性试验方法》GB/T 29739的有关规定。门的反复启闭次数不少于100000次，窗的反复启闭次数不少于15000次。</w:t>
            </w:r>
          </w:p>
        </w:tc>
        <w:tc>
          <w:tcPr>
            <w:tcW w:w="1088" w:type="dxa"/>
            <w:tcBorders>
              <w:tl2br w:val="nil"/>
              <w:tr2bl w:val="nil"/>
            </w:tcBorders>
            <w:shd w:val="clear" w:color="auto" w:fill="auto"/>
            <w:noWrap/>
            <w:vAlign w:val="center"/>
          </w:tcPr>
          <w:p w14:paraId="1439F0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41D45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014B3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7FC3A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预评价需提交承诺达标函，相关设计图纸及设计说明。终评价尚需提供检测报告并现场核查。</w:t>
            </w:r>
          </w:p>
        </w:tc>
      </w:tr>
      <w:tr w14:paraId="67E9C8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202C6B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87</w:t>
            </w:r>
          </w:p>
        </w:tc>
        <w:tc>
          <w:tcPr>
            <w:tcW w:w="590" w:type="dxa"/>
            <w:vMerge w:val="restart"/>
            <w:tcBorders>
              <w:tl2br w:val="nil"/>
              <w:tr2bl w:val="nil"/>
            </w:tcBorders>
            <w:shd w:val="clear" w:color="auto" w:fill="auto"/>
            <w:vAlign w:val="center"/>
          </w:tcPr>
          <w:p w14:paraId="4F7C5A8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0CAF18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1A87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5.4.5</w:t>
            </w:r>
          </w:p>
        </w:tc>
        <w:tc>
          <w:tcPr>
            <w:tcW w:w="7712" w:type="dxa"/>
            <w:tcBorders>
              <w:tl2br w:val="nil"/>
              <w:tr2bl w:val="nil"/>
            </w:tcBorders>
            <w:shd w:val="clear" w:color="auto" w:fill="auto"/>
            <w:vAlign w:val="center"/>
          </w:tcPr>
          <w:p w14:paraId="4CBA45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外围护系统整体防水性能符合现行国家标准《屋面工程技术规范》GB 50345、《坡屋面工程技术规范》GB 50693和行业标准《建筑外墙防水工程技术规程》JGJ/T 235的有关规定。屋面、外墙、外窗等重点部位采取措施防止雨水侵入、开裂及渗漏。</w:t>
            </w:r>
          </w:p>
        </w:tc>
        <w:tc>
          <w:tcPr>
            <w:tcW w:w="1088" w:type="dxa"/>
            <w:tcBorders>
              <w:tl2br w:val="nil"/>
              <w:tr2bl w:val="nil"/>
            </w:tcBorders>
            <w:shd w:val="clear" w:color="auto" w:fill="auto"/>
            <w:noWrap/>
            <w:vAlign w:val="center"/>
          </w:tcPr>
          <w:p w14:paraId="077884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575F2F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3FCCB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87B5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31784D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B40B3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88</w:t>
            </w:r>
          </w:p>
        </w:tc>
        <w:tc>
          <w:tcPr>
            <w:tcW w:w="590" w:type="dxa"/>
            <w:vMerge w:val="continue"/>
            <w:tcBorders>
              <w:tl2br w:val="nil"/>
              <w:tr2bl w:val="nil"/>
            </w:tcBorders>
            <w:shd w:val="clear" w:color="auto" w:fill="auto"/>
            <w:vAlign w:val="center"/>
          </w:tcPr>
          <w:p w14:paraId="00C5032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64279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F813E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5.4.6</w:t>
            </w:r>
          </w:p>
        </w:tc>
        <w:tc>
          <w:tcPr>
            <w:tcW w:w="7712" w:type="dxa"/>
            <w:tcBorders>
              <w:tl2br w:val="nil"/>
              <w:tr2bl w:val="nil"/>
            </w:tcBorders>
            <w:shd w:val="clear" w:color="auto" w:fill="auto"/>
            <w:vAlign w:val="center"/>
          </w:tcPr>
          <w:p w14:paraId="54DA67F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防水设计符合现行行业标准《住宅室内防水工程技术规范》JGJ 298的有关规定。住宅卫生间内所有墙面通高设置防水层。</w:t>
            </w:r>
          </w:p>
        </w:tc>
        <w:tc>
          <w:tcPr>
            <w:tcW w:w="1088" w:type="dxa"/>
            <w:tcBorders>
              <w:tl2br w:val="nil"/>
              <w:tr2bl w:val="nil"/>
            </w:tcBorders>
            <w:shd w:val="clear" w:color="auto" w:fill="auto"/>
            <w:noWrap/>
            <w:vAlign w:val="center"/>
          </w:tcPr>
          <w:p w14:paraId="0A633F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17E3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7FB7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34BC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8DF78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53F0B18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89</w:t>
            </w:r>
          </w:p>
        </w:tc>
        <w:tc>
          <w:tcPr>
            <w:tcW w:w="590" w:type="dxa"/>
            <w:vMerge w:val="continue"/>
            <w:tcBorders>
              <w:tl2br w:val="nil"/>
              <w:tr2bl w:val="nil"/>
            </w:tcBorders>
            <w:shd w:val="clear" w:color="auto" w:fill="auto"/>
            <w:vAlign w:val="center"/>
          </w:tcPr>
          <w:p w14:paraId="377A1E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0401C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70A84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5.4.7</w:t>
            </w:r>
          </w:p>
        </w:tc>
        <w:tc>
          <w:tcPr>
            <w:tcW w:w="7712" w:type="dxa"/>
            <w:tcBorders>
              <w:tl2br w:val="nil"/>
              <w:tr2bl w:val="nil"/>
            </w:tcBorders>
            <w:shd w:val="clear" w:color="auto" w:fill="auto"/>
            <w:vAlign w:val="center"/>
          </w:tcPr>
          <w:p w14:paraId="6DF697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住宅公共电梯基坑设置排水措施。</w:t>
            </w:r>
          </w:p>
        </w:tc>
        <w:tc>
          <w:tcPr>
            <w:tcW w:w="1088" w:type="dxa"/>
            <w:tcBorders>
              <w:tl2br w:val="nil"/>
              <w:tr2bl w:val="nil"/>
            </w:tcBorders>
            <w:shd w:val="clear" w:color="auto" w:fill="auto"/>
            <w:noWrap/>
            <w:vAlign w:val="center"/>
          </w:tcPr>
          <w:p w14:paraId="31CE60F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0AF134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72EE8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7D116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1FED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638B31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90</w:t>
            </w:r>
          </w:p>
        </w:tc>
        <w:tc>
          <w:tcPr>
            <w:tcW w:w="590" w:type="dxa"/>
            <w:vMerge w:val="continue"/>
            <w:tcBorders>
              <w:tl2br w:val="nil"/>
              <w:tr2bl w:val="nil"/>
            </w:tcBorders>
            <w:shd w:val="clear" w:color="auto" w:fill="auto"/>
            <w:vAlign w:val="center"/>
          </w:tcPr>
          <w:p w14:paraId="58C7496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7E79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5590A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5.4.8</w:t>
            </w:r>
          </w:p>
        </w:tc>
        <w:tc>
          <w:tcPr>
            <w:tcW w:w="7712" w:type="dxa"/>
            <w:tcBorders>
              <w:tl2br w:val="nil"/>
              <w:tr2bl w:val="nil"/>
            </w:tcBorders>
            <w:shd w:val="clear" w:color="auto" w:fill="auto"/>
            <w:vAlign w:val="center"/>
          </w:tcPr>
          <w:p w14:paraId="64B60F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当首层有住宅时，首层单独设置排水，并单独接至室外检查井；当首层架空时，上一层住户的排水横支管单独接至排水立管或室外检查井，接入点距转向处以下不小于0.6m。</w:t>
            </w:r>
          </w:p>
        </w:tc>
        <w:tc>
          <w:tcPr>
            <w:tcW w:w="1088" w:type="dxa"/>
            <w:tcBorders>
              <w:tl2br w:val="nil"/>
              <w:tr2bl w:val="nil"/>
            </w:tcBorders>
            <w:shd w:val="clear" w:color="auto" w:fill="auto"/>
            <w:noWrap/>
            <w:vAlign w:val="center"/>
          </w:tcPr>
          <w:p w14:paraId="315D84B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3B8D18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7BC87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1B8C84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D256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353E3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91</w:t>
            </w:r>
          </w:p>
        </w:tc>
        <w:tc>
          <w:tcPr>
            <w:tcW w:w="590" w:type="dxa"/>
            <w:vMerge w:val="continue"/>
            <w:tcBorders>
              <w:tl2br w:val="nil"/>
              <w:tr2bl w:val="nil"/>
            </w:tcBorders>
            <w:shd w:val="clear" w:color="auto" w:fill="auto"/>
            <w:vAlign w:val="center"/>
          </w:tcPr>
          <w:p w14:paraId="2032F6B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15B806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84659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5.4.9</w:t>
            </w:r>
          </w:p>
        </w:tc>
        <w:tc>
          <w:tcPr>
            <w:tcW w:w="7712" w:type="dxa"/>
            <w:tcBorders>
              <w:tl2br w:val="nil"/>
              <w:tr2bl w:val="nil"/>
            </w:tcBorders>
            <w:shd w:val="clear" w:color="auto" w:fill="auto"/>
            <w:vAlign w:val="center"/>
          </w:tcPr>
          <w:p w14:paraId="1A1967E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当住宅排水立管在首层变横管时，接头处放大一号管径。排水横管采用75°以下角度弯头衔接。</w:t>
            </w:r>
          </w:p>
        </w:tc>
        <w:tc>
          <w:tcPr>
            <w:tcW w:w="1088" w:type="dxa"/>
            <w:tcBorders>
              <w:tl2br w:val="nil"/>
              <w:tr2bl w:val="nil"/>
            </w:tcBorders>
            <w:shd w:val="clear" w:color="auto" w:fill="auto"/>
            <w:noWrap/>
            <w:vAlign w:val="center"/>
          </w:tcPr>
          <w:p w14:paraId="3039863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172C09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007ED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985F0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1D6B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10324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92</w:t>
            </w:r>
          </w:p>
        </w:tc>
        <w:tc>
          <w:tcPr>
            <w:tcW w:w="590" w:type="dxa"/>
            <w:vMerge w:val="continue"/>
            <w:tcBorders>
              <w:tl2br w:val="nil"/>
              <w:tr2bl w:val="nil"/>
            </w:tcBorders>
            <w:shd w:val="clear" w:color="auto" w:fill="auto"/>
            <w:vAlign w:val="center"/>
          </w:tcPr>
          <w:p w14:paraId="7AD4026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B6FE7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FA4BA7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5.4.10</w:t>
            </w:r>
          </w:p>
        </w:tc>
        <w:tc>
          <w:tcPr>
            <w:tcW w:w="7712" w:type="dxa"/>
            <w:tcBorders>
              <w:tl2br w:val="nil"/>
              <w:tr2bl w:val="nil"/>
            </w:tcBorders>
            <w:shd w:val="clear" w:color="auto" w:fill="auto"/>
            <w:vAlign w:val="center"/>
          </w:tcPr>
          <w:p w14:paraId="0B4D1AB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小区的台阶、步级、坡道、道路、水景、给排水和消防的管道和检修井等构筑物设置防沉降措施。</w:t>
            </w:r>
          </w:p>
        </w:tc>
        <w:tc>
          <w:tcPr>
            <w:tcW w:w="1088" w:type="dxa"/>
            <w:tcBorders>
              <w:tl2br w:val="nil"/>
              <w:tr2bl w:val="nil"/>
            </w:tcBorders>
            <w:shd w:val="clear" w:color="auto" w:fill="auto"/>
            <w:noWrap/>
            <w:vAlign w:val="center"/>
          </w:tcPr>
          <w:p w14:paraId="38FB2E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BDA97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6905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609BD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D34C2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C77CF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93</w:t>
            </w:r>
          </w:p>
        </w:tc>
        <w:tc>
          <w:tcPr>
            <w:tcW w:w="590" w:type="dxa"/>
            <w:vMerge w:val="restart"/>
            <w:tcBorders>
              <w:tl2br w:val="nil"/>
              <w:tr2bl w:val="nil"/>
            </w:tcBorders>
            <w:shd w:val="clear" w:color="auto" w:fill="auto"/>
            <w:vAlign w:val="center"/>
          </w:tcPr>
          <w:p w14:paraId="5C5B66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 精工建造</w:t>
            </w:r>
          </w:p>
        </w:tc>
        <w:tc>
          <w:tcPr>
            <w:tcW w:w="465" w:type="dxa"/>
            <w:vMerge w:val="restart"/>
            <w:tcBorders>
              <w:tl2br w:val="nil"/>
              <w:tr2bl w:val="nil"/>
            </w:tcBorders>
            <w:shd w:val="clear" w:color="auto" w:fill="auto"/>
            <w:vAlign w:val="center"/>
          </w:tcPr>
          <w:p w14:paraId="0B9A8D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noWrap/>
            <w:vAlign w:val="center"/>
          </w:tcPr>
          <w:p w14:paraId="7A8BED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w:t>
            </w:r>
          </w:p>
        </w:tc>
        <w:tc>
          <w:tcPr>
            <w:tcW w:w="7712" w:type="dxa"/>
            <w:tcBorders>
              <w:tl2br w:val="nil"/>
              <w:tr2bl w:val="nil"/>
            </w:tcBorders>
            <w:shd w:val="clear" w:color="auto" w:fill="auto"/>
            <w:vAlign w:val="center"/>
          </w:tcPr>
          <w:p w14:paraId="3DABC7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项目开工前，组织编制住宅工程质量易发问题防控任务书。</w:t>
            </w:r>
          </w:p>
          <w:p w14:paraId="1920265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3A4A3C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7568CA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6F824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186B4B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终评价核查相关资料</w:t>
            </w:r>
          </w:p>
        </w:tc>
      </w:tr>
      <w:tr w14:paraId="33649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5EC060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94</w:t>
            </w:r>
          </w:p>
        </w:tc>
        <w:tc>
          <w:tcPr>
            <w:tcW w:w="590" w:type="dxa"/>
            <w:vMerge w:val="continue"/>
            <w:tcBorders>
              <w:tl2br w:val="nil"/>
              <w:tr2bl w:val="nil"/>
            </w:tcBorders>
            <w:shd w:val="clear" w:color="auto" w:fill="auto"/>
            <w:vAlign w:val="center"/>
          </w:tcPr>
          <w:p w14:paraId="189F893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2A656C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C75A2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5.5.2</w:t>
            </w:r>
          </w:p>
        </w:tc>
        <w:tc>
          <w:tcPr>
            <w:tcW w:w="7712" w:type="dxa"/>
            <w:tcBorders>
              <w:tl2br w:val="nil"/>
              <w:tr2bl w:val="nil"/>
            </w:tcBorders>
            <w:shd w:val="clear" w:color="auto" w:fill="auto"/>
            <w:vAlign w:val="center"/>
          </w:tcPr>
          <w:p w14:paraId="47E3BA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实施样板引路制度，对涉及质量易发问题主要防控措施的关键工序、关键部位等隐蔽工程实施举牌验收，留存影像资料及电子档案，实现全过程质量可追溯。</w:t>
            </w:r>
          </w:p>
          <w:p w14:paraId="0CDE5B1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E8D5F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DD6C4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09B0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1988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终评价核查相关视频（图片）及书面资料</w:t>
            </w:r>
          </w:p>
        </w:tc>
      </w:tr>
      <w:tr w14:paraId="799CF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50" w:hRule="atLeast"/>
        </w:trPr>
        <w:tc>
          <w:tcPr>
            <w:tcW w:w="609" w:type="dxa"/>
            <w:tcBorders>
              <w:tl2br w:val="nil"/>
              <w:tr2bl w:val="nil"/>
            </w:tcBorders>
            <w:shd w:val="clear" w:color="auto" w:fill="auto"/>
            <w:vAlign w:val="center"/>
          </w:tcPr>
          <w:p w14:paraId="65BE36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95</w:t>
            </w:r>
          </w:p>
        </w:tc>
        <w:tc>
          <w:tcPr>
            <w:tcW w:w="590" w:type="dxa"/>
            <w:vMerge w:val="continue"/>
            <w:tcBorders>
              <w:tl2br w:val="nil"/>
              <w:tr2bl w:val="nil"/>
            </w:tcBorders>
            <w:shd w:val="clear" w:color="auto" w:fill="auto"/>
            <w:vAlign w:val="center"/>
          </w:tcPr>
          <w:p w14:paraId="7C0261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DB25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43606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5.5.3</w:t>
            </w:r>
          </w:p>
        </w:tc>
        <w:tc>
          <w:tcPr>
            <w:tcW w:w="7712" w:type="dxa"/>
            <w:tcBorders>
              <w:tl2br w:val="nil"/>
              <w:tr2bl w:val="nil"/>
            </w:tcBorders>
            <w:shd w:val="clear" w:color="auto" w:fill="auto"/>
            <w:vAlign w:val="center"/>
          </w:tcPr>
          <w:p w14:paraId="4628A7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钢筋混凝土结构住宅的开裂、渗漏防控符合下列规定：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混凝土在原材料选用、配合比设计，施工和养护等环节采取减少开裂的技术措施，建筑工程裂缝控制符合现行国家标准《混凝土结构设计规范》GB 50010、《混凝土结构工程施工规范》GB 50666及《建筑工程裂缝防治技术规程》JGJ/T 317的有关规定；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现浇混凝土主体结构施工周期不少于5天/层；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厨房、卫生间、阳台、外墙、屋面、地下室等防水施工制定专门的施工方案，严格按设计图纸施工；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混凝土坎台、卫生间沉箱吊模制定合理的支模方式，支模保证浇筑施工成型质量；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管洞间空隙采用膨胀细石混凝土或聚合物水泥防水砂浆等材料分次封堵，塞填严密，通过闭水试验后方可进入下道工序施工；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钢筋混凝土外墙的穿墙洞、杆洞外低内高，坡度不小于5%且内外高差不小于10mm；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外墙防渗漏施工满足《中山市建筑工程渗漏防治手册》要求，在装饰装修分部工程验收前根据相关规定完成两阶段淋水试验；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外墙窗框与主体结构之间使用预拌防水砂浆塞缝处理。外窗框施工完成后使用专用喷淋装置，在水压不小于0.2MPa情况下进行压力淋水试验。</w:t>
            </w:r>
          </w:p>
          <w:p w14:paraId="159FC24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2FB25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321C9A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3CE46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38D3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终评价现场复核，核查施工组织报告、相关视频（图片）、试验报告及其它书面资料。</w:t>
            </w:r>
          </w:p>
        </w:tc>
      </w:tr>
      <w:tr w14:paraId="04C41E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2F0C89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96</w:t>
            </w:r>
          </w:p>
        </w:tc>
        <w:tc>
          <w:tcPr>
            <w:tcW w:w="590" w:type="dxa"/>
            <w:vMerge w:val="continue"/>
            <w:tcBorders>
              <w:tl2br w:val="nil"/>
              <w:tr2bl w:val="nil"/>
            </w:tcBorders>
            <w:shd w:val="clear" w:color="auto" w:fill="auto"/>
            <w:vAlign w:val="center"/>
          </w:tcPr>
          <w:p w14:paraId="695A1A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7A7D01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6203A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5.5.4</w:t>
            </w:r>
          </w:p>
        </w:tc>
        <w:tc>
          <w:tcPr>
            <w:tcW w:w="7712" w:type="dxa"/>
            <w:tcBorders>
              <w:tl2br w:val="nil"/>
              <w:tr2bl w:val="nil"/>
            </w:tcBorders>
            <w:shd w:val="clear" w:color="auto" w:fill="auto"/>
            <w:vAlign w:val="center"/>
          </w:tcPr>
          <w:p w14:paraId="14CB8FB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墙体抹灰层空鼓防控符合下列规定：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抹灰前浇水湿润基层，对混凝土基层拉毛或凿毛处理；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不同材质交接处、管线开槽处抹灰前增设热镀锌钢丝网或面密度160g/m²以上的耐碱纤维布。</w:t>
            </w:r>
          </w:p>
          <w:p w14:paraId="342099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65284D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99710A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EBE2A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BFCBCF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终评价核查施工组织报告、相关视频（图片）、试验报告及其它书面资料。</w:t>
            </w:r>
          </w:p>
        </w:tc>
      </w:tr>
      <w:tr w14:paraId="503BA6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81747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97</w:t>
            </w:r>
          </w:p>
        </w:tc>
        <w:tc>
          <w:tcPr>
            <w:tcW w:w="590" w:type="dxa"/>
            <w:vMerge w:val="continue"/>
            <w:tcBorders>
              <w:tl2br w:val="nil"/>
              <w:tr2bl w:val="nil"/>
            </w:tcBorders>
            <w:shd w:val="clear" w:color="auto" w:fill="auto"/>
            <w:vAlign w:val="center"/>
          </w:tcPr>
          <w:p w14:paraId="3768F6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0D5D93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1B205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5.5.5</w:t>
            </w:r>
          </w:p>
        </w:tc>
        <w:tc>
          <w:tcPr>
            <w:tcW w:w="7712" w:type="dxa"/>
            <w:tcBorders>
              <w:tl2br w:val="nil"/>
              <w:tr2bl w:val="nil"/>
            </w:tcBorders>
            <w:shd w:val="clear" w:color="auto" w:fill="auto"/>
            <w:vAlign w:val="center"/>
          </w:tcPr>
          <w:p w14:paraId="6372AE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隔声施工除满足设计要求外，尚符合下列规定：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对墙体接缝、门框缝隙塞缝后使用弹性密封胶进行密封处理，确保隔声材料连续铺设；</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当弹性隔声材料采用密缝拼接时，拼接缝宽度不大于1mm。</w:t>
            </w:r>
          </w:p>
          <w:p w14:paraId="58F160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829A4D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4B160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D6646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1856D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终评价现场复核，核查施工组织报告、相关视频（图片）及其它书面资料。</w:t>
            </w:r>
          </w:p>
        </w:tc>
      </w:tr>
      <w:tr w14:paraId="4336C2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4606D4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98</w:t>
            </w:r>
          </w:p>
        </w:tc>
        <w:tc>
          <w:tcPr>
            <w:tcW w:w="590" w:type="dxa"/>
            <w:vMerge w:val="continue"/>
            <w:tcBorders>
              <w:tl2br w:val="nil"/>
              <w:tr2bl w:val="nil"/>
            </w:tcBorders>
            <w:shd w:val="clear" w:color="auto" w:fill="auto"/>
            <w:vAlign w:val="center"/>
          </w:tcPr>
          <w:p w14:paraId="581B334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83A90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23A87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5.5.6</w:t>
            </w:r>
          </w:p>
        </w:tc>
        <w:tc>
          <w:tcPr>
            <w:tcW w:w="7712" w:type="dxa"/>
            <w:tcBorders>
              <w:tl2br w:val="nil"/>
              <w:tr2bl w:val="nil"/>
            </w:tcBorders>
            <w:shd w:val="clear" w:color="auto" w:fill="auto"/>
            <w:vAlign w:val="center"/>
          </w:tcPr>
          <w:p w14:paraId="14421A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主体结构、砌筑、抹灰工程实测实量中的平整度、垂直度、阴阳角方正度等指标除符合《建筑装饰装修工程质量验收标准》GB 50210要求外，还采取下列措施：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施工完成后，将实测数据标注在墙面，实现可视化管控；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施工单位对构件的平整度、垂直度、阴阳角方正度进行100%实测，监督单位抽检比例不少于30%，合格率达到90%后方才进入装饰装修阶段施工。</w:t>
            </w:r>
          </w:p>
          <w:p w14:paraId="1F5AA0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373D43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283CDE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57B58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B9D8F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终评价现场复核，核查施工组织报告、相关视频（图片）及其它书面资料。</w:t>
            </w:r>
          </w:p>
        </w:tc>
      </w:tr>
      <w:tr w14:paraId="036A07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677F5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99</w:t>
            </w:r>
          </w:p>
        </w:tc>
        <w:tc>
          <w:tcPr>
            <w:tcW w:w="590" w:type="dxa"/>
            <w:vMerge w:val="continue"/>
            <w:tcBorders>
              <w:tl2br w:val="nil"/>
              <w:tr2bl w:val="nil"/>
            </w:tcBorders>
            <w:shd w:val="clear" w:color="auto" w:fill="auto"/>
            <w:vAlign w:val="center"/>
          </w:tcPr>
          <w:p w14:paraId="09AD5A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C9323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7B195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5.5.7</w:t>
            </w:r>
          </w:p>
        </w:tc>
        <w:tc>
          <w:tcPr>
            <w:tcW w:w="7712" w:type="dxa"/>
            <w:tcBorders>
              <w:tl2br w:val="nil"/>
              <w:tr2bl w:val="nil"/>
            </w:tcBorders>
            <w:shd w:val="clear" w:color="auto" w:fill="auto"/>
            <w:vAlign w:val="center"/>
          </w:tcPr>
          <w:p w14:paraId="27685D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交付装修单位施工前，卫生间完成结构闭水及防水层蓄水试验（蓄水深度≥0.2m，时间≥24小时），排水主立管及水平干管通过通球试验（球径≥管径2/3），并留存影像资料。</w:t>
            </w:r>
          </w:p>
          <w:p w14:paraId="7FFA2A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EA39B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83FCE9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42B1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26DC2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3A646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240967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100</w:t>
            </w:r>
          </w:p>
        </w:tc>
        <w:tc>
          <w:tcPr>
            <w:tcW w:w="590" w:type="dxa"/>
            <w:vMerge w:val="continue"/>
            <w:tcBorders>
              <w:tl2br w:val="nil"/>
              <w:tr2bl w:val="nil"/>
            </w:tcBorders>
            <w:shd w:val="clear" w:color="auto" w:fill="auto"/>
            <w:vAlign w:val="center"/>
          </w:tcPr>
          <w:p w14:paraId="6DFC62C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AF4846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413B90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5.5.8</w:t>
            </w:r>
          </w:p>
        </w:tc>
        <w:tc>
          <w:tcPr>
            <w:tcW w:w="7712" w:type="dxa"/>
            <w:tcBorders>
              <w:tl2br w:val="nil"/>
              <w:tr2bl w:val="nil"/>
            </w:tcBorders>
            <w:shd w:val="clear" w:color="auto" w:fill="auto"/>
            <w:vAlign w:val="center"/>
          </w:tcPr>
          <w:p w14:paraId="1D7D38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地漏安装符合下列规定：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当地漏安装高度与装饰面层完成面存在标高差异时，地漏通过承插式接口直接与排水管道连接，并采用防水密封材料进行封闭处理；不采用以砂浆层作为过渡介质进行间接连接或标高调整；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设有地漏的地面砖铺贴完成后进行泼水试验及坡度尺检查，并留存影像资料。</w:t>
            </w:r>
          </w:p>
          <w:p w14:paraId="0B6DB50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55BB23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166F34C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0D9389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67CDC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4CC9CC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60" w:hRule="atLeast"/>
        </w:trPr>
        <w:tc>
          <w:tcPr>
            <w:tcW w:w="609" w:type="dxa"/>
            <w:tcBorders>
              <w:tl2br w:val="nil"/>
              <w:tr2bl w:val="nil"/>
            </w:tcBorders>
            <w:shd w:val="clear" w:color="auto" w:fill="auto"/>
            <w:vAlign w:val="center"/>
          </w:tcPr>
          <w:p w14:paraId="721581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101</w:t>
            </w:r>
          </w:p>
        </w:tc>
        <w:tc>
          <w:tcPr>
            <w:tcW w:w="590" w:type="dxa"/>
            <w:vMerge w:val="continue"/>
            <w:tcBorders>
              <w:tl2br w:val="nil"/>
              <w:tr2bl w:val="nil"/>
            </w:tcBorders>
            <w:shd w:val="clear" w:color="auto" w:fill="auto"/>
            <w:vAlign w:val="center"/>
          </w:tcPr>
          <w:p w14:paraId="0E035E6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2E1ED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FC54C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5.5.9</w:t>
            </w:r>
          </w:p>
        </w:tc>
        <w:tc>
          <w:tcPr>
            <w:tcW w:w="7712" w:type="dxa"/>
            <w:tcBorders>
              <w:tl2br w:val="nil"/>
              <w:tr2bl w:val="nil"/>
            </w:tcBorders>
            <w:shd w:val="clear" w:color="auto" w:fill="auto"/>
            <w:vAlign w:val="center"/>
          </w:tcPr>
          <w:p w14:paraId="05B505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厨房串味防控符合下列规定：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排油烟管道采用预制成品烟道，层间采用刚性承托支撑，与楼板预留孔洞之间的缝隙填塞密实。在抹灰作业前，排油烟管道外侧满挂热镀锌钢丝网，每边向相邻墙面延伸200mm；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防火止回阀安装前对止回阀的启闭灵敏性及阀片变形情况进行检查，满足要求后方可安装。止回阀安装在管道外壁进气口处，与排油烟管道接触部位填塞密实。</w:t>
            </w:r>
          </w:p>
          <w:p w14:paraId="208C1E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422CC6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B206A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2A6F12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F888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1A518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40" w:hRule="atLeast"/>
        </w:trPr>
        <w:tc>
          <w:tcPr>
            <w:tcW w:w="609" w:type="dxa"/>
            <w:tcBorders>
              <w:tl2br w:val="nil"/>
              <w:tr2bl w:val="nil"/>
            </w:tcBorders>
            <w:shd w:val="clear" w:color="auto" w:fill="auto"/>
            <w:vAlign w:val="center"/>
          </w:tcPr>
          <w:p w14:paraId="6D4CB8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102</w:t>
            </w:r>
          </w:p>
        </w:tc>
        <w:tc>
          <w:tcPr>
            <w:tcW w:w="590" w:type="dxa"/>
            <w:vMerge w:val="continue"/>
            <w:tcBorders>
              <w:tl2br w:val="nil"/>
              <w:tr2bl w:val="nil"/>
            </w:tcBorders>
            <w:shd w:val="clear" w:color="auto" w:fill="auto"/>
            <w:vAlign w:val="center"/>
          </w:tcPr>
          <w:p w14:paraId="228A3D1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B827E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D4566D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5.5.10</w:t>
            </w:r>
          </w:p>
        </w:tc>
        <w:tc>
          <w:tcPr>
            <w:tcW w:w="7712" w:type="dxa"/>
            <w:tcBorders>
              <w:tl2br w:val="nil"/>
              <w:tr2bl w:val="nil"/>
            </w:tcBorders>
            <w:shd w:val="clear" w:color="auto" w:fill="auto"/>
            <w:vAlign w:val="center"/>
          </w:tcPr>
          <w:p w14:paraId="5EBBAB3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装饰装修工程进行施工时除满足现行国家标准《建筑装饰装修工程质量验收标准》GB 50210要求外，尚符合下列规定：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墙面腻子施工使用阳角条；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木地板施工前地面平整度达到铺贴标准，不出现起拱、松动、异响，踢脚线与墙面缝隙不大于1mm，否则采用勾缝处理；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防水墙面饰面砖铺贴采用与防水材料相容的粘贴材料进行铺贴；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装修施工进场前对室内给水管进行管道系统压力试验并施工全过程保压，设专人对压力进行记录，施工过程中发现压降及时对管道进行处理。</w:t>
            </w:r>
          </w:p>
          <w:p w14:paraId="393C8A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22724A5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297A421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4A0D05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8852B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7E0D1B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2C6325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103</w:t>
            </w:r>
          </w:p>
        </w:tc>
        <w:tc>
          <w:tcPr>
            <w:tcW w:w="590" w:type="dxa"/>
            <w:vMerge w:val="continue"/>
            <w:tcBorders>
              <w:tl2br w:val="nil"/>
              <w:tr2bl w:val="nil"/>
            </w:tcBorders>
            <w:shd w:val="clear" w:color="auto" w:fill="auto"/>
            <w:vAlign w:val="center"/>
          </w:tcPr>
          <w:p w14:paraId="00EF92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E49327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AE389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5.5.11</w:t>
            </w:r>
          </w:p>
        </w:tc>
        <w:tc>
          <w:tcPr>
            <w:tcW w:w="7712" w:type="dxa"/>
            <w:tcBorders>
              <w:tl2br w:val="nil"/>
              <w:tr2bl w:val="nil"/>
            </w:tcBorders>
            <w:shd w:val="clear" w:color="auto" w:fill="auto"/>
            <w:vAlign w:val="center"/>
          </w:tcPr>
          <w:p w14:paraId="6FDC022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小区雨污水管施工质量管控符合下列规定：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排水管不出现倒坡；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排水管穿墙时预埋柔性防水套管，并设置沉降补偿装置。</w:t>
            </w:r>
          </w:p>
          <w:p w14:paraId="5154FA8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048A26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398EB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FF4ED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8E344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终评价现场核查，核查相关视频（图片）及其它书面资料。</w:t>
            </w:r>
          </w:p>
        </w:tc>
      </w:tr>
      <w:tr w14:paraId="648354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C3D1E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104</w:t>
            </w:r>
          </w:p>
        </w:tc>
        <w:tc>
          <w:tcPr>
            <w:tcW w:w="590" w:type="dxa"/>
            <w:vMerge w:val="continue"/>
            <w:tcBorders>
              <w:tl2br w:val="nil"/>
              <w:tr2bl w:val="nil"/>
            </w:tcBorders>
            <w:shd w:val="clear" w:color="auto" w:fill="auto"/>
            <w:vAlign w:val="center"/>
          </w:tcPr>
          <w:p w14:paraId="178AA0B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85516D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5FF8E5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5.5.12</w:t>
            </w:r>
          </w:p>
        </w:tc>
        <w:tc>
          <w:tcPr>
            <w:tcW w:w="7712" w:type="dxa"/>
            <w:tcBorders>
              <w:tl2br w:val="nil"/>
              <w:tr2bl w:val="nil"/>
            </w:tcBorders>
            <w:shd w:val="clear" w:color="auto" w:fill="auto"/>
            <w:vAlign w:val="center"/>
          </w:tcPr>
          <w:p w14:paraId="754B5AF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重点施工部位设置现场视频监控，监控视频按结构部位存档并可由参建单位随时调取，竣备后移交建设单位归档保存。</w:t>
            </w:r>
          </w:p>
          <w:p w14:paraId="5E20A8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EA9E7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6A3EC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F5210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FA2D76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62D37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1BA3CD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105</w:t>
            </w:r>
          </w:p>
        </w:tc>
        <w:tc>
          <w:tcPr>
            <w:tcW w:w="590" w:type="dxa"/>
            <w:vMerge w:val="continue"/>
            <w:tcBorders>
              <w:tl2br w:val="nil"/>
              <w:tr2bl w:val="nil"/>
            </w:tcBorders>
            <w:shd w:val="clear" w:color="auto" w:fill="auto"/>
            <w:vAlign w:val="center"/>
          </w:tcPr>
          <w:p w14:paraId="5502248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73DA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8936C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5.5.13</w:t>
            </w:r>
          </w:p>
        </w:tc>
        <w:tc>
          <w:tcPr>
            <w:tcW w:w="7712" w:type="dxa"/>
            <w:tcBorders>
              <w:tl2br w:val="nil"/>
              <w:tr2bl w:val="nil"/>
            </w:tcBorders>
            <w:shd w:val="clear" w:color="auto" w:fill="auto"/>
            <w:vAlign w:val="center"/>
          </w:tcPr>
          <w:p w14:paraId="21065F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工程资料随工程进度实时修编，在竣工后将真实可靠的水电预埋管线图及现场隐蔽照片一并移交建设单位归档保存。</w:t>
            </w:r>
          </w:p>
          <w:p w14:paraId="6454839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EA2EE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7DB60C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8E5987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2424A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758F0A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15949" w:type="dxa"/>
            <w:gridSpan w:val="8"/>
            <w:tcBorders>
              <w:tl2br w:val="nil"/>
              <w:tr2bl w:val="nil"/>
            </w:tcBorders>
            <w:shd w:val="clear" w:color="auto" w:fill="auto"/>
            <w:vAlign w:val="center"/>
          </w:tcPr>
          <w:p w14:paraId="7D1C9326">
            <w:pPr>
              <w:keepNext w:val="0"/>
              <w:keepLines w:val="0"/>
              <w:pageBreakBefore w:val="0"/>
              <w:widowControl w:val="0"/>
              <w:numPr>
                <w:ilvl w:val="0"/>
                <w:numId w:val="2"/>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绿色低碳</w:t>
            </w:r>
          </w:p>
          <w:p w14:paraId="2A5101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（基本类28条，预评价9条不参评。）</w:t>
            </w:r>
          </w:p>
        </w:tc>
      </w:tr>
      <w:tr w14:paraId="0D4EA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1" w:hRule="atLeast"/>
        </w:trPr>
        <w:tc>
          <w:tcPr>
            <w:tcW w:w="609" w:type="dxa"/>
            <w:tcBorders>
              <w:tl2br w:val="nil"/>
              <w:tr2bl w:val="nil"/>
            </w:tcBorders>
            <w:shd w:val="clear" w:color="auto" w:fill="auto"/>
            <w:vAlign w:val="center"/>
          </w:tcPr>
          <w:p w14:paraId="372F49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106</w:t>
            </w:r>
          </w:p>
        </w:tc>
        <w:tc>
          <w:tcPr>
            <w:tcW w:w="590" w:type="dxa"/>
            <w:vMerge w:val="restart"/>
            <w:tcBorders>
              <w:tl2br w:val="nil"/>
              <w:tr2bl w:val="nil"/>
            </w:tcBorders>
            <w:shd w:val="clear" w:color="auto" w:fill="auto"/>
            <w:vAlign w:val="center"/>
          </w:tcPr>
          <w:p w14:paraId="676C0D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 绿色设计</w:t>
            </w:r>
          </w:p>
        </w:tc>
        <w:tc>
          <w:tcPr>
            <w:tcW w:w="465" w:type="dxa"/>
            <w:vMerge w:val="restart"/>
            <w:tcBorders>
              <w:tl2br w:val="nil"/>
              <w:tr2bl w:val="nil"/>
            </w:tcBorders>
            <w:shd w:val="clear" w:color="auto" w:fill="auto"/>
            <w:vAlign w:val="center"/>
          </w:tcPr>
          <w:p w14:paraId="5F4DC2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0E2C2D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595BF6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0EC85B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7BA95B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C37AD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E32C2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w:t>
            </w:r>
          </w:p>
        </w:tc>
        <w:tc>
          <w:tcPr>
            <w:tcW w:w="7712" w:type="dxa"/>
            <w:tcBorders>
              <w:tl2br w:val="nil"/>
              <w:tr2bl w:val="nil"/>
            </w:tcBorders>
            <w:shd w:val="clear" w:color="auto" w:fill="auto"/>
            <w:vAlign w:val="center"/>
          </w:tcPr>
          <w:p w14:paraId="47AAFA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规划设计阶段，基于对全生命周期碳排放进行计算分析，明确全寿命期建筑碳排放强度，并明确降低碳排放强度的技术措施，降低单位建筑面积碳排放强度。</w:t>
            </w:r>
          </w:p>
        </w:tc>
        <w:tc>
          <w:tcPr>
            <w:tcW w:w="1088" w:type="dxa"/>
            <w:tcBorders>
              <w:tl2br w:val="nil"/>
              <w:tr2bl w:val="nil"/>
            </w:tcBorders>
            <w:shd w:val="clear" w:color="auto" w:fill="auto"/>
            <w:noWrap/>
            <w:vAlign w:val="center"/>
          </w:tcPr>
          <w:p w14:paraId="6AFA13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C18451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6B3B8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226E4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相关计算书及分析报告</w:t>
            </w:r>
          </w:p>
        </w:tc>
      </w:tr>
      <w:tr w14:paraId="44F9B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55CD3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107</w:t>
            </w:r>
          </w:p>
        </w:tc>
        <w:tc>
          <w:tcPr>
            <w:tcW w:w="590" w:type="dxa"/>
            <w:vMerge w:val="continue"/>
            <w:tcBorders>
              <w:tl2br w:val="nil"/>
              <w:tr2bl w:val="nil"/>
            </w:tcBorders>
            <w:shd w:val="clear" w:color="auto" w:fill="auto"/>
            <w:vAlign w:val="center"/>
          </w:tcPr>
          <w:p w14:paraId="5783E71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7A4B10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34095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6.1.2</w:t>
            </w:r>
          </w:p>
        </w:tc>
        <w:tc>
          <w:tcPr>
            <w:tcW w:w="7712" w:type="dxa"/>
            <w:tcBorders>
              <w:tl2br w:val="nil"/>
              <w:tr2bl w:val="nil"/>
            </w:tcBorders>
            <w:shd w:val="clear" w:color="auto" w:fill="auto"/>
            <w:vAlign w:val="center"/>
          </w:tcPr>
          <w:p w14:paraId="15F5CA4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通过围护结构的构造设计，提高防潮、防水、隔热等性能。</w:t>
            </w:r>
          </w:p>
        </w:tc>
        <w:tc>
          <w:tcPr>
            <w:tcW w:w="1088" w:type="dxa"/>
            <w:tcBorders>
              <w:tl2br w:val="nil"/>
              <w:tr2bl w:val="nil"/>
            </w:tcBorders>
            <w:shd w:val="clear" w:color="auto" w:fill="auto"/>
            <w:noWrap/>
            <w:vAlign w:val="center"/>
          </w:tcPr>
          <w:p w14:paraId="4A720A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D9A1C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CA899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D06DA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E847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2A197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108</w:t>
            </w:r>
          </w:p>
        </w:tc>
        <w:tc>
          <w:tcPr>
            <w:tcW w:w="590" w:type="dxa"/>
            <w:vMerge w:val="continue"/>
            <w:tcBorders>
              <w:tl2br w:val="nil"/>
              <w:tr2bl w:val="nil"/>
            </w:tcBorders>
            <w:shd w:val="clear" w:color="auto" w:fill="auto"/>
            <w:vAlign w:val="center"/>
          </w:tcPr>
          <w:p w14:paraId="289C28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852595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EF43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6.1.3</w:t>
            </w:r>
          </w:p>
        </w:tc>
        <w:tc>
          <w:tcPr>
            <w:tcW w:w="7712" w:type="dxa"/>
            <w:tcBorders>
              <w:tl2br w:val="nil"/>
              <w:tr2bl w:val="nil"/>
            </w:tcBorders>
            <w:shd w:val="clear" w:color="auto" w:fill="auto"/>
            <w:vAlign w:val="center"/>
          </w:tcPr>
          <w:p w14:paraId="48CA9ED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暖通空调冷热源设备能效等级不低于国家现行有关标准的能效等级2级。</w:t>
            </w:r>
          </w:p>
        </w:tc>
        <w:tc>
          <w:tcPr>
            <w:tcW w:w="1088" w:type="dxa"/>
            <w:tcBorders>
              <w:tl2br w:val="nil"/>
              <w:tr2bl w:val="nil"/>
            </w:tcBorders>
            <w:shd w:val="clear" w:color="auto" w:fill="auto"/>
            <w:noWrap/>
            <w:vAlign w:val="center"/>
          </w:tcPr>
          <w:p w14:paraId="26175DD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1262E1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EA189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F02C9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14C9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AA159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109</w:t>
            </w:r>
          </w:p>
        </w:tc>
        <w:tc>
          <w:tcPr>
            <w:tcW w:w="590" w:type="dxa"/>
            <w:vMerge w:val="continue"/>
            <w:tcBorders>
              <w:tl2br w:val="nil"/>
              <w:tr2bl w:val="nil"/>
            </w:tcBorders>
            <w:shd w:val="clear" w:color="auto" w:fill="auto"/>
            <w:vAlign w:val="center"/>
          </w:tcPr>
          <w:p w14:paraId="1A0D415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9D47F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AE0D2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6.1.4</w:t>
            </w:r>
          </w:p>
        </w:tc>
        <w:tc>
          <w:tcPr>
            <w:tcW w:w="7712" w:type="dxa"/>
            <w:tcBorders>
              <w:tl2br w:val="nil"/>
              <w:tr2bl w:val="nil"/>
            </w:tcBorders>
            <w:shd w:val="clear" w:color="auto" w:fill="auto"/>
            <w:vAlign w:val="center"/>
          </w:tcPr>
          <w:p w14:paraId="4548304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公共区域的照明系统采用分区、定时、感应等节能控制。采光区域的照明控制独立于其他区域的照明控制。</w:t>
            </w:r>
          </w:p>
        </w:tc>
        <w:tc>
          <w:tcPr>
            <w:tcW w:w="1088" w:type="dxa"/>
            <w:tcBorders>
              <w:tl2br w:val="nil"/>
              <w:tr2bl w:val="nil"/>
            </w:tcBorders>
            <w:shd w:val="clear" w:color="auto" w:fill="auto"/>
            <w:noWrap/>
            <w:vAlign w:val="center"/>
          </w:tcPr>
          <w:p w14:paraId="57B30A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7996900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C0B8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7672E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791A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5ACAB3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110</w:t>
            </w:r>
          </w:p>
        </w:tc>
        <w:tc>
          <w:tcPr>
            <w:tcW w:w="590" w:type="dxa"/>
            <w:vMerge w:val="continue"/>
            <w:tcBorders>
              <w:tl2br w:val="nil"/>
              <w:tr2bl w:val="nil"/>
            </w:tcBorders>
            <w:shd w:val="clear" w:color="auto" w:fill="auto"/>
            <w:vAlign w:val="center"/>
          </w:tcPr>
          <w:p w14:paraId="6496900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58649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73B98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6.1.5</w:t>
            </w:r>
          </w:p>
        </w:tc>
        <w:tc>
          <w:tcPr>
            <w:tcW w:w="7712" w:type="dxa"/>
            <w:tcBorders>
              <w:tl2br w:val="nil"/>
              <w:tr2bl w:val="nil"/>
            </w:tcBorders>
            <w:shd w:val="clear" w:color="auto" w:fill="auto"/>
            <w:vAlign w:val="center"/>
          </w:tcPr>
          <w:p w14:paraId="0E367D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照明产品，水泵、风机、电动机等主要设备的能效达到国家现行有关能效标准规定的2级或节能评价值。</w:t>
            </w:r>
          </w:p>
        </w:tc>
        <w:tc>
          <w:tcPr>
            <w:tcW w:w="1088" w:type="dxa"/>
            <w:tcBorders>
              <w:tl2br w:val="nil"/>
              <w:tr2bl w:val="nil"/>
            </w:tcBorders>
            <w:shd w:val="clear" w:color="auto" w:fill="auto"/>
            <w:noWrap/>
            <w:vAlign w:val="center"/>
          </w:tcPr>
          <w:p w14:paraId="7E9BA16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机电专业</w:t>
            </w:r>
          </w:p>
        </w:tc>
        <w:tc>
          <w:tcPr>
            <w:tcW w:w="1722" w:type="dxa"/>
            <w:tcBorders>
              <w:tl2br w:val="nil"/>
              <w:tr2bl w:val="nil"/>
            </w:tcBorders>
            <w:shd w:val="clear" w:color="auto" w:fill="auto"/>
            <w:noWrap/>
            <w:vAlign w:val="center"/>
          </w:tcPr>
          <w:p w14:paraId="395B76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98C41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BC9997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相关设计图纸及设计说明。终评应提交能效检测报告。</w:t>
            </w:r>
          </w:p>
        </w:tc>
      </w:tr>
      <w:tr w14:paraId="2D07C4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31E6BF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111</w:t>
            </w:r>
          </w:p>
        </w:tc>
        <w:tc>
          <w:tcPr>
            <w:tcW w:w="590" w:type="dxa"/>
            <w:vMerge w:val="continue"/>
            <w:tcBorders>
              <w:tl2br w:val="nil"/>
              <w:tr2bl w:val="nil"/>
            </w:tcBorders>
            <w:shd w:val="clear" w:color="auto" w:fill="auto"/>
            <w:vAlign w:val="center"/>
          </w:tcPr>
          <w:p w14:paraId="43E376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0612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65CD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6.1.6</w:t>
            </w:r>
          </w:p>
        </w:tc>
        <w:tc>
          <w:tcPr>
            <w:tcW w:w="7712" w:type="dxa"/>
            <w:tcBorders>
              <w:tl2br w:val="nil"/>
              <w:tr2bl w:val="nil"/>
            </w:tcBorders>
            <w:shd w:val="clear" w:color="auto" w:fill="auto"/>
            <w:vAlign w:val="center"/>
          </w:tcPr>
          <w:p w14:paraId="1D23BCB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配电变压器选择低损耗、低噪声的产品，能效等级不低于现行国家标准《电力变压器能效限定值及能效等级》GB 20052规定的2级。</w:t>
            </w:r>
          </w:p>
        </w:tc>
        <w:tc>
          <w:tcPr>
            <w:tcW w:w="1088" w:type="dxa"/>
            <w:tcBorders>
              <w:tl2br w:val="nil"/>
              <w:tr2bl w:val="nil"/>
            </w:tcBorders>
            <w:shd w:val="clear" w:color="auto" w:fill="auto"/>
            <w:noWrap/>
            <w:vAlign w:val="center"/>
          </w:tcPr>
          <w:p w14:paraId="4C75B6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0885B74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FCD4A1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30D89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相关设计图纸及设计说明。终评应提交能效检测报告。</w:t>
            </w:r>
          </w:p>
        </w:tc>
      </w:tr>
      <w:tr w14:paraId="1B7D4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B591B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112</w:t>
            </w:r>
          </w:p>
        </w:tc>
        <w:tc>
          <w:tcPr>
            <w:tcW w:w="590" w:type="dxa"/>
            <w:vMerge w:val="continue"/>
            <w:tcBorders>
              <w:tl2br w:val="nil"/>
              <w:tr2bl w:val="nil"/>
            </w:tcBorders>
            <w:shd w:val="clear" w:color="auto" w:fill="auto"/>
            <w:vAlign w:val="center"/>
          </w:tcPr>
          <w:p w14:paraId="0B5385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BEED42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DF577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6.1.7</w:t>
            </w:r>
          </w:p>
        </w:tc>
        <w:tc>
          <w:tcPr>
            <w:tcW w:w="7712" w:type="dxa"/>
            <w:tcBorders>
              <w:tl2br w:val="nil"/>
              <w:tr2bl w:val="nil"/>
            </w:tcBorders>
            <w:shd w:val="clear" w:color="auto" w:fill="auto"/>
            <w:vAlign w:val="center"/>
          </w:tcPr>
          <w:p w14:paraId="4E2CF4E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新建采用太阳能热水系统或太阳能光伏发电系统时，与建筑同步设计。</w:t>
            </w:r>
          </w:p>
        </w:tc>
        <w:tc>
          <w:tcPr>
            <w:tcW w:w="1088" w:type="dxa"/>
            <w:tcBorders>
              <w:tl2br w:val="nil"/>
              <w:tr2bl w:val="nil"/>
            </w:tcBorders>
            <w:shd w:val="clear" w:color="auto" w:fill="auto"/>
            <w:noWrap/>
            <w:vAlign w:val="center"/>
          </w:tcPr>
          <w:p w14:paraId="010D0E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0BD5369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04D0A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67BA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A5233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09" w:type="dxa"/>
            <w:tcBorders>
              <w:tl2br w:val="nil"/>
              <w:tr2bl w:val="nil"/>
            </w:tcBorders>
            <w:shd w:val="clear" w:color="auto" w:fill="auto"/>
            <w:vAlign w:val="center"/>
          </w:tcPr>
          <w:p w14:paraId="2504C7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113</w:t>
            </w:r>
          </w:p>
        </w:tc>
        <w:tc>
          <w:tcPr>
            <w:tcW w:w="590" w:type="dxa"/>
            <w:vMerge w:val="continue"/>
            <w:tcBorders>
              <w:tl2br w:val="nil"/>
              <w:tr2bl w:val="nil"/>
            </w:tcBorders>
            <w:shd w:val="clear" w:color="auto" w:fill="auto"/>
            <w:vAlign w:val="center"/>
          </w:tcPr>
          <w:p w14:paraId="2F48F26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9EB188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F6808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6.1.8</w:t>
            </w:r>
          </w:p>
        </w:tc>
        <w:tc>
          <w:tcPr>
            <w:tcW w:w="7712" w:type="dxa"/>
            <w:tcBorders>
              <w:tl2br w:val="nil"/>
              <w:tr2bl w:val="nil"/>
            </w:tcBorders>
            <w:shd w:val="clear" w:color="auto" w:fill="auto"/>
            <w:vAlign w:val="center"/>
          </w:tcPr>
          <w:p w14:paraId="227673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用水器具和设备符合《节水型产品通用技术条件》GB/T 18870国家规定；卫生器具的用水效率等级达到2级。</w:t>
            </w:r>
          </w:p>
        </w:tc>
        <w:tc>
          <w:tcPr>
            <w:tcW w:w="1088" w:type="dxa"/>
            <w:tcBorders>
              <w:tl2br w:val="nil"/>
              <w:tr2bl w:val="nil"/>
            </w:tcBorders>
            <w:shd w:val="clear" w:color="auto" w:fill="auto"/>
            <w:noWrap/>
            <w:vAlign w:val="center"/>
          </w:tcPr>
          <w:p w14:paraId="451C5D3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47F9F6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B21A57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88B61F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相关设计图纸及设计说明。终评应提交卫生器具能效检测报告。</w:t>
            </w:r>
          </w:p>
        </w:tc>
      </w:tr>
      <w:tr w14:paraId="7934AE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9" w:type="dxa"/>
            <w:tcBorders>
              <w:tl2br w:val="nil"/>
              <w:tr2bl w:val="nil"/>
            </w:tcBorders>
            <w:shd w:val="clear" w:color="auto" w:fill="auto"/>
            <w:vAlign w:val="center"/>
          </w:tcPr>
          <w:p w14:paraId="3130DE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114</w:t>
            </w:r>
          </w:p>
        </w:tc>
        <w:tc>
          <w:tcPr>
            <w:tcW w:w="590" w:type="dxa"/>
            <w:vMerge w:val="continue"/>
            <w:tcBorders>
              <w:tl2br w:val="nil"/>
              <w:tr2bl w:val="nil"/>
            </w:tcBorders>
            <w:shd w:val="clear" w:color="auto" w:fill="auto"/>
            <w:vAlign w:val="center"/>
          </w:tcPr>
          <w:p w14:paraId="47E0FC4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02695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6B976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6.1.9</w:t>
            </w:r>
          </w:p>
        </w:tc>
        <w:tc>
          <w:tcPr>
            <w:tcW w:w="7712" w:type="dxa"/>
            <w:tcBorders>
              <w:tl2br w:val="nil"/>
              <w:tr2bl w:val="nil"/>
            </w:tcBorders>
            <w:shd w:val="clear" w:color="auto" w:fill="auto"/>
            <w:vAlign w:val="center"/>
          </w:tcPr>
          <w:p w14:paraId="3B5FAD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住宅公共区域设置分类、分级用能自动远传计量系统。</w:t>
            </w:r>
          </w:p>
        </w:tc>
        <w:tc>
          <w:tcPr>
            <w:tcW w:w="1088" w:type="dxa"/>
            <w:tcBorders>
              <w:tl2br w:val="nil"/>
              <w:tr2bl w:val="nil"/>
            </w:tcBorders>
            <w:shd w:val="clear" w:color="auto" w:fill="auto"/>
            <w:noWrap/>
            <w:vAlign w:val="center"/>
          </w:tcPr>
          <w:p w14:paraId="302BD91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670DF1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BDA5E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36339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C924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4BEC5C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115</w:t>
            </w:r>
          </w:p>
        </w:tc>
        <w:tc>
          <w:tcPr>
            <w:tcW w:w="590" w:type="dxa"/>
            <w:vMerge w:val="restart"/>
            <w:tcBorders>
              <w:tl2br w:val="nil"/>
              <w:tr2bl w:val="nil"/>
            </w:tcBorders>
            <w:shd w:val="clear" w:color="auto" w:fill="auto"/>
            <w:vAlign w:val="center"/>
          </w:tcPr>
          <w:p w14:paraId="74DE52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 建材建造</w:t>
            </w:r>
          </w:p>
        </w:tc>
        <w:tc>
          <w:tcPr>
            <w:tcW w:w="465" w:type="dxa"/>
            <w:vMerge w:val="restart"/>
            <w:tcBorders>
              <w:tl2br w:val="nil"/>
              <w:tr2bl w:val="nil"/>
            </w:tcBorders>
            <w:shd w:val="clear" w:color="auto" w:fill="auto"/>
            <w:vAlign w:val="center"/>
          </w:tcPr>
          <w:p w14:paraId="0A50DB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E24EA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w:t>
            </w:r>
          </w:p>
        </w:tc>
        <w:tc>
          <w:tcPr>
            <w:tcW w:w="7712" w:type="dxa"/>
            <w:tcBorders>
              <w:tl2br w:val="nil"/>
              <w:tr2bl w:val="nil"/>
            </w:tcBorders>
            <w:shd w:val="clear" w:color="auto" w:fill="auto"/>
            <w:vAlign w:val="center"/>
          </w:tcPr>
          <w:p w14:paraId="26080E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绿色建材使用量不少于所用建筑材料的10%。</w:t>
            </w:r>
          </w:p>
        </w:tc>
        <w:tc>
          <w:tcPr>
            <w:tcW w:w="1088" w:type="dxa"/>
            <w:tcBorders>
              <w:tl2br w:val="nil"/>
              <w:tr2bl w:val="nil"/>
            </w:tcBorders>
            <w:shd w:val="clear" w:color="auto" w:fill="auto"/>
            <w:noWrap/>
            <w:vAlign w:val="center"/>
          </w:tcPr>
          <w:p w14:paraId="210B005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结构牵头，各专业配合</w:t>
            </w:r>
          </w:p>
        </w:tc>
        <w:tc>
          <w:tcPr>
            <w:tcW w:w="1722" w:type="dxa"/>
            <w:tcBorders>
              <w:tl2br w:val="nil"/>
              <w:tr2bl w:val="nil"/>
            </w:tcBorders>
            <w:shd w:val="clear" w:color="auto" w:fill="auto"/>
            <w:noWrap/>
            <w:vAlign w:val="center"/>
          </w:tcPr>
          <w:p w14:paraId="608CAC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B72E7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6E9E94">
            <w:pPr>
              <w:keepNext w:val="0"/>
              <w:keepLines w:val="0"/>
              <w:widowControl/>
              <w:suppressLineNumbers w:val="0"/>
              <w:jc w:val="left"/>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r>
              <w:rPr>
                <w:rFonts w:hint="eastAsia" w:ascii="仿宋" w:hAnsi="仿宋" w:eastAsia="仿宋" w:cs="仿宋"/>
                <w:i w:val="0"/>
                <w:iCs w:val="0"/>
                <w:color w:val="auto"/>
                <w:kern w:val="0"/>
                <w:sz w:val="22"/>
                <w:szCs w:val="22"/>
                <w:highlight w:val="none"/>
                <w:u w:val="none"/>
                <w:lang w:val="en-US" w:eastAsia="zh-CN" w:bidi="ar"/>
              </w:rPr>
              <w:t>绿色建材使用量计算书。</w:t>
            </w:r>
            <w:r>
              <w:rPr>
                <w:rFonts w:hint="eastAsia" w:ascii="仿宋" w:hAnsi="仿宋" w:eastAsia="仿宋" w:cs="仿宋"/>
                <w:color w:val="auto"/>
                <w:kern w:val="0"/>
                <w:sz w:val="22"/>
                <w:szCs w:val="22"/>
                <w:highlight w:val="none"/>
                <w:lang w:val="en-US" w:eastAsia="zh-CN" w:bidi="ar"/>
              </w:rPr>
              <w:t>本款规定住房应采用经过分级评价认证的绿色建材；其用量比例的计算方法应符合现行国家标准《绿色建筑评价标准》GB/T50378 的有关规定。</w:t>
            </w:r>
            <w:r>
              <w:rPr>
                <w:rFonts w:hint="eastAsia" w:ascii="仿宋" w:hAnsi="仿宋" w:eastAsia="仿宋" w:cs="仿宋"/>
                <w:i w:val="0"/>
                <w:iCs w:val="0"/>
                <w:color w:val="auto"/>
                <w:sz w:val="22"/>
                <w:szCs w:val="22"/>
                <w:highlight w:val="none"/>
                <w:u w:val="none"/>
                <w:lang w:val="en-US" w:eastAsia="zh-CN"/>
              </w:rPr>
              <w:t>终评应提交材料进场台账及采购清单。</w:t>
            </w:r>
          </w:p>
        </w:tc>
      </w:tr>
      <w:tr w14:paraId="33E80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429891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116</w:t>
            </w:r>
          </w:p>
        </w:tc>
        <w:tc>
          <w:tcPr>
            <w:tcW w:w="590" w:type="dxa"/>
            <w:vMerge w:val="continue"/>
            <w:tcBorders>
              <w:tl2br w:val="nil"/>
              <w:tr2bl w:val="nil"/>
            </w:tcBorders>
            <w:shd w:val="clear" w:color="auto" w:fill="auto"/>
            <w:vAlign w:val="center"/>
          </w:tcPr>
          <w:p w14:paraId="039C261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C54E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F81C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6.2.2</w:t>
            </w:r>
          </w:p>
        </w:tc>
        <w:tc>
          <w:tcPr>
            <w:tcW w:w="7712" w:type="dxa"/>
            <w:tcBorders>
              <w:tl2br w:val="nil"/>
              <w:tr2bl w:val="nil"/>
            </w:tcBorders>
            <w:shd w:val="clear" w:color="auto" w:fill="auto"/>
            <w:vAlign w:val="center"/>
          </w:tcPr>
          <w:p w14:paraId="58EB70B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可再利用材料和可再循环材料的使用不少于所用建筑材料的6%。</w:t>
            </w:r>
          </w:p>
        </w:tc>
        <w:tc>
          <w:tcPr>
            <w:tcW w:w="1088" w:type="dxa"/>
            <w:tcBorders>
              <w:tl2br w:val="nil"/>
              <w:tr2bl w:val="nil"/>
            </w:tcBorders>
            <w:shd w:val="clear" w:color="auto" w:fill="auto"/>
            <w:noWrap/>
            <w:vAlign w:val="center"/>
          </w:tcPr>
          <w:p w14:paraId="471842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结构牵头，各专业配合</w:t>
            </w:r>
          </w:p>
        </w:tc>
        <w:tc>
          <w:tcPr>
            <w:tcW w:w="1722" w:type="dxa"/>
            <w:tcBorders>
              <w:tl2br w:val="nil"/>
              <w:tr2bl w:val="nil"/>
            </w:tcBorders>
            <w:shd w:val="clear" w:color="auto" w:fill="auto"/>
            <w:noWrap/>
            <w:vAlign w:val="center"/>
          </w:tcPr>
          <w:p w14:paraId="350841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C8DAA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99A504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748" w:type="dxa"/>
            <w:tcBorders>
              <w:tl2br w:val="nil"/>
              <w:tr2bl w:val="nil"/>
            </w:tcBorders>
            <w:shd w:val="clear" w:color="auto" w:fill="auto"/>
            <w:noWrap/>
            <w:vAlign w:val="center"/>
          </w:tcPr>
          <w:p w14:paraId="4A74A6AC">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r>
              <w:rPr>
                <w:rFonts w:hint="eastAsia" w:ascii="仿宋" w:hAnsi="仿宋" w:eastAsia="仿宋" w:cs="仿宋"/>
                <w:i w:val="0"/>
                <w:iCs w:val="0"/>
                <w:color w:val="auto"/>
                <w:kern w:val="0"/>
                <w:sz w:val="22"/>
                <w:szCs w:val="22"/>
                <w:highlight w:val="none"/>
                <w:u w:val="none"/>
                <w:lang w:val="en-US" w:eastAsia="zh-CN" w:bidi="ar"/>
              </w:rPr>
              <w:t>可再利用材料和可再循环材料使用量计算书。</w:t>
            </w:r>
            <w:r>
              <w:rPr>
                <w:rFonts w:hint="eastAsia" w:ascii="仿宋" w:hAnsi="仿宋" w:eastAsia="仿宋" w:cs="仿宋"/>
                <w:color w:val="auto"/>
                <w:kern w:val="0"/>
                <w:sz w:val="22"/>
                <w:szCs w:val="22"/>
                <w:highlight w:val="none"/>
                <w:lang w:val="en-US" w:eastAsia="zh-CN" w:bidi="ar"/>
              </w:rPr>
              <w:t>计算可再循环材料和可再利用材料用量比例时，分子为申报项目各类可再循环材料和可再利用材料重量之和，如有材料既属于可再循环材料又属于可再利用材料，可以计入分子，但不可重复统计；分母为全部建筑材料总重量。</w:t>
            </w:r>
            <w:r>
              <w:rPr>
                <w:rFonts w:hint="eastAsia" w:ascii="仿宋" w:hAnsi="仿宋" w:eastAsia="仿宋" w:cs="仿宋"/>
                <w:i w:val="0"/>
                <w:iCs w:val="0"/>
                <w:color w:val="auto"/>
                <w:sz w:val="22"/>
                <w:szCs w:val="22"/>
                <w:highlight w:val="none"/>
                <w:u w:val="none"/>
                <w:lang w:val="en-US" w:eastAsia="zh-CN"/>
              </w:rPr>
              <w:t>终评应提交材料进场台账及采购清单。</w:t>
            </w:r>
          </w:p>
        </w:tc>
      </w:tr>
      <w:tr w14:paraId="7178D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484882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117</w:t>
            </w:r>
          </w:p>
        </w:tc>
        <w:tc>
          <w:tcPr>
            <w:tcW w:w="590" w:type="dxa"/>
            <w:vMerge w:val="continue"/>
            <w:tcBorders>
              <w:tl2br w:val="nil"/>
              <w:tr2bl w:val="nil"/>
            </w:tcBorders>
            <w:shd w:val="clear" w:color="auto" w:fill="auto"/>
            <w:vAlign w:val="center"/>
          </w:tcPr>
          <w:p w14:paraId="01B09A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6A93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A593F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6.2.3</w:t>
            </w:r>
          </w:p>
        </w:tc>
        <w:tc>
          <w:tcPr>
            <w:tcW w:w="7712" w:type="dxa"/>
            <w:tcBorders>
              <w:tl2br w:val="nil"/>
              <w:tr2bl w:val="nil"/>
            </w:tcBorders>
            <w:shd w:val="clear" w:color="auto" w:fill="auto"/>
            <w:vAlign w:val="center"/>
          </w:tcPr>
          <w:p w14:paraId="4382ADC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给水排水系统的管材、管件符合下列规定：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给水系统选用耐腐蚀、抗老化、耐久性的产品；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管件与管道配套提供使用。</w:t>
            </w:r>
          </w:p>
        </w:tc>
        <w:tc>
          <w:tcPr>
            <w:tcW w:w="1088" w:type="dxa"/>
            <w:tcBorders>
              <w:tl2br w:val="nil"/>
              <w:tr2bl w:val="nil"/>
            </w:tcBorders>
            <w:shd w:val="clear" w:color="auto" w:fill="auto"/>
            <w:noWrap/>
            <w:vAlign w:val="center"/>
          </w:tcPr>
          <w:p w14:paraId="4023B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3390EF1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1F4643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85B05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35C70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0D5E8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EAC60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118</w:t>
            </w:r>
          </w:p>
        </w:tc>
        <w:tc>
          <w:tcPr>
            <w:tcW w:w="590" w:type="dxa"/>
            <w:vMerge w:val="continue"/>
            <w:tcBorders>
              <w:tl2br w:val="nil"/>
              <w:tr2bl w:val="nil"/>
            </w:tcBorders>
            <w:shd w:val="clear" w:color="auto" w:fill="auto"/>
            <w:vAlign w:val="center"/>
          </w:tcPr>
          <w:p w14:paraId="5AD4792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C8780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1BB45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6.2.4</w:t>
            </w:r>
          </w:p>
        </w:tc>
        <w:tc>
          <w:tcPr>
            <w:tcW w:w="7712" w:type="dxa"/>
            <w:tcBorders>
              <w:tl2br w:val="nil"/>
              <w:tr2bl w:val="nil"/>
            </w:tcBorders>
            <w:shd w:val="clear" w:color="auto" w:fill="auto"/>
            <w:vAlign w:val="center"/>
          </w:tcPr>
          <w:p w14:paraId="2594F6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外饰面材料、室内装饰装修材料、防水和密封材料等选用耐久性、易维护的材料。</w:t>
            </w:r>
          </w:p>
        </w:tc>
        <w:tc>
          <w:tcPr>
            <w:tcW w:w="1088" w:type="dxa"/>
            <w:tcBorders>
              <w:tl2br w:val="nil"/>
              <w:tr2bl w:val="nil"/>
            </w:tcBorders>
            <w:shd w:val="clear" w:color="auto" w:fill="auto"/>
            <w:noWrap/>
            <w:vAlign w:val="center"/>
          </w:tcPr>
          <w:p w14:paraId="028757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D1983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43A4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3E59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35CE5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6897E8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119</w:t>
            </w:r>
          </w:p>
        </w:tc>
        <w:tc>
          <w:tcPr>
            <w:tcW w:w="590" w:type="dxa"/>
            <w:vMerge w:val="continue"/>
            <w:tcBorders>
              <w:tl2br w:val="nil"/>
              <w:tr2bl w:val="nil"/>
            </w:tcBorders>
            <w:shd w:val="clear" w:color="auto" w:fill="auto"/>
            <w:vAlign w:val="center"/>
          </w:tcPr>
          <w:p w14:paraId="2EA4319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B699A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111DA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6.2.5</w:t>
            </w:r>
          </w:p>
        </w:tc>
        <w:tc>
          <w:tcPr>
            <w:tcW w:w="7712" w:type="dxa"/>
            <w:tcBorders>
              <w:tl2br w:val="nil"/>
              <w:tr2bl w:val="nil"/>
            </w:tcBorders>
            <w:shd w:val="clear" w:color="auto" w:fill="auto"/>
            <w:vAlign w:val="center"/>
          </w:tcPr>
          <w:p w14:paraId="5CB578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装饰装修材料甲醛释放量不低于 《人造板及其制品甲醛释放量分级》GB/T 39600中E0级。</w:t>
            </w:r>
          </w:p>
        </w:tc>
        <w:tc>
          <w:tcPr>
            <w:tcW w:w="1088" w:type="dxa"/>
            <w:tcBorders>
              <w:tl2br w:val="nil"/>
              <w:tr2bl w:val="nil"/>
            </w:tcBorders>
            <w:shd w:val="clear" w:color="auto" w:fill="auto"/>
            <w:noWrap/>
            <w:vAlign w:val="center"/>
          </w:tcPr>
          <w:p w14:paraId="3903AD9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F2482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9977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00054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相关设计图纸、设计说明。预评价提交承诺达标函，终评价应提交进场材料检测报告。</w:t>
            </w:r>
          </w:p>
        </w:tc>
      </w:tr>
      <w:tr w14:paraId="662BD1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2D4D9A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120</w:t>
            </w:r>
          </w:p>
        </w:tc>
        <w:tc>
          <w:tcPr>
            <w:tcW w:w="590" w:type="dxa"/>
            <w:vMerge w:val="continue"/>
            <w:tcBorders>
              <w:tl2br w:val="nil"/>
              <w:tr2bl w:val="nil"/>
            </w:tcBorders>
            <w:shd w:val="clear" w:color="auto" w:fill="auto"/>
            <w:vAlign w:val="center"/>
          </w:tcPr>
          <w:p w14:paraId="10B9C03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4DEA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D368F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6.2.6</w:t>
            </w:r>
          </w:p>
        </w:tc>
        <w:tc>
          <w:tcPr>
            <w:tcW w:w="7712" w:type="dxa"/>
            <w:tcBorders>
              <w:tl2br w:val="nil"/>
              <w:tr2bl w:val="nil"/>
            </w:tcBorders>
            <w:shd w:val="clear" w:color="auto" w:fill="auto"/>
            <w:vAlign w:val="center"/>
          </w:tcPr>
          <w:p w14:paraId="1A4ED8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绿色施工符合现行国家标准《建筑工程绿色施工规范》GB/T 50905、《建筑工程绿色施工评价标准》GB/T 50640和广东省标准《建筑工程绿色施工评价标准》DBJ/T 15-97的要求。</w:t>
            </w:r>
          </w:p>
          <w:p w14:paraId="32F9D6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lang w:val="en-US" w:eastAsia="zh-CN" w:bidi="ar"/>
              </w:rPr>
              <w:t>注：预评价不参评。</w:t>
            </w:r>
          </w:p>
        </w:tc>
        <w:tc>
          <w:tcPr>
            <w:tcW w:w="1088" w:type="dxa"/>
            <w:tcBorders>
              <w:tl2br w:val="nil"/>
              <w:tr2bl w:val="nil"/>
            </w:tcBorders>
            <w:shd w:val="clear" w:color="auto" w:fill="auto"/>
            <w:noWrap/>
            <w:vAlign w:val="center"/>
          </w:tcPr>
          <w:p w14:paraId="4D80CD3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6A46B9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99F8B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5F58C64">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color w:val="auto"/>
                <w:kern w:val="0"/>
                <w:sz w:val="22"/>
                <w:szCs w:val="22"/>
                <w:highlight w:val="none"/>
                <w:lang w:val="en-US" w:eastAsia="zh-CN" w:bidi="ar"/>
              </w:rPr>
              <w:t>终评价需提交绿色施工专项方案（包含签字盖章齐全审批页）纸质档及评定结果。</w:t>
            </w:r>
          </w:p>
        </w:tc>
      </w:tr>
      <w:tr w14:paraId="2658E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53979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121</w:t>
            </w:r>
          </w:p>
        </w:tc>
        <w:tc>
          <w:tcPr>
            <w:tcW w:w="590" w:type="dxa"/>
            <w:vMerge w:val="continue"/>
            <w:tcBorders>
              <w:tl2br w:val="nil"/>
              <w:tr2bl w:val="nil"/>
            </w:tcBorders>
            <w:shd w:val="clear" w:color="auto" w:fill="auto"/>
            <w:vAlign w:val="center"/>
          </w:tcPr>
          <w:p w14:paraId="6EFFCA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5B732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D1B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6.2.7</w:t>
            </w:r>
          </w:p>
        </w:tc>
        <w:tc>
          <w:tcPr>
            <w:tcW w:w="7712" w:type="dxa"/>
            <w:tcBorders>
              <w:tl2br w:val="nil"/>
              <w:tr2bl w:val="nil"/>
            </w:tcBorders>
            <w:shd w:val="clear" w:color="auto" w:fill="auto"/>
            <w:vAlign w:val="center"/>
          </w:tcPr>
          <w:p w14:paraId="1C03B10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施工中结合现场情况优化施工组织设计和施工方案，并选取资源消耗少、环境影响小的施工工艺和措施。</w:t>
            </w:r>
          </w:p>
          <w:p w14:paraId="11F1F4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7C6D7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4C22D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148A7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73B393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施工组织设计</w:t>
            </w:r>
            <w:r>
              <w:rPr>
                <w:rFonts w:hint="eastAsia" w:ascii="仿宋" w:hAnsi="仿宋" w:eastAsia="仿宋" w:cs="仿宋"/>
                <w:color w:val="auto"/>
                <w:kern w:val="0"/>
                <w:sz w:val="22"/>
                <w:szCs w:val="22"/>
                <w:highlight w:val="none"/>
                <w:lang w:val="en-US" w:eastAsia="zh-CN" w:bidi="ar"/>
              </w:rPr>
              <w:t>（包含签字盖章齐全审批页）</w:t>
            </w:r>
            <w:r>
              <w:rPr>
                <w:rFonts w:hint="eastAsia" w:ascii="仿宋" w:hAnsi="仿宋" w:eastAsia="仿宋" w:cs="仿宋"/>
                <w:i w:val="0"/>
                <w:iCs w:val="0"/>
                <w:color w:val="auto"/>
                <w:kern w:val="0"/>
                <w:sz w:val="22"/>
                <w:szCs w:val="22"/>
                <w:highlight w:val="none"/>
                <w:u w:val="none"/>
                <w:lang w:val="en-US" w:eastAsia="zh-CN" w:bidi="ar"/>
              </w:rPr>
              <w:t>，内专设资源消耗少、环境影响小的施工工艺和措施章节。</w:t>
            </w:r>
          </w:p>
        </w:tc>
      </w:tr>
      <w:tr w14:paraId="5BA89F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B44F6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122</w:t>
            </w:r>
          </w:p>
        </w:tc>
        <w:tc>
          <w:tcPr>
            <w:tcW w:w="590" w:type="dxa"/>
            <w:vMerge w:val="continue"/>
            <w:tcBorders>
              <w:tl2br w:val="nil"/>
              <w:tr2bl w:val="nil"/>
            </w:tcBorders>
            <w:shd w:val="clear" w:color="auto" w:fill="auto"/>
            <w:vAlign w:val="center"/>
          </w:tcPr>
          <w:p w14:paraId="1D0A66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6B2AA1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3B16B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6.2.8</w:t>
            </w:r>
          </w:p>
        </w:tc>
        <w:tc>
          <w:tcPr>
            <w:tcW w:w="7712" w:type="dxa"/>
            <w:tcBorders>
              <w:tl2br w:val="nil"/>
              <w:tr2bl w:val="nil"/>
            </w:tcBorders>
            <w:shd w:val="clear" w:color="auto" w:fill="auto"/>
            <w:vAlign w:val="center"/>
          </w:tcPr>
          <w:p w14:paraId="4219DBE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施工过程中制定并实施节能和用能方案，施工节水和用水方案，监测并记录施工能耗及水耗。</w:t>
            </w:r>
          </w:p>
          <w:p w14:paraId="2139F9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738E0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7A351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A5B12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AC8EC9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节能和用能方案，施工节水和用水方案</w:t>
            </w:r>
            <w:r>
              <w:rPr>
                <w:rFonts w:hint="eastAsia" w:ascii="仿宋" w:hAnsi="仿宋" w:eastAsia="仿宋" w:cs="仿宋"/>
                <w:color w:val="auto"/>
                <w:kern w:val="0"/>
                <w:sz w:val="22"/>
                <w:szCs w:val="22"/>
                <w:highlight w:val="none"/>
                <w:lang w:val="en-US" w:eastAsia="zh-CN" w:bidi="ar"/>
              </w:rPr>
              <w:t>（包含签字盖章齐全审批页），并提交监测记录数据。</w:t>
            </w:r>
          </w:p>
        </w:tc>
      </w:tr>
      <w:tr w14:paraId="7E616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BB00E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123</w:t>
            </w:r>
          </w:p>
        </w:tc>
        <w:tc>
          <w:tcPr>
            <w:tcW w:w="590" w:type="dxa"/>
            <w:vMerge w:val="continue"/>
            <w:tcBorders>
              <w:tl2br w:val="nil"/>
              <w:tr2bl w:val="nil"/>
            </w:tcBorders>
            <w:shd w:val="clear" w:color="auto" w:fill="auto"/>
            <w:vAlign w:val="center"/>
          </w:tcPr>
          <w:p w14:paraId="65CE405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6FA88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65FF6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6.2.9</w:t>
            </w:r>
          </w:p>
        </w:tc>
        <w:tc>
          <w:tcPr>
            <w:tcW w:w="7712" w:type="dxa"/>
            <w:tcBorders>
              <w:tl2br w:val="nil"/>
              <w:tr2bl w:val="nil"/>
            </w:tcBorders>
            <w:shd w:val="clear" w:color="auto" w:fill="auto"/>
            <w:vAlign w:val="center"/>
          </w:tcPr>
          <w:p w14:paraId="2BA34FE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施工过程中制定施工现场建筑垃圾减量化、资源化计划及措施。</w:t>
            </w:r>
          </w:p>
          <w:p w14:paraId="4E25D9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2F744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319E1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22FA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E15F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施工现场建筑垃圾减量化、资源化计划及措施报告</w:t>
            </w:r>
            <w:r>
              <w:rPr>
                <w:rFonts w:hint="eastAsia" w:ascii="仿宋" w:hAnsi="仿宋" w:eastAsia="仿宋" w:cs="仿宋"/>
                <w:color w:val="auto"/>
                <w:kern w:val="0"/>
                <w:sz w:val="22"/>
                <w:szCs w:val="22"/>
                <w:highlight w:val="none"/>
                <w:lang w:val="en-US" w:eastAsia="zh-CN" w:bidi="ar"/>
              </w:rPr>
              <w:t>（包含签字盖章齐全审批页）。</w:t>
            </w:r>
          </w:p>
        </w:tc>
      </w:tr>
      <w:tr w14:paraId="4EE5E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09" w:type="dxa"/>
            <w:tcBorders>
              <w:tl2br w:val="nil"/>
              <w:tr2bl w:val="nil"/>
            </w:tcBorders>
            <w:shd w:val="clear" w:color="auto" w:fill="auto"/>
            <w:vAlign w:val="center"/>
          </w:tcPr>
          <w:p w14:paraId="3CA523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124</w:t>
            </w:r>
          </w:p>
        </w:tc>
        <w:tc>
          <w:tcPr>
            <w:tcW w:w="590" w:type="dxa"/>
            <w:vMerge w:val="continue"/>
            <w:tcBorders>
              <w:tl2br w:val="nil"/>
              <w:tr2bl w:val="nil"/>
            </w:tcBorders>
            <w:shd w:val="clear" w:color="auto" w:fill="auto"/>
            <w:vAlign w:val="center"/>
          </w:tcPr>
          <w:p w14:paraId="69DC3E1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35749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14AC6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6.2.10</w:t>
            </w:r>
          </w:p>
        </w:tc>
        <w:tc>
          <w:tcPr>
            <w:tcW w:w="7712" w:type="dxa"/>
            <w:tcBorders>
              <w:tl2br w:val="nil"/>
              <w:tr2bl w:val="nil"/>
            </w:tcBorders>
            <w:shd w:val="clear" w:color="auto" w:fill="auto"/>
            <w:vAlign w:val="center"/>
          </w:tcPr>
          <w:p w14:paraId="23F5DE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住宅施工现场制定相应的减振、降噪、减少光污染、减少污水排放、抑制扬尘及防止有害气体扩散的制度和措施，且符合国家现行标准规定：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施工现场噪声排放限值符合现行国家标准《建筑施工场界环境噪声排放标准》GB 12523的有关规定；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光污染限值符合现行行业标准《城市夜景照明设计规范》JGJ/T 163的有关规定；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排入城市污水管网的施工污水符合现行国家标准《污水排入城镇下水道水质标准》GB/T 31962的有关规定。</w:t>
            </w:r>
          </w:p>
          <w:p w14:paraId="0830EA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81550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1668A75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DE88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05FDD2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施工现场减振、降噪、减少光污染、减少污水排放、抑制扬尘及防止有害气体扩散的制度和措施报告</w:t>
            </w:r>
            <w:r>
              <w:rPr>
                <w:rFonts w:hint="eastAsia" w:ascii="仿宋" w:hAnsi="仿宋" w:eastAsia="仿宋" w:cs="仿宋"/>
                <w:color w:val="auto"/>
                <w:kern w:val="0"/>
                <w:sz w:val="22"/>
                <w:szCs w:val="22"/>
                <w:highlight w:val="none"/>
                <w:lang w:val="en-US" w:eastAsia="zh-CN" w:bidi="ar"/>
              </w:rPr>
              <w:t>（包含签字盖章齐全审批页），现场噪声检测数据、</w:t>
            </w:r>
            <w:r>
              <w:rPr>
                <w:rFonts w:hint="eastAsia" w:ascii="仿宋" w:hAnsi="仿宋" w:eastAsia="仿宋" w:cs="仿宋"/>
                <w:i w:val="0"/>
                <w:iCs w:val="0"/>
                <w:color w:val="auto"/>
                <w:kern w:val="0"/>
                <w:sz w:val="22"/>
                <w:szCs w:val="22"/>
                <w:highlight w:val="none"/>
                <w:u w:val="none"/>
                <w:lang w:val="en-US" w:eastAsia="zh-CN" w:bidi="ar"/>
              </w:rPr>
              <w:t>光污染</w:t>
            </w:r>
            <w:r>
              <w:rPr>
                <w:rFonts w:hint="eastAsia" w:ascii="仿宋" w:hAnsi="仿宋" w:eastAsia="仿宋" w:cs="仿宋"/>
                <w:color w:val="auto"/>
                <w:kern w:val="0"/>
                <w:sz w:val="22"/>
                <w:szCs w:val="22"/>
                <w:highlight w:val="none"/>
                <w:lang w:val="en-US" w:eastAsia="zh-CN" w:bidi="ar"/>
              </w:rPr>
              <w:t>检测数据</w:t>
            </w:r>
            <w:r>
              <w:rPr>
                <w:rFonts w:hint="eastAsia" w:ascii="仿宋" w:hAnsi="仿宋" w:eastAsia="仿宋" w:cs="仿宋"/>
                <w:i w:val="0"/>
                <w:iCs w:val="0"/>
                <w:color w:val="auto"/>
                <w:kern w:val="0"/>
                <w:sz w:val="22"/>
                <w:szCs w:val="22"/>
                <w:highlight w:val="none"/>
                <w:u w:val="none"/>
                <w:lang w:val="en-US" w:eastAsia="zh-CN" w:bidi="ar"/>
              </w:rPr>
              <w:t>、施工污水</w:t>
            </w:r>
            <w:r>
              <w:rPr>
                <w:rFonts w:hint="eastAsia" w:ascii="仿宋" w:hAnsi="仿宋" w:eastAsia="仿宋" w:cs="仿宋"/>
                <w:color w:val="auto"/>
                <w:kern w:val="0"/>
                <w:sz w:val="22"/>
                <w:szCs w:val="22"/>
                <w:highlight w:val="none"/>
                <w:lang w:val="en-US" w:eastAsia="zh-CN" w:bidi="ar"/>
              </w:rPr>
              <w:t>检测数据。</w:t>
            </w:r>
          </w:p>
        </w:tc>
      </w:tr>
      <w:tr w14:paraId="74514C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FB4A2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125</w:t>
            </w:r>
          </w:p>
        </w:tc>
        <w:tc>
          <w:tcPr>
            <w:tcW w:w="590" w:type="dxa"/>
            <w:vMerge w:val="continue"/>
            <w:tcBorders>
              <w:tl2br w:val="nil"/>
              <w:tr2bl w:val="nil"/>
            </w:tcBorders>
            <w:shd w:val="clear" w:color="auto" w:fill="auto"/>
            <w:vAlign w:val="center"/>
          </w:tcPr>
          <w:p w14:paraId="1B6281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DFFE7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53225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6.2.11</w:t>
            </w:r>
          </w:p>
        </w:tc>
        <w:tc>
          <w:tcPr>
            <w:tcW w:w="7712" w:type="dxa"/>
            <w:tcBorders>
              <w:tl2br w:val="nil"/>
              <w:tr2bl w:val="nil"/>
            </w:tcBorders>
            <w:shd w:val="clear" w:color="auto" w:fill="auto"/>
            <w:vAlign w:val="center"/>
          </w:tcPr>
          <w:p w14:paraId="50CFA7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施工过程中设置临时回收站，分类暂存废钢筋、模板等材料。</w:t>
            </w:r>
          </w:p>
          <w:p w14:paraId="602F68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6F6D9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47CC5D4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4CA3B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A31654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施工现场平面布置图，应标示临时回收站位置。</w:t>
            </w:r>
          </w:p>
        </w:tc>
      </w:tr>
      <w:tr w14:paraId="6117B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1EB3EE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126</w:t>
            </w:r>
          </w:p>
        </w:tc>
        <w:tc>
          <w:tcPr>
            <w:tcW w:w="590" w:type="dxa"/>
            <w:vMerge w:val="restart"/>
            <w:tcBorders>
              <w:tl2br w:val="nil"/>
              <w:tr2bl w:val="nil"/>
            </w:tcBorders>
            <w:shd w:val="clear" w:color="auto" w:fill="auto"/>
            <w:vAlign w:val="center"/>
          </w:tcPr>
          <w:p w14:paraId="36021C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 低碳运行</w:t>
            </w:r>
          </w:p>
        </w:tc>
        <w:tc>
          <w:tcPr>
            <w:tcW w:w="465" w:type="dxa"/>
            <w:vMerge w:val="restart"/>
            <w:tcBorders>
              <w:tl2br w:val="nil"/>
              <w:tr2bl w:val="nil"/>
            </w:tcBorders>
            <w:shd w:val="clear" w:color="auto" w:fill="auto"/>
            <w:vAlign w:val="center"/>
          </w:tcPr>
          <w:p w14:paraId="3C674E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08C8DF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6.3.1</w:t>
            </w:r>
          </w:p>
        </w:tc>
        <w:tc>
          <w:tcPr>
            <w:tcW w:w="7712" w:type="dxa"/>
            <w:tcBorders>
              <w:tl2br w:val="nil"/>
              <w:tr2bl w:val="nil"/>
            </w:tcBorders>
            <w:shd w:val="clear" w:color="auto" w:fill="auto"/>
            <w:vAlign w:val="center"/>
          </w:tcPr>
          <w:p w14:paraId="14ABF01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小区制定减碳目标，人均碳排放强度低于中山市平均水平的20%。</w:t>
            </w:r>
          </w:p>
        </w:tc>
        <w:tc>
          <w:tcPr>
            <w:tcW w:w="1088" w:type="dxa"/>
            <w:tcBorders>
              <w:tl2br w:val="nil"/>
              <w:tr2bl w:val="nil"/>
            </w:tcBorders>
            <w:shd w:val="clear" w:color="auto" w:fill="auto"/>
            <w:noWrap/>
            <w:vAlign w:val="center"/>
          </w:tcPr>
          <w:p w14:paraId="059315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07760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62C9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23ED2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提交小区碳排放核算报告，明确碳排放清单、碳排放目标及碳减排实施方案。</w:t>
            </w:r>
          </w:p>
        </w:tc>
      </w:tr>
      <w:tr w14:paraId="294329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66788F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127</w:t>
            </w:r>
          </w:p>
        </w:tc>
        <w:tc>
          <w:tcPr>
            <w:tcW w:w="590" w:type="dxa"/>
            <w:vMerge w:val="continue"/>
            <w:tcBorders>
              <w:tl2br w:val="nil"/>
              <w:tr2bl w:val="nil"/>
            </w:tcBorders>
            <w:shd w:val="clear" w:color="auto" w:fill="auto"/>
            <w:vAlign w:val="center"/>
          </w:tcPr>
          <w:p w14:paraId="613442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1BC35C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296EC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6.3.2</w:t>
            </w:r>
          </w:p>
        </w:tc>
        <w:tc>
          <w:tcPr>
            <w:tcW w:w="7712" w:type="dxa"/>
            <w:tcBorders>
              <w:tl2br w:val="nil"/>
              <w:tr2bl w:val="nil"/>
            </w:tcBorders>
            <w:shd w:val="clear" w:color="auto" w:fill="auto"/>
            <w:vAlign w:val="center"/>
          </w:tcPr>
          <w:p w14:paraId="6CE5E9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小区开展绿色物业管理，建设低碳人文环境，并符合下列规定：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在物业服务和技术改造中采用绿色低碳技术和产品；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加强绿色行为宣传和引导、推广低碳生活方式。</w:t>
            </w:r>
          </w:p>
          <w:p w14:paraId="272C9B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3EBEDF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A1595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DDA5D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BD117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提交绿色物业管理技术方案，方案应明确物业项目节能和环保的重点对象及内容、目标，包括节能措施、节水措施、垃圾分类管理、污染防治等。</w:t>
            </w:r>
          </w:p>
        </w:tc>
      </w:tr>
      <w:tr w14:paraId="5FC7FB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3A95DF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128</w:t>
            </w:r>
          </w:p>
        </w:tc>
        <w:tc>
          <w:tcPr>
            <w:tcW w:w="590" w:type="dxa"/>
            <w:vMerge w:val="continue"/>
            <w:tcBorders>
              <w:tl2br w:val="nil"/>
              <w:tr2bl w:val="nil"/>
            </w:tcBorders>
            <w:shd w:val="clear" w:color="auto" w:fill="auto"/>
            <w:vAlign w:val="center"/>
          </w:tcPr>
          <w:p w14:paraId="701369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F047E8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9F848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6.3.3</w:t>
            </w:r>
          </w:p>
        </w:tc>
        <w:tc>
          <w:tcPr>
            <w:tcW w:w="7712" w:type="dxa"/>
            <w:tcBorders>
              <w:tl2br w:val="nil"/>
              <w:tr2bl w:val="nil"/>
            </w:tcBorders>
            <w:shd w:val="clear" w:color="auto" w:fill="auto"/>
            <w:vAlign w:val="center"/>
          </w:tcPr>
          <w:p w14:paraId="528D25B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住宅运行管理单位制定节能、节水，节材的操作规程和应急预案，并建立节能和节水绩效考核激励机制，且符合中山市相关技术要求。</w:t>
            </w:r>
          </w:p>
          <w:p w14:paraId="0A2835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ECB0C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E2E711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093F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9B5468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提交节能、节水、节材的操作管理制度、工作指南和应急预案，现场核查是否放置、悬挂或张贴在各个操作现场的明显位置。</w:t>
            </w:r>
          </w:p>
        </w:tc>
      </w:tr>
      <w:tr w14:paraId="05070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63B7EB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129</w:t>
            </w:r>
          </w:p>
        </w:tc>
        <w:tc>
          <w:tcPr>
            <w:tcW w:w="590" w:type="dxa"/>
            <w:vMerge w:val="continue"/>
            <w:tcBorders>
              <w:tl2br w:val="nil"/>
              <w:tr2bl w:val="nil"/>
            </w:tcBorders>
            <w:shd w:val="clear" w:color="auto" w:fill="auto"/>
            <w:vAlign w:val="center"/>
          </w:tcPr>
          <w:p w14:paraId="00EE521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36A42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9F7C6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6.3.4</w:t>
            </w:r>
          </w:p>
        </w:tc>
        <w:tc>
          <w:tcPr>
            <w:tcW w:w="7712" w:type="dxa"/>
            <w:tcBorders>
              <w:tl2br w:val="nil"/>
              <w:tr2bl w:val="nil"/>
            </w:tcBorders>
            <w:shd w:val="clear" w:color="auto" w:fill="auto"/>
            <w:vAlign w:val="center"/>
          </w:tcPr>
          <w:p w14:paraId="6AE749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住宅公共设施设备定期检查、调试，具有检查、调试、运行、标定的记录，并开展节能诊断评估，根据评估结果制定优化方案并实施。</w:t>
            </w:r>
          </w:p>
          <w:p w14:paraId="39D37BA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6D528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7C91D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B94F2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8D9473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住宅公共设施设备的管理制度、巡检规定、作业标准及相应的维保计划，并提交检查、调试、运行、标定、节能诊断和优化的记录供查验。</w:t>
            </w:r>
          </w:p>
        </w:tc>
      </w:tr>
      <w:tr w14:paraId="67D13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4" w:hRule="atLeast"/>
        </w:trPr>
        <w:tc>
          <w:tcPr>
            <w:tcW w:w="609" w:type="dxa"/>
            <w:tcBorders>
              <w:tl2br w:val="nil"/>
              <w:tr2bl w:val="nil"/>
            </w:tcBorders>
            <w:shd w:val="clear" w:color="auto" w:fill="auto"/>
            <w:vAlign w:val="center"/>
          </w:tcPr>
          <w:p w14:paraId="23657C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130</w:t>
            </w:r>
          </w:p>
        </w:tc>
        <w:tc>
          <w:tcPr>
            <w:tcW w:w="590" w:type="dxa"/>
            <w:vMerge w:val="restart"/>
            <w:tcBorders>
              <w:tl2br w:val="nil"/>
              <w:tr2bl w:val="nil"/>
            </w:tcBorders>
            <w:shd w:val="clear" w:color="auto" w:fill="auto"/>
            <w:vAlign w:val="center"/>
          </w:tcPr>
          <w:p w14:paraId="272A34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 垃圾处理</w:t>
            </w:r>
          </w:p>
        </w:tc>
        <w:tc>
          <w:tcPr>
            <w:tcW w:w="465" w:type="dxa"/>
            <w:vMerge w:val="restart"/>
            <w:tcBorders>
              <w:tl2br w:val="nil"/>
              <w:tr2bl w:val="nil"/>
            </w:tcBorders>
            <w:shd w:val="clear" w:color="auto" w:fill="auto"/>
            <w:vAlign w:val="center"/>
          </w:tcPr>
          <w:p w14:paraId="7349C7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17A05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6.4.1</w:t>
            </w:r>
          </w:p>
        </w:tc>
        <w:tc>
          <w:tcPr>
            <w:tcW w:w="7712" w:type="dxa"/>
            <w:tcBorders>
              <w:tl2br w:val="nil"/>
              <w:tr2bl w:val="nil"/>
            </w:tcBorders>
            <w:shd w:val="clear" w:color="auto" w:fill="auto"/>
            <w:vAlign w:val="center"/>
          </w:tcPr>
          <w:p w14:paraId="71EC7C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生活垃圾收集点统筹规划，合理布局，方便外部收运且不影响小区居民生活。建筑外观要与小区风貌协调，周围设置景观绿化遮蔽措施，减少对居民日常生活的影响。</w:t>
            </w:r>
          </w:p>
        </w:tc>
        <w:tc>
          <w:tcPr>
            <w:tcW w:w="1088" w:type="dxa"/>
            <w:tcBorders>
              <w:tl2br w:val="nil"/>
              <w:tr2bl w:val="nil"/>
            </w:tcBorders>
            <w:shd w:val="clear" w:color="auto" w:fill="auto"/>
            <w:noWrap/>
            <w:vAlign w:val="center"/>
          </w:tcPr>
          <w:p w14:paraId="2982AE7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59DDF1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5AD0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6C203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D022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EF8C3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131</w:t>
            </w:r>
          </w:p>
        </w:tc>
        <w:tc>
          <w:tcPr>
            <w:tcW w:w="590" w:type="dxa"/>
            <w:vMerge w:val="continue"/>
            <w:tcBorders>
              <w:tl2br w:val="nil"/>
              <w:tr2bl w:val="nil"/>
            </w:tcBorders>
            <w:shd w:val="clear" w:color="auto" w:fill="auto"/>
            <w:vAlign w:val="center"/>
          </w:tcPr>
          <w:p w14:paraId="6AC5D44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67B2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45649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6.4.2</w:t>
            </w:r>
          </w:p>
        </w:tc>
        <w:tc>
          <w:tcPr>
            <w:tcW w:w="7712" w:type="dxa"/>
            <w:tcBorders>
              <w:tl2br w:val="nil"/>
              <w:tr2bl w:val="nil"/>
            </w:tcBorders>
            <w:shd w:val="clear" w:color="auto" w:fill="auto"/>
            <w:vAlign w:val="center"/>
          </w:tcPr>
          <w:p w14:paraId="5E9D1F5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生活垃圾收集点的设置符合国家、行业及地方现行标准的规定。</w:t>
            </w:r>
          </w:p>
        </w:tc>
        <w:tc>
          <w:tcPr>
            <w:tcW w:w="1088" w:type="dxa"/>
            <w:tcBorders>
              <w:tl2br w:val="nil"/>
              <w:tr2bl w:val="nil"/>
            </w:tcBorders>
            <w:shd w:val="clear" w:color="auto" w:fill="auto"/>
            <w:noWrap/>
            <w:vAlign w:val="center"/>
          </w:tcPr>
          <w:p w14:paraId="187A20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365DD6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A8AD0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B3E5B7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5DB0E7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609" w:type="dxa"/>
            <w:tcBorders>
              <w:tl2br w:val="nil"/>
              <w:tr2bl w:val="nil"/>
            </w:tcBorders>
            <w:shd w:val="clear" w:color="auto" w:fill="auto"/>
            <w:vAlign w:val="center"/>
          </w:tcPr>
          <w:p w14:paraId="70716D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132</w:t>
            </w:r>
          </w:p>
        </w:tc>
        <w:tc>
          <w:tcPr>
            <w:tcW w:w="590" w:type="dxa"/>
            <w:vMerge w:val="continue"/>
            <w:tcBorders>
              <w:tl2br w:val="nil"/>
              <w:tr2bl w:val="nil"/>
            </w:tcBorders>
            <w:shd w:val="clear" w:color="auto" w:fill="auto"/>
            <w:vAlign w:val="center"/>
          </w:tcPr>
          <w:p w14:paraId="4029F0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FCF83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6807F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6.4.3</w:t>
            </w:r>
          </w:p>
        </w:tc>
        <w:tc>
          <w:tcPr>
            <w:tcW w:w="7712" w:type="dxa"/>
            <w:tcBorders>
              <w:tl2br w:val="nil"/>
              <w:tr2bl w:val="nil"/>
            </w:tcBorders>
            <w:shd w:val="clear" w:color="auto" w:fill="auto"/>
            <w:vAlign w:val="center"/>
          </w:tcPr>
          <w:p w14:paraId="331F24B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小区实行垃圾源头分类投放收集，除符合《中山市生活垃圾分类管理办法》的相关规定外，尚符合以下规定：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生活垃圾按《中山市生活垃圾分类目录及投放指引》的规定进行分类投放和收集，已完成分类的垃圾收集率达100%；</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建立大件垃圾、装修垃圾投放收集体系；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生活垃圾全面实行密闭化收集、存储；</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有害垃圾配备专门的收集容器进行收集，并交由专业公司进行无害化处理。</w:t>
            </w:r>
          </w:p>
        </w:tc>
        <w:tc>
          <w:tcPr>
            <w:tcW w:w="1088" w:type="dxa"/>
            <w:tcBorders>
              <w:tl2br w:val="nil"/>
              <w:tr2bl w:val="nil"/>
            </w:tcBorders>
            <w:shd w:val="clear" w:color="auto" w:fill="auto"/>
            <w:noWrap/>
            <w:vAlign w:val="center"/>
          </w:tcPr>
          <w:p w14:paraId="32911D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25EAC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16A2C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6E6D19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预评价需提交承诺达标函，相关设计图纸及设计说明。图中需标注垃圾分类收集点。终评价提交物业管理公约中与垃圾分类收集相关的规定，现场核查。</w:t>
            </w:r>
          </w:p>
        </w:tc>
      </w:tr>
      <w:tr w14:paraId="0058FA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1D73E4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133</w:t>
            </w:r>
          </w:p>
        </w:tc>
        <w:tc>
          <w:tcPr>
            <w:tcW w:w="590" w:type="dxa"/>
            <w:vMerge w:val="continue"/>
            <w:tcBorders>
              <w:tl2br w:val="nil"/>
              <w:tr2bl w:val="nil"/>
            </w:tcBorders>
            <w:shd w:val="clear" w:color="auto" w:fill="auto"/>
            <w:vAlign w:val="center"/>
          </w:tcPr>
          <w:p w14:paraId="4925896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7703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9128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6.4.4</w:t>
            </w:r>
          </w:p>
        </w:tc>
        <w:tc>
          <w:tcPr>
            <w:tcW w:w="7712" w:type="dxa"/>
            <w:tcBorders>
              <w:tl2br w:val="nil"/>
              <w:tr2bl w:val="nil"/>
            </w:tcBorders>
            <w:shd w:val="clear" w:color="auto" w:fill="auto"/>
            <w:vAlign w:val="center"/>
          </w:tcPr>
          <w:p w14:paraId="0CA41B1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生活垃圾收集房（间）的通风出口下沿距地面不小于2.5m，且不邻近居住或活动空间的外窗及出入口等敏感位置。</w:t>
            </w:r>
          </w:p>
        </w:tc>
        <w:tc>
          <w:tcPr>
            <w:tcW w:w="1088" w:type="dxa"/>
            <w:tcBorders>
              <w:tl2br w:val="nil"/>
              <w:tr2bl w:val="nil"/>
            </w:tcBorders>
            <w:shd w:val="clear" w:color="auto" w:fill="auto"/>
            <w:noWrap/>
            <w:vAlign w:val="center"/>
          </w:tcPr>
          <w:p w14:paraId="16639D7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/暖通</w:t>
            </w:r>
          </w:p>
        </w:tc>
        <w:tc>
          <w:tcPr>
            <w:tcW w:w="1722" w:type="dxa"/>
            <w:tcBorders>
              <w:tl2br w:val="nil"/>
              <w:tr2bl w:val="nil"/>
            </w:tcBorders>
            <w:shd w:val="clear" w:color="auto" w:fill="auto"/>
            <w:noWrap/>
            <w:vAlign w:val="center"/>
          </w:tcPr>
          <w:p w14:paraId="19FBD2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7A2A9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715FB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47E08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51FA1D75">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智慧便捷</w:t>
            </w:r>
          </w:p>
          <w:p w14:paraId="42E0B34A">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（基本类8条，预评价全部参评。）</w:t>
            </w:r>
          </w:p>
        </w:tc>
      </w:tr>
      <w:tr w14:paraId="5163B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1" w:hRule="atLeast"/>
        </w:trPr>
        <w:tc>
          <w:tcPr>
            <w:tcW w:w="609" w:type="dxa"/>
            <w:tcBorders>
              <w:tl2br w:val="nil"/>
              <w:tr2bl w:val="nil"/>
            </w:tcBorders>
            <w:shd w:val="clear" w:color="auto" w:fill="auto"/>
            <w:vAlign w:val="center"/>
          </w:tcPr>
          <w:p w14:paraId="31769D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134</w:t>
            </w:r>
          </w:p>
        </w:tc>
        <w:tc>
          <w:tcPr>
            <w:tcW w:w="590" w:type="dxa"/>
            <w:vMerge w:val="restart"/>
            <w:tcBorders>
              <w:tl2br w:val="nil"/>
              <w:tr2bl w:val="nil"/>
            </w:tcBorders>
            <w:shd w:val="clear" w:color="auto" w:fill="auto"/>
            <w:vAlign w:val="center"/>
          </w:tcPr>
          <w:p w14:paraId="5370E3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7.1 智慧社区</w:t>
            </w:r>
          </w:p>
        </w:tc>
        <w:tc>
          <w:tcPr>
            <w:tcW w:w="465" w:type="dxa"/>
            <w:vMerge w:val="restart"/>
            <w:tcBorders>
              <w:tl2br w:val="nil"/>
              <w:tr2bl w:val="nil"/>
            </w:tcBorders>
            <w:shd w:val="clear" w:color="auto" w:fill="auto"/>
            <w:vAlign w:val="center"/>
          </w:tcPr>
          <w:p w14:paraId="26DCC6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43A39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7.1.1</w:t>
            </w:r>
          </w:p>
        </w:tc>
        <w:tc>
          <w:tcPr>
            <w:tcW w:w="7712" w:type="dxa"/>
            <w:tcBorders>
              <w:tl2br w:val="nil"/>
              <w:tr2bl w:val="nil"/>
            </w:tcBorders>
            <w:shd w:val="clear" w:color="auto" w:fill="auto"/>
            <w:vAlign w:val="center"/>
          </w:tcPr>
          <w:p w14:paraId="4FFAB68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小区建设满足语音、数字、图像和视频等多媒体信息通信需求的新型基础设施，符合现行国家标准《住宅区和住宅建筑内光纤到户通信设施工程设计规范》GB 50846、《住宅区和住宅建筑内光纤到户通信设施工程施工及验收规范》GB 50847的有关规定，并符合下列规定：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有无线网络需求的公共区域无线局域网络全覆盖；</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公共移动通讯信号全覆盖，数字电视网络支撑小区全接入；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通信网关、服务器、边缘节点设置满足小区数据采集、传输、存储和计算的需求。</w:t>
            </w:r>
          </w:p>
        </w:tc>
        <w:tc>
          <w:tcPr>
            <w:tcW w:w="1088" w:type="dxa"/>
            <w:tcBorders>
              <w:tl2br w:val="nil"/>
              <w:tr2bl w:val="nil"/>
            </w:tcBorders>
            <w:shd w:val="clear" w:color="auto" w:fill="auto"/>
            <w:noWrap/>
            <w:vAlign w:val="center"/>
          </w:tcPr>
          <w:p w14:paraId="27474C3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BD0C2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66DF4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F4932B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vertAlign w:val="baseline"/>
                <w:lang w:eastAsia="zh-CN"/>
              </w:rPr>
            </w:pPr>
          </w:p>
        </w:tc>
        <w:tc>
          <w:tcPr>
            <w:tcW w:w="2748" w:type="dxa"/>
            <w:tcBorders>
              <w:tl2br w:val="nil"/>
              <w:tr2bl w:val="nil"/>
            </w:tcBorders>
            <w:shd w:val="clear" w:color="auto" w:fill="auto"/>
            <w:noWrap/>
            <w:vAlign w:val="center"/>
          </w:tcPr>
          <w:p w14:paraId="155E7F7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600CB4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609" w:type="dxa"/>
            <w:tcBorders>
              <w:tl2br w:val="nil"/>
              <w:tr2bl w:val="nil"/>
            </w:tcBorders>
            <w:shd w:val="clear" w:color="auto" w:fill="auto"/>
            <w:vAlign w:val="center"/>
          </w:tcPr>
          <w:p w14:paraId="3352AB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135</w:t>
            </w:r>
          </w:p>
        </w:tc>
        <w:tc>
          <w:tcPr>
            <w:tcW w:w="590" w:type="dxa"/>
            <w:vMerge w:val="continue"/>
            <w:tcBorders>
              <w:tl2br w:val="nil"/>
              <w:tr2bl w:val="nil"/>
            </w:tcBorders>
            <w:shd w:val="clear" w:color="auto" w:fill="auto"/>
            <w:vAlign w:val="center"/>
          </w:tcPr>
          <w:p w14:paraId="410559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94B39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869B3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7.1.2</w:t>
            </w:r>
          </w:p>
        </w:tc>
        <w:tc>
          <w:tcPr>
            <w:tcW w:w="7712" w:type="dxa"/>
            <w:tcBorders>
              <w:tl2br w:val="nil"/>
              <w:tr2bl w:val="nil"/>
            </w:tcBorders>
            <w:shd w:val="clear" w:color="auto" w:fill="auto"/>
            <w:vAlign w:val="center"/>
          </w:tcPr>
          <w:p w14:paraId="011B65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小区建立综合信息服务平台，并符合下列规定：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提供标准化接口与通用通信协议，支持外部第三方平台功能调用、数据共享及内部子系统对接；实现与智慧城市各级平台的数据互通与业务协同；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整合安防、物业、建筑设备管理等基础模块，对接电子政务、养老服务、物联网应用及小区党建等扩展功能。</w:t>
            </w:r>
          </w:p>
        </w:tc>
        <w:tc>
          <w:tcPr>
            <w:tcW w:w="1088" w:type="dxa"/>
            <w:tcBorders>
              <w:tl2br w:val="nil"/>
              <w:tr2bl w:val="nil"/>
            </w:tcBorders>
            <w:shd w:val="clear" w:color="auto" w:fill="auto"/>
            <w:noWrap/>
            <w:vAlign w:val="center"/>
          </w:tcPr>
          <w:p w14:paraId="203D170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69586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B74F6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6387B3F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FDC533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31DF0C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7" w:hRule="atLeast"/>
        </w:trPr>
        <w:tc>
          <w:tcPr>
            <w:tcW w:w="609" w:type="dxa"/>
            <w:tcBorders>
              <w:tl2br w:val="nil"/>
              <w:tr2bl w:val="nil"/>
            </w:tcBorders>
            <w:shd w:val="clear" w:color="auto" w:fill="auto"/>
            <w:vAlign w:val="center"/>
          </w:tcPr>
          <w:p w14:paraId="382803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136</w:t>
            </w:r>
          </w:p>
        </w:tc>
        <w:tc>
          <w:tcPr>
            <w:tcW w:w="590" w:type="dxa"/>
            <w:vMerge w:val="continue"/>
            <w:tcBorders>
              <w:tl2br w:val="nil"/>
              <w:tr2bl w:val="nil"/>
            </w:tcBorders>
            <w:shd w:val="clear" w:color="auto" w:fill="auto"/>
            <w:vAlign w:val="center"/>
          </w:tcPr>
          <w:p w14:paraId="03AF629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5C75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54B9E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7.1.3</w:t>
            </w:r>
          </w:p>
        </w:tc>
        <w:tc>
          <w:tcPr>
            <w:tcW w:w="7712" w:type="dxa"/>
            <w:tcBorders>
              <w:tl2br w:val="nil"/>
              <w:tr2bl w:val="nil"/>
            </w:tcBorders>
            <w:shd w:val="clear" w:color="auto" w:fill="auto"/>
            <w:vAlign w:val="center"/>
          </w:tcPr>
          <w:p w14:paraId="4FF4BA6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小区设有智慧物业服务系统，并符合下列规定：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居民通过移动终端、Web访问等方式，具备管家服务、智慧通行、生活缴费等功能；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采取移动终端推送、业主群公告、在显著位置设置显示屏等多种方式，对公共设施维修、应急与关爱提醒、环境信息及气象灾害预警等信息进行信息公告；</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设有便民服务热线，并支持线上咨询、投诉、投票、投诉处理进度查询等。</w:t>
            </w:r>
          </w:p>
        </w:tc>
        <w:tc>
          <w:tcPr>
            <w:tcW w:w="1088" w:type="dxa"/>
            <w:tcBorders>
              <w:tl2br w:val="nil"/>
              <w:tr2bl w:val="nil"/>
            </w:tcBorders>
            <w:shd w:val="clear" w:color="auto" w:fill="auto"/>
            <w:noWrap/>
            <w:vAlign w:val="center"/>
          </w:tcPr>
          <w:p w14:paraId="751F585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679743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078FD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89B71B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8E372A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预评价需提交承诺达标函。终评价现场核查，相关设计图纸及设计说明。</w:t>
            </w:r>
          </w:p>
        </w:tc>
      </w:tr>
      <w:tr w14:paraId="6CD77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609" w:type="dxa"/>
            <w:tcBorders>
              <w:tl2br w:val="nil"/>
              <w:tr2bl w:val="nil"/>
            </w:tcBorders>
            <w:shd w:val="clear" w:color="auto" w:fill="auto"/>
            <w:vAlign w:val="center"/>
          </w:tcPr>
          <w:p w14:paraId="13CA6F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137</w:t>
            </w:r>
          </w:p>
        </w:tc>
        <w:tc>
          <w:tcPr>
            <w:tcW w:w="590" w:type="dxa"/>
            <w:vMerge w:val="continue"/>
            <w:tcBorders>
              <w:tl2br w:val="nil"/>
              <w:tr2bl w:val="nil"/>
            </w:tcBorders>
            <w:shd w:val="clear" w:color="auto" w:fill="auto"/>
            <w:vAlign w:val="center"/>
          </w:tcPr>
          <w:p w14:paraId="558672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FCD9D3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72934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7.1.4</w:t>
            </w:r>
          </w:p>
        </w:tc>
        <w:tc>
          <w:tcPr>
            <w:tcW w:w="7712" w:type="dxa"/>
            <w:tcBorders>
              <w:tl2br w:val="nil"/>
              <w:tr2bl w:val="nil"/>
            </w:tcBorders>
            <w:shd w:val="clear" w:color="auto" w:fill="auto"/>
            <w:vAlign w:val="center"/>
          </w:tcPr>
          <w:p w14:paraId="1B878D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小区设置智慧化安防系统，除满足常规安防功能外，利用视频智能算法，自动识别视频监控中高空抛物、电动车入梯、消防通道占用、防尾随检测、黑名单预警等场景，并进行预警。</w:t>
            </w:r>
          </w:p>
        </w:tc>
        <w:tc>
          <w:tcPr>
            <w:tcW w:w="1088" w:type="dxa"/>
            <w:tcBorders>
              <w:tl2br w:val="nil"/>
              <w:tr2bl w:val="nil"/>
            </w:tcBorders>
            <w:shd w:val="clear" w:color="auto" w:fill="auto"/>
            <w:noWrap/>
            <w:vAlign w:val="center"/>
          </w:tcPr>
          <w:p w14:paraId="1A3994E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1617E5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73504B">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70CFD7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E2108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609" w:type="dxa"/>
            <w:tcBorders>
              <w:tl2br w:val="nil"/>
              <w:tr2bl w:val="nil"/>
            </w:tcBorders>
            <w:shd w:val="clear" w:color="auto" w:fill="auto"/>
            <w:vAlign w:val="center"/>
          </w:tcPr>
          <w:p w14:paraId="714CFB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138</w:t>
            </w:r>
          </w:p>
        </w:tc>
        <w:tc>
          <w:tcPr>
            <w:tcW w:w="590" w:type="dxa"/>
            <w:vMerge w:val="restart"/>
            <w:tcBorders>
              <w:tl2br w:val="nil"/>
              <w:tr2bl w:val="nil"/>
            </w:tcBorders>
            <w:shd w:val="clear" w:color="auto" w:fill="auto"/>
            <w:vAlign w:val="center"/>
          </w:tcPr>
          <w:p w14:paraId="588E46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7.2 数字家庭</w:t>
            </w:r>
          </w:p>
        </w:tc>
        <w:tc>
          <w:tcPr>
            <w:tcW w:w="465" w:type="dxa"/>
            <w:vMerge w:val="restart"/>
            <w:tcBorders>
              <w:tl2br w:val="nil"/>
              <w:tr2bl w:val="nil"/>
            </w:tcBorders>
            <w:shd w:val="clear" w:color="auto" w:fill="auto"/>
            <w:vAlign w:val="center"/>
          </w:tcPr>
          <w:p w14:paraId="6FDC7D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0066E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7.2.1</w:t>
            </w:r>
          </w:p>
        </w:tc>
        <w:tc>
          <w:tcPr>
            <w:tcW w:w="7712" w:type="dxa"/>
            <w:tcBorders>
              <w:tl2br w:val="nil"/>
              <w:tr2bl w:val="nil"/>
            </w:tcBorders>
            <w:shd w:val="clear" w:color="auto" w:fill="auto"/>
            <w:vAlign w:val="center"/>
          </w:tcPr>
          <w:p w14:paraId="513E375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数字家庭系统包括数字家庭基础平台、家庭综合信息箱、控制终端和终端设备，支持不同品牌和品类终端设备互联、数据互通、服务共享，并符合下列规定：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包括按钮交互、触摸交互、传感交互、语音交互、摄像头交互、移动 APP 交互等两种以上的人机交互方式，人机交互界面直观、易用，并支持远程和本地操作及控制；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具备功能升级、故障诊断、预警和自动恢复等功能；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具备状态实时监测，以及设备运行状态自动调节的功能。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支持网络中断或平台故障时仍可完成基础人工控制，如灯具启闭、窗帘启闭等。</w:t>
            </w:r>
          </w:p>
        </w:tc>
        <w:tc>
          <w:tcPr>
            <w:tcW w:w="1088" w:type="dxa"/>
            <w:tcBorders>
              <w:tl2br w:val="nil"/>
              <w:tr2bl w:val="nil"/>
            </w:tcBorders>
            <w:shd w:val="clear" w:color="auto" w:fill="auto"/>
            <w:noWrap/>
            <w:vAlign w:val="center"/>
          </w:tcPr>
          <w:p w14:paraId="0BA91FF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218AB9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3AD0EEE">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28FE87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32514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0CC3B2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139</w:t>
            </w:r>
          </w:p>
        </w:tc>
        <w:tc>
          <w:tcPr>
            <w:tcW w:w="590" w:type="dxa"/>
            <w:vMerge w:val="continue"/>
            <w:tcBorders>
              <w:tl2br w:val="nil"/>
              <w:tr2bl w:val="nil"/>
            </w:tcBorders>
            <w:shd w:val="clear" w:color="auto" w:fill="auto"/>
            <w:vAlign w:val="center"/>
          </w:tcPr>
          <w:p w14:paraId="428E65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A8E2B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E122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7.2.2</w:t>
            </w:r>
          </w:p>
        </w:tc>
        <w:tc>
          <w:tcPr>
            <w:tcW w:w="7712" w:type="dxa"/>
            <w:tcBorders>
              <w:tl2br w:val="nil"/>
              <w:tr2bl w:val="nil"/>
            </w:tcBorders>
            <w:shd w:val="clear" w:color="auto" w:fill="auto"/>
            <w:vAlign w:val="center"/>
          </w:tcPr>
          <w:p w14:paraId="5A0B96E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数字家庭主用分系统包括智慧交互系统、全宅安防系统和照明智控系统。数字家庭的基础应用实现主用分系统的基本功能。</w:t>
            </w:r>
          </w:p>
        </w:tc>
        <w:tc>
          <w:tcPr>
            <w:tcW w:w="1088" w:type="dxa"/>
            <w:tcBorders>
              <w:tl2br w:val="nil"/>
              <w:tr2bl w:val="nil"/>
            </w:tcBorders>
            <w:shd w:val="clear" w:color="auto" w:fill="auto"/>
            <w:noWrap/>
            <w:vAlign w:val="center"/>
          </w:tcPr>
          <w:p w14:paraId="2354C7F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6045BF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540952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3455DDB">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477D1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6BE9267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w:t>
            </w:r>
          </w:p>
        </w:tc>
        <w:tc>
          <w:tcPr>
            <w:tcW w:w="590" w:type="dxa"/>
            <w:vMerge w:val="continue"/>
            <w:tcBorders>
              <w:tl2br w:val="nil"/>
              <w:tr2bl w:val="nil"/>
            </w:tcBorders>
            <w:shd w:val="clear" w:color="auto" w:fill="auto"/>
            <w:vAlign w:val="center"/>
          </w:tcPr>
          <w:p w14:paraId="441C89B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1D740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58CA0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7.2.3</w:t>
            </w:r>
          </w:p>
        </w:tc>
        <w:tc>
          <w:tcPr>
            <w:tcW w:w="7712" w:type="dxa"/>
            <w:tcBorders>
              <w:tl2br w:val="nil"/>
              <w:tr2bl w:val="nil"/>
            </w:tcBorders>
            <w:shd w:val="clear" w:color="auto" w:fill="auto"/>
            <w:vAlign w:val="center"/>
          </w:tcPr>
          <w:p w14:paraId="635E86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住房设置数字家庭系统，并在实现基础应用上预留提升条件 （包括设备电源、通信接口、软件端口及设备安装空间等）。</w:t>
            </w:r>
          </w:p>
        </w:tc>
        <w:tc>
          <w:tcPr>
            <w:tcW w:w="1088" w:type="dxa"/>
            <w:tcBorders>
              <w:tl2br w:val="nil"/>
              <w:tr2bl w:val="nil"/>
            </w:tcBorders>
            <w:shd w:val="clear" w:color="auto" w:fill="auto"/>
            <w:noWrap/>
            <w:vAlign w:val="center"/>
          </w:tcPr>
          <w:p w14:paraId="5AF63A0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420622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84E60A1">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A908803">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9EEE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0DD41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w:t>
            </w:r>
          </w:p>
        </w:tc>
        <w:tc>
          <w:tcPr>
            <w:tcW w:w="590" w:type="dxa"/>
            <w:vMerge w:val="continue"/>
            <w:tcBorders>
              <w:tl2br w:val="nil"/>
              <w:tr2bl w:val="nil"/>
            </w:tcBorders>
            <w:shd w:val="clear" w:color="auto" w:fill="auto"/>
            <w:vAlign w:val="center"/>
          </w:tcPr>
          <w:p w14:paraId="54D7A0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4A4D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D818D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7.2.4</w:t>
            </w:r>
          </w:p>
        </w:tc>
        <w:tc>
          <w:tcPr>
            <w:tcW w:w="7712" w:type="dxa"/>
            <w:tcBorders>
              <w:tl2br w:val="nil"/>
              <w:tr2bl w:val="nil"/>
            </w:tcBorders>
            <w:shd w:val="clear" w:color="auto" w:fill="auto"/>
            <w:vAlign w:val="center"/>
          </w:tcPr>
          <w:p w14:paraId="322008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数字家庭设备的安装与布线满足终端设备供电及通信连接要求。</w:t>
            </w:r>
          </w:p>
        </w:tc>
        <w:tc>
          <w:tcPr>
            <w:tcW w:w="1088" w:type="dxa"/>
            <w:tcBorders>
              <w:tl2br w:val="nil"/>
              <w:tr2bl w:val="nil"/>
            </w:tcBorders>
            <w:shd w:val="clear" w:color="auto" w:fill="auto"/>
            <w:noWrap/>
            <w:vAlign w:val="center"/>
          </w:tcPr>
          <w:p w14:paraId="08CAC99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568E33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87DB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A45F28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525832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2F971DB6">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智慧便捷</w:t>
            </w:r>
          </w:p>
          <w:p w14:paraId="159A2C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（基本类24条，预评价17条不参评。）</w:t>
            </w:r>
          </w:p>
        </w:tc>
      </w:tr>
      <w:tr w14:paraId="2778B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FA8EB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142</w:t>
            </w:r>
          </w:p>
        </w:tc>
        <w:tc>
          <w:tcPr>
            <w:tcW w:w="590" w:type="dxa"/>
            <w:vMerge w:val="restart"/>
            <w:tcBorders>
              <w:tl2br w:val="nil"/>
              <w:tr2bl w:val="nil"/>
            </w:tcBorders>
            <w:shd w:val="clear" w:color="auto" w:fill="auto"/>
            <w:vAlign w:val="center"/>
          </w:tcPr>
          <w:p w14:paraId="4DD221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 风貌协调</w:t>
            </w:r>
          </w:p>
        </w:tc>
        <w:tc>
          <w:tcPr>
            <w:tcW w:w="465" w:type="dxa"/>
            <w:vMerge w:val="restart"/>
            <w:tcBorders>
              <w:tl2br w:val="nil"/>
              <w:tr2bl w:val="nil"/>
            </w:tcBorders>
            <w:shd w:val="clear" w:color="auto" w:fill="auto"/>
            <w:vAlign w:val="center"/>
          </w:tcPr>
          <w:p w14:paraId="42EB6F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79F27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8.1.1</w:t>
            </w:r>
          </w:p>
        </w:tc>
        <w:tc>
          <w:tcPr>
            <w:tcW w:w="7712" w:type="dxa"/>
            <w:tcBorders>
              <w:tl2br w:val="nil"/>
              <w:tr2bl w:val="nil"/>
            </w:tcBorders>
            <w:shd w:val="clear" w:color="auto" w:fill="auto"/>
            <w:vAlign w:val="center"/>
          </w:tcPr>
          <w:p w14:paraId="6D56D4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小区的建筑风貌与城乡规划相协调，建筑的高度、体量、风格、色彩、建筑界面等满足城市设计控制要求。</w:t>
            </w:r>
          </w:p>
        </w:tc>
        <w:tc>
          <w:tcPr>
            <w:tcW w:w="1088" w:type="dxa"/>
            <w:tcBorders>
              <w:tl2br w:val="nil"/>
              <w:tr2bl w:val="nil"/>
            </w:tcBorders>
            <w:shd w:val="clear" w:color="auto" w:fill="auto"/>
            <w:noWrap/>
            <w:vAlign w:val="center"/>
          </w:tcPr>
          <w:p w14:paraId="74C057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7371E2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DE2A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4189F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1BF4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505778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143</w:t>
            </w:r>
          </w:p>
        </w:tc>
        <w:tc>
          <w:tcPr>
            <w:tcW w:w="590" w:type="dxa"/>
            <w:vMerge w:val="continue"/>
            <w:tcBorders>
              <w:tl2br w:val="nil"/>
              <w:tr2bl w:val="nil"/>
            </w:tcBorders>
            <w:shd w:val="clear" w:color="auto" w:fill="auto"/>
            <w:vAlign w:val="center"/>
          </w:tcPr>
          <w:p w14:paraId="7C855A0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D928C2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8487B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8.1.2</w:t>
            </w:r>
          </w:p>
        </w:tc>
        <w:tc>
          <w:tcPr>
            <w:tcW w:w="7712" w:type="dxa"/>
            <w:tcBorders>
              <w:tl2br w:val="nil"/>
              <w:tr2bl w:val="nil"/>
            </w:tcBorders>
            <w:shd w:val="clear" w:color="auto" w:fill="auto"/>
            <w:vAlign w:val="center"/>
          </w:tcPr>
          <w:p w14:paraId="2DE0D58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涉及历史城区、历史文化名镇（村）、历史文化街区、文物保护单位及历史建筑风貌管控范围的小区，符合中山市相关保护规划的规定，建筑风貌与之相协调。</w:t>
            </w:r>
          </w:p>
          <w:p w14:paraId="5FCFE2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注：项目不属于上述小区时，可判定为达标。</w:t>
            </w:r>
          </w:p>
        </w:tc>
        <w:tc>
          <w:tcPr>
            <w:tcW w:w="1088" w:type="dxa"/>
            <w:tcBorders>
              <w:tl2br w:val="nil"/>
              <w:tr2bl w:val="nil"/>
            </w:tcBorders>
            <w:shd w:val="clear" w:color="auto" w:fill="auto"/>
            <w:noWrap/>
            <w:vAlign w:val="center"/>
          </w:tcPr>
          <w:p w14:paraId="4EC94D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7C7FF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10C4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65FFC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189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17D638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144</w:t>
            </w:r>
          </w:p>
        </w:tc>
        <w:tc>
          <w:tcPr>
            <w:tcW w:w="590" w:type="dxa"/>
            <w:vMerge w:val="continue"/>
            <w:tcBorders>
              <w:tl2br w:val="nil"/>
              <w:tr2bl w:val="nil"/>
            </w:tcBorders>
            <w:shd w:val="clear" w:color="auto" w:fill="auto"/>
            <w:vAlign w:val="center"/>
          </w:tcPr>
          <w:p w14:paraId="2ACBD1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EBD433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B4762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8.1.3</w:t>
            </w:r>
          </w:p>
        </w:tc>
        <w:tc>
          <w:tcPr>
            <w:tcW w:w="7712" w:type="dxa"/>
            <w:tcBorders>
              <w:tl2br w:val="nil"/>
              <w:tr2bl w:val="nil"/>
            </w:tcBorders>
            <w:shd w:val="clear" w:color="auto" w:fill="auto"/>
            <w:vAlign w:val="center"/>
          </w:tcPr>
          <w:p w14:paraId="3A954B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加强小区主入口、主要道路，重要景观节点、高层建筑、公共建筑等的立面设计和灯光夜景设计，增强小区的标识性，展现城市特色风貌。</w:t>
            </w:r>
          </w:p>
        </w:tc>
        <w:tc>
          <w:tcPr>
            <w:tcW w:w="1088" w:type="dxa"/>
            <w:tcBorders>
              <w:tl2br w:val="nil"/>
              <w:tr2bl w:val="nil"/>
            </w:tcBorders>
            <w:shd w:val="clear" w:color="auto" w:fill="auto"/>
            <w:noWrap/>
            <w:vAlign w:val="center"/>
          </w:tcPr>
          <w:p w14:paraId="77C355F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CC3C98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81CB0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5E63C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EEEB1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B7CF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145</w:t>
            </w:r>
          </w:p>
        </w:tc>
        <w:tc>
          <w:tcPr>
            <w:tcW w:w="590" w:type="dxa"/>
            <w:vMerge w:val="restart"/>
            <w:tcBorders>
              <w:tl2br w:val="nil"/>
              <w:tr2bl w:val="nil"/>
            </w:tcBorders>
            <w:shd w:val="clear" w:color="auto" w:fill="auto"/>
            <w:vAlign w:val="center"/>
          </w:tcPr>
          <w:p w14:paraId="74232E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 建筑美观</w:t>
            </w:r>
          </w:p>
        </w:tc>
        <w:tc>
          <w:tcPr>
            <w:tcW w:w="465" w:type="dxa"/>
            <w:vMerge w:val="restart"/>
            <w:tcBorders>
              <w:tl2br w:val="nil"/>
              <w:tr2bl w:val="nil"/>
            </w:tcBorders>
            <w:shd w:val="clear" w:color="auto" w:fill="auto"/>
            <w:vAlign w:val="center"/>
          </w:tcPr>
          <w:p w14:paraId="773240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82D1D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8.2.1</w:t>
            </w:r>
          </w:p>
        </w:tc>
        <w:tc>
          <w:tcPr>
            <w:tcW w:w="7712" w:type="dxa"/>
            <w:tcBorders>
              <w:tl2br w:val="nil"/>
              <w:tr2bl w:val="nil"/>
            </w:tcBorders>
            <w:shd w:val="clear" w:color="auto" w:fill="auto"/>
            <w:vAlign w:val="center"/>
          </w:tcPr>
          <w:p w14:paraId="4B68DF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建筑形式适应中山亚热带季风气候特点以及地理环境，与周边环境和建筑形式相协调。</w:t>
            </w:r>
          </w:p>
        </w:tc>
        <w:tc>
          <w:tcPr>
            <w:tcW w:w="1088" w:type="dxa"/>
            <w:tcBorders>
              <w:tl2br w:val="nil"/>
              <w:tr2bl w:val="nil"/>
            </w:tcBorders>
            <w:shd w:val="clear" w:color="auto" w:fill="auto"/>
            <w:noWrap/>
            <w:vAlign w:val="center"/>
          </w:tcPr>
          <w:p w14:paraId="2600CC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7E587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61F1C9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D86974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347F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7C4D64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146</w:t>
            </w:r>
          </w:p>
        </w:tc>
        <w:tc>
          <w:tcPr>
            <w:tcW w:w="590" w:type="dxa"/>
            <w:vMerge w:val="continue"/>
            <w:tcBorders>
              <w:tl2br w:val="nil"/>
              <w:tr2bl w:val="nil"/>
            </w:tcBorders>
            <w:shd w:val="clear" w:color="auto" w:fill="auto"/>
            <w:vAlign w:val="center"/>
          </w:tcPr>
          <w:p w14:paraId="1200F21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CE118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B50B0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8.2.2</w:t>
            </w:r>
          </w:p>
        </w:tc>
        <w:tc>
          <w:tcPr>
            <w:tcW w:w="7712" w:type="dxa"/>
            <w:tcBorders>
              <w:tl2br w:val="nil"/>
              <w:tr2bl w:val="nil"/>
            </w:tcBorders>
            <w:shd w:val="clear" w:color="auto" w:fill="auto"/>
            <w:vAlign w:val="center"/>
          </w:tcPr>
          <w:p w14:paraId="422754D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住宅立面做精细化设计，空调室外机位、设备平台、光伏等与建筑一体化设计，排水立管、冷媒管及空调冷凝水管等隐蔽设置。</w:t>
            </w:r>
          </w:p>
        </w:tc>
        <w:tc>
          <w:tcPr>
            <w:tcW w:w="1088" w:type="dxa"/>
            <w:tcBorders>
              <w:tl2br w:val="nil"/>
              <w:tr2bl w:val="nil"/>
            </w:tcBorders>
            <w:shd w:val="clear" w:color="auto" w:fill="auto"/>
            <w:noWrap/>
            <w:vAlign w:val="center"/>
          </w:tcPr>
          <w:p w14:paraId="63B1DDA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/机电专业</w:t>
            </w:r>
          </w:p>
        </w:tc>
        <w:tc>
          <w:tcPr>
            <w:tcW w:w="1722" w:type="dxa"/>
            <w:tcBorders>
              <w:tl2br w:val="nil"/>
              <w:tr2bl w:val="nil"/>
            </w:tcBorders>
            <w:shd w:val="clear" w:color="auto" w:fill="auto"/>
            <w:noWrap/>
            <w:vAlign w:val="center"/>
          </w:tcPr>
          <w:p w14:paraId="188D7C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EEBAF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42D97C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CB92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27B7A9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147</w:t>
            </w:r>
          </w:p>
        </w:tc>
        <w:tc>
          <w:tcPr>
            <w:tcW w:w="590" w:type="dxa"/>
            <w:vMerge w:val="continue"/>
            <w:tcBorders>
              <w:tl2br w:val="nil"/>
              <w:tr2bl w:val="nil"/>
            </w:tcBorders>
            <w:shd w:val="clear" w:color="auto" w:fill="auto"/>
            <w:vAlign w:val="center"/>
          </w:tcPr>
          <w:p w14:paraId="4ED9E19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C14ED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A94D8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8.2.3</w:t>
            </w:r>
          </w:p>
        </w:tc>
        <w:tc>
          <w:tcPr>
            <w:tcW w:w="7712" w:type="dxa"/>
            <w:tcBorders>
              <w:tl2br w:val="nil"/>
              <w:tr2bl w:val="nil"/>
            </w:tcBorders>
            <w:shd w:val="clear" w:color="auto" w:fill="auto"/>
            <w:vAlign w:val="center"/>
          </w:tcPr>
          <w:p w14:paraId="1AD3A1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住宅标识具有较高的辨识度，且与主体立面风格相协调。</w:t>
            </w:r>
          </w:p>
        </w:tc>
        <w:tc>
          <w:tcPr>
            <w:tcW w:w="1088" w:type="dxa"/>
            <w:tcBorders>
              <w:tl2br w:val="nil"/>
              <w:tr2bl w:val="nil"/>
            </w:tcBorders>
            <w:shd w:val="clear" w:color="auto" w:fill="auto"/>
            <w:noWrap/>
            <w:vAlign w:val="center"/>
          </w:tcPr>
          <w:p w14:paraId="2F06C5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AF270D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3FE4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8776B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1A31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3FF48F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148</w:t>
            </w:r>
          </w:p>
        </w:tc>
        <w:tc>
          <w:tcPr>
            <w:tcW w:w="590" w:type="dxa"/>
            <w:vMerge w:val="restart"/>
            <w:tcBorders>
              <w:tl2br w:val="nil"/>
              <w:tr2bl w:val="nil"/>
            </w:tcBorders>
            <w:shd w:val="clear" w:color="auto" w:fill="auto"/>
            <w:vAlign w:val="center"/>
          </w:tcPr>
          <w:p w14:paraId="7F949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 邻里和睦</w:t>
            </w:r>
          </w:p>
        </w:tc>
        <w:tc>
          <w:tcPr>
            <w:tcW w:w="465" w:type="dxa"/>
            <w:vMerge w:val="restart"/>
            <w:tcBorders>
              <w:tl2br w:val="nil"/>
              <w:tr2bl w:val="nil"/>
            </w:tcBorders>
            <w:shd w:val="clear" w:color="auto" w:fill="auto"/>
            <w:vAlign w:val="center"/>
          </w:tcPr>
          <w:p w14:paraId="76B736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F28E0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8.3.1</w:t>
            </w:r>
          </w:p>
        </w:tc>
        <w:tc>
          <w:tcPr>
            <w:tcW w:w="7712" w:type="dxa"/>
            <w:tcBorders>
              <w:tl2br w:val="nil"/>
              <w:tr2bl w:val="nil"/>
            </w:tcBorders>
            <w:shd w:val="clear" w:color="auto" w:fill="auto"/>
            <w:vAlign w:val="center"/>
          </w:tcPr>
          <w:p w14:paraId="0BFE4C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小区制定文明公约，倡导邻里和谐、尊老爱幼、诚信友善、助人为乐、爱护公物、遵纪守法等文明风范。</w:t>
            </w:r>
          </w:p>
          <w:p w14:paraId="52E9F7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9E6E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4F089F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7E829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B8C951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小区文明公约纸质及电子版。</w:t>
            </w:r>
          </w:p>
        </w:tc>
      </w:tr>
      <w:tr w14:paraId="2A4E7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609" w:type="dxa"/>
            <w:tcBorders>
              <w:tl2br w:val="nil"/>
              <w:tr2bl w:val="nil"/>
            </w:tcBorders>
            <w:shd w:val="clear" w:color="auto" w:fill="auto"/>
            <w:vAlign w:val="center"/>
          </w:tcPr>
          <w:p w14:paraId="34221CB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149</w:t>
            </w:r>
          </w:p>
        </w:tc>
        <w:tc>
          <w:tcPr>
            <w:tcW w:w="590" w:type="dxa"/>
            <w:vMerge w:val="continue"/>
            <w:tcBorders>
              <w:tl2br w:val="nil"/>
              <w:tr2bl w:val="nil"/>
            </w:tcBorders>
            <w:shd w:val="clear" w:color="auto" w:fill="auto"/>
            <w:vAlign w:val="center"/>
          </w:tcPr>
          <w:p w14:paraId="10423E1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D57E7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A06A7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w:t>
            </w:r>
          </w:p>
        </w:tc>
        <w:tc>
          <w:tcPr>
            <w:tcW w:w="7712" w:type="dxa"/>
            <w:tcBorders>
              <w:tl2br w:val="nil"/>
              <w:tr2bl w:val="nil"/>
            </w:tcBorders>
            <w:shd w:val="clear" w:color="auto" w:fill="auto"/>
            <w:vAlign w:val="center"/>
          </w:tcPr>
          <w:p w14:paraId="124FD9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小区设立居民调解工作室。</w:t>
            </w:r>
          </w:p>
          <w:p w14:paraId="6F335CA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98B6E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855582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17859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017C2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终评价现场核查</w:t>
            </w:r>
          </w:p>
        </w:tc>
      </w:tr>
      <w:tr w14:paraId="308879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4AF7B7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150</w:t>
            </w:r>
          </w:p>
        </w:tc>
        <w:tc>
          <w:tcPr>
            <w:tcW w:w="590" w:type="dxa"/>
            <w:vMerge w:val="continue"/>
            <w:tcBorders>
              <w:tl2br w:val="nil"/>
              <w:tr2bl w:val="nil"/>
            </w:tcBorders>
            <w:shd w:val="clear" w:color="auto" w:fill="auto"/>
            <w:vAlign w:val="center"/>
          </w:tcPr>
          <w:p w14:paraId="3FF0553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EE5B4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59A84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8.3.3</w:t>
            </w:r>
          </w:p>
        </w:tc>
        <w:tc>
          <w:tcPr>
            <w:tcW w:w="7712" w:type="dxa"/>
            <w:tcBorders>
              <w:tl2br w:val="nil"/>
              <w:tr2bl w:val="nil"/>
            </w:tcBorders>
            <w:shd w:val="clear" w:color="auto" w:fill="auto"/>
            <w:vAlign w:val="center"/>
          </w:tcPr>
          <w:p w14:paraId="1B24331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小区建立文明养宠物管理制度，要求住户在饲养宠物时及时登记、定期检疫、并定期注射相关疫苗。宠物犬外出活动时佩戴牵引绳，并且宠物主人自觉清理宠物的排泄物。</w:t>
            </w:r>
          </w:p>
          <w:p w14:paraId="47BD1F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668D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94EE0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DFA22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98A0B7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小区文明养宠物管理制度纸质及电子版，并现场核查。</w:t>
            </w:r>
          </w:p>
        </w:tc>
      </w:tr>
      <w:tr w14:paraId="38CE3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285DC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151</w:t>
            </w:r>
          </w:p>
        </w:tc>
        <w:tc>
          <w:tcPr>
            <w:tcW w:w="590" w:type="dxa"/>
            <w:vMerge w:val="continue"/>
            <w:tcBorders>
              <w:tl2br w:val="nil"/>
              <w:tr2bl w:val="nil"/>
            </w:tcBorders>
            <w:shd w:val="clear" w:color="auto" w:fill="auto"/>
            <w:vAlign w:val="center"/>
          </w:tcPr>
          <w:p w14:paraId="0E8A605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0C2D3D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616F6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8.3.4</w:t>
            </w:r>
          </w:p>
        </w:tc>
        <w:tc>
          <w:tcPr>
            <w:tcW w:w="7712" w:type="dxa"/>
            <w:tcBorders>
              <w:tl2br w:val="nil"/>
              <w:tr2bl w:val="nil"/>
            </w:tcBorders>
            <w:shd w:val="clear" w:color="auto" w:fill="auto"/>
            <w:vAlign w:val="center"/>
          </w:tcPr>
          <w:p w14:paraId="473CCD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住户在进行再装修时，向物业管理部门提交装修方案以供审核，并遵守物业管理部门提供的装修指南。</w:t>
            </w:r>
          </w:p>
          <w:p w14:paraId="748E800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17D80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C4001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7A055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E5E3B6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小区物业管理制度纸质及电子版（内含装修指南指引）</w:t>
            </w:r>
          </w:p>
        </w:tc>
      </w:tr>
      <w:tr w14:paraId="7BA63D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0CD2BA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152</w:t>
            </w:r>
          </w:p>
        </w:tc>
        <w:tc>
          <w:tcPr>
            <w:tcW w:w="590" w:type="dxa"/>
            <w:vMerge w:val="continue"/>
            <w:tcBorders>
              <w:tl2br w:val="nil"/>
              <w:tr2bl w:val="nil"/>
            </w:tcBorders>
            <w:shd w:val="clear" w:color="auto" w:fill="auto"/>
            <w:vAlign w:val="center"/>
          </w:tcPr>
          <w:p w14:paraId="3FEBBE4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01B848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E0D65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8.3.5</w:t>
            </w:r>
          </w:p>
        </w:tc>
        <w:tc>
          <w:tcPr>
            <w:tcW w:w="7712" w:type="dxa"/>
            <w:tcBorders>
              <w:tl2br w:val="nil"/>
              <w:tr2bl w:val="nil"/>
            </w:tcBorders>
            <w:shd w:val="clear" w:color="auto" w:fill="auto"/>
            <w:vAlign w:val="center"/>
          </w:tcPr>
          <w:p w14:paraId="5AAC3A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住户共同维护住宅公共空间的环境卫生，不在楼道内乱丢垃圾和杂物、私占公共空间及进行任何可能损害邻里利益的行为。</w:t>
            </w:r>
          </w:p>
          <w:p w14:paraId="4EFCCFD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25327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40877E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397F3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F2D024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w:t>
            </w:r>
          </w:p>
        </w:tc>
      </w:tr>
      <w:tr w14:paraId="518D44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047ABA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153</w:t>
            </w:r>
          </w:p>
        </w:tc>
        <w:tc>
          <w:tcPr>
            <w:tcW w:w="590" w:type="dxa"/>
            <w:vMerge w:val="continue"/>
            <w:tcBorders>
              <w:tl2br w:val="nil"/>
              <w:tr2bl w:val="nil"/>
            </w:tcBorders>
            <w:shd w:val="clear" w:color="auto" w:fill="auto"/>
            <w:vAlign w:val="center"/>
          </w:tcPr>
          <w:p w14:paraId="6E749F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28D0B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4E441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8.3.6</w:t>
            </w:r>
          </w:p>
        </w:tc>
        <w:tc>
          <w:tcPr>
            <w:tcW w:w="7712" w:type="dxa"/>
            <w:tcBorders>
              <w:tl2br w:val="nil"/>
              <w:tr2bl w:val="nil"/>
            </w:tcBorders>
            <w:shd w:val="clear" w:color="auto" w:fill="auto"/>
            <w:vAlign w:val="center"/>
          </w:tcPr>
          <w:p w14:paraId="329B662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住户在使用家用电器、演奏乐器或进行其他家庭活动时，确保不会干扰邻居的生活和休息。</w:t>
            </w:r>
          </w:p>
          <w:p w14:paraId="6DB8D0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FFD82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9B2F9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DE53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62F4D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w:t>
            </w:r>
          </w:p>
        </w:tc>
      </w:tr>
      <w:tr w14:paraId="01AD9C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2B0343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154</w:t>
            </w:r>
          </w:p>
        </w:tc>
        <w:tc>
          <w:tcPr>
            <w:tcW w:w="590" w:type="dxa"/>
            <w:vMerge w:val="continue"/>
            <w:tcBorders>
              <w:tl2br w:val="nil"/>
              <w:tr2bl w:val="nil"/>
            </w:tcBorders>
            <w:shd w:val="clear" w:color="auto" w:fill="auto"/>
            <w:vAlign w:val="center"/>
          </w:tcPr>
          <w:p w14:paraId="2349E4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731B0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4E51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8.3.7</w:t>
            </w:r>
          </w:p>
        </w:tc>
        <w:tc>
          <w:tcPr>
            <w:tcW w:w="7712" w:type="dxa"/>
            <w:tcBorders>
              <w:tl2br w:val="nil"/>
              <w:tr2bl w:val="nil"/>
            </w:tcBorders>
            <w:shd w:val="clear" w:color="auto" w:fill="auto"/>
            <w:vAlign w:val="center"/>
          </w:tcPr>
          <w:p w14:paraId="373EFD7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住户杜绝高空抛物行为和采取必要措施防止坠物，及时清理自家阳台、门窗等室外悬挂物，并定期检查窗户的稳固性。</w:t>
            </w:r>
          </w:p>
          <w:p w14:paraId="29080A4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02D345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20E614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46CC76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4C654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863ED6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小区物业管理制度、业主公约纸质及电子版，并现场核查。</w:t>
            </w:r>
          </w:p>
        </w:tc>
      </w:tr>
      <w:tr w14:paraId="08197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03E108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155</w:t>
            </w:r>
          </w:p>
        </w:tc>
        <w:tc>
          <w:tcPr>
            <w:tcW w:w="590" w:type="dxa"/>
            <w:vMerge w:val="restart"/>
            <w:tcBorders>
              <w:tl2br w:val="nil"/>
              <w:tr2bl w:val="nil"/>
            </w:tcBorders>
            <w:shd w:val="clear" w:color="auto" w:fill="auto"/>
            <w:vAlign w:val="center"/>
          </w:tcPr>
          <w:p w14:paraId="63B0C8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 服务高效</w:t>
            </w:r>
          </w:p>
        </w:tc>
        <w:tc>
          <w:tcPr>
            <w:tcW w:w="465" w:type="dxa"/>
            <w:vMerge w:val="restart"/>
            <w:tcBorders>
              <w:tl2br w:val="nil"/>
              <w:tr2bl w:val="nil"/>
            </w:tcBorders>
            <w:shd w:val="clear" w:color="auto" w:fill="auto"/>
            <w:vAlign w:val="center"/>
          </w:tcPr>
          <w:p w14:paraId="49C975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noWrap/>
            <w:vAlign w:val="center"/>
          </w:tcPr>
          <w:p w14:paraId="67BF87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w:t>
            </w:r>
          </w:p>
        </w:tc>
        <w:tc>
          <w:tcPr>
            <w:tcW w:w="7712" w:type="dxa"/>
            <w:tcBorders>
              <w:tl2br w:val="nil"/>
              <w:tr2bl w:val="nil"/>
            </w:tcBorders>
            <w:shd w:val="clear" w:color="auto" w:fill="auto"/>
            <w:vAlign w:val="center"/>
          </w:tcPr>
          <w:p w14:paraId="05BC5D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小区建立完善的物业管理制度，并健全质量管理、财务管理、档案管理、管理权限移交等制度。</w:t>
            </w:r>
          </w:p>
          <w:p w14:paraId="1D8D66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CE30D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709194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0C7BC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BEBC3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FDB8A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物业管理制度。</w:t>
            </w:r>
          </w:p>
        </w:tc>
      </w:tr>
      <w:tr w14:paraId="7A2A3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0" w:hRule="atLeast"/>
        </w:trPr>
        <w:tc>
          <w:tcPr>
            <w:tcW w:w="609" w:type="dxa"/>
            <w:tcBorders>
              <w:tl2br w:val="nil"/>
              <w:tr2bl w:val="nil"/>
            </w:tcBorders>
            <w:shd w:val="clear" w:color="auto" w:fill="auto"/>
            <w:vAlign w:val="center"/>
          </w:tcPr>
          <w:p w14:paraId="1B3A14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156</w:t>
            </w:r>
          </w:p>
        </w:tc>
        <w:tc>
          <w:tcPr>
            <w:tcW w:w="590" w:type="dxa"/>
            <w:vMerge w:val="continue"/>
            <w:tcBorders>
              <w:tl2br w:val="nil"/>
              <w:tr2bl w:val="nil"/>
            </w:tcBorders>
            <w:shd w:val="clear" w:color="auto" w:fill="auto"/>
            <w:vAlign w:val="center"/>
          </w:tcPr>
          <w:p w14:paraId="1CEDBB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F4A34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4444A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8.4.2</w:t>
            </w:r>
          </w:p>
        </w:tc>
        <w:tc>
          <w:tcPr>
            <w:tcW w:w="7712" w:type="dxa"/>
            <w:tcBorders>
              <w:tl2br w:val="nil"/>
              <w:tr2bl w:val="nil"/>
            </w:tcBorders>
            <w:shd w:val="clear" w:color="auto" w:fill="auto"/>
            <w:vAlign w:val="center"/>
          </w:tcPr>
          <w:p w14:paraId="5F1C095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小区物管服务中心符合下列规定：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设置值班人员和配备综合信息服务平台运行所需要的软硬件设备和其他必要的服务设施；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公示24小时服务电话，紧急报修在30分钟内到达，其他报修按双方约定时间到达；并建立完整的报修、维修及回访记录；</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建立各种突发公共事件的处置机制、处理预案以及应急物资支援体系与医疗机构建立快速联络机制，配备常用医疗急救药品和器械；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管理人员定期培训、演练，具有急救和应急处理能力；</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小区管理服务人员上岗时统一着装、佩戴标志。</w:t>
            </w:r>
          </w:p>
          <w:p w14:paraId="1133C0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14A21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D82199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C12C8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51D566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8450A5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提交小区物管服务中心管理规定，提供近一年内报修、维修及回访记录台账，管理人员定期培训、演练的台账及视频（相片），现场核查。</w:t>
            </w:r>
          </w:p>
        </w:tc>
      </w:tr>
      <w:tr w14:paraId="0C20F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609" w:type="dxa"/>
            <w:tcBorders>
              <w:tl2br w:val="nil"/>
              <w:tr2bl w:val="nil"/>
            </w:tcBorders>
            <w:shd w:val="clear" w:color="auto" w:fill="auto"/>
            <w:vAlign w:val="center"/>
          </w:tcPr>
          <w:p w14:paraId="5643FE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157</w:t>
            </w:r>
          </w:p>
        </w:tc>
        <w:tc>
          <w:tcPr>
            <w:tcW w:w="590" w:type="dxa"/>
            <w:vMerge w:val="continue"/>
            <w:tcBorders>
              <w:tl2br w:val="nil"/>
              <w:tr2bl w:val="nil"/>
            </w:tcBorders>
            <w:shd w:val="clear" w:color="auto" w:fill="auto"/>
            <w:vAlign w:val="center"/>
          </w:tcPr>
          <w:p w14:paraId="28F530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D9D4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0674FE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8.4.3</w:t>
            </w:r>
          </w:p>
        </w:tc>
        <w:tc>
          <w:tcPr>
            <w:tcW w:w="7712" w:type="dxa"/>
            <w:tcBorders>
              <w:tl2br w:val="nil"/>
              <w:tr2bl w:val="nil"/>
            </w:tcBorders>
            <w:shd w:val="clear" w:color="auto" w:fill="auto"/>
            <w:vAlign w:val="center"/>
          </w:tcPr>
          <w:p w14:paraId="300146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物业服务包含下列内容：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房屋及设施设备维护服务：定期对房屋及设施设备进行检查监测、清理维护，发现故障及时修复；小区物业每日至少巡查一次住宅公共出入口、楼道通道以及其他共用部位的门窗、玻璃等，做好巡检记录并公布；</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小区环境维护服务：每日进行日常保洁，定期进行卫生消杀，定时定点进行垃圾处理清运；建筑外立面定期清洗或保养；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秩序维护服务：24h值守、定时巡查，利用智能巡更巡查安保系统对人员、物品、车辆出入进行管理；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空置房监护服务：对空置房屋进行人工巡查和智能监控相结合，空置房动态档案及时更新，并开放业主端实时查看功能。</w:t>
            </w:r>
          </w:p>
          <w:p w14:paraId="5E7C2E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FAAD17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74DEA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2B9A1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15BFA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176CE00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w:t>
            </w:r>
            <w:r>
              <w:rPr>
                <w:rFonts w:hint="eastAsia" w:ascii="仿宋" w:hAnsi="仿宋" w:eastAsia="仿宋" w:cs="仿宋"/>
                <w:i w:val="0"/>
                <w:iCs w:val="0"/>
                <w:color w:val="auto"/>
                <w:kern w:val="0"/>
                <w:sz w:val="22"/>
                <w:szCs w:val="22"/>
                <w:highlight w:val="none"/>
                <w:u w:val="none"/>
                <w:lang w:val="en-US" w:eastAsia="zh-CN" w:bidi="ar"/>
              </w:rPr>
              <w:t>提交小区物管服务承诺，各种相关台账，现场核查。</w:t>
            </w:r>
          </w:p>
        </w:tc>
      </w:tr>
      <w:tr w14:paraId="057BE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1" w:hRule="atLeast"/>
        </w:trPr>
        <w:tc>
          <w:tcPr>
            <w:tcW w:w="609" w:type="dxa"/>
            <w:tcBorders>
              <w:tl2br w:val="nil"/>
              <w:tr2bl w:val="nil"/>
            </w:tcBorders>
            <w:shd w:val="clear" w:color="auto" w:fill="auto"/>
            <w:vAlign w:val="center"/>
          </w:tcPr>
          <w:p w14:paraId="37EEC8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158</w:t>
            </w:r>
          </w:p>
        </w:tc>
        <w:tc>
          <w:tcPr>
            <w:tcW w:w="590" w:type="dxa"/>
            <w:vMerge w:val="continue"/>
            <w:tcBorders>
              <w:tl2br w:val="nil"/>
              <w:tr2bl w:val="nil"/>
            </w:tcBorders>
            <w:shd w:val="clear" w:color="auto" w:fill="auto"/>
            <w:vAlign w:val="center"/>
          </w:tcPr>
          <w:p w14:paraId="35A42A5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1FCAF1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B59C1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8.4.4</w:t>
            </w:r>
          </w:p>
        </w:tc>
        <w:tc>
          <w:tcPr>
            <w:tcW w:w="7712" w:type="dxa"/>
            <w:tcBorders>
              <w:tl2br w:val="nil"/>
              <w:tr2bl w:val="nil"/>
            </w:tcBorders>
            <w:shd w:val="clear" w:color="auto" w:fill="auto"/>
            <w:vAlign w:val="center"/>
          </w:tcPr>
          <w:p w14:paraId="6F788A3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住宅使用说明书包含以下内容：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住宅基本资料以及建筑结构、设备与设施使用说明及注意事项，并附相关图表及相关说明；</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相关的住宅质量保证与保修手册；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维护与保养指南和装修指南；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物业与社区服务范围及费用说明；</w:t>
            </w:r>
          </w:p>
          <w:p w14:paraId="124E54A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使用安全须知对地震、火灾等突发事件的逃生措施及路径进行说明。</w:t>
            </w:r>
          </w:p>
          <w:p w14:paraId="6EB06EB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3A67FFD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43F38C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A50C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4D4F9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DE3AFB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终评价提供</w:t>
            </w:r>
            <w:r>
              <w:rPr>
                <w:rFonts w:hint="eastAsia" w:ascii="仿宋" w:hAnsi="仿宋" w:eastAsia="仿宋" w:cs="仿宋"/>
                <w:i w:val="0"/>
                <w:iCs w:val="0"/>
                <w:color w:val="auto"/>
                <w:kern w:val="0"/>
                <w:sz w:val="22"/>
                <w:szCs w:val="22"/>
                <w:highlight w:val="none"/>
                <w:u w:val="none"/>
                <w:lang w:val="en-US" w:eastAsia="zh-CN" w:bidi="ar"/>
              </w:rPr>
              <w:t>住宅使用说明书并现场核查。</w:t>
            </w:r>
          </w:p>
        </w:tc>
      </w:tr>
      <w:tr w14:paraId="25B4A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9B596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159</w:t>
            </w:r>
          </w:p>
        </w:tc>
        <w:tc>
          <w:tcPr>
            <w:tcW w:w="590" w:type="dxa"/>
            <w:vMerge w:val="continue"/>
            <w:tcBorders>
              <w:tl2br w:val="nil"/>
              <w:tr2bl w:val="nil"/>
            </w:tcBorders>
            <w:shd w:val="clear" w:color="auto" w:fill="auto"/>
            <w:vAlign w:val="center"/>
          </w:tcPr>
          <w:p w14:paraId="272AF2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12C3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8C16C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8.4.5</w:t>
            </w:r>
          </w:p>
        </w:tc>
        <w:tc>
          <w:tcPr>
            <w:tcW w:w="7712" w:type="dxa"/>
            <w:tcBorders>
              <w:tl2br w:val="nil"/>
              <w:tr2bl w:val="nil"/>
            </w:tcBorders>
            <w:shd w:val="clear" w:color="auto" w:fill="auto"/>
            <w:vAlign w:val="center"/>
          </w:tcPr>
          <w:p w14:paraId="651BEF1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建设单位将小区内公共区域、公共建筑、公共设施的日常维护和管理权限移交给物业公司，并公示相关信息。</w:t>
            </w:r>
          </w:p>
          <w:p w14:paraId="78F638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136AD2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5ED6D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F8CBF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20142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7DB86A6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终评价提供交接证明及公示图片。</w:t>
            </w:r>
          </w:p>
        </w:tc>
      </w:tr>
      <w:tr w14:paraId="62D5B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6BB39A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160</w:t>
            </w:r>
          </w:p>
        </w:tc>
        <w:tc>
          <w:tcPr>
            <w:tcW w:w="590" w:type="dxa"/>
            <w:vMerge w:val="continue"/>
            <w:tcBorders>
              <w:tl2br w:val="nil"/>
              <w:tr2bl w:val="nil"/>
            </w:tcBorders>
            <w:shd w:val="clear" w:color="auto" w:fill="auto"/>
            <w:vAlign w:val="center"/>
          </w:tcPr>
          <w:p w14:paraId="073BC5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E6BB8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4AF076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8.4.6</w:t>
            </w:r>
          </w:p>
        </w:tc>
        <w:tc>
          <w:tcPr>
            <w:tcW w:w="7712" w:type="dxa"/>
            <w:tcBorders>
              <w:tl2br w:val="nil"/>
              <w:tr2bl w:val="nil"/>
            </w:tcBorders>
            <w:shd w:val="clear" w:color="auto" w:fill="auto"/>
            <w:vAlign w:val="center"/>
          </w:tcPr>
          <w:p w14:paraId="269B01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保修期内小区设置售后服务中心，过保修期后小区设置维修服务中心，为房屋质量提供保障服务。</w:t>
            </w:r>
          </w:p>
          <w:p w14:paraId="236FB4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4FAA25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A1A53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042E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708060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终评价提供现场核查并检查相关台账。</w:t>
            </w:r>
          </w:p>
        </w:tc>
      </w:tr>
      <w:tr w14:paraId="382E0A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609" w:type="dxa"/>
            <w:tcBorders>
              <w:tl2br w:val="nil"/>
              <w:tr2bl w:val="nil"/>
            </w:tcBorders>
            <w:shd w:val="clear" w:color="auto" w:fill="auto"/>
            <w:vAlign w:val="center"/>
          </w:tcPr>
          <w:p w14:paraId="231B72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161</w:t>
            </w:r>
          </w:p>
        </w:tc>
        <w:tc>
          <w:tcPr>
            <w:tcW w:w="590" w:type="dxa"/>
            <w:vMerge w:val="continue"/>
            <w:tcBorders>
              <w:tl2br w:val="nil"/>
              <w:tr2bl w:val="nil"/>
            </w:tcBorders>
            <w:shd w:val="clear" w:color="auto" w:fill="auto"/>
            <w:vAlign w:val="center"/>
          </w:tcPr>
          <w:p w14:paraId="10697A8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48E6D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AEA6C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8.4.7</w:t>
            </w:r>
          </w:p>
        </w:tc>
        <w:tc>
          <w:tcPr>
            <w:tcW w:w="7712" w:type="dxa"/>
            <w:tcBorders>
              <w:tl2br w:val="nil"/>
              <w:tr2bl w:val="nil"/>
            </w:tcBorders>
            <w:shd w:val="clear" w:color="auto" w:fill="auto"/>
            <w:vAlign w:val="center"/>
          </w:tcPr>
          <w:p w14:paraId="08F89F1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物业服务有主动预防性维护和长期维修计划及说明，要求对建筑定期体检，重视对建筑进行预防性维修保养：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定期检查外墙内表面的抹灰层、屋面防水层及外窗密封条完好性；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定期检查围护结构是否存在空鼓、粘贴不牢等现象；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对生活与消防水箱（池）状态、二次供水水质、水泵、消防系统进行智能在线监测及预警；</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下水道每年使用高压清洗装置全部疏通至少一次；每年上汛前和强降雨后检查住宅屋面防水、屋面雨水口、雨落管等设施，并组织清理、疏通等；</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小区生活给水水箱（水池）的水质每三个月进行一次常规检测，检测指标需符合现行国家标准《二次供水设施卫生规范》GB 17051中规定的必测项目；同时，小区的生活给水水箱（水池）每三个月至少进行一次清洗消毒，若水质出现异常，则立即进行清洗消毒。</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小区化粪池每季度进行一次检查，并根据使用情况，定期进行清掏作业，确保每年至少清掏一次。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燃气管道和设备每年至少进行一次维护。</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定期对小区的消防设施设备进行检查，并将检查结果及时公布在小区显眼位置的公告栏上。</w:t>
            </w:r>
          </w:p>
          <w:p w14:paraId="079E33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A1DB6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69920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CA8A9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668E92B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7A66D4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预防性维护和长期维修计划及说明，并提交相关台账。</w:t>
            </w:r>
          </w:p>
        </w:tc>
      </w:tr>
      <w:tr w14:paraId="2C8C6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609" w:type="dxa"/>
            <w:tcBorders>
              <w:tl2br w:val="nil"/>
              <w:tr2bl w:val="nil"/>
            </w:tcBorders>
            <w:shd w:val="clear" w:color="auto" w:fill="auto"/>
            <w:vAlign w:val="center"/>
          </w:tcPr>
          <w:p w14:paraId="1C1507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162</w:t>
            </w:r>
          </w:p>
        </w:tc>
        <w:tc>
          <w:tcPr>
            <w:tcW w:w="590" w:type="dxa"/>
            <w:vMerge w:val="continue"/>
            <w:tcBorders>
              <w:tl2br w:val="nil"/>
              <w:tr2bl w:val="nil"/>
            </w:tcBorders>
            <w:shd w:val="clear" w:color="auto" w:fill="auto"/>
            <w:vAlign w:val="center"/>
          </w:tcPr>
          <w:p w14:paraId="4FC808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4C3D3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2F0C1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8.4.8</w:t>
            </w:r>
          </w:p>
        </w:tc>
        <w:tc>
          <w:tcPr>
            <w:tcW w:w="7712" w:type="dxa"/>
            <w:tcBorders>
              <w:tl2br w:val="nil"/>
              <w:tr2bl w:val="nil"/>
            </w:tcBorders>
            <w:shd w:val="clear" w:color="auto" w:fill="auto"/>
            <w:vAlign w:val="center"/>
          </w:tcPr>
          <w:p w14:paraId="59B14BE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垃圾处理遵循生活垃圾分类收集、定点投放的原则，清运频次每日不少于两次，确保日产日清。收储容器需每日进行清洁消毒，安排专人进行巡查监管，严禁垃圾混合投放或随意堆放，并定期开展环保宣传活动。</w:t>
            </w:r>
          </w:p>
          <w:p w14:paraId="455C23B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08DF98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83F3F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BD905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CC1829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终评价提交垃圾</w:t>
            </w:r>
            <w:r>
              <w:rPr>
                <w:rFonts w:hint="eastAsia" w:ascii="仿宋" w:hAnsi="仿宋" w:eastAsia="仿宋" w:cs="仿宋"/>
                <w:i w:val="0"/>
                <w:iCs w:val="0"/>
                <w:color w:val="auto"/>
                <w:kern w:val="0"/>
                <w:sz w:val="22"/>
                <w:szCs w:val="22"/>
                <w:highlight w:val="none"/>
                <w:u w:val="none"/>
                <w:lang w:val="en-US" w:eastAsia="zh-CN" w:bidi="ar"/>
              </w:rPr>
              <w:t>收集投放、清运、清洁消毒管理办法及相关台账，环保宣传活动记录及视频（相片），现场核查。</w:t>
            </w:r>
          </w:p>
        </w:tc>
      </w:tr>
      <w:tr w14:paraId="618AD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C53043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163</w:t>
            </w:r>
          </w:p>
        </w:tc>
        <w:tc>
          <w:tcPr>
            <w:tcW w:w="590" w:type="dxa"/>
            <w:vMerge w:val="continue"/>
            <w:tcBorders>
              <w:tl2br w:val="nil"/>
              <w:tr2bl w:val="nil"/>
            </w:tcBorders>
            <w:shd w:val="clear" w:color="auto" w:fill="auto"/>
            <w:vAlign w:val="center"/>
          </w:tcPr>
          <w:p w14:paraId="75DFBAF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7837B6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8E15E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8.4.9</w:t>
            </w:r>
          </w:p>
        </w:tc>
        <w:tc>
          <w:tcPr>
            <w:tcW w:w="7712" w:type="dxa"/>
            <w:tcBorders>
              <w:tl2br w:val="nil"/>
              <w:tr2bl w:val="nil"/>
            </w:tcBorders>
            <w:shd w:val="clear" w:color="auto" w:fill="auto"/>
            <w:vAlign w:val="center"/>
          </w:tcPr>
          <w:p w14:paraId="109DDB5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物业与住户共同设立并遵守关于空中花园的管理公约，确保安全与隐私得到双重保护。</w:t>
            </w:r>
          </w:p>
          <w:p w14:paraId="6788561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76FAA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C72E1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D445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B08E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空中花园的管理公约，现场核查。</w:t>
            </w:r>
          </w:p>
        </w:tc>
      </w:tr>
      <w:tr w14:paraId="3DD75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035606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164</w:t>
            </w:r>
          </w:p>
        </w:tc>
        <w:tc>
          <w:tcPr>
            <w:tcW w:w="590" w:type="dxa"/>
            <w:vMerge w:val="continue"/>
            <w:tcBorders>
              <w:tl2br w:val="nil"/>
              <w:tr2bl w:val="nil"/>
            </w:tcBorders>
            <w:shd w:val="clear" w:color="auto" w:fill="auto"/>
            <w:vAlign w:val="center"/>
          </w:tcPr>
          <w:p w14:paraId="624D709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205B3B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5322BC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8.4.10</w:t>
            </w:r>
          </w:p>
        </w:tc>
        <w:tc>
          <w:tcPr>
            <w:tcW w:w="7712" w:type="dxa"/>
            <w:tcBorders>
              <w:tl2br w:val="nil"/>
              <w:tr2bl w:val="nil"/>
            </w:tcBorders>
            <w:shd w:val="clear" w:color="auto" w:fill="auto"/>
            <w:vAlign w:val="center"/>
          </w:tcPr>
          <w:p w14:paraId="515D74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小区配置临时担架等急救设施，设置紧急救护插座和日常消毒卫生设施，设置明显的标识和使用说明标牌，并定期组织紧急医疗救助知识培训。</w:t>
            </w:r>
          </w:p>
          <w:p w14:paraId="0012E78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19704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D6F56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BD6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5F79A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终评价提交相关培训</w:t>
            </w:r>
            <w:r>
              <w:rPr>
                <w:rFonts w:hint="eastAsia" w:ascii="仿宋" w:hAnsi="仿宋" w:eastAsia="仿宋" w:cs="仿宋"/>
                <w:i w:val="0"/>
                <w:iCs w:val="0"/>
                <w:color w:val="auto"/>
                <w:kern w:val="0"/>
                <w:sz w:val="22"/>
                <w:szCs w:val="22"/>
                <w:highlight w:val="none"/>
                <w:u w:val="none"/>
                <w:lang w:val="en-US" w:eastAsia="zh-CN" w:bidi="ar"/>
              </w:rPr>
              <w:t>记录及视频（相片），现场核查</w:t>
            </w:r>
          </w:p>
        </w:tc>
      </w:tr>
      <w:tr w14:paraId="13B54E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774F3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165</w:t>
            </w:r>
          </w:p>
        </w:tc>
        <w:tc>
          <w:tcPr>
            <w:tcW w:w="590" w:type="dxa"/>
            <w:vMerge w:val="continue"/>
            <w:tcBorders>
              <w:tl2br w:val="nil"/>
              <w:tr2bl w:val="nil"/>
            </w:tcBorders>
            <w:shd w:val="clear" w:color="auto" w:fill="auto"/>
            <w:vAlign w:val="center"/>
          </w:tcPr>
          <w:p w14:paraId="7712FA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2D96D1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773691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8.4.11</w:t>
            </w:r>
          </w:p>
        </w:tc>
        <w:tc>
          <w:tcPr>
            <w:tcW w:w="7712" w:type="dxa"/>
            <w:tcBorders>
              <w:tl2br w:val="nil"/>
              <w:tr2bl w:val="nil"/>
            </w:tcBorders>
            <w:shd w:val="clear" w:color="auto" w:fill="auto"/>
            <w:vAlign w:val="center"/>
          </w:tcPr>
          <w:p w14:paraId="05FC107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小区统一规划停车位，定期开展巡查和整治工作，及时规整违规停放的车辆。</w:t>
            </w:r>
          </w:p>
        </w:tc>
        <w:tc>
          <w:tcPr>
            <w:tcW w:w="1088" w:type="dxa"/>
            <w:tcBorders>
              <w:tl2br w:val="nil"/>
              <w:tr2bl w:val="nil"/>
            </w:tcBorders>
            <w:shd w:val="clear" w:color="auto" w:fill="auto"/>
            <w:noWrap/>
            <w:vAlign w:val="center"/>
          </w:tcPr>
          <w:p w14:paraId="4A44CFB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474B9F0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F38C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1688F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相关图纸及设计说明，终评价提交</w:t>
            </w:r>
            <w:r>
              <w:rPr>
                <w:rFonts w:hint="eastAsia" w:ascii="仿宋" w:hAnsi="仿宋" w:eastAsia="仿宋" w:cs="仿宋"/>
                <w:i w:val="0"/>
                <w:iCs w:val="0"/>
                <w:color w:val="auto"/>
                <w:kern w:val="0"/>
                <w:sz w:val="22"/>
                <w:szCs w:val="22"/>
                <w:highlight w:val="none"/>
                <w:u w:val="none"/>
                <w:lang w:val="en-US" w:eastAsia="zh-CN" w:bidi="ar"/>
              </w:rPr>
              <w:t>巡查和整治工作台账及视频（相片），现场核查。</w:t>
            </w:r>
          </w:p>
        </w:tc>
      </w:tr>
    </w:tbl>
    <w:p w14:paraId="12CF397A"/>
    <w:p w14:paraId="0AC6A6FE"/>
    <w:p w14:paraId="31113BC9"/>
    <w:p w14:paraId="63FD4BB3"/>
    <w:p w14:paraId="6489BEFD"/>
    <w:p w14:paraId="51F7F591"/>
    <w:p w14:paraId="16E43656"/>
    <w:p w14:paraId="476C340B"/>
    <w:p w14:paraId="28AAEB09"/>
    <w:p w14:paraId="3167FD71"/>
    <w:p w14:paraId="74DA1D81"/>
    <w:p w14:paraId="2E7EEFBC"/>
    <w:p w14:paraId="249252DD"/>
    <w:p w14:paraId="1BC59F16"/>
    <w:p w14:paraId="4E6D6E6C"/>
    <w:p w14:paraId="2B9BE021"/>
    <w:p w14:paraId="3315B4FB"/>
    <w:tbl>
      <w:tblPr>
        <w:tblStyle w:val="5"/>
        <w:tblW w:w="15949"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9"/>
        <w:gridCol w:w="590"/>
        <w:gridCol w:w="465"/>
        <w:gridCol w:w="1015"/>
        <w:gridCol w:w="7712"/>
        <w:gridCol w:w="1088"/>
        <w:gridCol w:w="1722"/>
        <w:gridCol w:w="2748"/>
      </w:tblGrid>
      <w:tr w14:paraId="74018A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15949" w:type="dxa"/>
            <w:gridSpan w:val="8"/>
            <w:tcBorders>
              <w:tl2br w:val="nil"/>
              <w:tr2bl w:val="nil"/>
            </w:tcBorders>
            <w:shd w:val="clear" w:color="auto" w:fill="auto"/>
            <w:vAlign w:val="center"/>
          </w:tcPr>
          <w:p w14:paraId="2923E9DE">
            <w:pPr>
              <w:keepNext w:val="0"/>
              <w:keepLines w:val="0"/>
              <w:pageBreakBefore w:val="0"/>
              <w:widowControl w:val="0"/>
              <w:kinsoku/>
              <w:wordWrap/>
              <w:overflowPunct/>
              <w:topLinePunct w:val="0"/>
              <w:autoSpaceDE/>
              <w:autoSpaceDN/>
              <w:bidi w:val="0"/>
              <w:adjustRightInd/>
              <w:snapToGrid/>
              <w:jc w:val="center"/>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b/>
                <w:bCs/>
                <w:i w:val="0"/>
                <w:iCs w:val="0"/>
                <w:color w:val="000000"/>
                <w:sz w:val="26"/>
                <w:szCs w:val="26"/>
                <w:u w:val="none"/>
                <w:lang w:val="en-US" w:eastAsia="zh-CN"/>
              </w:rPr>
              <w:t>星级技术要求</w:t>
            </w:r>
          </w:p>
        </w:tc>
      </w:tr>
      <w:tr w14:paraId="512B4D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76" w:hRule="atLeast"/>
        </w:trPr>
        <w:tc>
          <w:tcPr>
            <w:tcW w:w="609" w:type="dxa"/>
            <w:tcBorders>
              <w:tl2br w:val="nil"/>
              <w:tr2bl w:val="nil"/>
            </w:tcBorders>
            <w:shd w:val="clear" w:color="auto" w:fill="auto"/>
            <w:vAlign w:val="center"/>
          </w:tcPr>
          <w:p w14:paraId="58717A16">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166</w:t>
            </w:r>
          </w:p>
        </w:tc>
        <w:tc>
          <w:tcPr>
            <w:tcW w:w="590" w:type="dxa"/>
            <w:tcBorders>
              <w:tl2br w:val="nil"/>
              <w:tr2bl w:val="nil"/>
            </w:tcBorders>
            <w:shd w:val="clear" w:color="auto" w:fill="auto"/>
            <w:vAlign w:val="center"/>
          </w:tcPr>
          <w:p w14:paraId="676355AB">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星级技术要求</w:t>
            </w:r>
          </w:p>
        </w:tc>
        <w:tc>
          <w:tcPr>
            <w:tcW w:w="465" w:type="dxa"/>
            <w:tcBorders>
              <w:tl2br w:val="nil"/>
              <w:tr2bl w:val="nil"/>
            </w:tcBorders>
            <w:shd w:val="clear" w:color="auto" w:fill="auto"/>
            <w:vAlign w:val="center"/>
          </w:tcPr>
          <w:p w14:paraId="61C2638E">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1015" w:type="dxa"/>
            <w:tcBorders>
              <w:tl2br w:val="nil"/>
              <w:tr2bl w:val="nil"/>
            </w:tcBorders>
            <w:shd w:val="clear" w:color="auto" w:fill="auto"/>
            <w:noWrap/>
            <w:vAlign w:val="center"/>
          </w:tcPr>
          <w:p w14:paraId="4A054AFF">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9.2.7</w:t>
            </w:r>
          </w:p>
        </w:tc>
        <w:tc>
          <w:tcPr>
            <w:tcW w:w="7712" w:type="dxa"/>
            <w:tcBorders>
              <w:tl2br w:val="nil"/>
              <w:tr2bl w:val="nil"/>
            </w:tcBorders>
            <w:shd w:val="clear" w:color="auto" w:fill="auto"/>
            <w:vAlign w:val="center"/>
          </w:tcPr>
          <w:p w14:paraId="03D7E3EB">
            <w:pPr>
              <w:ind w:firstLine="220" w:firstLineChars="100"/>
              <w:rPr>
                <w:rFonts w:hint="eastAsia" w:ascii="仿宋" w:hAnsi="仿宋" w:eastAsia="仿宋" w:cs="仿宋"/>
                <w:b w:val="0"/>
                <w:bCs w:val="0"/>
                <w:color w:val="auto"/>
                <w:sz w:val="22"/>
                <w:szCs w:val="22"/>
                <w:highlight w:val="none"/>
              </w:rPr>
            </w:pPr>
            <w:bookmarkStart w:id="0" w:name="_GoBack"/>
            <w:bookmarkEnd w:id="0"/>
            <w:r>
              <w:rPr>
                <w:rFonts w:hint="eastAsia" w:ascii="仿宋" w:hAnsi="仿宋" w:eastAsia="仿宋" w:cs="仿宋"/>
                <w:b w:val="0"/>
                <w:bCs w:val="0"/>
                <w:color w:val="auto"/>
                <w:sz w:val="22"/>
                <w:szCs w:val="22"/>
              </w:rPr>
              <w:t>好</w:t>
            </w:r>
            <w:r>
              <w:rPr>
                <w:rFonts w:hint="eastAsia" w:ascii="仿宋" w:hAnsi="仿宋" w:eastAsia="仿宋" w:cs="仿宋"/>
                <w:b w:val="0"/>
                <w:bCs w:val="0"/>
                <w:color w:val="auto"/>
                <w:sz w:val="22"/>
                <w:szCs w:val="22"/>
                <w:highlight w:val="none"/>
              </w:rPr>
              <w:t>小区、好房子星级等级按下列规定确定：</w:t>
            </w:r>
          </w:p>
          <w:p w14:paraId="10F894F7">
            <w:pPr>
              <w:pStyle w:val="11"/>
              <w:ind w:left="0"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highlight w:val="none"/>
              </w:rPr>
              <w:t>1  一星级、二星级、三星级3个等级的好小区、好房子均满足本指引全部基本类的要求，且每类评价指标提升</w:t>
            </w:r>
            <w:r>
              <w:rPr>
                <w:rFonts w:hint="eastAsia" w:ascii="仿宋" w:hAnsi="仿宋" w:eastAsia="仿宋" w:cs="仿宋"/>
                <w:b w:val="0"/>
                <w:bCs w:val="0"/>
                <w:color w:val="auto"/>
                <w:sz w:val="22"/>
                <w:szCs w:val="22"/>
              </w:rPr>
              <w:t>类总分值不少于30分；</w:t>
            </w:r>
          </w:p>
          <w:p w14:paraId="2A643FBC">
            <w:pPr>
              <w:pStyle w:val="11"/>
              <w:ind w:left="0" w:leftChars="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rPr>
              <w:t>2  当总得分分别达到60分、70分、85分且满足表</w:t>
            </w:r>
            <w:r>
              <w:rPr>
                <w:rFonts w:hint="eastAsia" w:ascii="仿宋" w:hAnsi="仿宋" w:eastAsia="仿宋" w:cs="仿宋"/>
                <w:b w:val="0"/>
                <w:bCs w:val="0"/>
                <w:color w:val="auto"/>
                <w:sz w:val="22"/>
                <w:szCs w:val="22"/>
                <w:lang w:eastAsia="zh-CN"/>
              </w:rPr>
              <w:t>9.2.</w:t>
            </w:r>
            <w:r>
              <w:rPr>
                <w:rFonts w:hint="eastAsia" w:ascii="仿宋" w:hAnsi="仿宋" w:eastAsia="仿宋" w:cs="仿宋"/>
                <w:b w:val="0"/>
                <w:bCs w:val="0"/>
                <w:color w:val="auto"/>
                <w:sz w:val="22"/>
                <w:szCs w:val="22"/>
              </w:rPr>
              <w:t>7的要求时，好小区、好房子等级分别为</w:t>
            </w:r>
            <w:r>
              <w:rPr>
                <w:rFonts w:hint="eastAsia" w:ascii="仿宋" w:hAnsi="仿宋" w:eastAsia="仿宋" w:cs="仿宋"/>
                <w:b w:val="0"/>
                <w:bCs w:val="0"/>
                <w:color w:val="auto"/>
                <w:sz w:val="22"/>
                <w:szCs w:val="22"/>
                <w:highlight w:val="none"/>
              </w:rPr>
              <w:t>一星级、二星级、三星级。</w:t>
            </w:r>
          </w:p>
          <w:p w14:paraId="13A07913">
            <w:pPr>
              <w:pStyle w:val="9"/>
              <w:rPr>
                <w:rFonts w:hint="eastAsia" w:ascii="仿宋" w:hAnsi="仿宋" w:eastAsia="仿宋" w:cs="仿宋"/>
                <w:b/>
                <w:bCs/>
                <w:color w:val="auto"/>
                <w:sz w:val="22"/>
                <w:szCs w:val="22"/>
                <w:highlight w:val="none"/>
              </w:rPr>
            </w:pPr>
            <w:r>
              <w:rPr>
                <w:rFonts w:ascii="仿宋" w:hAnsi="仿宋" w:eastAsia="仿宋" w:cs="仿宋"/>
                <w:b/>
                <w:bCs/>
                <w:color w:val="auto"/>
                <w:sz w:val="22"/>
                <w:szCs w:val="22"/>
                <w:highlight w:val="none"/>
              </w:rPr>
              <w:t>表</w:t>
            </w:r>
            <w:r>
              <w:rPr>
                <w:rFonts w:hint="eastAsia" w:ascii="仿宋" w:hAnsi="仿宋" w:eastAsia="仿宋" w:cs="仿宋"/>
                <w:b/>
                <w:bCs/>
                <w:color w:val="auto"/>
                <w:sz w:val="22"/>
                <w:szCs w:val="22"/>
                <w:highlight w:val="none"/>
                <w:lang w:eastAsia="zh-CN"/>
              </w:rPr>
              <w:t>9.2.</w:t>
            </w:r>
            <w:r>
              <w:rPr>
                <w:rFonts w:ascii="仿宋" w:hAnsi="仿宋" w:eastAsia="仿宋" w:cs="仿宋"/>
                <w:b/>
                <w:bCs/>
                <w:color w:val="auto"/>
                <w:sz w:val="22"/>
                <w:szCs w:val="22"/>
                <w:highlight w:val="none"/>
              </w:rPr>
              <w:t xml:space="preserve">7 </w:t>
            </w:r>
            <w:r>
              <w:rPr>
                <w:rFonts w:hint="eastAsia" w:ascii="仿宋" w:hAnsi="仿宋" w:eastAsia="仿宋" w:cs="仿宋"/>
                <w:b/>
                <w:bCs/>
                <w:color w:val="auto"/>
                <w:sz w:val="22"/>
                <w:szCs w:val="22"/>
                <w:highlight w:val="none"/>
              </w:rPr>
              <w:t>一星级、二星级、三星级</w:t>
            </w:r>
            <w:r>
              <w:rPr>
                <w:rFonts w:ascii="仿宋" w:hAnsi="仿宋" w:eastAsia="仿宋" w:cs="仿宋"/>
                <w:b/>
                <w:bCs/>
                <w:color w:val="auto"/>
                <w:sz w:val="22"/>
                <w:szCs w:val="22"/>
                <w:highlight w:val="none"/>
              </w:rPr>
              <w:t>好小区、好房子的技术要求</w:t>
            </w:r>
          </w:p>
          <w:tbl>
            <w:tblPr>
              <w:tblStyle w:val="5"/>
              <w:tblW w:w="4527"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fixed"/>
              <w:tblCellMar>
                <w:top w:w="0" w:type="dxa"/>
                <w:left w:w="0" w:type="dxa"/>
                <w:bottom w:w="0" w:type="dxa"/>
                <w:right w:w="0" w:type="dxa"/>
              </w:tblCellMar>
            </w:tblPr>
            <w:tblGrid>
              <w:gridCol w:w="1354"/>
              <w:gridCol w:w="1805"/>
              <w:gridCol w:w="1805"/>
              <w:gridCol w:w="1806"/>
            </w:tblGrid>
            <w:tr w14:paraId="48B07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323" w:hRule="atLeast"/>
                <w:jc w:val="center"/>
              </w:trPr>
              <w:tc>
                <w:tcPr>
                  <w:tcW w:w="750" w:type="pct"/>
                  <w:tcBorders>
                    <w:tl2br w:val="nil"/>
                    <w:tr2bl w:val="nil"/>
                  </w:tcBorders>
                  <w:vAlign w:val="center"/>
                </w:tcPr>
                <w:p w14:paraId="2086B08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p>
              </w:tc>
              <w:tc>
                <w:tcPr>
                  <w:tcW w:w="1000" w:type="pct"/>
                  <w:tcBorders>
                    <w:tl2br w:val="nil"/>
                    <w:tr2bl w:val="nil"/>
                  </w:tcBorders>
                  <w:vAlign w:val="center"/>
                </w:tcPr>
                <w:p w14:paraId="08D4A53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一星级</w:t>
                  </w:r>
                </w:p>
              </w:tc>
              <w:tc>
                <w:tcPr>
                  <w:tcW w:w="1000" w:type="pct"/>
                  <w:tcBorders>
                    <w:tl2br w:val="nil"/>
                    <w:tr2bl w:val="nil"/>
                  </w:tcBorders>
                  <w:vAlign w:val="center"/>
                </w:tcPr>
                <w:p w14:paraId="58FBF6C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二星级</w:t>
                  </w:r>
                </w:p>
              </w:tc>
              <w:tc>
                <w:tcPr>
                  <w:tcW w:w="1000" w:type="pct"/>
                  <w:tcBorders>
                    <w:tl2br w:val="nil"/>
                    <w:tr2bl w:val="nil"/>
                  </w:tcBorders>
                  <w:vAlign w:val="center"/>
                </w:tcPr>
                <w:p w14:paraId="1EF5B2A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三星级</w:t>
                  </w:r>
                </w:p>
              </w:tc>
            </w:tr>
            <w:tr w14:paraId="1652A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821" w:hRule="atLeast"/>
                <w:jc w:val="center"/>
              </w:trPr>
              <w:tc>
                <w:tcPr>
                  <w:tcW w:w="750" w:type="pct"/>
                  <w:tcBorders>
                    <w:tl2br w:val="nil"/>
                    <w:tr2bl w:val="nil"/>
                  </w:tcBorders>
                  <w:vAlign w:val="center"/>
                </w:tcPr>
                <w:p w14:paraId="1619106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ascii="仿宋" w:hAnsi="仿宋" w:eastAsia="仿宋" w:cs="仿宋"/>
                      <w:b w:val="0"/>
                      <w:bCs w:val="0"/>
                      <w:color w:val="auto"/>
                      <w:sz w:val="22"/>
                      <w:szCs w:val="22"/>
                      <w:highlight w:val="none"/>
                    </w:rPr>
                    <w:t>车库</w:t>
                  </w:r>
                </w:p>
              </w:tc>
              <w:tc>
                <w:tcPr>
                  <w:tcW w:w="1000" w:type="pct"/>
                  <w:tcBorders>
                    <w:tl2br w:val="nil"/>
                    <w:tr2bl w:val="nil"/>
                  </w:tcBorders>
                  <w:vAlign w:val="center"/>
                </w:tcPr>
                <w:p w14:paraId="4229C06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w:t>
                  </w:r>
                </w:p>
              </w:tc>
              <w:tc>
                <w:tcPr>
                  <w:tcW w:w="1000" w:type="pct"/>
                  <w:tcBorders>
                    <w:tl2br w:val="nil"/>
                    <w:tr2bl w:val="nil"/>
                  </w:tcBorders>
                  <w:vAlign w:val="center"/>
                </w:tcPr>
                <w:p w14:paraId="4FDB4F2C">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地下车库入户门厅外的人行通道宽度不小于1.8m。</w:t>
                  </w:r>
                </w:p>
                <w:p w14:paraId="634E50B7">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eastAsia="zh-CN"/>
                    </w:rPr>
                    <w:t>地下车库至少有一个出入口、坡道以及主车道净高不低于2.6m，主车道为环线，车位净高不低于2.4m</w:t>
                  </w:r>
                </w:p>
              </w:tc>
              <w:tc>
                <w:tcPr>
                  <w:tcW w:w="1000" w:type="pct"/>
                  <w:tcBorders>
                    <w:tl2br w:val="nil"/>
                    <w:tr2bl w:val="nil"/>
                  </w:tcBorders>
                  <w:vAlign w:val="center"/>
                </w:tcPr>
                <w:p w14:paraId="2EDEC87F">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在二星级技术要求基础上满足：地下</w:t>
                  </w:r>
                  <w:r>
                    <w:rPr>
                      <w:rFonts w:hint="eastAsia" w:ascii="仿宋" w:hAnsi="仿宋" w:eastAsia="仿宋" w:cs="仿宋"/>
                      <w:b w:val="0"/>
                      <w:bCs w:val="0"/>
                      <w:color w:val="auto"/>
                      <w:sz w:val="22"/>
                      <w:szCs w:val="22"/>
                      <w:highlight w:val="none"/>
                    </w:rPr>
                    <w:t>车库采取下沉庭院、采光通风井、导光管等措施</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宽度不小于2.6m、深度不小于5.5m</w:t>
                  </w:r>
                  <w:r>
                    <w:rPr>
                      <w:rFonts w:hint="eastAsia" w:ascii="仿宋" w:hAnsi="仿宋" w:eastAsia="仿宋" w:cs="仿宋"/>
                      <w:b w:val="0"/>
                      <w:bCs w:val="0"/>
                      <w:color w:val="auto"/>
                      <w:sz w:val="22"/>
                      <w:szCs w:val="22"/>
                      <w:highlight w:val="none"/>
                      <w:lang w:val="en-US" w:eastAsia="zh-CN"/>
                    </w:rPr>
                    <w:t>的</w:t>
                  </w:r>
                  <w:r>
                    <w:rPr>
                      <w:rFonts w:hint="eastAsia" w:ascii="仿宋" w:hAnsi="仿宋" w:eastAsia="仿宋" w:cs="仿宋"/>
                      <w:b w:val="0"/>
                      <w:bCs w:val="0"/>
                      <w:color w:val="auto"/>
                      <w:sz w:val="22"/>
                      <w:szCs w:val="22"/>
                      <w:highlight w:val="none"/>
                    </w:rPr>
                    <w:t>机动车停车位不少于配建标准数量的</w:t>
                  </w:r>
                  <w:r>
                    <w:rPr>
                      <w:rFonts w:hint="eastAsia" w:ascii="仿宋" w:hAnsi="仿宋" w:eastAsia="仿宋" w:cs="仿宋"/>
                      <w:b w:val="0"/>
                      <w:bCs w:val="0"/>
                      <w:color w:val="auto"/>
                      <w:sz w:val="22"/>
                      <w:szCs w:val="22"/>
                      <w:highlight w:val="none"/>
                      <w:lang w:val="en-US" w:eastAsia="zh-CN"/>
                    </w:rPr>
                    <w:t>10%</w:t>
                  </w:r>
                </w:p>
              </w:tc>
            </w:tr>
            <w:tr w14:paraId="6F9A39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3824" w:hRule="atLeast"/>
                <w:jc w:val="center"/>
              </w:trPr>
              <w:tc>
                <w:tcPr>
                  <w:tcW w:w="750" w:type="pct"/>
                  <w:tcBorders>
                    <w:tl2br w:val="nil"/>
                    <w:tr2bl w:val="nil"/>
                  </w:tcBorders>
                  <w:vAlign w:val="center"/>
                </w:tcPr>
                <w:p w14:paraId="1417A07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门厅</w:t>
                  </w:r>
                </w:p>
              </w:tc>
              <w:tc>
                <w:tcPr>
                  <w:tcW w:w="1000" w:type="pct"/>
                  <w:tcBorders>
                    <w:tl2br w:val="nil"/>
                    <w:tr2bl w:val="nil"/>
                  </w:tcBorders>
                  <w:vAlign w:val="center"/>
                </w:tcPr>
                <w:p w14:paraId="60CB33AF">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首层门厅出入口为平坡出入口</w:t>
                  </w:r>
                </w:p>
              </w:tc>
              <w:tc>
                <w:tcPr>
                  <w:tcW w:w="1000" w:type="pct"/>
                  <w:tcBorders>
                    <w:tl2br w:val="nil"/>
                    <w:tr2bl w:val="nil"/>
                  </w:tcBorders>
                  <w:vAlign w:val="center"/>
                </w:tcPr>
                <w:p w14:paraId="31AA312A">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首层门厅出入口为平坡出入口。</w:t>
                  </w:r>
                  <w:r>
                    <w:rPr>
                      <w:rFonts w:hint="eastAsia" w:ascii="仿宋" w:hAnsi="仿宋" w:eastAsia="仿宋" w:cs="仿宋"/>
                      <w:b w:val="0"/>
                      <w:bCs w:val="0"/>
                      <w:color w:val="auto"/>
                      <w:sz w:val="22"/>
                      <w:szCs w:val="22"/>
                      <w:highlight w:val="none"/>
                    </w:rPr>
                    <w:t>首层门厅层高不小于4</w:t>
                  </w:r>
                  <w:r>
                    <w:rPr>
                      <w:rFonts w:hint="eastAsia" w:ascii="仿宋" w:hAnsi="仿宋" w:eastAsia="仿宋" w:cs="仿宋"/>
                      <w:b w:val="0"/>
                      <w:bCs w:val="0"/>
                      <w:color w:val="auto"/>
                      <w:sz w:val="22"/>
                      <w:szCs w:val="22"/>
                      <w:highlight w:val="none"/>
                      <w:lang w:val="en-US" w:eastAsia="zh-CN"/>
                    </w:rPr>
                    <w:t>.0</w:t>
                  </w:r>
                  <w:r>
                    <w:rPr>
                      <w:rFonts w:hint="eastAsia" w:ascii="仿宋" w:hAnsi="仿宋" w:eastAsia="仿宋" w:cs="仿宋"/>
                      <w:b w:val="0"/>
                      <w:bCs w:val="0"/>
                      <w:color w:val="auto"/>
                      <w:sz w:val="22"/>
                      <w:szCs w:val="22"/>
                      <w:highlight w:val="none"/>
                    </w:rPr>
                    <w:t>m</w:t>
                  </w:r>
                </w:p>
              </w:tc>
              <w:tc>
                <w:tcPr>
                  <w:tcW w:w="1000" w:type="pct"/>
                  <w:tcBorders>
                    <w:tl2br w:val="nil"/>
                    <w:tr2bl w:val="nil"/>
                  </w:tcBorders>
                  <w:vAlign w:val="center"/>
                </w:tcPr>
                <w:p w14:paraId="28C93740">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首层门厅出入口为平坡出入口。</w:t>
                  </w:r>
                  <w:r>
                    <w:rPr>
                      <w:rFonts w:hint="eastAsia" w:ascii="仿宋" w:hAnsi="仿宋" w:eastAsia="仿宋" w:cs="仿宋"/>
                      <w:b w:val="0"/>
                      <w:bCs w:val="0"/>
                      <w:color w:val="auto"/>
                      <w:sz w:val="22"/>
                      <w:szCs w:val="22"/>
                      <w:highlight w:val="none"/>
                    </w:rPr>
                    <w:t>首层门厅层高不小于4</w:t>
                  </w: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m</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12层以下</w:t>
                  </w:r>
                  <w:r>
                    <w:rPr>
                      <w:rFonts w:hint="eastAsia" w:ascii="仿宋" w:hAnsi="仿宋" w:eastAsia="仿宋" w:cs="仿宋"/>
                      <w:b w:val="0"/>
                      <w:bCs w:val="0"/>
                      <w:color w:val="auto"/>
                      <w:sz w:val="22"/>
                      <w:szCs w:val="22"/>
                      <w:highlight w:val="none"/>
                      <w:lang w:eastAsia="zh-CN"/>
                    </w:rPr>
                    <w:t>住宅</w:t>
                  </w:r>
                  <w:r>
                    <w:rPr>
                      <w:rFonts w:hint="eastAsia" w:ascii="仿宋" w:hAnsi="仿宋" w:eastAsia="仿宋" w:cs="仿宋"/>
                      <w:b w:val="0"/>
                      <w:bCs w:val="0"/>
                      <w:color w:val="auto"/>
                      <w:sz w:val="22"/>
                      <w:szCs w:val="22"/>
                      <w:highlight w:val="none"/>
                    </w:rPr>
                    <w:t>门厅使用面积不小于12m²；12层及12层以上</w:t>
                  </w:r>
                  <w:r>
                    <w:rPr>
                      <w:rFonts w:hint="eastAsia" w:ascii="仿宋" w:hAnsi="仿宋" w:eastAsia="仿宋" w:cs="仿宋"/>
                      <w:b w:val="0"/>
                      <w:bCs w:val="0"/>
                      <w:color w:val="auto"/>
                      <w:sz w:val="22"/>
                      <w:szCs w:val="22"/>
                      <w:highlight w:val="none"/>
                      <w:lang w:eastAsia="zh-CN"/>
                    </w:rPr>
                    <w:t>住宅</w:t>
                  </w:r>
                  <w:r>
                    <w:rPr>
                      <w:rFonts w:hint="eastAsia" w:ascii="仿宋" w:hAnsi="仿宋" w:eastAsia="仿宋" w:cs="仿宋"/>
                      <w:b w:val="0"/>
                      <w:bCs w:val="0"/>
                      <w:color w:val="auto"/>
                      <w:sz w:val="22"/>
                      <w:szCs w:val="22"/>
                      <w:highlight w:val="none"/>
                    </w:rPr>
                    <w:t>门厅使用面积不小于18m²； 地上单元门厅、电梯厅、公共走道有自然通风与采光</w:t>
                  </w:r>
                </w:p>
              </w:tc>
            </w:tr>
            <w:tr w14:paraId="5FC04F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328" w:hRule="atLeast"/>
                <w:jc w:val="center"/>
              </w:trPr>
              <w:tc>
                <w:tcPr>
                  <w:tcW w:w="750" w:type="pct"/>
                  <w:tcBorders>
                    <w:tl2br w:val="nil"/>
                    <w:tr2bl w:val="nil"/>
                  </w:tcBorders>
                  <w:vAlign w:val="center"/>
                </w:tcPr>
                <w:p w14:paraId="5B3326EF">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eastAsia="zh-CN"/>
                    </w:rPr>
                  </w:pPr>
                  <w:r>
                    <w:rPr>
                      <w:rFonts w:ascii="仿宋" w:hAnsi="仿宋" w:eastAsia="仿宋" w:cs="仿宋"/>
                      <w:b w:val="0"/>
                      <w:bCs w:val="0"/>
                      <w:color w:val="auto"/>
                      <w:sz w:val="22"/>
                      <w:szCs w:val="22"/>
                    </w:rPr>
                    <w:t>慢行系统</w:t>
                  </w:r>
                </w:p>
              </w:tc>
              <w:tc>
                <w:tcPr>
                  <w:tcW w:w="1000" w:type="pct"/>
                  <w:tcBorders>
                    <w:tl2br w:val="nil"/>
                    <w:tr2bl w:val="nil"/>
                  </w:tcBorders>
                  <w:vAlign w:val="center"/>
                </w:tcPr>
                <w:p w14:paraId="58F0D28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621C0AA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结合风雨连廊、架空层、合理设置联通区内各主要人行通道</w:t>
                  </w:r>
                </w:p>
              </w:tc>
              <w:tc>
                <w:tcPr>
                  <w:tcW w:w="1000" w:type="pct"/>
                  <w:tcBorders>
                    <w:tl2br w:val="nil"/>
                    <w:tr2bl w:val="nil"/>
                  </w:tcBorders>
                  <w:vAlign w:val="center"/>
                </w:tcPr>
                <w:p w14:paraId="1382DFA1">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eastAsia="zh-CN"/>
                    </w:rPr>
                  </w:pPr>
                  <w:r>
                    <w:rPr>
                      <w:rFonts w:ascii="仿宋" w:hAnsi="仿宋" w:eastAsia="仿宋" w:cs="仿宋"/>
                      <w:b w:val="0"/>
                      <w:bCs w:val="0"/>
                      <w:color w:val="auto"/>
                      <w:sz w:val="22"/>
                      <w:szCs w:val="22"/>
                    </w:rPr>
                    <w:t>结合风雨连廊、架空层、合理设置联通区内各住宅入口</w:t>
                  </w:r>
                  <w:r>
                    <w:rPr>
                      <w:rFonts w:hint="eastAsia" w:ascii="仿宋" w:hAnsi="仿宋" w:eastAsia="仿宋" w:cs="仿宋"/>
                      <w:b w:val="0"/>
                      <w:bCs w:val="0"/>
                      <w:color w:val="auto"/>
                      <w:sz w:val="22"/>
                      <w:szCs w:val="22"/>
                      <w:lang w:eastAsia="zh-CN"/>
                    </w:rPr>
                    <w:t>以及配套设施</w:t>
                  </w:r>
                  <w:r>
                    <w:rPr>
                      <w:rFonts w:ascii="仿宋" w:hAnsi="仿宋" w:eastAsia="仿宋" w:cs="仿宋"/>
                      <w:b w:val="0"/>
                      <w:bCs w:val="0"/>
                      <w:color w:val="auto"/>
                      <w:sz w:val="22"/>
                      <w:szCs w:val="22"/>
                    </w:rPr>
                    <w:t>的慢行系统，沿线</w:t>
                  </w:r>
                  <w:r>
                    <w:rPr>
                      <w:rFonts w:hint="eastAsia" w:ascii="仿宋" w:hAnsi="仿宋" w:eastAsia="仿宋" w:cs="仿宋"/>
                      <w:b w:val="0"/>
                      <w:bCs w:val="0"/>
                      <w:color w:val="auto"/>
                      <w:sz w:val="22"/>
                      <w:szCs w:val="22"/>
                      <w:lang w:eastAsia="zh-CN"/>
                    </w:rPr>
                    <w:t>结合景观</w:t>
                  </w:r>
                  <w:r>
                    <w:rPr>
                      <w:rFonts w:ascii="仿宋" w:hAnsi="仿宋" w:eastAsia="仿宋" w:cs="仿宋"/>
                      <w:b w:val="0"/>
                      <w:bCs w:val="0"/>
                      <w:color w:val="auto"/>
                      <w:sz w:val="22"/>
                      <w:szCs w:val="22"/>
                    </w:rPr>
                    <w:t>设置休憩座椅、指向和警示标识等辅助设施</w:t>
                  </w:r>
                </w:p>
              </w:tc>
            </w:tr>
            <w:tr w14:paraId="1CF2E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724" w:hRule="atLeast"/>
                <w:jc w:val="center"/>
              </w:trPr>
              <w:tc>
                <w:tcPr>
                  <w:tcW w:w="750" w:type="pct"/>
                  <w:tcBorders>
                    <w:tl2br w:val="nil"/>
                    <w:tr2bl w:val="nil"/>
                  </w:tcBorders>
                  <w:shd w:val="clear" w:color="auto" w:fill="auto"/>
                  <w:vAlign w:val="center"/>
                </w:tcPr>
                <w:p w14:paraId="1092B04D">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ascii="仿宋" w:hAnsi="仿宋" w:eastAsia="仿宋" w:cs="仿宋"/>
                      <w:b w:val="0"/>
                      <w:bCs w:val="0"/>
                      <w:color w:val="auto"/>
                      <w:sz w:val="22"/>
                      <w:szCs w:val="22"/>
                    </w:rPr>
                    <w:t>架空层</w:t>
                  </w:r>
                </w:p>
              </w:tc>
              <w:tc>
                <w:tcPr>
                  <w:tcW w:w="1000" w:type="pct"/>
                  <w:tcBorders>
                    <w:tl2br w:val="nil"/>
                    <w:tr2bl w:val="nil"/>
                  </w:tcBorders>
                  <w:shd w:val="clear" w:color="auto" w:fill="auto"/>
                  <w:vAlign w:val="center"/>
                </w:tcPr>
                <w:p w14:paraId="5E6B2A9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w:t>
                  </w:r>
                </w:p>
              </w:tc>
              <w:tc>
                <w:tcPr>
                  <w:tcW w:w="1000" w:type="pct"/>
                  <w:tcBorders>
                    <w:tl2br w:val="nil"/>
                    <w:tr2bl w:val="nil"/>
                  </w:tcBorders>
                  <w:shd w:val="clear" w:color="auto" w:fill="auto"/>
                  <w:vAlign w:val="center"/>
                </w:tcPr>
                <w:p w14:paraId="338FFAEA">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高层住宅基底面积30%及以上设置架空层，且架空层层高不小于4.0m</w:t>
                  </w:r>
                </w:p>
              </w:tc>
              <w:tc>
                <w:tcPr>
                  <w:tcW w:w="1000" w:type="pct"/>
                  <w:tcBorders>
                    <w:tl2br w:val="nil"/>
                    <w:tr2bl w:val="nil"/>
                  </w:tcBorders>
                  <w:shd w:val="clear" w:color="auto" w:fill="auto"/>
                  <w:vAlign w:val="center"/>
                </w:tcPr>
                <w:p w14:paraId="0B869E6A">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高层住宅基底面积40%及以上设置架空层，且架空层层高不小于4.5m</w:t>
                  </w:r>
                </w:p>
              </w:tc>
            </w:tr>
            <w:tr w14:paraId="756FDD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10" w:hRule="atLeast"/>
                <w:jc w:val="center"/>
              </w:trPr>
              <w:tc>
                <w:tcPr>
                  <w:tcW w:w="750" w:type="pct"/>
                  <w:tcBorders>
                    <w:tl2br w:val="nil"/>
                    <w:tr2bl w:val="nil"/>
                  </w:tcBorders>
                  <w:vAlign w:val="center"/>
                </w:tcPr>
                <w:p w14:paraId="4AAFD1B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集中设备平台</w:t>
                  </w:r>
                </w:p>
              </w:tc>
              <w:tc>
                <w:tcPr>
                  <w:tcW w:w="1000" w:type="pct"/>
                  <w:gridSpan w:val="3"/>
                  <w:tcBorders>
                    <w:tl2br w:val="nil"/>
                    <w:tr2bl w:val="nil"/>
                  </w:tcBorders>
                  <w:vAlign w:val="center"/>
                </w:tcPr>
                <w:p w14:paraId="23B3D6DA">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各套住宅均</w:t>
                  </w:r>
                  <w:r>
                    <w:rPr>
                      <w:rFonts w:hint="eastAsia" w:ascii="仿宋" w:hAnsi="仿宋" w:eastAsia="仿宋" w:cs="仿宋"/>
                      <w:b w:val="0"/>
                      <w:bCs w:val="0"/>
                      <w:color w:val="auto"/>
                      <w:sz w:val="22"/>
                      <w:szCs w:val="22"/>
                    </w:rPr>
                    <w:t>设置</w:t>
                  </w:r>
                  <w:r>
                    <w:rPr>
                      <w:rFonts w:hint="eastAsia" w:ascii="仿宋" w:hAnsi="仿宋" w:eastAsia="仿宋" w:cs="仿宋"/>
                      <w:b w:val="0"/>
                      <w:bCs w:val="0"/>
                      <w:color w:val="auto"/>
                      <w:sz w:val="22"/>
                      <w:szCs w:val="22"/>
                      <w:lang w:val="en-US" w:eastAsia="zh-CN"/>
                    </w:rPr>
                    <w:t>钢筋混凝土</w:t>
                  </w:r>
                  <w:r>
                    <w:rPr>
                      <w:rFonts w:hint="eastAsia" w:ascii="仿宋" w:hAnsi="仿宋" w:eastAsia="仿宋" w:cs="仿宋"/>
                      <w:b w:val="0"/>
                      <w:bCs w:val="0"/>
                      <w:color w:val="auto"/>
                      <w:sz w:val="22"/>
                      <w:szCs w:val="22"/>
                    </w:rPr>
                    <w:t>集中设备平台</w:t>
                  </w:r>
                </w:p>
              </w:tc>
            </w:tr>
            <w:tr w14:paraId="1E7F57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380" w:hRule="atLeast"/>
                <w:jc w:val="center"/>
              </w:trPr>
              <w:tc>
                <w:tcPr>
                  <w:tcW w:w="750" w:type="pct"/>
                  <w:tcBorders>
                    <w:tl2br w:val="nil"/>
                    <w:tr2bl w:val="nil"/>
                  </w:tcBorders>
                  <w:vAlign w:val="center"/>
                </w:tcPr>
                <w:p w14:paraId="73D7ADC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围护结构热工性能的提高比例，或建筑供暖空调负荷降低比例</w:t>
                  </w:r>
                </w:p>
              </w:tc>
              <w:tc>
                <w:tcPr>
                  <w:tcW w:w="1000" w:type="pct"/>
                  <w:tcBorders>
                    <w:tl2br w:val="nil"/>
                    <w:tr2bl w:val="nil"/>
                  </w:tcBorders>
                  <w:vAlign w:val="center"/>
                </w:tcPr>
                <w:p w14:paraId="05C3576A">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542D706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围护结构提高5%，或负荷降低3%</w:t>
                  </w:r>
                </w:p>
              </w:tc>
              <w:tc>
                <w:tcPr>
                  <w:tcW w:w="1000" w:type="pct"/>
                  <w:tcBorders>
                    <w:tl2br w:val="nil"/>
                    <w:tr2bl w:val="nil"/>
                  </w:tcBorders>
                  <w:vAlign w:val="center"/>
                </w:tcPr>
                <w:p w14:paraId="77677991">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围护结构提高10%，或负荷降低5%</w:t>
                  </w:r>
                </w:p>
              </w:tc>
            </w:tr>
            <w:tr w14:paraId="65921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34" w:hRule="atLeast"/>
                <w:jc w:val="center"/>
              </w:trPr>
              <w:tc>
                <w:tcPr>
                  <w:tcW w:w="750" w:type="pct"/>
                  <w:tcBorders>
                    <w:tl2br w:val="nil"/>
                    <w:tr2bl w:val="nil"/>
                  </w:tcBorders>
                  <w:vAlign w:val="center"/>
                </w:tcPr>
                <w:p w14:paraId="20E1797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节水器具用水</w:t>
                  </w:r>
                </w:p>
                <w:p w14:paraId="33836C57">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效率等级</w:t>
                  </w:r>
                </w:p>
              </w:tc>
              <w:tc>
                <w:tcPr>
                  <w:tcW w:w="1000" w:type="pct"/>
                  <w:tcBorders>
                    <w:tl2br w:val="nil"/>
                    <w:tr2bl w:val="nil"/>
                  </w:tcBorders>
                  <w:vAlign w:val="center"/>
                </w:tcPr>
                <w:p w14:paraId="7A98838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2级</w:t>
                  </w:r>
                </w:p>
              </w:tc>
              <w:tc>
                <w:tcPr>
                  <w:tcW w:w="1000" w:type="pct"/>
                  <w:gridSpan w:val="2"/>
                  <w:tcBorders>
                    <w:tl2br w:val="nil"/>
                    <w:tr2bl w:val="nil"/>
                  </w:tcBorders>
                  <w:vAlign w:val="center"/>
                </w:tcPr>
                <w:p w14:paraId="7D3FBAF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1级</w:t>
                  </w:r>
                </w:p>
              </w:tc>
            </w:tr>
            <w:tr w14:paraId="597E79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634" w:hRule="atLeast"/>
                <w:jc w:val="center"/>
              </w:trPr>
              <w:tc>
                <w:tcPr>
                  <w:tcW w:w="750" w:type="pct"/>
                  <w:tcBorders>
                    <w:tl2br w:val="nil"/>
                    <w:tr2bl w:val="nil"/>
                  </w:tcBorders>
                  <w:vAlign w:val="center"/>
                </w:tcPr>
                <w:p w14:paraId="32ADA39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住宅建筑隔声性能</w:t>
                  </w:r>
                </w:p>
              </w:tc>
              <w:tc>
                <w:tcPr>
                  <w:tcW w:w="1000" w:type="pct"/>
                  <w:tcBorders>
                    <w:tl2br w:val="nil"/>
                    <w:tr2bl w:val="nil"/>
                  </w:tcBorders>
                  <w:vAlign w:val="center"/>
                </w:tcPr>
                <w:p w14:paraId="6EF742C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0381BEB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 xml:space="preserve">卧室、起居室楼板的撞击声隔声性能（计权标准化撞击声压级 </w:t>
                  </w:r>
                  <w:r>
                    <w:rPr>
                      <w:rFonts w:hint="eastAsia" w:ascii="仿宋" w:hAnsi="仿宋" w:eastAsia="仿宋" w:cs="仿宋"/>
                      <w:b w:val="0"/>
                      <w:bCs w:val="0"/>
                      <w:color w:val="auto"/>
                      <w:sz w:val="22"/>
                      <w:szCs w:val="22"/>
                    </w:rPr>
                    <w:t>L′</w:t>
                  </w:r>
                  <w:r>
                    <w:rPr>
                      <w:rFonts w:hint="eastAsia" w:ascii="仿宋" w:hAnsi="仿宋" w:eastAsia="仿宋" w:cs="仿宋"/>
                      <w:b w:val="0"/>
                      <w:bCs w:val="0"/>
                      <w:color w:val="auto"/>
                      <w:sz w:val="22"/>
                      <w:szCs w:val="22"/>
                      <w:vertAlign w:val="subscript"/>
                    </w:rPr>
                    <w:t>n</w:t>
                  </w:r>
                  <w:r>
                    <w:rPr>
                      <w:rFonts w:ascii="仿宋" w:hAnsi="仿宋" w:eastAsia="仿宋" w:cs="仿宋"/>
                      <w:b w:val="0"/>
                      <w:bCs w:val="0"/>
                      <w:color w:val="auto"/>
                      <w:sz w:val="22"/>
                      <w:szCs w:val="22"/>
                      <w:vertAlign w:val="subscript"/>
                    </w:rPr>
                    <w:t>T</w:t>
                  </w:r>
                  <w:r>
                    <w:rPr>
                      <w:rFonts w:hint="eastAsia" w:ascii="仿宋" w:hAnsi="仿宋" w:eastAsia="仿宋" w:cs="仿宋"/>
                      <w:b w:val="0"/>
                      <w:bCs w:val="0"/>
                      <w:color w:val="auto"/>
                      <w:sz w:val="22"/>
                      <w:szCs w:val="22"/>
                      <w:vertAlign w:val="subscript"/>
                    </w:rPr>
                    <w:t>,w</w:t>
                  </w:r>
                  <w:r>
                    <w:rPr>
                      <w:rFonts w:ascii="仿宋" w:hAnsi="仿宋" w:eastAsia="仿宋" w:cs="仿宋"/>
                      <w:b w:val="0"/>
                      <w:bCs w:val="0"/>
                      <w:color w:val="auto"/>
                      <w:sz w:val="22"/>
                      <w:szCs w:val="22"/>
                    </w:rPr>
                    <w:t>）≤60dB</w:t>
                  </w:r>
                </w:p>
              </w:tc>
              <w:tc>
                <w:tcPr>
                  <w:tcW w:w="1000" w:type="pct"/>
                  <w:tcBorders>
                    <w:tl2br w:val="nil"/>
                    <w:tr2bl w:val="nil"/>
                  </w:tcBorders>
                  <w:vAlign w:val="center"/>
                </w:tcPr>
                <w:p w14:paraId="68CE04E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 xml:space="preserve">卧室、起居室楼板的撞击声隔声性能（计权标准化撞击声压级 </w:t>
                  </w:r>
                  <w:r>
                    <w:rPr>
                      <w:rFonts w:hint="eastAsia" w:ascii="仿宋" w:hAnsi="仿宋" w:eastAsia="仿宋" w:cs="仿宋"/>
                      <w:b w:val="0"/>
                      <w:bCs w:val="0"/>
                      <w:color w:val="auto"/>
                      <w:sz w:val="22"/>
                      <w:szCs w:val="22"/>
                    </w:rPr>
                    <w:t>L′</w:t>
                  </w:r>
                  <w:r>
                    <w:rPr>
                      <w:rFonts w:hint="eastAsia" w:ascii="仿宋" w:hAnsi="仿宋" w:eastAsia="仿宋" w:cs="仿宋"/>
                      <w:b w:val="0"/>
                      <w:bCs w:val="0"/>
                      <w:color w:val="auto"/>
                      <w:sz w:val="22"/>
                      <w:szCs w:val="22"/>
                      <w:vertAlign w:val="subscript"/>
                    </w:rPr>
                    <w:t>n</w:t>
                  </w:r>
                  <w:r>
                    <w:rPr>
                      <w:rFonts w:ascii="仿宋" w:hAnsi="仿宋" w:eastAsia="仿宋" w:cs="仿宋"/>
                      <w:b w:val="0"/>
                      <w:bCs w:val="0"/>
                      <w:color w:val="auto"/>
                      <w:sz w:val="22"/>
                      <w:szCs w:val="22"/>
                      <w:vertAlign w:val="subscript"/>
                    </w:rPr>
                    <w:t>T</w:t>
                  </w:r>
                  <w:r>
                    <w:rPr>
                      <w:rFonts w:hint="eastAsia" w:ascii="仿宋" w:hAnsi="仿宋" w:eastAsia="仿宋" w:cs="仿宋"/>
                      <w:b w:val="0"/>
                      <w:bCs w:val="0"/>
                      <w:color w:val="auto"/>
                      <w:sz w:val="22"/>
                      <w:szCs w:val="22"/>
                      <w:vertAlign w:val="subscript"/>
                    </w:rPr>
                    <w:t>,w</w:t>
                  </w:r>
                  <w:r>
                    <w:rPr>
                      <w:rFonts w:ascii="仿宋" w:hAnsi="仿宋" w:eastAsia="仿宋" w:cs="仿宋"/>
                      <w:b w:val="0"/>
                      <w:bCs w:val="0"/>
                      <w:color w:val="auto"/>
                      <w:sz w:val="22"/>
                      <w:szCs w:val="22"/>
                    </w:rPr>
                    <w:t>）≤55dB</w:t>
                  </w:r>
                </w:p>
              </w:tc>
            </w:tr>
            <w:tr w14:paraId="7E2CF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76" w:hRule="atLeast"/>
                <w:jc w:val="center"/>
              </w:trPr>
              <w:tc>
                <w:tcPr>
                  <w:tcW w:w="750" w:type="pct"/>
                  <w:tcBorders>
                    <w:tl2br w:val="nil"/>
                    <w:tr2bl w:val="nil"/>
                  </w:tcBorders>
                  <w:vAlign w:val="center"/>
                </w:tcPr>
                <w:p w14:paraId="675D452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strike w:val="0"/>
                      <w:dstrike w:val="0"/>
                      <w:color w:val="auto"/>
                      <w:sz w:val="22"/>
                      <w:szCs w:val="22"/>
                      <w:lang w:val="en-US" w:eastAsia="zh-CN"/>
                    </w:rPr>
                    <w:t>生活</w:t>
                  </w:r>
                  <w:r>
                    <w:rPr>
                      <w:rFonts w:ascii="仿宋" w:hAnsi="仿宋" w:eastAsia="仿宋" w:cs="仿宋"/>
                      <w:b w:val="0"/>
                      <w:bCs w:val="0"/>
                      <w:strike w:val="0"/>
                      <w:dstrike w:val="0"/>
                      <w:color w:val="auto"/>
                      <w:sz w:val="22"/>
                      <w:szCs w:val="22"/>
                    </w:rPr>
                    <w:t>热水循环</w:t>
                  </w:r>
                </w:p>
              </w:tc>
              <w:tc>
                <w:tcPr>
                  <w:tcW w:w="1000" w:type="pct"/>
                  <w:tcBorders>
                    <w:tl2br w:val="nil"/>
                    <w:tr2bl w:val="nil"/>
                  </w:tcBorders>
                  <w:vAlign w:val="center"/>
                </w:tcPr>
                <w:p w14:paraId="3A21B164">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4DEA264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0D29072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lightGray"/>
                      <w:lang w:val="en-US" w:eastAsia="zh-CN"/>
                    </w:rPr>
                  </w:pPr>
                  <w:r>
                    <w:rPr>
                      <w:rFonts w:hint="eastAsia" w:ascii="仿宋" w:hAnsi="仿宋" w:eastAsia="仿宋" w:cs="仿宋"/>
                      <w:b w:val="0"/>
                      <w:bCs w:val="0"/>
                      <w:color w:val="auto"/>
                      <w:sz w:val="22"/>
                      <w:szCs w:val="22"/>
                      <w:lang w:eastAsia="zh-CN"/>
                    </w:rPr>
                    <w:t>生活热水系统热水表后或套内热水器不循环的热水供水支管长度不超过8m</w:t>
                  </w:r>
                </w:p>
              </w:tc>
            </w:tr>
            <w:tr w14:paraId="57AD96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77" w:hRule="atLeast"/>
                <w:jc w:val="center"/>
              </w:trPr>
              <w:tc>
                <w:tcPr>
                  <w:tcW w:w="750" w:type="pct"/>
                  <w:tcBorders>
                    <w:tl2br w:val="nil"/>
                    <w:tr2bl w:val="nil"/>
                  </w:tcBorders>
                  <w:vAlign w:val="center"/>
                </w:tcPr>
                <w:p w14:paraId="6930C0FC">
                  <w:pPr>
                    <w:pStyle w:val="12"/>
                    <w:keepNext w:val="0"/>
                    <w:keepLines w:val="0"/>
                    <w:suppressLineNumbers w:val="0"/>
                    <w:spacing w:before="44"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strike w:val="0"/>
                      <w:dstrike w:val="0"/>
                      <w:color w:val="auto"/>
                      <w:sz w:val="22"/>
                      <w:szCs w:val="22"/>
                      <w:highlight w:val="none"/>
                    </w:rPr>
                    <w:t>数字家庭</w:t>
                  </w:r>
                </w:p>
              </w:tc>
              <w:tc>
                <w:tcPr>
                  <w:tcW w:w="1000" w:type="pct"/>
                  <w:gridSpan w:val="2"/>
                  <w:tcBorders>
                    <w:tl2br w:val="nil"/>
                    <w:tr2bl w:val="nil"/>
                  </w:tcBorders>
                  <w:vAlign w:val="center"/>
                </w:tcPr>
                <w:p w14:paraId="313B12FF">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highlight w:val="none"/>
                      <w:lang w:val="en-US"/>
                    </w:rPr>
                  </w:pPr>
                  <w:r>
                    <w:rPr>
                      <w:rFonts w:hint="eastAsia" w:ascii="仿宋" w:hAnsi="仿宋" w:eastAsia="仿宋" w:cs="仿宋"/>
                      <w:b w:val="0"/>
                      <w:bCs w:val="0"/>
                      <w:color w:val="auto"/>
                      <w:sz w:val="22"/>
                      <w:szCs w:val="22"/>
                      <w:highlight w:val="none"/>
                    </w:rPr>
                    <w:t>数字</w:t>
                  </w:r>
                  <w:r>
                    <w:rPr>
                      <w:rFonts w:hint="eastAsia" w:ascii="仿宋" w:hAnsi="仿宋" w:eastAsia="仿宋" w:cs="仿宋"/>
                      <w:b w:val="0"/>
                      <w:bCs w:val="0"/>
                      <w:color w:val="auto"/>
                      <w:sz w:val="22"/>
                      <w:szCs w:val="22"/>
                      <w:highlight w:val="none"/>
                      <w:lang w:val="en-US" w:eastAsia="zh-CN"/>
                    </w:rPr>
                    <w:t>家庭应用达到二级</w:t>
                  </w:r>
                </w:p>
              </w:tc>
              <w:tc>
                <w:tcPr>
                  <w:tcW w:w="1000" w:type="pct"/>
                  <w:tcBorders>
                    <w:tl2br w:val="nil"/>
                    <w:tr2bl w:val="nil"/>
                  </w:tcBorders>
                  <w:vAlign w:val="center"/>
                </w:tcPr>
                <w:p w14:paraId="3EA27E23">
                  <w:pPr>
                    <w:pStyle w:val="12"/>
                    <w:keepNext w:val="0"/>
                    <w:keepLines w:val="0"/>
                    <w:suppressLineNumbers w:val="0"/>
                    <w:spacing w:before="0" w:beforeAutospacing="0" w:after="0" w:afterAutospacing="0" w:line="360" w:lineRule="auto"/>
                    <w:ind w:left="0" w:right="115"/>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数字</w:t>
                  </w:r>
                  <w:r>
                    <w:rPr>
                      <w:rFonts w:hint="eastAsia" w:ascii="仿宋" w:hAnsi="仿宋" w:eastAsia="仿宋" w:cs="仿宋"/>
                      <w:b w:val="0"/>
                      <w:bCs w:val="0"/>
                      <w:color w:val="auto"/>
                      <w:sz w:val="22"/>
                      <w:szCs w:val="22"/>
                      <w:highlight w:val="none"/>
                      <w:lang w:val="en-US" w:eastAsia="zh-CN"/>
                    </w:rPr>
                    <w:t>家庭应用达到三级</w:t>
                  </w:r>
                </w:p>
              </w:tc>
            </w:tr>
            <w:tr w14:paraId="47C6B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93" w:hRule="atLeast"/>
                <w:jc w:val="center"/>
              </w:trPr>
              <w:tc>
                <w:tcPr>
                  <w:tcW w:w="750" w:type="pct"/>
                  <w:tcBorders>
                    <w:tl2br w:val="nil"/>
                    <w:tr2bl w:val="nil"/>
                  </w:tcBorders>
                  <w:vAlign w:val="center"/>
                </w:tcPr>
                <w:p w14:paraId="4D559F8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室内主要空气污染物浓度降低比例</w:t>
                  </w:r>
                </w:p>
              </w:tc>
              <w:tc>
                <w:tcPr>
                  <w:tcW w:w="1000" w:type="pct"/>
                  <w:tcBorders>
                    <w:tl2br w:val="nil"/>
                    <w:tr2bl w:val="nil"/>
                  </w:tcBorders>
                  <w:vAlign w:val="center"/>
                </w:tcPr>
                <w:p w14:paraId="3743972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w:t>
                  </w:r>
                </w:p>
              </w:tc>
              <w:tc>
                <w:tcPr>
                  <w:tcW w:w="1000" w:type="pct"/>
                  <w:gridSpan w:val="2"/>
                  <w:tcBorders>
                    <w:tl2br w:val="nil"/>
                    <w:tr2bl w:val="nil"/>
                  </w:tcBorders>
                  <w:vAlign w:val="center"/>
                </w:tcPr>
                <w:p w14:paraId="473B8E6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20%</w:t>
                  </w:r>
                </w:p>
              </w:tc>
            </w:tr>
            <w:tr w14:paraId="5B678F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75" w:hRule="atLeast"/>
                <w:jc w:val="center"/>
              </w:trPr>
              <w:tc>
                <w:tcPr>
                  <w:tcW w:w="750" w:type="pct"/>
                  <w:tcBorders>
                    <w:tl2br w:val="nil"/>
                    <w:tr2bl w:val="nil"/>
                  </w:tcBorders>
                  <w:vAlign w:val="center"/>
                </w:tcPr>
                <w:p w14:paraId="6278323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绿色建材应用比例</w:t>
                  </w:r>
                </w:p>
              </w:tc>
              <w:tc>
                <w:tcPr>
                  <w:tcW w:w="1000" w:type="pct"/>
                  <w:tcBorders>
                    <w:tl2br w:val="nil"/>
                    <w:tr2bl w:val="nil"/>
                  </w:tcBorders>
                  <w:vAlign w:val="center"/>
                </w:tcPr>
                <w:p w14:paraId="3F85AE5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05E4199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20%</w:t>
                  </w:r>
                </w:p>
              </w:tc>
              <w:tc>
                <w:tcPr>
                  <w:tcW w:w="1000" w:type="pct"/>
                  <w:tcBorders>
                    <w:tl2br w:val="nil"/>
                    <w:tr2bl w:val="nil"/>
                  </w:tcBorders>
                  <w:vAlign w:val="center"/>
                </w:tcPr>
                <w:p w14:paraId="15E5D153">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30%</w:t>
                  </w:r>
                </w:p>
              </w:tc>
            </w:tr>
            <w:tr w14:paraId="042270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75" w:hRule="atLeast"/>
                <w:jc w:val="center"/>
              </w:trPr>
              <w:tc>
                <w:tcPr>
                  <w:tcW w:w="750" w:type="pct"/>
                  <w:tcBorders>
                    <w:tl2br w:val="nil"/>
                    <w:tr2bl w:val="nil"/>
                  </w:tcBorders>
                  <w:vAlign w:val="center"/>
                </w:tcPr>
                <w:p w14:paraId="640E4BE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ascii="仿宋" w:hAnsi="仿宋" w:eastAsia="仿宋" w:cs="仿宋"/>
                      <w:b w:val="0"/>
                      <w:bCs w:val="0"/>
                      <w:color w:val="auto"/>
                      <w:sz w:val="22"/>
                      <w:szCs w:val="22"/>
                      <w:highlight w:val="none"/>
                    </w:rPr>
                    <w:t>装配式内装修</w:t>
                  </w:r>
                </w:p>
              </w:tc>
              <w:tc>
                <w:tcPr>
                  <w:tcW w:w="1000" w:type="pct"/>
                  <w:tcBorders>
                    <w:tl2br w:val="nil"/>
                    <w:tr2bl w:val="nil"/>
                  </w:tcBorders>
                  <w:vAlign w:val="center"/>
                </w:tcPr>
                <w:p w14:paraId="1DBD421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dstrike w:val="0"/>
                      <w:color w:val="auto"/>
                      <w:sz w:val="22"/>
                      <w:szCs w:val="22"/>
                      <w:highlight w:val="yellow"/>
                    </w:rPr>
                  </w:pPr>
                  <w:r>
                    <w:rPr>
                      <w:rFonts w:ascii="仿宋" w:hAnsi="仿宋" w:eastAsia="仿宋" w:cs="仿宋"/>
                      <w:b w:val="0"/>
                      <w:bCs w:val="0"/>
                      <w:color w:val="auto"/>
                      <w:sz w:val="22"/>
                      <w:szCs w:val="22"/>
                    </w:rPr>
                    <w:t>—</w:t>
                  </w:r>
                </w:p>
              </w:tc>
              <w:tc>
                <w:tcPr>
                  <w:tcW w:w="1000" w:type="pct"/>
                  <w:tcBorders>
                    <w:tl2br w:val="nil"/>
                    <w:tr2bl w:val="nil"/>
                  </w:tcBorders>
                  <w:vAlign w:val="center"/>
                </w:tcPr>
                <w:p w14:paraId="6BB409D9">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val="0"/>
                      <w:dstrike w:val="0"/>
                      <w:color w:val="auto"/>
                      <w:sz w:val="22"/>
                      <w:szCs w:val="22"/>
                      <w:highlight w:val="none"/>
                    </w:rPr>
                  </w:pPr>
                  <w:r>
                    <w:rPr>
                      <w:rFonts w:ascii="仿宋" w:hAnsi="仿宋" w:eastAsia="仿宋" w:cs="仿宋"/>
                      <w:b w:val="0"/>
                      <w:bCs w:val="0"/>
                      <w:color w:val="auto"/>
                      <w:sz w:val="22"/>
                      <w:szCs w:val="22"/>
                      <w:highlight w:val="none"/>
                    </w:rPr>
                    <w:t>—</w:t>
                  </w:r>
                </w:p>
              </w:tc>
              <w:tc>
                <w:tcPr>
                  <w:tcW w:w="1000" w:type="pct"/>
                  <w:tcBorders>
                    <w:tl2br w:val="nil"/>
                    <w:tr2bl w:val="nil"/>
                  </w:tcBorders>
                  <w:vAlign w:val="center"/>
                </w:tcPr>
                <w:p w14:paraId="0940A91B">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ascii="仿宋" w:hAnsi="仿宋" w:eastAsia="仿宋" w:cs="仿宋"/>
                      <w:b w:val="0"/>
                      <w:bCs w:val="0"/>
                      <w:color w:val="auto"/>
                      <w:sz w:val="22"/>
                      <w:szCs w:val="22"/>
                      <w:highlight w:val="none"/>
                    </w:rPr>
                    <w:t>住宅公共空间及套内空间</w:t>
                  </w:r>
                </w:p>
                <w:p w14:paraId="4FE00353">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val="0"/>
                      <w:dstrike w:val="0"/>
                      <w:color w:val="auto"/>
                      <w:sz w:val="22"/>
                      <w:szCs w:val="22"/>
                      <w:highlight w:val="none"/>
                      <w:lang w:eastAsia="zh-CN"/>
                    </w:rPr>
                  </w:pPr>
                  <w:r>
                    <w:rPr>
                      <w:rFonts w:ascii="仿宋" w:hAnsi="仿宋" w:eastAsia="仿宋" w:cs="仿宋"/>
                      <w:b w:val="0"/>
                      <w:bCs w:val="0"/>
                      <w:color w:val="auto"/>
                      <w:sz w:val="22"/>
                      <w:szCs w:val="22"/>
                      <w:highlight w:val="none"/>
                    </w:rPr>
                    <w:t>采用装配式内装修</w:t>
                  </w:r>
                </w:p>
              </w:tc>
            </w:tr>
            <w:tr w14:paraId="4B04CE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136" w:hRule="atLeast"/>
                <w:jc w:val="center"/>
              </w:trPr>
              <w:tc>
                <w:tcPr>
                  <w:tcW w:w="750" w:type="pct"/>
                  <w:tcBorders>
                    <w:tl2br w:val="nil"/>
                    <w:tr2bl w:val="nil"/>
                  </w:tcBorders>
                  <w:vAlign w:val="center"/>
                </w:tcPr>
                <w:p w14:paraId="73B0BCA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外窗</w:t>
                  </w:r>
                </w:p>
              </w:tc>
              <w:tc>
                <w:tcPr>
                  <w:tcW w:w="1000" w:type="pct"/>
                  <w:tcBorders>
                    <w:tl2br w:val="nil"/>
                    <w:tr2bl w:val="nil"/>
                  </w:tcBorders>
                  <w:vAlign w:val="center"/>
                </w:tcPr>
                <w:p w14:paraId="702A318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637DAD8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674D79E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highlight w:val="none"/>
                      <w:lang w:val="en-US" w:eastAsia="zh-CN" w:bidi="ar-SA"/>
                    </w:rPr>
                    <w:t>采用系统门窗</w:t>
                  </w:r>
                </w:p>
              </w:tc>
            </w:tr>
            <w:tr w14:paraId="350234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136" w:hRule="atLeast"/>
                <w:jc w:val="center"/>
              </w:trPr>
              <w:tc>
                <w:tcPr>
                  <w:tcW w:w="750" w:type="pct"/>
                  <w:tcBorders>
                    <w:tl2br w:val="nil"/>
                    <w:tr2bl w:val="nil"/>
                  </w:tcBorders>
                  <w:vAlign w:val="center"/>
                </w:tcPr>
                <w:p w14:paraId="3BFE4CCB">
                  <w:pPr>
                    <w:pStyle w:val="9"/>
                    <w:keepNext w:val="0"/>
                    <w:keepLines w:val="0"/>
                    <w:suppressLineNumbers w:val="0"/>
                    <w:spacing w:before="0" w:beforeAutospacing="0" w:after="0" w:afterAutospacing="0" w:line="360" w:lineRule="auto"/>
                    <w:ind w:left="0" w:right="0"/>
                    <w:jc w:val="center"/>
                    <w:rPr>
                      <w:rFonts w:ascii="仿宋" w:hAnsi="仿宋" w:eastAsia="仿宋" w:cs="仿宋"/>
                      <w:b w:val="0"/>
                      <w:bCs w:val="0"/>
                      <w:color w:val="auto"/>
                      <w:sz w:val="22"/>
                      <w:szCs w:val="22"/>
                    </w:rPr>
                  </w:pPr>
                  <w:r>
                    <w:rPr>
                      <w:rFonts w:ascii="仿宋" w:hAnsi="仿宋" w:eastAsia="仿宋" w:cs="仿宋"/>
                      <w:b w:val="0"/>
                      <w:bCs w:val="0"/>
                      <w:color w:val="auto"/>
                      <w:sz w:val="22"/>
                      <w:szCs w:val="22"/>
                    </w:rPr>
                    <w:t>碳减排</w:t>
                  </w:r>
                </w:p>
              </w:tc>
              <w:tc>
                <w:tcPr>
                  <w:tcW w:w="1000" w:type="pct"/>
                  <w:gridSpan w:val="3"/>
                  <w:tcBorders>
                    <w:tl2br w:val="nil"/>
                    <w:tr2bl w:val="nil"/>
                  </w:tcBorders>
                  <w:vAlign w:val="center"/>
                </w:tcPr>
                <w:p w14:paraId="4C7ECD1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明确全寿命期建筑碳排放强度，</w:t>
                  </w:r>
                </w:p>
                <w:p w14:paraId="434A732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sz w:val="22"/>
                      <w:szCs w:val="22"/>
                    </w:rPr>
                    <w:t>并明确降低碳排放强度的技术措施</w:t>
                  </w:r>
                </w:p>
              </w:tc>
            </w:tr>
          </w:tbl>
          <w:p w14:paraId="0BFA49C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注：</w:t>
            </w:r>
            <w:r>
              <w:rPr>
                <w:rFonts w:hint="eastAsia" w:ascii="仿宋" w:hAnsi="仿宋" w:eastAsia="仿宋" w:cs="仿宋"/>
                <w:b w:val="0"/>
                <w:bCs w:val="0"/>
                <w:color w:val="auto"/>
                <w:sz w:val="22"/>
                <w:szCs w:val="22"/>
                <w:lang w:val="en-US" w:eastAsia="zh-CN"/>
              </w:rPr>
              <w:t xml:space="preserve">1  </w:t>
            </w:r>
            <w:r>
              <w:rPr>
                <w:rFonts w:hint="eastAsia" w:ascii="仿宋" w:hAnsi="仿宋" w:eastAsia="仿宋" w:cs="仿宋"/>
                <w:i w:val="0"/>
                <w:iCs w:val="0"/>
                <w:color w:val="000000"/>
                <w:sz w:val="22"/>
                <w:szCs w:val="22"/>
                <w:highlight w:val="none"/>
                <w:u w:val="none"/>
                <w:lang w:val="en-US" w:eastAsia="zh-CN"/>
              </w:rPr>
              <w:t>本条</w:t>
            </w:r>
            <w:r>
              <w:rPr>
                <w:rFonts w:hint="eastAsia" w:ascii="仿宋" w:hAnsi="仿宋" w:eastAsia="仿宋" w:cs="仿宋"/>
                <w:i w:val="0"/>
                <w:iCs w:val="0"/>
                <w:color w:val="000000"/>
                <w:sz w:val="22"/>
                <w:szCs w:val="22"/>
                <w:highlight w:val="none"/>
                <w:u w:val="none"/>
                <w:lang w:eastAsia="zh-CN"/>
              </w:rPr>
              <w:t>基本级不参评</w:t>
            </w:r>
          </w:p>
          <w:p w14:paraId="5E951456">
            <w:pPr>
              <w:ind w:firstLine="440" w:firstLineChars="200"/>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 xml:space="preserve">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围护结构热工性能的提高基准均为国家现行强制性工程建设规范《建筑节能与可再生能源利用通用规范》GB 55015 的要求</w:t>
            </w:r>
            <w:r>
              <w:rPr>
                <w:rFonts w:hint="eastAsia" w:ascii="仿宋" w:hAnsi="仿宋" w:eastAsia="仿宋" w:cs="仿宋"/>
                <w:b w:val="0"/>
                <w:bCs w:val="0"/>
                <w:color w:val="auto"/>
                <w:sz w:val="22"/>
                <w:szCs w:val="22"/>
                <w:lang w:eastAsia="zh-CN"/>
              </w:rPr>
              <w:t>；</w:t>
            </w:r>
          </w:p>
          <w:p w14:paraId="2BBBF62D">
            <w:pPr>
              <w:ind w:left="0" w:leftChars="0"/>
              <w:jc w:val="center"/>
              <w:rPr>
                <w:rFonts w:hint="eastAsia"/>
                <w:b w:val="0"/>
                <w:bCs w:val="0"/>
                <w:color w:val="auto"/>
                <w:highlight w:val="none"/>
                <w:lang w:eastAsia="zh-CN"/>
              </w:rPr>
            </w:pPr>
            <w:r>
              <w:rPr>
                <w:rFonts w:hint="eastAsia" w:ascii="仿宋" w:hAnsi="仿宋" w:eastAsia="仿宋" w:cs="仿宋"/>
                <w:b w:val="0"/>
                <w:bCs w:val="0"/>
                <w:color w:val="auto"/>
                <w:sz w:val="22"/>
                <w:szCs w:val="22"/>
                <w:lang w:val="en-US" w:eastAsia="zh-CN"/>
              </w:rPr>
              <w:t xml:space="preserve">    3</w:t>
            </w:r>
            <w:r>
              <w:rPr>
                <w:rFonts w:hint="eastAsia" w:ascii="仿宋" w:hAnsi="仿宋" w:eastAsia="仿宋" w:cs="仿宋"/>
                <w:b w:val="0"/>
                <w:bCs w:val="0"/>
                <w:color w:val="auto"/>
                <w:sz w:val="22"/>
                <w:szCs w:val="22"/>
              </w:rPr>
              <w:t xml:space="preserve">  室内氨、总挥发性有机物、PM2.5等室内空气污染物，其浓度降低基准为现行国家标准《室内空气质量标准》GB/T 18883的有关要求</w:t>
            </w:r>
            <w:r>
              <w:rPr>
                <w:rFonts w:hint="eastAsia" w:ascii="仿宋" w:hAnsi="仿宋" w:eastAsia="仿宋" w:cs="仿宋"/>
                <w:b w:val="0"/>
                <w:bCs w:val="0"/>
                <w:color w:val="auto"/>
                <w:sz w:val="22"/>
                <w:szCs w:val="22"/>
                <w:lang w:eastAsia="zh-CN"/>
              </w:rPr>
              <w:t>。</w:t>
            </w:r>
          </w:p>
          <w:p w14:paraId="59A6A91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 xml:space="preserve">    4  数字家庭应用配备本地平台的要求：一星级至少配置智能网关，二星级及以上需配置全屋智能主机。</w:t>
            </w:r>
          </w:p>
        </w:tc>
        <w:tc>
          <w:tcPr>
            <w:tcW w:w="1088" w:type="dxa"/>
            <w:tcBorders>
              <w:tl2br w:val="nil"/>
              <w:tr2bl w:val="nil"/>
            </w:tcBorders>
            <w:shd w:val="clear" w:color="auto" w:fill="auto"/>
            <w:noWrap/>
            <w:vAlign w:val="center"/>
          </w:tcPr>
          <w:p w14:paraId="629BB236">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各专业</w:t>
            </w:r>
          </w:p>
        </w:tc>
        <w:tc>
          <w:tcPr>
            <w:tcW w:w="1722" w:type="dxa"/>
            <w:tcBorders>
              <w:tl2br w:val="nil"/>
              <w:tr2bl w:val="nil"/>
            </w:tcBorders>
            <w:shd w:val="clear" w:color="auto" w:fill="auto"/>
            <w:noWrap/>
            <w:vAlign w:val="center"/>
          </w:tcPr>
          <w:p w14:paraId="143EB1C4">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达到</w:t>
            </w:r>
          </w:p>
          <w:p w14:paraId="453CFF5D">
            <w:pPr>
              <w:keepNext w:val="0"/>
              <w:keepLines/>
              <w:pageBreakBefore w:val="0"/>
              <w:widowControl w:val="0"/>
              <w:kinsoku/>
              <w:wordWrap/>
              <w:overflowPunct/>
              <w:topLinePunct w:val="0"/>
              <w:autoSpaceDE/>
              <w:autoSpaceDN/>
              <w:bidi w:val="0"/>
              <w:adjustRightInd/>
              <w:snapToGrid/>
              <w:ind w:firstLine="440" w:firstLineChars="20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一星级□</w:t>
            </w:r>
          </w:p>
          <w:p w14:paraId="75E0C36D">
            <w:pPr>
              <w:keepNext w:val="0"/>
              <w:keepLines/>
              <w:pageBreakBefore w:val="0"/>
              <w:widowControl w:val="0"/>
              <w:kinsoku/>
              <w:wordWrap/>
              <w:overflowPunct/>
              <w:topLinePunct w:val="0"/>
              <w:autoSpaceDE/>
              <w:autoSpaceDN/>
              <w:bidi w:val="0"/>
              <w:adjustRightInd/>
              <w:snapToGrid/>
              <w:ind w:firstLine="440" w:firstLineChars="20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二星级□</w:t>
            </w:r>
          </w:p>
          <w:p w14:paraId="3FA56655">
            <w:pPr>
              <w:keepNext w:val="0"/>
              <w:keepLines/>
              <w:pageBreakBefore w:val="0"/>
              <w:widowControl w:val="0"/>
              <w:kinsoku/>
              <w:wordWrap/>
              <w:overflowPunct/>
              <w:topLinePunct w:val="0"/>
              <w:autoSpaceDE/>
              <w:autoSpaceDN/>
              <w:bidi w:val="0"/>
              <w:adjustRightInd/>
              <w:snapToGrid/>
              <w:ind w:firstLine="44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三星级□</w:t>
            </w:r>
          </w:p>
          <w:p w14:paraId="12616D80">
            <w:pPr>
              <w:keepNext w:val="0"/>
              <w:keepLines/>
              <w:pageBreakBefore w:val="0"/>
              <w:widowControl w:val="0"/>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要求。</w:t>
            </w:r>
          </w:p>
        </w:tc>
        <w:tc>
          <w:tcPr>
            <w:tcW w:w="2748" w:type="dxa"/>
            <w:tcBorders>
              <w:tl2br w:val="nil"/>
              <w:tr2bl w:val="nil"/>
            </w:tcBorders>
            <w:shd w:val="clear" w:color="auto" w:fill="auto"/>
            <w:noWrap/>
            <w:vAlign w:val="center"/>
          </w:tcPr>
          <w:p w14:paraId="439321C6">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按自评对应星级要求判定是否达标，</w:t>
            </w:r>
            <w:r>
              <w:rPr>
                <w:rFonts w:hint="eastAsia" w:ascii="仿宋" w:hAnsi="仿宋" w:eastAsia="仿宋" w:cs="仿宋"/>
                <w:i w:val="0"/>
                <w:iCs w:val="0"/>
                <w:color w:val="000000"/>
                <w:sz w:val="22"/>
                <w:szCs w:val="22"/>
                <w:u w:val="none"/>
                <w:lang w:val="en-US" w:eastAsia="zh-CN"/>
              </w:rPr>
              <w:t>并提交相应的设计图纸、设计说明及计算书、模拟报告、检测报告等</w:t>
            </w:r>
            <w:r>
              <w:rPr>
                <w:rFonts w:hint="eastAsia" w:ascii="仿宋" w:hAnsi="仿宋" w:eastAsia="仿宋" w:cs="仿宋"/>
                <w:i w:val="0"/>
                <w:iCs w:val="0"/>
                <w:color w:val="000000"/>
                <w:sz w:val="22"/>
                <w:szCs w:val="22"/>
                <w:u w:val="none"/>
                <w:lang w:eastAsia="zh-CN"/>
              </w:rPr>
              <w:t>。</w:t>
            </w:r>
          </w:p>
        </w:tc>
      </w:tr>
    </w:tbl>
    <w:p w14:paraId="1AB202AA">
      <w:pPr>
        <w:rPr>
          <w:rFonts w:hint="default" w:ascii="仿宋" w:hAnsi="仿宋" w:eastAsia="仿宋" w:cs="仿宋"/>
          <w:sz w:val="22"/>
          <w:szCs w:val="22"/>
          <w:lang w:val="en-US" w:eastAsia="zh-CN"/>
        </w:rPr>
      </w:pPr>
      <w:r>
        <w:rPr>
          <w:rFonts w:hint="eastAsia" w:ascii="仿宋" w:hAnsi="仿宋" w:eastAsia="仿宋" w:cs="仿宋"/>
          <w:lang w:val="en-US" w:eastAsia="zh-CN"/>
        </w:rPr>
        <w:t xml:space="preserve">注：本表由中山市土木建筑学会负责技术解析。                                                               </w:t>
      </w:r>
      <w:r>
        <w:rPr>
          <w:rFonts w:hint="eastAsia" w:ascii="仿宋" w:hAnsi="仿宋" w:eastAsia="仿宋" w:cs="仿宋"/>
          <w:sz w:val="22"/>
          <w:szCs w:val="22"/>
          <w:lang w:val="en-US" w:eastAsia="zh-CN"/>
        </w:rPr>
        <w:t xml:space="preserve"> 申报单位（盖章）：</w:t>
      </w:r>
    </w:p>
    <w:p w14:paraId="43384514">
      <w:pPr>
        <w:rPr>
          <w:rFonts w:hint="default" w:eastAsiaTheme="minorEastAsia"/>
          <w:lang w:val="en-US" w:eastAsia="zh-CN"/>
        </w:rPr>
      </w:pPr>
    </w:p>
    <w:sectPr>
      <w:pgSz w:w="16838" w:h="11906" w:orient="landscape"/>
      <w:pgMar w:top="567" w:right="567" w:bottom="567" w:left="2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C2E569E-4F61-4F09-8D53-DCAC4373B9B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F9F6E9-EA4F-49A0-B11E-1B5DB211F05D}"/>
  </w:font>
  <w:font w:name="方正楷体_GB2312">
    <w:panose1 w:val="02000000000000000000"/>
    <w:charset w:val="86"/>
    <w:family w:val="auto"/>
    <w:pitch w:val="default"/>
    <w:sig w:usb0="A00002BF" w:usb1="184F6CFA" w:usb2="00000012" w:usb3="00000000" w:csb0="00040001" w:csb1="00000000"/>
    <w:embedRegular r:id="rId3" w:fontKey="{6F271ECB-9451-45B9-9EE0-21602F33560A}"/>
  </w:font>
  <w:font w:name="仿宋">
    <w:panose1 w:val="02010609060101010101"/>
    <w:charset w:val="86"/>
    <w:family w:val="auto"/>
    <w:pitch w:val="default"/>
    <w:sig w:usb0="800002BF" w:usb1="38CF7CFA" w:usb2="00000016" w:usb3="00000000" w:csb0="00040001" w:csb1="00000000"/>
    <w:embedRegular r:id="rId4" w:fontKey="{C56DEDC6-3865-494D-977B-4A7B7FA805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FDB8"/>
    <w:multiLevelType w:val="singleLevel"/>
    <w:tmpl w:val="90C8FDB8"/>
    <w:lvl w:ilvl="0" w:tentative="0">
      <w:start w:val="6"/>
      <w:numFmt w:val="chineseCounting"/>
      <w:suff w:val="space"/>
      <w:lvlText w:val="第%1章"/>
      <w:lvlJc w:val="left"/>
      <w:rPr>
        <w:rFonts w:hint="eastAsia"/>
        <w:b/>
        <w:bCs/>
        <w:sz w:val="26"/>
        <w:szCs w:val="26"/>
      </w:rPr>
    </w:lvl>
  </w:abstractNum>
  <w:abstractNum w:abstractNumId="1">
    <w:nsid w:val="A4D3BD0E"/>
    <w:multiLevelType w:val="singleLevel"/>
    <w:tmpl w:val="A4D3BD0E"/>
    <w:lvl w:ilvl="0" w:tentative="0">
      <w:start w:val="7"/>
      <w:numFmt w:val="chineseCounting"/>
      <w:suff w:val="space"/>
      <w:lvlText w:val="第%1章"/>
      <w:lvlJc w:val="left"/>
      <w:rPr>
        <w:rFonts w:hint="eastAsia"/>
        <w:b/>
        <w:bCs/>
        <w:sz w:val="26"/>
        <w:szCs w:val="26"/>
      </w:rPr>
    </w:lvl>
  </w:abstractNum>
  <w:abstractNum w:abstractNumId="2">
    <w:nsid w:val="DC3C9163"/>
    <w:multiLevelType w:val="singleLevel"/>
    <w:tmpl w:val="DC3C9163"/>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3C2C"/>
    <w:rsid w:val="00EE3D9B"/>
    <w:rsid w:val="02137F92"/>
    <w:rsid w:val="025B5E25"/>
    <w:rsid w:val="04974587"/>
    <w:rsid w:val="052B0CBB"/>
    <w:rsid w:val="05366D3E"/>
    <w:rsid w:val="07DE3C2C"/>
    <w:rsid w:val="0814667E"/>
    <w:rsid w:val="086065A5"/>
    <w:rsid w:val="08780604"/>
    <w:rsid w:val="09325656"/>
    <w:rsid w:val="09B21AF4"/>
    <w:rsid w:val="0B1F7084"/>
    <w:rsid w:val="0C3473C4"/>
    <w:rsid w:val="0FF5374D"/>
    <w:rsid w:val="12733E7A"/>
    <w:rsid w:val="179C1828"/>
    <w:rsid w:val="17DA29E1"/>
    <w:rsid w:val="18CA0C5D"/>
    <w:rsid w:val="19526877"/>
    <w:rsid w:val="1AE41DF2"/>
    <w:rsid w:val="1B4C38EE"/>
    <w:rsid w:val="1B9E385A"/>
    <w:rsid w:val="1C2841E6"/>
    <w:rsid w:val="1C8A6DB2"/>
    <w:rsid w:val="1D1B3E4A"/>
    <w:rsid w:val="1D1C2B4F"/>
    <w:rsid w:val="1F4676C8"/>
    <w:rsid w:val="218604FE"/>
    <w:rsid w:val="21BE339B"/>
    <w:rsid w:val="26180593"/>
    <w:rsid w:val="265A320F"/>
    <w:rsid w:val="272A498F"/>
    <w:rsid w:val="2A0B3C10"/>
    <w:rsid w:val="2AB342C7"/>
    <w:rsid w:val="2B0D2030"/>
    <w:rsid w:val="2C8830E6"/>
    <w:rsid w:val="2C8C7CC1"/>
    <w:rsid w:val="305331A8"/>
    <w:rsid w:val="30543E21"/>
    <w:rsid w:val="31325037"/>
    <w:rsid w:val="33681E65"/>
    <w:rsid w:val="33DB3025"/>
    <w:rsid w:val="33DD41FC"/>
    <w:rsid w:val="35912F56"/>
    <w:rsid w:val="376A75ED"/>
    <w:rsid w:val="381F28C7"/>
    <w:rsid w:val="39055E83"/>
    <w:rsid w:val="3BFD2D78"/>
    <w:rsid w:val="3C940DD1"/>
    <w:rsid w:val="3E3066C2"/>
    <w:rsid w:val="3F68658D"/>
    <w:rsid w:val="3FB77F27"/>
    <w:rsid w:val="407446C0"/>
    <w:rsid w:val="416F7722"/>
    <w:rsid w:val="42425D88"/>
    <w:rsid w:val="44824291"/>
    <w:rsid w:val="44B83ECB"/>
    <w:rsid w:val="44E90813"/>
    <w:rsid w:val="469528EA"/>
    <w:rsid w:val="48E409EA"/>
    <w:rsid w:val="49BA65C0"/>
    <w:rsid w:val="4ABE5C2C"/>
    <w:rsid w:val="4C9F6C0B"/>
    <w:rsid w:val="4D426F88"/>
    <w:rsid w:val="4D98130A"/>
    <w:rsid w:val="4E6D0CFB"/>
    <w:rsid w:val="4E750330"/>
    <w:rsid w:val="4FCC7745"/>
    <w:rsid w:val="506D7AE6"/>
    <w:rsid w:val="51EC090F"/>
    <w:rsid w:val="52C71BE2"/>
    <w:rsid w:val="54E572D9"/>
    <w:rsid w:val="582D357F"/>
    <w:rsid w:val="58644D7C"/>
    <w:rsid w:val="58D97E3F"/>
    <w:rsid w:val="5A6C1FA0"/>
    <w:rsid w:val="5C3435DF"/>
    <w:rsid w:val="5C521A71"/>
    <w:rsid w:val="5C7560D1"/>
    <w:rsid w:val="5CA77D67"/>
    <w:rsid w:val="5CF06AF3"/>
    <w:rsid w:val="5E1204BA"/>
    <w:rsid w:val="5EF70B8B"/>
    <w:rsid w:val="5F354E37"/>
    <w:rsid w:val="5F8D3D67"/>
    <w:rsid w:val="60CF2532"/>
    <w:rsid w:val="63043D0B"/>
    <w:rsid w:val="639840F5"/>
    <w:rsid w:val="65DA7B27"/>
    <w:rsid w:val="66650F64"/>
    <w:rsid w:val="666E7EBA"/>
    <w:rsid w:val="671977A1"/>
    <w:rsid w:val="6A333127"/>
    <w:rsid w:val="6B8A4FC9"/>
    <w:rsid w:val="6D082649"/>
    <w:rsid w:val="6D3C263F"/>
    <w:rsid w:val="6D6225C1"/>
    <w:rsid w:val="70230A08"/>
    <w:rsid w:val="70262ED9"/>
    <w:rsid w:val="71B14D19"/>
    <w:rsid w:val="72710130"/>
    <w:rsid w:val="72AA505B"/>
    <w:rsid w:val="72CB58E8"/>
    <w:rsid w:val="737E23D3"/>
    <w:rsid w:val="76360B77"/>
    <w:rsid w:val="76A458A9"/>
    <w:rsid w:val="78E71CAD"/>
    <w:rsid w:val="79730131"/>
    <w:rsid w:val="798D43CE"/>
    <w:rsid w:val="79A731EA"/>
    <w:rsid w:val="7A4236CD"/>
    <w:rsid w:val="7C2823C0"/>
    <w:rsid w:val="7D224AFA"/>
    <w:rsid w:val="7D786757"/>
    <w:rsid w:val="7E3E3E03"/>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eastAsia" w:ascii="宋体" w:hAnsi="宋体" w:eastAsia="宋体" w:cs="宋体"/>
      <w:color w:val="000000"/>
      <w:sz w:val="21"/>
      <w:szCs w:val="21"/>
      <w:u w:val="none"/>
    </w:rPr>
  </w:style>
  <w:style w:type="character" w:customStyle="1" w:styleId="8">
    <w:name w:val="font21"/>
    <w:basedOn w:val="6"/>
    <w:qFormat/>
    <w:uiPriority w:val="0"/>
    <w:rPr>
      <w:rFonts w:ascii="宋体" w:hAnsi="宋体" w:eastAsia="宋体" w:cs="宋体"/>
      <w:color w:val="000000"/>
      <w:sz w:val="21"/>
      <w:szCs w:val="21"/>
      <w:u w:val="none"/>
    </w:rPr>
  </w:style>
  <w:style w:type="paragraph" w:customStyle="1" w:styleId="9">
    <w:name w:val="表格样式11"/>
    <w:basedOn w:val="1"/>
    <w:qFormat/>
    <w:uiPriority w:val="0"/>
    <w:pPr>
      <w:jc w:val="center"/>
    </w:pPr>
    <w:rPr>
      <w:rFonts w:hint="eastAsia"/>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2"/>
    <w:basedOn w:val="1"/>
    <w:qFormat/>
    <w:uiPriority w:val="0"/>
    <w:pPr>
      <w:spacing w:line="240" w:lineRule="auto"/>
      <w:ind w:left="280" w:leftChars="100"/>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69fdee26-ab0a-43e6-b4ff-69e6b8e03516</errorID>
      <errorWord>通达至</errorWord>
      <group>L1_Word</group>
      <groupName>字词问题</groupName>
      <ability>L2_Typo</ability>
      <abilityName>字词错误</abilityName>
      <candidateList>
        <item>通达</item>
      </candidateList>
      <explain/>
      <paraID>4B9F2BDF</paraID>
      <start>173</start>
      <end>175</end>
      <status>modified</status>
      <modifiedWord>通达</modifiedWord>
      <trackRevisions>false</trackRevisions>
    </reviewItem>
    <reviewItem>
      <errorID>c19758e1-1b9f-4295-8486-d332de05efeb</errorID>
      <errorWord>(</errorWord>
      <group>L1_Format</group>
      <groupName>格式问题</groupName>
      <ability>L2_HalfPunc</ability>
      <abilityName>全半角检查</abilityName>
      <candidateList>
        <item>（</item>
      </candidateList>
      <explain>文本全半角错误。</explain>
      <paraID>638FD335</paraID>
      <start>0</start>
      <end>1</end>
      <status>modified</status>
      <modifiedWord>（</modifiedWord>
      <trackRevisions>false</trackRevisions>
    </reviewItem>
    <reviewItem>
      <errorID>74719d17-fefc-477c-9b5b-2630561f539a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780CEBF3</paraID>
      <start>218</start>
      <end>219</end>
      <status>ignored</status>
      <modifiedWord/>
      <trackRevisions>false</trackRevisions>
    </reviewItem>
    <reviewItem>
      <errorID>67ba03f0-83b1-4f7f-9191-3842d2d5cb10</errorID>
      <errorWord>,</errorWord>
      <group>L1_Format</group>
      <groupName>格式问题</groupName>
      <ability>L2_HalfPunc</ability>
      <abilityName>全半角检查</abilityName>
      <candidateList>
        <item>，</item>
      </candidateList>
      <explain>文本全半角错误。</explain>
      <paraID>675374DA</paraID>
      <start>5</start>
      <end>6</end>
      <status>modified</status>
      <modifiedWord>，</modifiedWord>
      <trackRevisions>false</trackRevisions>
    </reviewItem>
    <reviewItem>
      <errorID>16fd29e8-7eb7-42a1-8029-98f123d224ca</errorID>
      <errorWord>捷</errorWord>
      <group>L1_Word</group>
      <groupName>字词问题</groupName>
      <ability>L2_Typo</ability>
      <abilityName>字词错误</abilityName>
      <candidateList>
        <item>捷地</item>
      </candidateList>
      <explain/>
      <paraID>752B60AE</paraID>
      <start>68</start>
      <end>69</end>
      <status>ignored</status>
      <modifiedWord/>
      <trackRevisions>false</trackRevisions>
    </reviewItem>
    <reviewItem>
      <errorID>e071ec62-c468-4b67-9415-688e7f3a0f84</errorID>
      <errorWord>低端</errorWord>
      <group>L1_Word</group>
      <groupName>字词问题</groupName>
      <ability>L2_Typo</ability>
      <abilityName>字词错误</abilityName>
      <candidateList>
        <item>底端</item>
      </candidateList>
      <explain/>
      <paraID>2CA001FC</paraID>
      <start>46</start>
      <end>48</end>
      <status>ignored</status>
      <modifiedWord/>
      <trackRevisions>false</trackRevisions>
    </reviewItem>
    <reviewItem>
      <errorID>8340cdb3-e47d-48a0-96ef-a76e5247fab2</errorID>
      <errorWord>.</errorWord>
      <group>L1_Format</group>
      <groupName>格式问题</groupName>
      <ability>L2_HalfPunc</ability>
      <abilityName>全半角检查</abilityName>
      <candidateList>
        <item>。</item>
      </candidateList>
      <explain>文本全半角错误。</explain>
      <paraID>7A1DF2BF</paraID>
      <start>9</start>
      <end>10</end>
      <status>ignored</status>
      <modifiedWord/>
      <trackRevisions>false</trackRevisions>
    </reviewItem>
    <reviewItem>
      <errorID>a462284d-9979-451a-8a35-42c914a18ade</errorID>
      <errorWord>，</errorWord>
      <group>L1_Word</group>
      <groupName>字词问题</groupName>
      <ability>L2_Typo</ability>
      <abilityName>字词错误</abilityName>
      <candidateList>
        <item>，对</item>
      </candidateList>
      <explain/>
      <paraID>7BB72A1D</paraID>
      <start>36</start>
      <end>38</end>
      <status>modified</status>
      <modifiedWord>，对</modifiedWord>
      <trackRevisions>false</trackRevisions>
    </reviewItem>
    <reviewItem>
      <errorID>52bda083-c912-436f-bb9a-05a9379d78ba</errorID>
      <errorWord>。。</errorWord>
      <group>L1_Punc</group>
      <groupName>标点问题</groupName>
      <ability>L2_Punc</ability>
      <abilityName>标点符号检查</abilityName>
      <candidateList>
        <item>。</item>
      </candidateList>
      <explain/>
      <paraID> C247976</paraID>
      <start>23</start>
      <end>24</end>
      <status>modified</status>
      <modifiedWord>。</modifiedWord>
      <trackRevisions>false</trackRevisions>
    </reviewItem>
    <reviewItem>
      <errorID>7484add6-268b-4de8-992a-6713e11b1ef8</errorID>
      <errorWord>消防的</errorWord>
      <group>L1_Word</group>
      <groupName>字词问题</groupName>
      <ability>L2_Typo</ability>
      <abilityName>字词错误</abilityName>
      <candidateList>
        <item>消防</item>
      </candidateList>
      <explain/>
      <paraID> B4D1ABD</paraID>
      <start>24</start>
      <end>27</end>
      <status>ignored</status>
      <modifiedWord/>
      <trackRevisions>false</trackRevisions>
    </reviewItem>
    <reviewItem>
      <errorID>8d66fd8c-9990-49ca-ab32-dd0614347d03</errorID>
      <errorWord>粘贴</errorWord>
      <group>L1_Word</group>
      <groupName>字词问题</groupName>
      <ability>L2_Typo</ability>
      <abilityName>字词错误</abilityName>
      <candidateList>
        <item>黏贴</item>
      </candidateList>
      <explain/>
      <paraID>5EBBAB31</paraID>
      <start>163</start>
      <end>165</end>
      <status>ignored</status>
      <modifiedWord/>
      <trackRevisions>false</trackRevisions>
    </reviewItem>
    <reviewItem>
      <errorID>0a11592b-23d5-4779-bfd6-054ee2ed7842</errorID>
      <errorWord>调适</errorWord>
      <group>L1_Word</group>
      <groupName>字词问题</groupName>
      <ability>L2_Typo</ability>
      <abilityName>字词错误</abilityName>
      <candidateList>
        <item>调试</item>
      </candidateList>
      <explain>〈动〉试验并调整（机器、仪器等）：机床装好后经过～才能使用。</explain>
      <paraID>6AE749CE</paraID>
      <start>16</start>
      <end>18</end>
      <status>modified</status>
      <modifiedWord>调试</modifiedWord>
      <trackRevisions>false</trackRevisions>
    </reviewItem>
    <reviewItem>
      <errorID>724c97e1-9067-4224-a3ee-c2b1a195c3e3</errorID>
      <errorWord>。。</errorWord>
      <group>L1_Punc</group>
      <groupName>标点问题</groupName>
      <ability>L2_Punc</ability>
      <abilityName>标点符号检查</abilityName>
      <candidateList>
        <item>。</item>
      </candidateList>
      <explain/>
      <paraID>58E372A6</paraID>
      <start>31</start>
      <end>32</end>
      <status>modified</status>
      <modifiedWord>。</modifiedWord>
      <trackRevisions>false</trackRevisions>
    </reviewItem>
    <reviewItem>
      <errorID>a3a2c2aa-a18c-4af6-8d17-82c6bf92b47a</errorID>
      <errorWord>标识性</errorWord>
      <group>L1_Word</group>
      <groupName>字词问题</groupName>
      <ability>L2_Typo</ability>
      <abilityName>字词错误</abilityName>
      <candidateList>
        <item>标志性</item>
      </candidateList>
      <explain>存在发音相近字词的误用。</explain>
      <paraID>3A954B38</paraID>
      <start>51</start>
      <end>54</end>
      <status>ignored</status>
      <modifiedWord/>
      <trackRevisions>false</trackRevisions>
    </reviewItem>
    <reviewItem>
      <errorID>0cec7f48-b0a7-42d9-b197-946160dcfe77</errorID>
      <errorWord>电子板</errorWord>
      <group>L1_Word</group>
      <groupName>字词问题</groupName>
      <ability>L2_Typo</ability>
      <abilityName>字词错误</abilityName>
      <candidateList>
        <item>电子版</item>
      </candidateList>
      <explain>存在发音相同字词的误用。</explain>
      <paraID>5B8C9519</paraID>
      <start>21</start>
      <end>24</end>
      <status>modified</status>
      <modifiedWord>电子版</modifiedWord>
      <trackRevisions>false</trackRevisions>
    </reviewItem>
    <reviewItem>
      <errorID>6c8ad24b-1e15-41e9-abeb-636f77466427</errorID>
      <errorWord>电子板</errorWord>
      <group>L1_Word</group>
      <groupName>字词问题</groupName>
      <ability>L2_Typo</ability>
      <abilityName>字词错误</abilityName>
      <candidateList>
        <item>电子版</item>
      </candidateList>
      <explain>存在发音相同字词的误用。</explain>
      <paraID> 98A0B71</paraID>
      <start>19</start>
      <end>22</end>
      <status>modified</status>
      <modifiedWord>电子版</modifiedWord>
      <trackRevisions>false</trackRevisions>
    </reviewItem>
    <reviewItem>
      <errorID>cef8f14b-a48f-4fbe-8a7e-722573d67a82</errorID>
      <errorWord>内含应</errorWord>
      <group>L1_Word</group>
      <groupName>字词问题</groupName>
      <ability>L2_Typo</ability>
      <abilityName>字词错误</abilityName>
      <candidateList>
        <item>内含</item>
      </candidateList>
      <explain/>
      <paraID> E5E3B6C</paraID>
      <start>20</start>
      <end>22</end>
      <status>modified</status>
      <modifiedWord>内含</modifiedWord>
      <trackRevisions>false</trackRevisions>
    </reviewItem>
    <reviewItem>
      <errorID>663bbc36-f9d4-4196-8ad1-8c20ab7cfb1b</errorID>
      <errorWord>干扰到</errorWord>
      <group>L1_Word</group>
      <groupName>字词问题</groupName>
      <ability>L2_Typo</ability>
      <abilityName>字词错误</abilityName>
      <candidateList>
        <item>干扰</item>
      </candidateList>
      <explain/>
      <paraID>329B662B</paraID>
      <start>32</start>
      <end>34</end>
      <status>modified</status>
      <modifiedWord>干扰</modifiedWord>
      <trackRevisions>false</trackRevisions>
    </reviewItem>
    <reviewItem>
      <errorID>3aaabf8b-b67d-4ec3-99c1-74c673c45dfc</errorID>
      <errorWord>。</errorWord>
      <group>L1_Punc</group>
      <groupName>标点问题</groupName>
      <ability>L2_Punc</ability>
      <abilityName>标点符号检查</abilityName>
      <candidateList/>
      <explain/>
      <paraID>439321C6</paraID>
      <start>46</start>
      <end>47</end>
      <status>ignored</status>
      <modifiedWord/>
      <trackRevisions>false</trackRevisions>
    </reviewItem>
  </reviewItems>
  <config/>
</contractReview>
</file>

<file path=customXml/itemProps1.xml><?xml version="1.0" encoding="utf-8"?>
<ds:datastoreItem xmlns:ds="http://schemas.openxmlformats.org/officeDocument/2006/customXml" ds:itemID="{ef3c88f8-2928-4002-bf9c-13878aeeb4d8}">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13011</Words>
  <Characters>14086</Characters>
  <Lines>0</Lines>
  <Paragraphs>0</Paragraphs>
  <TotalTime>5</TotalTime>
  <ScaleCrop>false</ScaleCrop>
  <LinksUpToDate>false</LinksUpToDate>
  <CharactersWithSpaces>14795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2025-10-17T08:25:00Z</dcterms:created>
  <dc:creator>冯雨衡</dc:creator>
  <cp:lastModifiedBy>晓萍</cp:lastModifiedBy>
  <cp:lastPrinted>2025-10-28T10:35:00Z</cp:lastPrinted>
  <dcterms:modified xsi:type="dcterms:W3CDTF">2026-04-02T12:21:44Z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3E96E45976FC44E5B25BC96297B2DD86_13</vt:lpwstr>
  </property>
  <property fmtid="{D5CDD505-2E9C-101B-9397-08002B2CF9AE}" pid="4" name="KSOTemplateDocerSaveRecord">
    <vt:lpwstr>eyJoZGlkIjoiNzc2MzhmZmNiMDczYTVhODk5MzE2NjEzMWJhMGE5MDYiLCJ1c2VySWQiOiI2OTAyNDc5MjIifQ==</vt:lpwstr>
  </property>
</Properties>
</file>