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97C5">
      <w:pPr>
        <w:ind w:firstLine="880"/>
        <w:rPr>
          <w:rFonts w:hint="eastAsia" w:ascii="Times New Roman" w:hAnsi="Times New Roman" w:eastAsia="方正小标宋简体" w:cs="方正小标宋简体"/>
          <w:bCs/>
          <w:sz w:val="44"/>
          <w:szCs w:val="44"/>
        </w:rPr>
      </w:pPr>
    </w:p>
    <w:p w14:paraId="5B6F5206">
      <w:pPr>
        <w:ind w:firstLine="880"/>
        <w:rPr>
          <w:rFonts w:hint="eastAsia" w:ascii="Times New Roman" w:hAnsi="Times New Roman" w:eastAsia="方正小标宋简体" w:cs="方正小标宋简体"/>
          <w:bCs/>
          <w:sz w:val="44"/>
          <w:szCs w:val="44"/>
        </w:rPr>
      </w:pPr>
    </w:p>
    <w:p w14:paraId="23850547">
      <w:pPr>
        <w:ind w:firstLine="880"/>
        <w:rPr>
          <w:rFonts w:hint="eastAsia" w:ascii="Times New Roman" w:hAnsi="Times New Roman" w:eastAsia="方正小标宋简体" w:cs="方正小标宋简体"/>
          <w:bCs/>
          <w:sz w:val="44"/>
          <w:szCs w:val="44"/>
        </w:rPr>
      </w:pPr>
    </w:p>
    <w:p w14:paraId="777BF98B">
      <w:pPr>
        <w:ind w:firstLine="880"/>
        <w:rPr>
          <w:rFonts w:hint="eastAsia" w:ascii="Times New Roman" w:hAnsi="Times New Roman" w:eastAsia="方正小标宋简体" w:cs="方正小标宋简体"/>
          <w:bCs/>
          <w:sz w:val="44"/>
          <w:szCs w:val="44"/>
        </w:rPr>
      </w:pPr>
    </w:p>
    <w:p w14:paraId="6229A71C">
      <w:pPr>
        <w:ind w:firstLine="880"/>
        <w:rPr>
          <w:rFonts w:hint="eastAsia" w:ascii="Times New Roman" w:hAnsi="Times New Roman" w:eastAsia="方正小标宋简体" w:cs="方正小标宋简体"/>
          <w:bCs/>
          <w:sz w:val="44"/>
          <w:szCs w:val="44"/>
        </w:rPr>
      </w:pPr>
    </w:p>
    <w:p w14:paraId="3DDD4A46">
      <w:pPr>
        <w:keepNext/>
        <w:keepLines/>
        <w:spacing w:line="240" w:lineRule="auto"/>
        <w:ind w:firstLine="0" w:firstLineChars="0"/>
        <w:jc w:val="center"/>
        <w:rPr>
          <w:rFonts w:hint="eastAsia" w:ascii="方正小标宋简体" w:hAnsi="方正小标宋简体" w:eastAsia="方正小标宋简体" w:cs="方正小标宋简体"/>
          <w:sz w:val="44"/>
          <w:szCs w:val="44"/>
          <w:lang w:eastAsia="zh-CN"/>
        </w:rPr>
      </w:pPr>
      <w:bookmarkStart w:id="0" w:name="_Toc9152"/>
      <w:r>
        <w:rPr>
          <w:rFonts w:hint="eastAsia" w:ascii="方正小标宋简体" w:hAnsi="方正小标宋简体" w:eastAsia="方正小标宋简体" w:cs="方正小标宋简体"/>
          <w:sz w:val="44"/>
          <w:szCs w:val="44"/>
          <w:lang w:eastAsia="zh-CN"/>
        </w:rPr>
        <w:t>中山市无障碍城市发展规划</w:t>
      </w:r>
      <w:bookmarkEnd w:id="0"/>
    </w:p>
    <w:p w14:paraId="20B7DFEF">
      <w:pPr>
        <w:keepNext/>
        <w:keepLines/>
        <w:spacing w:line="240" w:lineRule="auto"/>
        <w:ind w:firstLine="0" w:firstLineChars="0"/>
        <w:jc w:val="center"/>
        <w:rPr>
          <w:rFonts w:hint="eastAsia" w:ascii="Times New Roman" w:hAnsi="Times New Roman" w:eastAsia="方正小标宋简体" w:cs="方正小标宋简体"/>
          <w:bCs/>
          <w:sz w:val="44"/>
          <w:szCs w:val="44"/>
          <w:lang w:eastAsia="zh-CN"/>
        </w:rPr>
      </w:pPr>
      <w:bookmarkStart w:id="1" w:name="_Toc30770"/>
      <w:r>
        <w:rPr>
          <w:rFonts w:hint="eastAsia" w:ascii="方正小标宋简体" w:hAnsi="方正小标宋简体" w:eastAsia="方正小标宋简体" w:cs="方正小标宋简体"/>
          <w:sz w:val="44"/>
          <w:szCs w:val="44"/>
          <w:lang w:eastAsia="zh-CN"/>
        </w:rPr>
        <w:t>（2025-2035年）</w:t>
      </w:r>
      <w:bookmarkEnd w:id="1"/>
      <w:r>
        <w:rPr>
          <w:rFonts w:hint="eastAsia" w:ascii="方正小标宋简体" w:hAnsi="方正小标宋简体" w:eastAsia="方正小标宋简体" w:cs="方正小标宋简体"/>
          <w:sz w:val="44"/>
          <w:szCs w:val="44"/>
          <w:lang w:eastAsia="zh-CN"/>
        </w:rPr>
        <w:br w:type="textWrapping"/>
      </w:r>
      <w:r>
        <w:rPr>
          <w:rFonts w:hint="eastAsia" w:ascii="方正小标宋简体" w:hAnsi="方正小标宋简体" w:eastAsia="方正小标宋简体" w:cs="方正小标宋简体"/>
          <w:sz w:val="44"/>
          <w:szCs w:val="44"/>
          <w:lang w:eastAsia="zh-CN"/>
        </w:rPr>
        <w:t>（征求意见稿）</w:t>
      </w:r>
    </w:p>
    <w:p w14:paraId="22749E07">
      <w:pPr>
        <w:ind w:firstLine="880"/>
        <w:rPr>
          <w:rFonts w:hint="eastAsia" w:ascii="Times New Roman" w:hAnsi="Times New Roman" w:eastAsia="方正小标宋简体" w:cs="方正小标宋简体"/>
          <w:bCs/>
          <w:sz w:val="44"/>
          <w:szCs w:val="44"/>
          <w:lang w:eastAsia="zh-CN"/>
        </w:rPr>
      </w:pPr>
    </w:p>
    <w:p w14:paraId="34FCCD34">
      <w:pPr>
        <w:ind w:firstLine="880"/>
        <w:rPr>
          <w:rFonts w:hint="eastAsia" w:ascii="Times New Roman" w:hAnsi="Times New Roman" w:eastAsia="方正小标宋简体" w:cs="方正小标宋简体"/>
          <w:bCs/>
          <w:sz w:val="44"/>
          <w:szCs w:val="44"/>
          <w:lang w:eastAsia="zh-CN"/>
        </w:rPr>
      </w:pPr>
    </w:p>
    <w:p w14:paraId="1EFF64BB">
      <w:pPr>
        <w:ind w:firstLine="880"/>
        <w:rPr>
          <w:rFonts w:hint="eastAsia" w:ascii="Times New Roman" w:hAnsi="Times New Roman" w:eastAsia="方正小标宋简体" w:cs="方正小标宋简体"/>
          <w:bCs/>
          <w:sz w:val="44"/>
          <w:szCs w:val="44"/>
          <w:lang w:eastAsia="zh-CN"/>
        </w:rPr>
      </w:pPr>
    </w:p>
    <w:p w14:paraId="79F88C04">
      <w:pPr>
        <w:ind w:firstLine="880"/>
        <w:rPr>
          <w:rFonts w:hint="eastAsia" w:ascii="Times New Roman" w:hAnsi="Times New Roman" w:eastAsia="方正小标宋简体" w:cs="方正小标宋简体"/>
          <w:bCs/>
          <w:sz w:val="44"/>
          <w:szCs w:val="44"/>
          <w:lang w:eastAsia="zh-CN"/>
        </w:rPr>
      </w:pPr>
    </w:p>
    <w:p w14:paraId="7C9C2959">
      <w:pPr>
        <w:ind w:firstLine="880"/>
        <w:rPr>
          <w:rFonts w:hint="eastAsia" w:ascii="Times New Roman" w:hAnsi="Times New Roman" w:eastAsia="方正小标宋简体" w:cs="方正小标宋简体"/>
          <w:bCs/>
          <w:sz w:val="44"/>
          <w:szCs w:val="44"/>
          <w:lang w:eastAsia="zh-CN"/>
        </w:rPr>
      </w:pPr>
    </w:p>
    <w:p w14:paraId="270431DD">
      <w:pPr>
        <w:ind w:firstLine="880"/>
        <w:rPr>
          <w:rFonts w:hint="eastAsia" w:ascii="Times New Roman" w:hAnsi="Times New Roman" w:eastAsia="方正小标宋简体" w:cs="方正小标宋简体"/>
          <w:bCs/>
          <w:sz w:val="44"/>
          <w:szCs w:val="44"/>
          <w:lang w:eastAsia="zh-CN"/>
        </w:rPr>
      </w:pPr>
    </w:p>
    <w:p w14:paraId="52DC16C3">
      <w:pPr>
        <w:ind w:firstLine="880"/>
        <w:rPr>
          <w:rFonts w:hint="eastAsia" w:ascii="Times New Roman" w:hAnsi="Times New Roman" w:eastAsia="方正小标宋简体" w:cs="方正小标宋简体"/>
          <w:bCs/>
          <w:sz w:val="44"/>
          <w:szCs w:val="44"/>
          <w:lang w:eastAsia="zh-CN"/>
        </w:rPr>
      </w:pPr>
    </w:p>
    <w:p w14:paraId="56EEB5E2">
      <w:pPr>
        <w:ind w:firstLine="880"/>
        <w:rPr>
          <w:rFonts w:hint="eastAsia" w:ascii="Times New Roman" w:hAnsi="Times New Roman" w:eastAsia="方正小标宋简体" w:cs="方正小标宋简体"/>
          <w:bCs/>
          <w:sz w:val="44"/>
          <w:szCs w:val="44"/>
          <w:lang w:eastAsia="zh-CN"/>
        </w:rPr>
      </w:pPr>
    </w:p>
    <w:p w14:paraId="7A62C743">
      <w:pPr>
        <w:kinsoku w:val="0"/>
        <w:autoSpaceDE w:val="0"/>
        <w:autoSpaceDN w:val="0"/>
        <w:spacing w:line="574" w:lineRule="exact"/>
        <w:ind w:firstLine="0" w:firstLineChars="0"/>
        <w:jc w:val="center"/>
        <w:textAlignment w:val="baseline"/>
        <w:rPr>
          <w:rFonts w:hint="eastAsia" w:ascii="Times New Roman" w:hAnsi="Times New Roman" w:eastAsia="方正小标宋简体" w:cs="方正小标宋简体"/>
          <w:snapToGrid w:val="0"/>
          <w:color w:val="000000"/>
          <w:szCs w:val="32"/>
          <w:lang w:eastAsia="zh-CN"/>
        </w:rPr>
      </w:pPr>
      <w:r>
        <w:rPr>
          <w:rFonts w:hint="eastAsia" w:ascii="Times New Roman" w:hAnsi="Times New Roman" w:eastAsia="方正小标宋简体" w:cs="方正小标宋简体"/>
          <w:snapToGrid w:val="0"/>
          <w:color w:val="000000"/>
          <w:spacing w:val="9"/>
          <w:szCs w:val="32"/>
          <w:lang w:eastAsia="zh-CN"/>
        </w:rPr>
        <w:t>中山市住房和城乡建设局</w:t>
      </w:r>
    </w:p>
    <w:p w14:paraId="5F8F6206">
      <w:pPr>
        <w:spacing w:line="574" w:lineRule="exact"/>
        <w:ind w:firstLine="0" w:firstLineChars="0"/>
        <w:jc w:val="center"/>
        <w:rPr>
          <w:rFonts w:hint="eastAsia" w:ascii="Times New Roman" w:hAnsi="Times New Roman" w:eastAsia="方正小标宋简体" w:cs="方正小标宋简体"/>
          <w:bCs/>
          <w:szCs w:val="32"/>
        </w:rPr>
      </w:pPr>
      <w:r>
        <w:rPr>
          <w:rFonts w:hint="eastAsia" w:ascii="Times New Roman" w:hAnsi="Times New Roman" w:eastAsia="方正小标宋简体" w:cs="方正小标宋简体"/>
          <w:snapToGrid w:val="0"/>
          <w:color w:val="000000"/>
          <w:spacing w:val="8"/>
          <w:szCs w:val="32"/>
        </w:rPr>
        <w:t>二〇</w:t>
      </w:r>
      <w:r>
        <w:rPr>
          <w:rFonts w:hint="eastAsia" w:ascii="Times New Roman" w:hAnsi="Times New Roman" w:eastAsia="方正小标宋简体" w:cs="方正小标宋简体"/>
          <w:snapToGrid w:val="0"/>
          <w:color w:val="000000"/>
          <w:spacing w:val="8"/>
          <w:szCs w:val="32"/>
          <w:lang w:eastAsia="zh-CN"/>
        </w:rPr>
        <w:t>二五</w:t>
      </w:r>
      <w:r>
        <w:rPr>
          <w:rFonts w:hint="eastAsia" w:ascii="Times New Roman" w:hAnsi="Times New Roman" w:eastAsia="方正小标宋简体" w:cs="方正小标宋简体"/>
          <w:snapToGrid w:val="0"/>
          <w:color w:val="000000"/>
          <w:spacing w:val="8"/>
          <w:szCs w:val="32"/>
        </w:rPr>
        <w:t>年</w:t>
      </w:r>
      <w:r>
        <w:rPr>
          <w:rFonts w:hint="eastAsia" w:ascii="Times New Roman" w:hAnsi="Times New Roman" w:eastAsia="方正小标宋简体" w:cs="方正小标宋简体"/>
          <w:snapToGrid w:val="0"/>
          <w:color w:val="000000"/>
          <w:spacing w:val="8"/>
          <w:szCs w:val="32"/>
          <w:lang w:eastAsia="zh-CN"/>
        </w:rPr>
        <w:t>十二</w:t>
      </w:r>
      <w:r>
        <w:rPr>
          <w:rFonts w:hint="eastAsia" w:ascii="Times New Roman" w:hAnsi="Times New Roman" w:eastAsia="方正小标宋简体" w:cs="方正小标宋简体"/>
          <w:snapToGrid w:val="0"/>
          <w:color w:val="000000"/>
          <w:spacing w:val="8"/>
          <w:szCs w:val="32"/>
        </w:rPr>
        <w:t>月</w:t>
      </w:r>
    </w:p>
    <w:p w14:paraId="0EBE6476">
      <w:pPr>
        <w:ind w:firstLine="880"/>
        <w:rPr>
          <w:rFonts w:hint="eastAsia" w:ascii="Times New Roman" w:hAnsi="Times New Roman" w:eastAsia="方正小标宋简体" w:cs="方正小标宋简体"/>
          <w:bCs/>
          <w:sz w:val="44"/>
          <w:szCs w:val="44"/>
        </w:rPr>
      </w:pPr>
    </w:p>
    <w:p w14:paraId="0EC4838E">
      <w:pPr>
        <w:ind w:firstLine="880"/>
        <w:rPr>
          <w:rFonts w:hint="eastAsia" w:ascii="Times New Roman" w:hAnsi="Times New Roman" w:eastAsia="方正小标宋简体" w:cs="方正小标宋简体"/>
          <w:bCs/>
          <w:sz w:val="44"/>
          <w:szCs w:val="44"/>
        </w:rPr>
      </w:pPr>
    </w:p>
    <w:p w14:paraId="7CC2C765">
      <w:pPr>
        <w:ind w:firstLine="880"/>
        <w:rPr>
          <w:rFonts w:hint="eastAsia" w:ascii="Times New Roman" w:hAnsi="Times New Roman" w:eastAsia="方正小标宋简体" w:cs="方正小标宋简体"/>
          <w:bCs/>
          <w:sz w:val="44"/>
          <w:szCs w:val="44"/>
        </w:rPr>
      </w:pPr>
    </w:p>
    <w:p w14:paraId="4BE1F3AC">
      <w:pPr>
        <w:pStyle w:val="2"/>
        <w:spacing w:before="240"/>
        <w:rPr>
          <w:rFonts w:hint="eastAsia"/>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cols w:space="720" w:num="1"/>
        </w:sectPr>
      </w:pPr>
    </w:p>
    <w:p w14:paraId="780D7973">
      <w:pPr>
        <w:spacing w:line="360" w:lineRule="auto"/>
        <w:ind w:firstLine="0" w:firstLineChars="0"/>
        <w:jc w:val="center"/>
        <w:rPr>
          <w:rFonts w:ascii="宋体" w:hAnsi="宋体" w:eastAsia="宋体"/>
          <w:sz w:val="21"/>
        </w:rPr>
      </w:pPr>
      <w:r>
        <w:rPr>
          <w:rFonts w:hint="eastAsia" w:ascii="方正小标宋简体" w:hAnsi="方正小标宋简体" w:eastAsia="方正小标宋简体" w:cs="方正小标宋简体"/>
          <w:sz w:val="44"/>
          <w:szCs w:val="44"/>
        </w:rPr>
        <w:t>目录</w:t>
      </w:r>
    </w:p>
    <w:p w14:paraId="28744F29">
      <w:pPr>
        <w:pStyle w:val="36"/>
        <w:tabs>
          <w:tab w:val="right" w:leader="dot" w:pos="8640"/>
        </w:tabs>
      </w:pPr>
      <w:r>
        <w:rPr>
          <w:rFonts w:hint="eastAsia" w:ascii="微软雅黑" w:hAnsi="微软雅黑"/>
        </w:rPr>
        <w:fldChar w:fldCharType="begin"/>
      </w:r>
      <w:r>
        <w:rPr>
          <w:rFonts w:hint="eastAsia" w:ascii="微软雅黑" w:hAnsi="微软雅黑"/>
        </w:rPr>
        <w:instrText xml:space="preserve">TOC \o "1-1" \h \u </w:instrText>
      </w:r>
      <w:r>
        <w:rPr>
          <w:rFonts w:hint="eastAsia" w:ascii="微软雅黑" w:hAnsi="微软雅黑"/>
        </w:rPr>
        <w:fldChar w:fldCharType="separate"/>
      </w:r>
      <w:r>
        <w:rPr>
          <w:rFonts w:hint="eastAsia" w:ascii="微软雅黑" w:hAnsi="微软雅黑"/>
        </w:rPr>
        <w:fldChar w:fldCharType="begin"/>
      </w:r>
      <w:r>
        <w:rPr>
          <w:rFonts w:hint="eastAsia" w:ascii="微软雅黑" w:hAnsi="微软雅黑"/>
        </w:rPr>
        <w:instrText xml:space="preserve"> HYPERLINK \l _Toc9769 </w:instrText>
      </w:r>
      <w:r>
        <w:rPr>
          <w:rFonts w:hint="eastAsia" w:ascii="微软雅黑" w:hAnsi="微软雅黑"/>
        </w:rPr>
        <w:fldChar w:fldCharType="separate"/>
      </w:r>
      <w:r>
        <w:rPr>
          <w:rFonts w:hint="eastAsia"/>
          <w:lang w:eastAsia="zh-CN"/>
        </w:rPr>
        <w:t>前言</w:t>
      </w:r>
      <w:r>
        <w:tab/>
      </w:r>
      <w:r>
        <w:fldChar w:fldCharType="begin"/>
      </w:r>
      <w:r>
        <w:instrText xml:space="preserve"> PAGEREF _Toc9769 \h </w:instrText>
      </w:r>
      <w:r>
        <w:fldChar w:fldCharType="separate"/>
      </w:r>
      <w:r>
        <w:t>1</w:t>
      </w:r>
      <w:r>
        <w:fldChar w:fldCharType="end"/>
      </w:r>
      <w:r>
        <w:rPr>
          <w:rFonts w:hint="eastAsia" w:ascii="微软雅黑" w:hAnsi="微软雅黑"/>
        </w:rPr>
        <w:fldChar w:fldCharType="end"/>
      </w:r>
    </w:p>
    <w:p w14:paraId="725518A2">
      <w:pPr>
        <w:pStyle w:val="36"/>
        <w:tabs>
          <w:tab w:val="right" w:leader="dot" w:pos="8640"/>
        </w:tabs>
      </w:pPr>
      <w:r>
        <w:rPr>
          <w:rFonts w:hint="eastAsia"/>
        </w:rPr>
        <w:fldChar w:fldCharType="begin"/>
      </w:r>
      <w:r>
        <w:rPr>
          <w:rFonts w:hint="eastAsia"/>
        </w:rPr>
        <w:instrText xml:space="preserve"> HYPERLINK \l _Toc4432 </w:instrText>
      </w:r>
      <w:r>
        <w:rPr>
          <w:rFonts w:hint="eastAsia"/>
        </w:rPr>
        <w:fldChar w:fldCharType="separate"/>
      </w:r>
      <w:r>
        <w:rPr>
          <w:rFonts w:hint="eastAsia"/>
          <w:lang w:eastAsia="zh-CN"/>
        </w:rPr>
        <w:t>第一章 总则</w:t>
      </w:r>
      <w:r>
        <w:tab/>
      </w:r>
      <w:r>
        <w:fldChar w:fldCharType="begin"/>
      </w:r>
      <w:r>
        <w:instrText xml:space="preserve"> PAGEREF _Toc4432 \h </w:instrText>
      </w:r>
      <w:r>
        <w:fldChar w:fldCharType="separate"/>
      </w:r>
      <w:r>
        <w:t>2</w:t>
      </w:r>
      <w:r>
        <w:fldChar w:fldCharType="end"/>
      </w:r>
      <w:r>
        <w:rPr>
          <w:rFonts w:hint="eastAsia"/>
        </w:rPr>
        <w:fldChar w:fldCharType="end"/>
      </w:r>
    </w:p>
    <w:p w14:paraId="7EE74848">
      <w:pPr>
        <w:pStyle w:val="36"/>
        <w:tabs>
          <w:tab w:val="right" w:leader="dot" w:pos="8640"/>
        </w:tabs>
      </w:pPr>
      <w:r>
        <w:rPr>
          <w:rFonts w:hint="eastAsia"/>
        </w:rPr>
        <w:fldChar w:fldCharType="begin"/>
      </w:r>
      <w:r>
        <w:rPr>
          <w:rFonts w:hint="eastAsia"/>
        </w:rPr>
        <w:instrText xml:space="preserve"> HYPERLINK \l _Toc17311 </w:instrText>
      </w:r>
      <w:r>
        <w:rPr>
          <w:rFonts w:hint="eastAsia"/>
        </w:rPr>
        <w:fldChar w:fldCharType="separate"/>
      </w:r>
      <w:r>
        <w:rPr>
          <w:rFonts w:hint="eastAsia"/>
          <w:lang w:eastAsia="zh-CN"/>
        </w:rPr>
        <w:t>第二章 规划背景</w:t>
      </w:r>
      <w:r>
        <w:tab/>
      </w:r>
      <w:r>
        <w:fldChar w:fldCharType="begin"/>
      </w:r>
      <w:r>
        <w:instrText xml:space="preserve"> PAGEREF _Toc17311 \h </w:instrText>
      </w:r>
      <w:r>
        <w:fldChar w:fldCharType="separate"/>
      </w:r>
      <w:r>
        <w:t>9</w:t>
      </w:r>
      <w:r>
        <w:fldChar w:fldCharType="end"/>
      </w:r>
      <w:r>
        <w:rPr>
          <w:rFonts w:hint="eastAsia"/>
        </w:rPr>
        <w:fldChar w:fldCharType="end"/>
      </w:r>
    </w:p>
    <w:p w14:paraId="3BE11C9E">
      <w:pPr>
        <w:pStyle w:val="36"/>
        <w:tabs>
          <w:tab w:val="right" w:leader="dot" w:pos="8640"/>
        </w:tabs>
      </w:pPr>
      <w:r>
        <w:rPr>
          <w:rFonts w:hint="eastAsia"/>
        </w:rPr>
        <w:fldChar w:fldCharType="begin"/>
      </w:r>
      <w:r>
        <w:rPr>
          <w:rFonts w:hint="eastAsia"/>
        </w:rPr>
        <w:instrText xml:space="preserve"> HYPERLINK \l _Toc27607 </w:instrText>
      </w:r>
      <w:r>
        <w:rPr>
          <w:rFonts w:hint="eastAsia"/>
        </w:rPr>
        <w:fldChar w:fldCharType="separate"/>
      </w:r>
      <w:r>
        <w:rPr>
          <w:rFonts w:hint="eastAsia"/>
          <w:lang w:eastAsia="zh-CN"/>
        </w:rPr>
        <w:t>第三章 规划</w:t>
      </w:r>
      <w:r>
        <w:rPr>
          <w:rFonts w:hint="eastAsia"/>
          <w:lang w:val="en-US" w:eastAsia="zh-CN"/>
        </w:rPr>
        <w:t>愿景</w:t>
      </w:r>
      <w:r>
        <w:tab/>
      </w:r>
      <w:r>
        <w:fldChar w:fldCharType="begin"/>
      </w:r>
      <w:r>
        <w:instrText xml:space="preserve"> PAGEREF _Toc27607 \h </w:instrText>
      </w:r>
      <w:r>
        <w:fldChar w:fldCharType="separate"/>
      </w:r>
      <w:r>
        <w:t>14</w:t>
      </w:r>
      <w:r>
        <w:fldChar w:fldCharType="end"/>
      </w:r>
      <w:r>
        <w:rPr>
          <w:rFonts w:hint="eastAsia"/>
        </w:rPr>
        <w:fldChar w:fldCharType="end"/>
      </w:r>
    </w:p>
    <w:p w14:paraId="69FC418B">
      <w:pPr>
        <w:pStyle w:val="36"/>
        <w:tabs>
          <w:tab w:val="right" w:leader="dot" w:pos="8640"/>
        </w:tabs>
      </w:pPr>
      <w:r>
        <w:rPr>
          <w:rFonts w:hint="eastAsia"/>
        </w:rPr>
        <w:fldChar w:fldCharType="begin"/>
      </w:r>
      <w:r>
        <w:rPr>
          <w:rFonts w:hint="eastAsia"/>
        </w:rPr>
        <w:instrText xml:space="preserve"> HYPERLINK \l _Toc9842 </w:instrText>
      </w:r>
      <w:r>
        <w:rPr>
          <w:rFonts w:hint="eastAsia"/>
        </w:rPr>
        <w:fldChar w:fldCharType="separate"/>
      </w:r>
      <w:r>
        <w:rPr>
          <w:rFonts w:hint="eastAsia"/>
          <w:lang w:eastAsia="zh-CN"/>
        </w:rPr>
        <w:t>第</w:t>
      </w:r>
      <w:r>
        <w:rPr>
          <w:rFonts w:hint="eastAsia"/>
          <w:lang w:val="en-US" w:eastAsia="zh-CN"/>
        </w:rPr>
        <w:t>四</w:t>
      </w:r>
      <w:r>
        <w:rPr>
          <w:rFonts w:hint="eastAsia"/>
          <w:lang w:eastAsia="zh-CN"/>
        </w:rPr>
        <w:t>章 发展指引</w:t>
      </w:r>
      <w:r>
        <w:tab/>
      </w:r>
      <w:r>
        <w:fldChar w:fldCharType="begin"/>
      </w:r>
      <w:r>
        <w:instrText xml:space="preserve"> PAGEREF _Toc9842 \h </w:instrText>
      </w:r>
      <w:r>
        <w:fldChar w:fldCharType="separate"/>
      </w:r>
      <w:r>
        <w:t>17</w:t>
      </w:r>
      <w:r>
        <w:fldChar w:fldCharType="end"/>
      </w:r>
      <w:r>
        <w:rPr>
          <w:rFonts w:hint="eastAsia"/>
        </w:rPr>
        <w:fldChar w:fldCharType="end"/>
      </w:r>
    </w:p>
    <w:p w14:paraId="59400D0C">
      <w:pPr>
        <w:pStyle w:val="36"/>
        <w:tabs>
          <w:tab w:val="right" w:leader="dot" w:pos="8640"/>
        </w:tabs>
      </w:pPr>
      <w:r>
        <w:rPr>
          <w:rFonts w:hint="eastAsia"/>
        </w:rPr>
        <w:fldChar w:fldCharType="begin"/>
      </w:r>
      <w:r>
        <w:rPr>
          <w:rFonts w:hint="eastAsia"/>
        </w:rPr>
        <w:instrText xml:space="preserve"> HYPERLINK \l _Toc19146 </w:instrText>
      </w:r>
      <w:r>
        <w:rPr>
          <w:rFonts w:hint="eastAsia"/>
        </w:rPr>
        <w:fldChar w:fldCharType="separate"/>
      </w:r>
      <w:r>
        <w:rPr>
          <w:rFonts w:hint="eastAsia"/>
        </w:rPr>
        <w:t>第</w:t>
      </w:r>
      <w:r>
        <w:rPr>
          <w:rFonts w:hint="eastAsia"/>
          <w:lang w:val="en-US" w:eastAsia="zh-CN"/>
        </w:rPr>
        <w:t>五</w:t>
      </w:r>
      <w:r>
        <w:rPr>
          <w:rFonts w:hint="eastAsia"/>
        </w:rPr>
        <w:t>章 保障措施</w:t>
      </w:r>
      <w:r>
        <w:tab/>
      </w:r>
      <w:r>
        <w:fldChar w:fldCharType="begin"/>
      </w:r>
      <w:r>
        <w:instrText xml:space="preserve"> PAGEREF _Toc19146 \h </w:instrText>
      </w:r>
      <w:r>
        <w:fldChar w:fldCharType="separate"/>
      </w:r>
      <w:r>
        <w:t>41</w:t>
      </w:r>
      <w:r>
        <w:fldChar w:fldCharType="end"/>
      </w:r>
      <w:r>
        <w:rPr>
          <w:rFonts w:hint="eastAsia"/>
        </w:rPr>
        <w:fldChar w:fldCharType="end"/>
      </w:r>
    </w:p>
    <w:p w14:paraId="3B9A93A1">
      <w:pPr>
        <w:spacing w:line="360" w:lineRule="auto"/>
        <w:ind w:firstLine="640"/>
        <w:rPr>
          <w:rFonts w:hint="eastAsia"/>
          <w:lang w:eastAsia="zh-CN"/>
        </w:rPr>
        <w:sectPr>
          <w:footerReference r:id="rId11" w:type="default"/>
          <w:pgSz w:w="12240" w:h="15840"/>
          <w:pgMar w:top="1440" w:right="1800" w:bottom="1440" w:left="1800" w:header="720" w:footer="720" w:gutter="0"/>
          <w:pgNumType w:start="1"/>
          <w:cols w:space="720" w:num="1"/>
        </w:sectPr>
      </w:pPr>
      <w:r>
        <w:rPr>
          <w:rFonts w:hint="eastAsia"/>
        </w:rPr>
        <w:fldChar w:fldCharType="end"/>
      </w:r>
      <w:bookmarkStart w:id="2" w:name="_Toc31466"/>
    </w:p>
    <w:bookmarkEnd w:id="2"/>
    <w:p w14:paraId="1518BB30">
      <w:pPr>
        <w:pStyle w:val="2"/>
        <w:spacing w:before="240"/>
        <w:rPr>
          <w:lang w:eastAsia="zh-CN"/>
        </w:rPr>
      </w:pPr>
      <w:bookmarkStart w:id="3" w:name="_Toc32674"/>
      <w:bookmarkStart w:id="4" w:name="_Toc4990"/>
      <w:bookmarkStart w:id="5" w:name="_Toc5779_ai"/>
      <w:bookmarkStart w:id="6" w:name="_Toc9769"/>
      <w:bookmarkStart w:id="7" w:name="_Toc29896"/>
      <w:r>
        <w:rPr>
          <w:rFonts w:hint="eastAsia"/>
          <w:lang w:eastAsia="zh-CN"/>
        </w:rPr>
        <w:t>前言</w:t>
      </w:r>
      <w:bookmarkEnd w:id="3"/>
      <w:bookmarkEnd w:id="4"/>
      <w:bookmarkEnd w:id="5"/>
      <w:bookmarkEnd w:id="6"/>
      <w:bookmarkEnd w:id="7"/>
      <w:bookmarkStart w:id="8" w:name="_Toc31466_ai"/>
      <w:bookmarkEnd w:id="8"/>
    </w:p>
    <w:p w14:paraId="5225F843">
      <w:pPr>
        <w:ind w:firstLine="640"/>
        <w:rPr>
          <w:rFonts w:ascii="Times New Roman" w:hAnsi="Times New Roman"/>
          <w:szCs w:val="32"/>
          <w:lang w:eastAsia="zh-CN"/>
        </w:rPr>
      </w:pPr>
    </w:p>
    <w:p w14:paraId="38D9BDEC">
      <w:pPr>
        <w:ind w:firstLine="640"/>
        <w:rPr>
          <w:rFonts w:ascii="Times New Roman" w:hAnsi="Times New Roman"/>
          <w:szCs w:val="32"/>
          <w:lang w:eastAsia="zh-CN"/>
        </w:rPr>
      </w:pPr>
      <w:r>
        <w:rPr>
          <w:rFonts w:ascii="Times New Roman" w:hAnsi="Times New Roman"/>
          <w:szCs w:val="32"/>
          <w:lang w:eastAsia="zh-CN"/>
        </w:rPr>
        <w:t>无障碍城市建设是衡量城市文明程度与现代化水平的核心指标。中山作为</w:t>
      </w:r>
      <w:r>
        <w:rPr>
          <w:rFonts w:hint="eastAsia" w:ascii="Times New Roman" w:hAnsi="Times New Roman"/>
          <w:szCs w:val="32"/>
          <w:lang w:eastAsia="zh-CN"/>
        </w:rPr>
        <w:t>珠江口东西两岸融合</w:t>
      </w:r>
      <w:r>
        <w:rPr>
          <w:rFonts w:hint="eastAsia" w:ascii="Times New Roman" w:hAnsi="Times New Roman"/>
          <w:szCs w:val="32"/>
          <w:lang w:val="en-US" w:eastAsia="zh-CN"/>
        </w:rPr>
        <w:t>互动</w:t>
      </w:r>
      <w:r>
        <w:rPr>
          <w:rFonts w:hint="eastAsia" w:ascii="Times New Roman" w:hAnsi="Times New Roman"/>
          <w:szCs w:val="32"/>
          <w:lang w:eastAsia="zh-CN"/>
        </w:rPr>
        <w:t>发展改革创新实验区</w:t>
      </w:r>
      <w:r>
        <w:rPr>
          <w:rFonts w:ascii="Times New Roman" w:hAnsi="Times New Roman"/>
          <w:szCs w:val="32"/>
          <w:lang w:eastAsia="zh-CN"/>
        </w:rPr>
        <w:t>，正迎来深中通道贯通的历史机遇，需以更高标准推进无障碍环境建设。近年来，中山在无障碍</w:t>
      </w:r>
      <w:r>
        <w:rPr>
          <w:rFonts w:hint="eastAsia" w:ascii="Times New Roman" w:hAnsi="Times New Roman"/>
          <w:szCs w:val="32"/>
          <w:lang w:eastAsia="zh-CN"/>
        </w:rPr>
        <w:t>城市建设方面</w:t>
      </w:r>
      <w:r>
        <w:rPr>
          <w:rFonts w:ascii="Times New Roman" w:hAnsi="Times New Roman"/>
          <w:szCs w:val="32"/>
          <w:lang w:eastAsia="zh-CN"/>
        </w:rPr>
        <w:t>取得</w:t>
      </w:r>
      <w:r>
        <w:rPr>
          <w:rFonts w:hint="eastAsia" w:ascii="Times New Roman" w:hAnsi="Times New Roman"/>
          <w:szCs w:val="32"/>
          <w:lang w:eastAsia="zh-CN"/>
        </w:rPr>
        <w:t>初步</w:t>
      </w:r>
      <w:r>
        <w:rPr>
          <w:rFonts w:ascii="Times New Roman" w:hAnsi="Times New Roman"/>
          <w:szCs w:val="32"/>
          <w:lang w:eastAsia="zh-CN"/>
        </w:rPr>
        <w:t>成效，但仍存在</w:t>
      </w:r>
      <w:r>
        <w:rPr>
          <w:rFonts w:hint="eastAsia" w:ascii="Times New Roman" w:hAnsi="Times New Roman"/>
          <w:szCs w:val="32"/>
          <w:lang w:eastAsia="zh-CN"/>
        </w:rPr>
        <w:t>无障碍环境建设不健全、维护不到位</w:t>
      </w:r>
      <w:r>
        <w:rPr>
          <w:rFonts w:ascii="Times New Roman" w:hAnsi="Times New Roman"/>
          <w:szCs w:val="32"/>
          <w:lang w:eastAsia="zh-CN"/>
        </w:rPr>
        <w:t>等问题。本规划</w:t>
      </w:r>
      <w:r>
        <w:rPr>
          <w:rFonts w:hint="eastAsia" w:ascii="Times New Roman" w:hAnsi="Times New Roman"/>
          <w:szCs w:val="32"/>
          <w:lang w:eastAsia="zh-CN"/>
        </w:rPr>
        <w:t>以“消除障碍、融合共享”为工作主线，</w:t>
      </w:r>
      <w:r>
        <w:rPr>
          <w:rFonts w:ascii="Times New Roman" w:hAnsi="Times New Roman"/>
          <w:szCs w:val="32"/>
          <w:lang w:eastAsia="zh-CN"/>
        </w:rPr>
        <w:t>构建</w:t>
      </w:r>
      <w:r>
        <w:rPr>
          <w:rFonts w:hint="eastAsia" w:ascii="Times New Roman" w:hAnsi="Times New Roman"/>
          <w:szCs w:val="32"/>
          <w:lang w:eastAsia="zh-CN"/>
        </w:rPr>
        <w:t>“</w:t>
      </w:r>
      <w:r>
        <w:rPr>
          <w:rFonts w:ascii="Times New Roman" w:hAnsi="Times New Roman"/>
          <w:szCs w:val="32"/>
          <w:lang w:eastAsia="zh-CN"/>
        </w:rPr>
        <w:t>全民全龄共享、智慧赋能支撑</w:t>
      </w:r>
      <w:r>
        <w:rPr>
          <w:rFonts w:hint="eastAsia" w:ascii="Times New Roman" w:hAnsi="Times New Roman"/>
          <w:szCs w:val="32"/>
          <w:lang w:eastAsia="zh-CN"/>
        </w:rPr>
        <w:t>”</w:t>
      </w:r>
      <w:r>
        <w:rPr>
          <w:rFonts w:ascii="Times New Roman" w:hAnsi="Times New Roman"/>
          <w:szCs w:val="32"/>
          <w:lang w:eastAsia="zh-CN"/>
        </w:rPr>
        <w:t>的无障碍城市体系</w:t>
      </w:r>
      <w:r>
        <w:rPr>
          <w:rFonts w:hint="eastAsia" w:ascii="Times New Roman" w:hAnsi="Times New Roman"/>
          <w:szCs w:val="32"/>
          <w:lang w:eastAsia="zh-CN"/>
        </w:rPr>
        <w:t>，促进新时代中山无障碍环境建设高质量发展</w:t>
      </w:r>
      <w:r>
        <w:rPr>
          <w:rFonts w:ascii="Times New Roman" w:hAnsi="Times New Roman"/>
          <w:szCs w:val="32"/>
          <w:lang w:eastAsia="zh-CN"/>
        </w:rPr>
        <w:t>。</w:t>
      </w:r>
    </w:p>
    <w:p w14:paraId="3D795E85">
      <w:pPr>
        <w:ind w:firstLine="640"/>
        <w:rPr>
          <w:rFonts w:hint="eastAsia" w:ascii="Times New Roman" w:hAnsi="Times New Roman" w:eastAsia="黑体" w:cs="黑体"/>
          <w:szCs w:val="32"/>
          <w:lang w:eastAsia="zh-CN"/>
        </w:rPr>
      </w:pPr>
      <w:r>
        <w:rPr>
          <w:rFonts w:hint="eastAsia" w:ascii="Times New Roman" w:hAnsi="Times New Roman"/>
          <w:szCs w:val="32"/>
          <w:lang w:eastAsia="zh-CN"/>
        </w:rPr>
        <w:t>当前，中山市正处于城市转型升级的攻坚阶段，无障碍环境建设既是保障残疾人、老年人、孕妇、儿童等特殊群体基本权益的民生工程，也是提升城市综合承载能力、促进社会包容融合的重要举措。随着人口老龄化进程加快、全民健康理念普及以及城市活动需求的多元化发展，无障碍环境已从特定群体的刚性需求，逐步扩展为覆盖全民全龄的普惠性需求。规划编制坚持问题导向和需求导向，提出在中山市全市范围内构筑全民全龄无障碍城市空间，以公共设施、公共交通、公共空间（现实空间）和数字空间（虚拟空间）的无障碍示范化建设和改造为抓手，系统推进无障碍城市建设各项工作，为中山建设“弱有众扶”的民生幸福标杆城市筑牢民生基础，让每个社会群体都能共享城市发展成果。</w:t>
      </w:r>
      <w:r>
        <w:rPr>
          <w:rFonts w:hint="eastAsia" w:ascii="Times New Roman" w:hAnsi="Times New Roman" w:eastAsia="黑体" w:cs="黑体"/>
          <w:szCs w:val="32"/>
          <w:lang w:eastAsia="zh-CN"/>
        </w:rPr>
        <w:br w:type="page"/>
      </w:r>
    </w:p>
    <w:p w14:paraId="624CE6BB">
      <w:pPr>
        <w:pStyle w:val="2"/>
        <w:spacing w:before="240"/>
        <w:rPr>
          <w:lang w:eastAsia="zh-CN"/>
        </w:rPr>
      </w:pPr>
      <w:bookmarkStart w:id="9" w:name="_Toc12331_ai"/>
      <w:bookmarkStart w:id="10" w:name="_Toc24966_ai"/>
      <w:bookmarkStart w:id="11" w:name="_Toc31940"/>
      <w:bookmarkStart w:id="12" w:name="_Toc4432"/>
      <w:bookmarkStart w:id="13" w:name="_Toc13247"/>
      <w:bookmarkStart w:id="14" w:name="_Toc7948"/>
      <w:r>
        <w:rPr>
          <w:rFonts w:hint="eastAsia"/>
          <w:lang w:eastAsia="zh-CN"/>
        </w:rPr>
        <w:t>第一章 总则</w:t>
      </w:r>
      <w:bookmarkEnd w:id="9"/>
      <w:bookmarkEnd w:id="10"/>
      <w:bookmarkEnd w:id="11"/>
      <w:bookmarkEnd w:id="12"/>
      <w:bookmarkEnd w:id="13"/>
      <w:bookmarkEnd w:id="14"/>
    </w:p>
    <w:p w14:paraId="36D52C3D">
      <w:pPr>
        <w:ind w:firstLine="640"/>
        <w:rPr>
          <w:lang w:eastAsia="zh-CN"/>
        </w:rPr>
      </w:pPr>
    </w:p>
    <w:p w14:paraId="382E19F6">
      <w:pPr>
        <w:pStyle w:val="3"/>
        <w:spacing w:before="120" w:line="560" w:lineRule="exact"/>
        <w:ind w:firstLine="0" w:firstLineChars="0"/>
        <w:rPr>
          <w:rFonts w:hint="eastAsia" w:ascii="楷体_GB2312" w:hAnsi="楷体_GB2312" w:eastAsia="楷体_GB2312" w:cs="楷体_GB2312"/>
          <w:bCs/>
        </w:rPr>
      </w:pPr>
      <w:bookmarkStart w:id="15" w:name="_Toc1463"/>
      <w:bookmarkStart w:id="16" w:name="_Toc21215"/>
      <w:r>
        <w:rPr>
          <w:rFonts w:hint="eastAsia" w:ascii="楷体_GB2312" w:hAnsi="楷体_GB2312" w:eastAsia="楷体_GB2312" w:cs="楷体_GB2312"/>
          <w:bCs/>
        </w:rPr>
        <w:t>1.1编制目的</w:t>
      </w:r>
      <w:bookmarkEnd w:id="15"/>
      <w:bookmarkEnd w:id="16"/>
    </w:p>
    <w:p w14:paraId="72160454">
      <w:pPr>
        <w:ind w:firstLine="640"/>
        <w:rPr>
          <w:rFonts w:ascii="Times New Roman" w:hAnsi="Times New Roman"/>
          <w:szCs w:val="32"/>
          <w:lang w:eastAsia="zh-CN"/>
        </w:rPr>
      </w:pPr>
      <w:r>
        <w:rPr>
          <w:rFonts w:ascii="Times New Roman" w:hAnsi="Times New Roman"/>
          <w:szCs w:val="32"/>
          <w:lang w:eastAsia="zh-CN"/>
        </w:rPr>
        <w:t>贯彻落实《中华人民共和国无障碍环境建设法》，打造</w:t>
      </w:r>
      <w:r>
        <w:rPr>
          <w:rFonts w:hint="eastAsia" w:ascii="Times New Roman" w:hAnsi="Times New Roman"/>
          <w:szCs w:val="32"/>
          <w:lang w:eastAsia="zh-CN"/>
        </w:rPr>
        <w:t>“</w:t>
      </w:r>
      <w:r>
        <w:rPr>
          <w:rFonts w:ascii="Times New Roman" w:hAnsi="Times New Roman"/>
          <w:szCs w:val="32"/>
          <w:lang w:eastAsia="zh-CN"/>
        </w:rPr>
        <w:t>弱有众扶</w:t>
      </w:r>
      <w:r>
        <w:rPr>
          <w:rFonts w:hint="eastAsia" w:ascii="Times New Roman" w:hAnsi="Times New Roman"/>
          <w:szCs w:val="32"/>
          <w:lang w:eastAsia="zh-CN"/>
        </w:rPr>
        <w:t>”</w:t>
      </w:r>
      <w:r>
        <w:rPr>
          <w:rFonts w:ascii="Times New Roman" w:hAnsi="Times New Roman"/>
          <w:szCs w:val="32"/>
          <w:lang w:eastAsia="zh-CN"/>
        </w:rPr>
        <w:t>的民生幸福标杆，满足全民全龄无障碍需求，系统</w:t>
      </w:r>
      <w:r>
        <w:rPr>
          <w:rFonts w:hint="eastAsia" w:ascii="Times New Roman" w:hAnsi="Times New Roman"/>
          <w:szCs w:val="32"/>
          <w:lang w:eastAsia="zh-CN"/>
        </w:rPr>
        <w:t>推进</w:t>
      </w:r>
      <w:r>
        <w:rPr>
          <w:rFonts w:ascii="Times New Roman" w:hAnsi="Times New Roman"/>
          <w:szCs w:val="32"/>
          <w:lang w:eastAsia="zh-CN"/>
        </w:rPr>
        <w:t>中山市无障碍环境建设，构建全域覆盖、系统完善的无障碍环境体系，为各类人群提供平等参与社会生活的条件。通过科学规划、分类指导、分步实施，全面提升中山市无障碍环境建设水平，促进社会公平正义，增强人民群众的获得感、幸福感和安全感。</w:t>
      </w:r>
    </w:p>
    <w:p w14:paraId="0F122016">
      <w:pPr>
        <w:pStyle w:val="3"/>
        <w:spacing w:before="120" w:line="560" w:lineRule="exact"/>
        <w:ind w:firstLine="0" w:firstLineChars="0"/>
        <w:rPr>
          <w:rFonts w:hint="eastAsia" w:ascii="楷体_GB2312" w:hAnsi="楷体_GB2312" w:eastAsia="楷体_GB2312" w:cs="楷体_GB2312"/>
          <w:bCs/>
        </w:rPr>
      </w:pPr>
      <w:bookmarkStart w:id="17" w:name="_Toc7036"/>
      <w:bookmarkStart w:id="18" w:name="_Toc23993"/>
      <w:r>
        <w:rPr>
          <w:rFonts w:hint="eastAsia" w:ascii="楷体_GB2312" w:hAnsi="楷体_GB2312" w:eastAsia="楷体_GB2312" w:cs="楷体_GB2312"/>
          <w:bCs/>
        </w:rPr>
        <w:t>1.2规划定位</w:t>
      </w:r>
      <w:bookmarkEnd w:id="17"/>
      <w:bookmarkEnd w:id="18"/>
    </w:p>
    <w:p w14:paraId="57840A57">
      <w:pPr>
        <w:ind w:firstLine="640"/>
        <w:rPr>
          <w:lang w:eastAsia="zh-CN"/>
        </w:rPr>
      </w:pPr>
      <w:r>
        <w:rPr>
          <w:lang w:eastAsia="zh-CN"/>
        </w:rPr>
        <w:t>本规划是指导中山市无障碍环境建设的发展规划，是各部门开展无障碍建设的行动指南，也是指导各镇街组织编制本辖区无障碍环境建设实施方案的重要依据。本规划统筹协调相关领域无障碍建设要求，构建上下联动、部门协同的工作格局，为无障碍建设与城市发展同步推进、同步实施提供方向指引。</w:t>
      </w:r>
    </w:p>
    <w:p w14:paraId="75022CDB">
      <w:pPr>
        <w:pStyle w:val="3"/>
        <w:spacing w:before="120" w:line="560" w:lineRule="exact"/>
        <w:ind w:firstLine="0" w:firstLineChars="0"/>
        <w:rPr>
          <w:rFonts w:hint="eastAsia" w:ascii="楷体_GB2312" w:hAnsi="楷体_GB2312" w:eastAsia="楷体_GB2312" w:cs="楷体_GB2312"/>
          <w:bCs/>
        </w:rPr>
      </w:pPr>
      <w:bookmarkStart w:id="19" w:name="_Toc29850"/>
      <w:bookmarkStart w:id="20" w:name="_Toc20046"/>
      <w:r>
        <w:rPr>
          <w:rFonts w:hint="eastAsia" w:ascii="楷体_GB2312" w:hAnsi="楷体_GB2312" w:eastAsia="楷体_GB2312" w:cs="楷体_GB2312"/>
          <w:bCs/>
        </w:rPr>
        <w:t>1.3指导思想</w:t>
      </w:r>
      <w:bookmarkEnd w:id="19"/>
      <w:bookmarkEnd w:id="20"/>
    </w:p>
    <w:p w14:paraId="0EB6B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ascii="微软雅黑" w:hAnsi="微软雅黑" w:eastAsia="仿宋_GB2312" w:cs="Times New Roman"/>
          <w:kern w:val="0"/>
          <w:sz w:val="32"/>
          <w:szCs w:val="24"/>
          <w:lang w:val="en-US" w:eastAsia="zh-CN" w:bidi="ar-SA"/>
        </w:rPr>
      </w:pPr>
      <w:r>
        <w:rPr>
          <w:rFonts w:hint="eastAsia" w:ascii="微软雅黑" w:hAnsi="微软雅黑" w:eastAsia="仿宋_GB2312" w:cs="Times New Roman"/>
          <w:kern w:val="0"/>
          <w:sz w:val="32"/>
          <w:szCs w:val="24"/>
          <w:lang w:val="en-US" w:eastAsia="zh-CN" w:bidi="ar-SA"/>
        </w:rPr>
        <w:t>以习近平新时代中国特色社会主义思想为指导，全面贯彻落实党的二十大精神，深入贯彻习近平总书记对广东系列重要讲话</w:t>
      </w:r>
      <w:r>
        <w:rPr>
          <w:rFonts w:hint="eastAsia" w:ascii="微软雅黑" w:hAnsi="微软雅黑" w:eastAsia="仿宋_GB2312" w:cs="Times New Roman"/>
          <w:kern w:val="0"/>
          <w:sz w:val="32"/>
          <w:szCs w:val="24"/>
          <w:lang w:val="en-US" w:eastAsia="zh" w:bidi="ar-SA"/>
        </w:rPr>
        <w:t>和</w:t>
      </w:r>
      <w:r>
        <w:rPr>
          <w:rFonts w:hint="eastAsia" w:ascii="微软雅黑" w:hAnsi="微软雅黑" w:eastAsia="仿宋_GB2312" w:cs="Times New Roman"/>
          <w:kern w:val="0"/>
          <w:sz w:val="32"/>
          <w:szCs w:val="24"/>
          <w:lang w:val="en-US" w:eastAsia="zh-CN" w:bidi="ar-SA"/>
        </w:rPr>
        <w:t>重要指示精神，全面贯彻落实习近平总书记关于残疾人工作的重要指示批示精神，坚持以人民为中心</w:t>
      </w:r>
      <w:r>
        <w:rPr>
          <w:rFonts w:ascii="微软雅黑" w:hAnsi="微软雅黑" w:eastAsia="仿宋_GB2312" w:cs="Times New Roman"/>
          <w:kern w:val="0"/>
          <w:sz w:val="32"/>
          <w:szCs w:val="24"/>
          <w:lang w:val="en-US" w:eastAsia="zh-CN" w:bidi="ar-SA"/>
        </w:rPr>
        <w:t>，构建全民全龄共享、安全便捷、多元包容的无障碍城市空间体系</w:t>
      </w:r>
      <w:r>
        <w:rPr>
          <w:rFonts w:hint="eastAsia" w:ascii="微软雅黑" w:hAnsi="微软雅黑" w:eastAsia="仿宋_GB2312" w:cs="Times New Roman"/>
          <w:kern w:val="0"/>
          <w:sz w:val="32"/>
          <w:szCs w:val="24"/>
          <w:lang w:val="en-US" w:eastAsia="zh-CN" w:bidi="ar-SA"/>
        </w:rPr>
        <w:t>，促进新时代中山无障碍环境建设高质量发展</w:t>
      </w:r>
      <w:r>
        <w:rPr>
          <w:rFonts w:ascii="微软雅黑" w:hAnsi="微软雅黑" w:eastAsia="仿宋_GB2312" w:cs="Times New Roman"/>
          <w:kern w:val="0"/>
          <w:sz w:val="32"/>
          <w:szCs w:val="24"/>
          <w:lang w:val="en-US" w:eastAsia="zh-CN" w:bidi="ar-SA"/>
        </w:rPr>
        <w:t>。</w:t>
      </w:r>
    </w:p>
    <w:p w14:paraId="67D986C6">
      <w:pPr>
        <w:pStyle w:val="3"/>
        <w:spacing w:before="120" w:line="560" w:lineRule="exact"/>
        <w:ind w:firstLine="0" w:firstLineChars="0"/>
        <w:rPr>
          <w:rFonts w:hint="eastAsia" w:ascii="楷体_GB2312" w:hAnsi="楷体_GB2312" w:eastAsia="楷体_GB2312" w:cs="楷体_GB2312"/>
          <w:bCs/>
        </w:rPr>
      </w:pPr>
      <w:bookmarkStart w:id="21" w:name="_Toc11482"/>
      <w:bookmarkStart w:id="22" w:name="_Toc9513"/>
      <w:r>
        <w:rPr>
          <w:rFonts w:hint="eastAsia" w:ascii="楷体_GB2312" w:hAnsi="楷体_GB2312" w:eastAsia="楷体_GB2312" w:cs="楷体_GB2312"/>
          <w:bCs/>
        </w:rPr>
        <w:t>1.4规划依据</w:t>
      </w:r>
      <w:bookmarkEnd w:id="21"/>
      <w:bookmarkEnd w:id="22"/>
    </w:p>
    <w:p w14:paraId="326F63FC">
      <w:pPr>
        <w:widowControl w:val="0"/>
        <w:ind w:firstLine="640"/>
        <w:rPr>
          <w:rFonts w:ascii="Times New Roman" w:hAnsi="Times New Roman"/>
          <w:szCs w:val="32"/>
          <w:lang w:eastAsia="zh-CN"/>
        </w:rPr>
      </w:pPr>
      <w:r>
        <w:rPr>
          <w:rFonts w:ascii="Times New Roman" w:hAnsi="Times New Roman"/>
          <w:szCs w:val="32"/>
          <w:lang w:eastAsia="zh-CN"/>
        </w:rPr>
        <w:t>本规划编制依据包括以下法律法规</w:t>
      </w:r>
      <w:r>
        <w:rPr>
          <w:rFonts w:hint="eastAsia" w:ascii="Times New Roman" w:hAnsi="Times New Roman"/>
          <w:szCs w:val="32"/>
          <w:lang w:eastAsia="zh-CN"/>
        </w:rPr>
        <w:t>、</w:t>
      </w:r>
      <w:r>
        <w:rPr>
          <w:rFonts w:ascii="Times New Roman" w:hAnsi="Times New Roman"/>
          <w:szCs w:val="32"/>
          <w:lang w:eastAsia="zh-CN"/>
        </w:rPr>
        <w:t>政策文件</w:t>
      </w:r>
      <w:r>
        <w:rPr>
          <w:rFonts w:hint="eastAsia" w:ascii="Times New Roman" w:hAnsi="Times New Roman"/>
          <w:szCs w:val="32"/>
          <w:lang w:eastAsia="zh-CN"/>
        </w:rPr>
        <w:t>和标准规范文件</w:t>
      </w:r>
      <w:r>
        <w:rPr>
          <w:rFonts w:ascii="Times New Roman" w:hAnsi="Times New Roman"/>
          <w:szCs w:val="32"/>
          <w:lang w:eastAsia="zh-CN"/>
        </w:rPr>
        <w:t>：</w:t>
      </w:r>
    </w:p>
    <w:p w14:paraId="197CB99C">
      <w:pPr>
        <w:keepNext/>
        <w:keepLines/>
        <w:widowControl/>
        <w:ind w:firstLine="643"/>
        <w:outlineLvl w:val="2"/>
        <w:rPr>
          <w:rFonts w:hint="default" w:ascii="仿宋_GB2312" w:hAnsi="仿宋_GB2312" w:cs="仿宋_GB2312"/>
          <w:b/>
          <w:bCs/>
          <w:szCs w:val="32"/>
          <w:lang w:val="en-US" w:eastAsia="zh-CN"/>
        </w:rPr>
      </w:pPr>
      <w:r>
        <w:rPr>
          <w:rFonts w:hint="eastAsia" w:ascii="仿宋_GB2312" w:hAnsi="仿宋_GB2312" w:cs="仿宋_GB2312"/>
          <w:b/>
          <w:bCs/>
          <w:szCs w:val="32"/>
          <w:lang w:val="en-US" w:eastAsia="zh-CN"/>
        </w:rPr>
        <w:t>1.</w:t>
      </w:r>
      <w:r>
        <w:rPr>
          <w:rFonts w:hint="eastAsia" w:ascii="仿宋_GB2312" w:hAnsi="仿宋_GB2312" w:cs="仿宋_GB2312"/>
          <w:b/>
          <w:bCs/>
          <w:szCs w:val="32"/>
          <w:lang w:eastAsia="zh-CN"/>
        </w:rPr>
        <w:t>国家</w:t>
      </w:r>
      <w:r>
        <w:rPr>
          <w:rFonts w:hint="eastAsia" w:ascii="仿宋_GB2312" w:hAnsi="仿宋_GB2312" w:cs="仿宋_GB2312"/>
          <w:b/>
          <w:bCs/>
          <w:szCs w:val="32"/>
          <w:lang w:val="en-US" w:eastAsia="zh-CN"/>
        </w:rPr>
        <w:t>层面</w:t>
      </w:r>
    </w:p>
    <w:p w14:paraId="3F794651">
      <w:pPr>
        <w:widowControl/>
        <w:numPr>
          <w:ilvl w:val="-1"/>
          <w:numId w:val="0"/>
        </w:numPr>
        <w:overflowPunct w:val="0"/>
        <w:topLinePunct/>
        <w:ind w:left="0" w:leftChars="0" w:firstLine="643" w:firstLineChars="0"/>
        <w:outlineLvl w:val="3"/>
        <w:rPr>
          <w:rFonts w:hint="eastAsia" w:ascii="仿宋_GB2312" w:hAnsi="仿宋_GB2312" w:cs="仿宋_GB2312"/>
          <w:b/>
          <w:bCs/>
          <w:szCs w:val="32"/>
          <w:lang w:eastAsia="zh-CN"/>
        </w:rPr>
      </w:pPr>
      <w:r>
        <w:rPr>
          <w:rFonts w:hint="eastAsia" w:ascii="仿宋_GB2312" w:hAnsi="仿宋_GB2312" w:cs="仿宋_GB2312"/>
          <w:b/>
          <w:bCs/>
          <w:szCs w:val="32"/>
          <w:lang w:eastAsia="zh-CN"/>
        </w:rPr>
        <w:t>（1）法律</w:t>
      </w:r>
    </w:p>
    <w:p w14:paraId="42DD51B6">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《中华人民共和国无障碍环境建设法》</w:t>
      </w:r>
    </w:p>
    <w:p w14:paraId="5F7FF248">
      <w:pPr>
        <w:widowControl/>
        <w:numPr>
          <w:ilvl w:val="-1"/>
          <w:numId w:val="0"/>
        </w:numPr>
        <w:overflowPunct w:val="0"/>
        <w:topLinePunct/>
        <w:ind w:left="0" w:leftChars="0" w:firstLine="643" w:firstLineChars="0"/>
        <w:outlineLvl w:val="3"/>
        <w:rPr>
          <w:rFonts w:hint="eastAsia" w:ascii="仿宋_GB2312" w:hAnsi="仿宋_GB2312" w:cs="仿宋_GB2312"/>
          <w:b/>
          <w:bCs/>
          <w:szCs w:val="32"/>
          <w:lang w:eastAsia="zh-CN"/>
        </w:rPr>
      </w:pP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2</w:t>
      </w:r>
      <w:r>
        <w:rPr>
          <w:rFonts w:hint="eastAsia" w:ascii="仿宋_GB2312" w:hAnsi="仿宋_GB2312" w:cs="仿宋_GB2312"/>
          <w:b/>
          <w:bCs/>
          <w:szCs w:val="32"/>
          <w:lang w:eastAsia="zh-CN"/>
        </w:rPr>
        <w:t>）行政法规（国务院条例）</w:t>
      </w:r>
    </w:p>
    <w:p w14:paraId="00880E07">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《无障碍环境建设条例》（国务院令第 622 号）</w:t>
      </w:r>
    </w:p>
    <w:p w14:paraId="4B0E60C4">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《残疾人就业条例》（国务院令第 488 号）</w:t>
      </w:r>
    </w:p>
    <w:p w14:paraId="3B8CB591">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《残疾人教育条例》（国务院令第 674 号）</w:t>
      </w:r>
    </w:p>
    <w:p w14:paraId="5C4EA6BB">
      <w:pPr>
        <w:widowControl/>
        <w:numPr>
          <w:ilvl w:val="-1"/>
          <w:numId w:val="0"/>
        </w:numPr>
        <w:overflowPunct w:val="0"/>
        <w:topLinePunct/>
        <w:ind w:left="0" w:leftChars="0" w:firstLine="643" w:firstLineChars="0"/>
        <w:outlineLvl w:val="3"/>
        <w:rPr>
          <w:rFonts w:hint="eastAsia" w:ascii="仿宋_GB2312" w:hAnsi="仿宋_GB2312" w:cs="仿宋_GB2312"/>
          <w:b/>
          <w:bCs/>
          <w:szCs w:val="32"/>
          <w:lang w:eastAsia="zh-CN"/>
        </w:rPr>
      </w:pP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3</w:t>
      </w: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中央</w:t>
      </w:r>
      <w:r>
        <w:rPr>
          <w:rFonts w:hint="eastAsia" w:ascii="仿宋_GB2312" w:hAnsi="仿宋_GB2312" w:cs="仿宋_GB2312"/>
          <w:b/>
          <w:bCs/>
          <w:szCs w:val="32"/>
          <w:lang w:eastAsia="zh-CN"/>
        </w:rPr>
        <w:t>部委</w:t>
      </w:r>
      <w:r>
        <w:rPr>
          <w:rFonts w:hint="eastAsia" w:ascii="仿宋_GB2312" w:hAnsi="仿宋_GB2312" w:cs="仿宋_GB2312"/>
          <w:b/>
          <w:bCs/>
          <w:szCs w:val="32"/>
          <w:lang w:val="en-US" w:eastAsia="zh-CN"/>
        </w:rPr>
        <w:t>政策文件</w:t>
      </w:r>
    </w:p>
    <w:p w14:paraId="408A6000">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《国务院办公厅关于制定和实施老年人照顾服务项目的意见》（国办发〔2017〕52 号）</w:t>
      </w:r>
    </w:p>
    <w:p w14:paraId="45655F93">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《国务院办公厅关于建立政务服务“好差评”制度</w:t>
      </w:r>
      <w:r>
        <w:rPr>
          <w:rFonts w:hint="eastAsia" w:ascii="Times New Roman" w:hAnsi="Times New Roman"/>
          <w:szCs w:val="32"/>
          <w:lang w:val="en-US" w:eastAsia="zh-CN"/>
        </w:rPr>
        <w:t xml:space="preserve"> </w:t>
      </w:r>
      <w:r>
        <w:rPr>
          <w:rFonts w:hint="eastAsia" w:ascii="Times New Roman" w:hAnsi="Times New Roman"/>
          <w:szCs w:val="32"/>
          <w:lang w:eastAsia="zh-CN"/>
        </w:rPr>
        <w:t>提高政务服务水平的意见》（国办发〔2019〕51 号）</w:t>
      </w:r>
    </w:p>
    <w:p w14:paraId="00D071E0">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《残疾人服务机构管理办法》（民发〔2018〕31 号）</w:t>
      </w:r>
    </w:p>
    <w:p w14:paraId="6BDC1FF3">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《关于</w:t>
      </w:r>
      <w:r>
        <w:rPr>
          <w:rFonts w:hint="eastAsia" w:ascii="Times New Roman" w:hAnsi="Times New Roman"/>
          <w:szCs w:val="32"/>
          <w:lang w:val="en-US" w:eastAsia="zh-CN"/>
        </w:rPr>
        <w:t>扶持</w:t>
      </w:r>
      <w:r>
        <w:rPr>
          <w:rFonts w:hint="eastAsia" w:ascii="Times New Roman" w:hAnsi="Times New Roman"/>
          <w:szCs w:val="32"/>
          <w:lang w:eastAsia="zh-CN"/>
        </w:rPr>
        <w:t>残疾人就业创业的意见》（残联发〔2018〕6 号）</w:t>
      </w:r>
    </w:p>
    <w:p w14:paraId="52C50A8E">
      <w:pPr>
        <w:widowControl/>
        <w:numPr>
          <w:ilvl w:val="-1"/>
          <w:numId w:val="0"/>
        </w:numPr>
        <w:overflowPunct w:val="0"/>
        <w:topLinePunct/>
        <w:ind w:left="0" w:leftChars="0" w:firstLine="643" w:firstLineChars="0"/>
        <w:outlineLvl w:val="3"/>
        <w:rPr>
          <w:rFonts w:hint="eastAsia" w:ascii="仿宋_GB2312" w:hAnsi="仿宋_GB2312" w:cs="仿宋_GB2312"/>
          <w:b/>
          <w:bCs/>
          <w:szCs w:val="32"/>
          <w:lang w:eastAsia="zh-CN"/>
        </w:rPr>
      </w:pP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4</w:t>
      </w:r>
      <w:r>
        <w:rPr>
          <w:rFonts w:hint="eastAsia" w:ascii="仿宋_GB2312" w:hAnsi="仿宋_GB2312" w:cs="仿宋_GB2312"/>
          <w:b/>
          <w:bCs/>
          <w:szCs w:val="32"/>
          <w:lang w:eastAsia="zh-CN"/>
        </w:rPr>
        <w:t>）国家标准</w:t>
      </w:r>
    </w:p>
    <w:p w14:paraId="28967BB6">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《无障碍设计规范》（GB50763-2012）</w:t>
      </w:r>
    </w:p>
    <w:p w14:paraId="558F4383">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《建筑与市政工程无障碍通用规范》（GB55019-2021）</w:t>
      </w:r>
    </w:p>
    <w:p w14:paraId="036CE47F">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《民用建筑设计统一标准》（GB50352-2019）</w:t>
      </w:r>
    </w:p>
    <w:p w14:paraId="0E676BF5">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《无障碍设施施工验收及维护规范》（GB50642-2011）</w:t>
      </w:r>
    </w:p>
    <w:p w14:paraId="1B26437B">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《公共信息图形符号》（GB/T 10001.9-2021）</w:t>
      </w:r>
    </w:p>
    <w:p w14:paraId="70B33AE5">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《重度残疾人托养服务规范》（GB/T 37516-2019）</w:t>
      </w:r>
    </w:p>
    <w:p w14:paraId="74E656E9">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《信息无障碍身体机能差异人群网站设计无障碍技术要求》（GB/T 37668-2019）</w:t>
      </w:r>
    </w:p>
    <w:p w14:paraId="0B03AD9F">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《信息无障碍公共服务平台技术要求》（GB/T 37678-2019）</w:t>
      </w:r>
    </w:p>
    <w:p w14:paraId="166D2433">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《公共信息终端无障碍技术要求》（GB/T 35272-2017）</w:t>
      </w:r>
    </w:p>
    <w:p w14:paraId="6F9C6F23">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《政务服务评价工作指南》（GB/T 39038-2020）</w:t>
      </w:r>
    </w:p>
    <w:p w14:paraId="0FE82C81">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《社区老年人日间照料中心服务基本要求》（GB/T 33168-2016）</w:t>
      </w:r>
    </w:p>
    <w:p w14:paraId="7E798C85">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《残疾人就业服务与就业援助》（GB/T 29158-2012）</w:t>
      </w:r>
    </w:p>
    <w:p w14:paraId="6FE6E104">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《公共图书馆服务规范》（GB/T 28220-2011）</w:t>
      </w:r>
    </w:p>
    <w:p w14:paraId="12038A16">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《医院建筑设计规范》（GB 51039-2014）</w:t>
      </w:r>
    </w:p>
    <w:p w14:paraId="571AC497">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《城市社区体育设施技术要求》（GB/T 36246-2018）</w:t>
      </w:r>
    </w:p>
    <w:p w14:paraId="339F1FBB">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《社区残疾人健身康复设施技术要求》（GB/T 36662-2018）</w:t>
      </w:r>
    </w:p>
    <w:p w14:paraId="21AD86C5">
      <w:pPr>
        <w:widowControl/>
        <w:numPr>
          <w:ilvl w:val="-1"/>
          <w:numId w:val="0"/>
        </w:numPr>
        <w:overflowPunct w:val="0"/>
        <w:topLinePunct/>
        <w:ind w:left="0" w:leftChars="0" w:firstLine="643" w:firstLineChars="0"/>
        <w:outlineLvl w:val="3"/>
        <w:rPr>
          <w:rFonts w:hint="eastAsia" w:ascii="仿宋_GB2312" w:hAnsi="仿宋_GB2312" w:cs="仿宋_GB2312"/>
          <w:b/>
          <w:bCs/>
          <w:szCs w:val="32"/>
          <w:lang w:eastAsia="zh-CN"/>
        </w:rPr>
      </w:pP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5</w:t>
      </w: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行业</w:t>
      </w:r>
      <w:r>
        <w:rPr>
          <w:rFonts w:hint="eastAsia" w:ascii="仿宋_GB2312" w:hAnsi="仿宋_GB2312" w:cs="仿宋_GB2312"/>
          <w:b/>
          <w:bCs/>
          <w:szCs w:val="32"/>
          <w:lang w:eastAsia="zh-CN"/>
        </w:rPr>
        <w:t>标准</w:t>
      </w:r>
    </w:p>
    <w:p w14:paraId="28D6FFF7">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《残疾人养护机构建设标准》（建标 169-2014）</w:t>
      </w:r>
    </w:p>
    <w:p w14:paraId="06D93993">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《特殊教育学校建设标准》（建标 156-2011）</w:t>
      </w:r>
    </w:p>
    <w:p w14:paraId="4A4B3C19">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《社区卫生服务中心建设标准》（建标 163-2013）</w:t>
      </w:r>
    </w:p>
    <w:p w14:paraId="4DA7AAF6">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《城市道路工程设计规范》（CJJ37-2012）</w:t>
      </w:r>
    </w:p>
    <w:p w14:paraId="2A592C29">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《城市道路公共交通站、场、厂工程设计规范》（CJJ/T 15-2011）</w:t>
      </w:r>
    </w:p>
    <w:p w14:paraId="4B9BA71D">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《远程医疗信息系统技术规范》（WS/T 803-2022）</w:t>
      </w:r>
    </w:p>
    <w:p w14:paraId="237D5FAD">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《残疾人精神康复服务规范》（MZ/T 188-2021）</w:t>
      </w:r>
    </w:p>
    <w:p w14:paraId="5EC2139F">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《社区残疾人康复服务规范》（MZ/T 033-2012）</w:t>
      </w:r>
    </w:p>
    <w:p w14:paraId="66FBE8B0">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《社区生活圈规划技术指南》（TD/T 1062-2021）</w:t>
      </w:r>
    </w:p>
    <w:p w14:paraId="45903996">
      <w:pPr>
        <w:widowControl/>
        <w:numPr>
          <w:ilvl w:val="-1"/>
          <w:numId w:val="0"/>
        </w:numPr>
        <w:overflowPunct w:val="0"/>
        <w:topLinePunct/>
        <w:ind w:left="0" w:leftChars="0" w:firstLine="643" w:firstLineChars="0"/>
        <w:outlineLvl w:val="3"/>
        <w:rPr>
          <w:rFonts w:hint="eastAsia" w:ascii="仿宋_GB2312" w:hAnsi="仿宋_GB2312" w:cs="仿宋_GB2312"/>
          <w:b/>
          <w:bCs/>
          <w:szCs w:val="32"/>
          <w:lang w:eastAsia="zh-CN"/>
        </w:rPr>
      </w:pP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6</w:t>
      </w:r>
      <w:r>
        <w:rPr>
          <w:rFonts w:hint="eastAsia" w:ascii="仿宋_GB2312" w:hAnsi="仿宋_GB2312" w:cs="仿宋_GB2312"/>
          <w:b/>
          <w:bCs/>
          <w:szCs w:val="32"/>
          <w:lang w:eastAsia="zh-CN"/>
        </w:rPr>
        <w:t>）团体标准 / 国际通用指南</w:t>
      </w:r>
    </w:p>
    <w:p w14:paraId="5FC9EB64">
      <w:pPr>
        <w:widowControl w:val="0"/>
        <w:numPr>
          <w:ilvl w:val="0"/>
          <w:numId w:val="13"/>
        </w:numPr>
        <w:ind w:left="1040" w:leftChars="200" w:hanging="400" w:hangingChars="125"/>
        <w:rPr>
          <w:rFonts w:hint="eastAsia" w:ascii="Times New Roman" w:hAnsi="Times New Roman"/>
          <w:szCs w:val="32"/>
          <w:lang w:eastAsia="zh-CN"/>
        </w:rPr>
      </w:pPr>
      <w:r>
        <w:rPr>
          <w:rFonts w:hint="eastAsia" w:ascii="Times New Roman" w:hAnsi="Times New Roman"/>
          <w:szCs w:val="32"/>
          <w:lang w:eastAsia="zh-CN"/>
        </w:rPr>
        <w:t>《Web内容无障碍指南》（WCAG 2.1）</w:t>
      </w:r>
    </w:p>
    <w:p w14:paraId="23832C53">
      <w:pPr>
        <w:widowControl w:val="0"/>
        <w:numPr>
          <w:ilvl w:val="0"/>
          <w:numId w:val="13"/>
        </w:numPr>
        <w:ind w:left="1040" w:leftChars="200" w:hanging="400" w:hangingChars="125"/>
        <w:rPr>
          <w:rFonts w:hint="eastAsia" w:ascii="Times New Roman" w:hAnsi="Times New Roman"/>
          <w:bCs/>
          <w:szCs w:val="32"/>
          <w:lang w:eastAsia="zh-CN"/>
        </w:rPr>
      </w:pPr>
      <w:r>
        <w:rPr>
          <w:rFonts w:hint="eastAsia" w:ascii="Times New Roman" w:hAnsi="Times New Roman"/>
          <w:szCs w:val="32"/>
          <w:lang w:eastAsia="zh-CN"/>
        </w:rPr>
        <w:t>《民用建筑无障碍设施评价标准》（T/CNAEC1304-2022）</w:t>
      </w:r>
    </w:p>
    <w:p w14:paraId="14E74217">
      <w:pPr>
        <w:keepNext/>
        <w:keepLines/>
        <w:widowControl/>
        <w:ind w:left="0" w:leftChars="0" w:firstLine="643" w:firstLineChars="0"/>
        <w:outlineLvl w:val="2"/>
        <w:rPr>
          <w:rFonts w:hint="eastAsia" w:ascii="仿宋_GB2312" w:hAnsi="仿宋_GB2312" w:cs="仿宋_GB2312"/>
          <w:b/>
          <w:bCs/>
          <w:szCs w:val="32"/>
          <w:lang w:eastAsia="zh-CN"/>
        </w:rPr>
      </w:pPr>
      <w:r>
        <w:rPr>
          <w:rFonts w:hint="eastAsia" w:ascii="仿宋_GB2312" w:hAnsi="仿宋_GB2312" w:cs="仿宋_GB2312"/>
          <w:b/>
          <w:bCs/>
          <w:szCs w:val="32"/>
          <w:lang w:val="en-US" w:eastAsia="zh-CN"/>
        </w:rPr>
        <w:t>2.</w:t>
      </w:r>
      <w:r>
        <w:rPr>
          <w:rFonts w:hint="eastAsia" w:ascii="仿宋_GB2312" w:hAnsi="仿宋_GB2312" w:cs="仿宋_GB2312"/>
          <w:b/>
          <w:bCs/>
          <w:szCs w:val="32"/>
          <w:lang w:eastAsia="zh-CN"/>
        </w:rPr>
        <w:t>省级层面（</w:t>
      </w:r>
      <w:r>
        <w:rPr>
          <w:rFonts w:hint="eastAsia" w:ascii="仿宋_GB2312" w:hAnsi="仿宋_GB2312" w:cs="仿宋_GB2312"/>
          <w:b/>
          <w:bCs/>
          <w:szCs w:val="32"/>
          <w:lang w:val="en-US" w:eastAsia="zh-CN"/>
        </w:rPr>
        <w:t>广东省</w:t>
      </w:r>
      <w:r>
        <w:rPr>
          <w:rFonts w:hint="eastAsia" w:ascii="仿宋_GB2312" w:hAnsi="仿宋_GB2312" w:cs="仿宋_GB2312"/>
          <w:b/>
          <w:bCs/>
          <w:szCs w:val="32"/>
          <w:lang w:eastAsia="zh-CN"/>
        </w:rPr>
        <w:t>）</w:t>
      </w:r>
    </w:p>
    <w:p w14:paraId="50C39862">
      <w:pPr>
        <w:widowControl w:val="0"/>
        <w:numPr>
          <w:ilvl w:val="0"/>
          <w:numId w:val="13"/>
        </w:numPr>
        <w:ind w:left="1040" w:leftChars="200" w:hanging="400" w:hangingChars="125"/>
        <w:rPr>
          <w:rFonts w:hint="eastAsia" w:ascii="Times New Roman" w:hAnsi="Times New Roman" w:eastAsia="仿宋_GB2312" w:cs="Times New Roman"/>
          <w:bCs/>
          <w:sz w:val="32"/>
          <w:szCs w:val="32"/>
          <w:lang w:val="en-US" w:eastAsia="zh-CN" w:bidi="ar-SA"/>
        </w:rPr>
      </w:pPr>
      <w:r>
        <w:rPr>
          <w:rFonts w:ascii="Times New Roman" w:hAnsi="Times New Roman" w:eastAsia="仿宋_GB2312" w:cs="Times New Roman"/>
          <w:sz w:val="32"/>
          <w:szCs w:val="32"/>
          <w:lang w:val="en-US" w:eastAsia="zh-CN" w:bidi="ar-SA"/>
        </w:rPr>
        <w:t>《广东省无障碍环境建设管理规定》</w:t>
      </w:r>
    </w:p>
    <w:p w14:paraId="5AD6AFD4">
      <w:pPr>
        <w:widowControl w:val="0"/>
        <w:numPr>
          <w:ilvl w:val="0"/>
          <w:numId w:val="13"/>
        </w:numPr>
        <w:ind w:left="1040" w:leftChars="200" w:hanging="400" w:hangingChars="125"/>
        <w:rPr>
          <w:rFonts w:hint="eastAsia" w:ascii="Times New Roman" w:hAnsi="Times New Roman" w:eastAsia="仿宋_GB2312" w:cs="Times New Roman"/>
          <w:bCs/>
          <w:sz w:val="32"/>
          <w:szCs w:val="32"/>
          <w:lang w:val="en-US" w:eastAsia="zh-CN" w:bidi="ar-SA"/>
        </w:rPr>
      </w:pPr>
      <w:r>
        <w:rPr>
          <w:rFonts w:ascii="Times New Roman" w:hAnsi="Times New Roman" w:eastAsia="仿宋_GB2312" w:cs="Times New Roman"/>
          <w:sz w:val="32"/>
          <w:szCs w:val="32"/>
          <w:lang w:val="en-US" w:eastAsia="zh-CN" w:bidi="ar-SA"/>
        </w:rPr>
        <w:t>《广东省促进特殊教育公平融合发展行动方案》（粤教基〔2019〕30号）</w:t>
      </w:r>
    </w:p>
    <w:p w14:paraId="58C5EF6B">
      <w:pPr>
        <w:widowControl w:val="0"/>
        <w:numPr>
          <w:ilvl w:val="0"/>
          <w:numId w:val="13"/>
        </w:numPr>
        <w:ind w:left="1040" w:leftChars="200" w:hanging="400" w:hangingChars="125"/>
        <w:rPr>
          <w:rFonts w:hint="eastAsia" w:ascii="Times New Roman" w:hAnsi="Times New Roman" w:eastAsia="仿宋_GB2312" w:cs="Times New Roman"/>
          <w:bCs/>
          <w:sz w:val="32"/>
          <w:szCs w:val="32"/>
          <w:lang w:val="en-US" w:eastAsia="zh-CN" w:bidi="ar-SA"/>
        </w:rPr>
      </w:pPr>
      <w:r>
        <w:rPr>
          <w:rFonts w:ascii="Times New Roman" w:hAnsi="Times New Roman"/>
          <w:szCs w:val="32"/>
          <w:lang w:eastAsia="zh-CN"/>
        </w:rPr>
        <w:t>《社区康园中心服务规范》（DB44/T 2256-2020）</w:t>
      </w:r>
    </w:p>
    <w:p w14:paraId="50224708">
      <w:pPr>
        <w:keepNext/>
        <w:keepLines/>
        <w:widowControl/>
        <w:ind w:left="0" w:leftChars="0" w:firstLine="643" w:firstLineChars="0"/>
        <w:outlineLvl w:val="2"/>
        <w:rPr>
          <w:rFonts w:hint="eastAsia" w:ascii="仿宋_GB2312" w:hAnsi="仿宋_GB2312" w:cs="仿宋_GB2312"/>
          <w:b/>
          <w:bCs/>
          <w:szCs w:val="32"/>
          <w:lang w:eastAsia="zh-CN"/>
        </w:rPr>
      </w:pPr>
      <w:r>
        <w:rPr>
          <w:rFonts w:hint="eastAsia" w:ascii="仿宋_GB2312" w:hAnsi="仿宋_GB2312" w:cs="仿宋_GB2312"/>
          <w:b/>
          <w:bCs/>
          <w:szCs w:val="32"/>
          <w:lang w:val="en-US" w:eastAsia="zh-CN"/>
        </w:rPr>
        <w:t>3.</w:t>
      </w:r>
      <w:r>
        <w:rPr>
          <w:rFonts w:hint="eastAsia" w:ascii="仿宋_GB2312" w:hAnsi="仿宋_GB2312" w:cs="仿宋_GB2312"/>
          <w:b/>
          <w:bCs/>
          <w:szCs w:val="32"/>
          <w:lang w:eastAsia="zh-CN"/>
        </w:rPr>
        <w:t>市级层面（</w:t>
      </w:r>
      <w:r>
        <w:rPr>
          <w:rFonts w:hint="eastAsia" w:ascii="仿宋_GB2312" w:hAnsi="仿宋_GB2312" w:cs="仿宋_GB2312"/>
          <w:b/>
          <w:bCs/>
          <w:szCs w:val="32"/>
          <w:lang w:val="en-US" w:eastAsia="zh-CN"/>
        </w:rPr>
        <w:t>中山市</w:t>
      </w:r>
      <w:r>
        <w:rPr>
          <w:rFonts w:hint="eastAsia" w:ascii="仿宋_GB2312" w:hAnsi="仿宋_GB2312" w:cs="仿宋_GB2312"/>
          <w:b/>
          <w:bCs/>
          <w:szCs w:val="32"/>
          <w:lang w:eastAsia="zh-CN"/>
        </w:rPr>
        <w:t>）</w:t>
      </w:r>
    </w:p>
    <w:p w14:paraId="16846965">
      <w:pPr>
        <w:widowControl w:val="0"/>
        <w:numPr>
          <w:ilvl w:val="0"/>
          <w:numId w:val="13"/>
        </w:numPr>
        <w:ind w:left="1040" w:leftChars="200" w:hanging="400" w:hangingChars="125"/>
        <w:rPr>
          <w:rFonts w:hint="eastAsia" w:ascii="Times New Roman" w:hAnsi="Times New Roman"/>
          <w:bCs/>
          <w:szCs w:val="32"/>
          <w:lang w:eastAsia="zh-CN"/>
        </w:rPr>
      </w:pPr>
      <w:r>
        <w:rPr>
          <w:rFonts w:hint="eastAsia" w:ascii="Times New Roman" w:hAnsi="Times New Roman"/>
          <w:bCs/>
          <w:szCs w:val="32"/>
          <w:lang w:eastAsia="zh-CN"/>
        </w:rPr>
        <w:t>《中共中山市委办公室中山市人民政府办公室印发关于推动新时代残疾人事业高质量发展的实施方案的通知》</w:t>
      </w:r>
    </w:p>
    <w:p w14:paraId="428436C5">
      <w:pPr>
        <w:widowControl w:val="0"/>
        <w:numPr>
          <w:ilvl w:val="0"/>
          <w:numId w:val="13"/>
        </w:numPr>
        <w:ind w:left="1040" w:leftChars="200" w:hanging="400" w:hangingChars="125"/>
        <w:rPr>
          <w:rFonts w:hint="eastAsia" w:ascii="Times New Roman" w:hAnsi="Times New Roman"/>
          <w:bCs/>
          <w:szCs w:val="32"/>
          <w:lang w:eastAsia="zh-CN"/>
        </w:rPr>
      </w:pPr>
      <w:r>
        <w:rPr>
          <w:rFonts w:hint="eastAsia" w:ascii="Times New Roman" w:hAnsi="Times New Roman"/>
          <w:bCs/>
          <w:szCs w:val="32"/>
          <w:lang w:eastAsia="zh-CN"/>
        </w:rPr>
        <w:t>《中山市残疾人保障办法》</w:t>
      </w:r>
    </w:p>
    <w:p w14:paraId="5B2EF986">
      <w:pPr>
        <w:widowControl w:val="0"/>
        <w:numPr>
          <w:ilvl w:val="0"/>
          <w:numId w:val="13"/>
        </w:numPr>
        <w:ind w:left="1040" w:leftChars="200" w:hanging="400" w:hangingChars="125"/>
        <w:rPr>
          <w:rFonts w:hint="eastAsia" w:ascii="Times New Roman" w:hAnsi="Times New Roman"/>
          <w:bCs/>
          <w:szCs w:val="32"/>
          <w:lang w:eastAsia="zh-CN"/>
        </w:rPr>
      </w:pPr>
      <w:r>
        <w:rPr>
          <w:rFonts w:hint="eastAsia" w:ascii="Times New Roman" w:hAnsi="Times New Roman"/>
          <w:bCs/>
          <w:szCs w:val="32"/>
          <w:lang w:eastAsia="zh-CN"/>
        </w:rPr>
        <w:t>《中山市无障碍环境建设工作方案》</w:t>
      </w:r>
    </w:p>
    <w:p w14:paraId="40DBB0EB">
      <w:pPr>
        <w:keepNext/>
        <w:keepLines/>
        <w:widowControl/>
        <w:ind w:left="0" w:leftChars="0" w:firstLine="643" w:firstLineChars="0"/>
        <w:outlineLvl w:val="2"/>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4.其他省市参考文件</w:t>
      </w:r>
    </w:p>
    <w:p w14:paraId="30C9A1AB">
      <w:pPr>
        <w:widowControl w:val="0"/>
        <w:numPr>
          <w:ilvl w:val="0"/>
          <w:numId w:val="13"/>
        </w:numPr>
        <w:ind w:left="1040" w:leftChars="200" w:hanging="400" w:hangingChars="125"/>
        <w:rPr>
          <w:rFonts w:hint="eastAsia" w:ascii="Times New Roman" w:hAnsi="Times New Roman"/>
          <w:bCs/>
          <w:szCs w:val="32"/>
          <w:lang w:eastAsia="zh-CN"/>
        </w:rPr>
      </w:pPr>
      <w:r>
        <w:rPr>
          <w:rFonts w:hint="eastAsia" w:ascii="Times New Roman" w:hAnsi="Times New Roman"/>
          <w:bCs/>
          <w:szCs w:val="32"/>
          <w:lang w:eastAsia="zh-CN"/>
        </w:rPr>
        <w:t>《社区无障碍设施建设技术导则》（JD37-007-2025）（山东省）</w:t>
      </w:r>
    </w:p>
    <w:p w14:paraId="4FEF66B2">
      <w:pPr>
        <w:keepNext w:val="0"/>
        <w:keepLines w:val="0"/>
        <w:pageBreakBefore w:val="0"/>
        <w:widowControl/>
        <w:numPr>
          <w:ilvl w:val="0"/>
          <w:numId w:val="13"/>
        </w:numPr>
        <w:kinsoku/>
        <w:wordWrap/>
        <w:overflowPunct/>
        <w:topLinePunct w:val="0"/>
        <w:autoSpaceDE/>
        <w:autoSpaceDN/>
        <w:bidi w:val="0"/>
        <w:adjustRightInd/>
        <w:snapToGrid/>
        <w:ind w:left="1040" w:leftChars="200" w:hanging="400" w:hangingChars="125"/>
        <w:textAlignment w:val="auto"/>
        <w:rPr>
          <w:rFonts w:hint="eastAsia" w:ascii="Times New Roman" w:hAnsi="Times New Roman"/>
          <w:bCs/>
          <w:szCs w:val="32"/>
          <w:lang w:eastAsia="zh-CN"/>
        </w:rPr>
      </w:pPr>
      <w:r>
        <w:rPr>
          <w:rFonts w:hint="eastAsia" w:ascii="Times New Roman" w:hAnsi="Times New Roman"/>
          <w:bCs/>
          <w:szCs w:val="32"/>
          <w:lang w:eastAsia="zh-CN"/>
        </w:rPr>
        <w:t>《政务服务中心无障碍服务规范》(DB44033/T 212-2021)</w:t>
      </w:r>
      <w:r>
        <w:rPr>
          <w:rFonts w:hint="eastAsia" w:ascii="Times New Roman" w:hAnsi="Times New Roman"/>
          <w:bCs/>
          <w:szCs w:val="32"/>
          <w:lang w:val="en-US" w:eastAsia="zh-CN"/>
        </w:rPr>
        <w:t>（深圳市）</w:t>
      </w:r>
    </w:p>
    <w:p w14:paraId="24FAD4A6">
      <w:pPr>
        <w:pStyle w:val="3"/>
        <w:spacing w:before="120" w:line="560" w:lineRule="exact"/>
        <w:ind w:firstLine="0" w:firstLineChars="0"/>
        <w:rPr>
          <w:rFonts w:hint="eastAsia" w:ascii="楷体_GB2312" w:hAnsi="楷体_GB2312" w:eastAsia="楷体_GB2312" w:cs="楷体_GB2312"/>
          <w:bCs/>
        </w:rPr>
      </w:pPr>
      <w:bookmarkStart w:id="23" w:name="_Toc12176"/>
      <w:bookmarkStart w:id="24" w:name="_Toc25568"/>
      <w:r>
        <w:rPr>
          <w:rFonts w:hint="eastAsia" w:ascii="楷体_GB2312" w:hAnsi="楷体_GB2312" w:eastAsia="楷体_GB2312" w:cs="楷体_GB2312"/>
          <w:bCs/>
        </w:rPr>
        <w:t>1.5规划范围</w:t>
      </w:r>
      <w:bookmarkEnd w:id="23"/>
      <w:bookmarkEnd w:id="24"/>
    </w:p>
    <w:p w14:paraId="79A9FB7F">
      <w:pPr>
        <w:widowControl w:val="0"/>
        <w:ind w:firstLine="640"/>
        <w:rPr>
          <w:rFonts w:hint="eastAsia" w:ascii="Times New Roman" w:hAnsi="Times New Roman"/>
          <w:szCs w:val="32"/>
          <w:lang w:eastAsia="zh-CN"/>
        </w:rPr>
      </w:pPr>
      <w:r>
        <w:rPr>
          <w:rFonts w:ascii="Times New Roman" w:hAnsi="Times New Roman"/>
          <w:szCs w:val="32"/>
          <w:lang w:eastAsia="zh-CN"/>
        </w:rPr>
        <w:t>本规划范围</w:t>
      </w:r>
      <w:r>
        <w:rPr>
          <w:rFonts w:hint="eastAsia" w:ascii="Times New Roman" w:hAnsi="Times New Roman"/>
          <w:szCs w:val="32"/>
          <w:lang w:eastAsia="zh-CN"/>
        </w:rPr>
        <w:t>为中山市市域范围。</w:t>
      </w:r>
    </w:p>
    <w:p w14:paraId="2A14BC7D">
      <w:pPr>
        <w:keepNext/>
        <w:keepLines/>
        <w:spacing w:before="120" w:beforeLines="50" w:line="560" w:lineRule="exact"/>
        <w:ind w:firstLine="0" w:firstLineChars="0"/>
        <w:jc w:val="both"/>
        <w:outlineLvl w:val="1"/>
        <w:rPr>
          <w:rFonts w:hint="default" w:ascii="楷体_GB2312" w:hAnsi="楷体_GB2312" w:eastAsia="楷体_GB2312" w:cs="楷体_GB2312"/>
          <w:b/>
          <w:bCs/>
          <w:color w:val="000000"/>
          <w:sz w:val="32"/>
          <w:lang w:val="en-US" w:eastAsia="zh-CN" w:bidi="ar-SA"/>
        </w:rPr>
      </w:pPr>
      <w:r>
        <w:rPr>
          <w:rFonts w:hint="eastAsia" w:ascii="楷体_GB2312" w:hAnsi="楷体_GB2312" w:eastAsia="楷体_GB2312" w:cs="楷体_GB2312"/>
          <w:b/>
          <w:bCs/>
          <w:color w:val="000000"/>
          <w:sz w:val="32"/>
          <w:lang w:val="en-US" w:eastAsia="zh-CN" w:bidi="ar-SA"/>
        </w:rPr>
        <w:t>1.6规划对象</w:t>
      </w:r>
    </w:p>
    <w:p w14:paraId="79BB1339">
      <w:pPr>
        <w:ind w:firstLine="643"/>
        <w:rPr>
          <w:rFonts w:ascii="Times New Roman" w:hAnsi="Times New Roman" w:cs="Times New Roman"/>
          <w:b w:val="0"/>
          <w:bCs w:val="0"/>
          <w:szCs w:val="32"/>
          <w:lang w:eastAsia="zh-CN"/>
        </w:rPr>
      </w:pPr>
      <w:r>
        <w:rPr>
          <w:rFonts w:hint="eastAsia" w:ascii="Times New Roman" w:hAnsi="Times New Roman" w:cs="Times New Roman"/>
          <w:b w:val="0"/>
          <w:bCs w:val="0"/>
          <w:szCs w:val="32"/>
          <w:lang w:val="en-US" w:eastAsia="zh-CN"/>
        </w:rPr>
        <w:t>本规划对象为</w:t>
      </w:r>
      <w:r>
        <w:rPr>
          <w:rFonts w:hint="eastAsia" w:ascii="Times New Roman" w:hAnsi="Times New Roman" w:cs="Times New Roman"/>
          <w:b w:val="0"/>
          <w:bCs w:val="0"/>
          <w:szCs w:val="32"/>
          <w:lang w:eastAsia="zh-CN"/>
        </w:rPr>
        <w:t>涵盖“市-镇街-社区”三级</w:t>
      </w:r>
      <w:r>
        <w:rPr>
          <w:rFonts w:hint="eastAsia" w:ascii="Times New Roman" w:hAnsi="Times New Roman" w:cs="Times New Roman"/>
          <w:b w:val="0"/>
          <w:bCs w:val="0"/>
          <w:szCs w:val="32"/>
          <w:lang w:val="en-US" w:eastAsia="zh-CN"/>
        </w:rPr>
        <w:t>全域</w:t>
      </w:r>
      <w:r>
        <w:rPr>
          <w:rFonts w:hint="eastAsia" w:ascii="Times New Roman" w:hAnsi="Times New Roman" w:cs="Times New Roman"/>
          <w:b w:val="0"/>
          <w:bCs w:val="0"/>
          <w:szCs w:val="32"/>
          <w:lang w:eastAsia="zh-CN"/>
        </w:rPr>
        <w:t>的“公共设施-</w:t>
      </w:r>
      <w:r>
        <w:rPr>
          <w:rFonts w:hint="eastAsia" w:ascii="Wingdings" w:hAnsi="Wingdings" w:cs="Times New Roman"/>
          <w:b w:val="0"/>
          <w:bCs w:val="0"/>
          <w:szCs w:val="32"/>
          <w:lang w:eastAsia="zh-CN"/>
        </w:rPr>
        <w:t>公共交通</w:t>
      </w:r>
      <w:r>
        <w:rPr>
          <w:rFonts w:hint="eastAsia" w:ascii="Times New Roman" w:hAnsi="Times New Roman" w:cs="Times New Roman"/>
          <w:b w:val="0"/>
          <w:bCs w:val="0"/>
          <w:szCs w:val="32"/>
          <w:lang w:eastAsia="zh-CN"/>
        </w:rPr>
        <w:t>-公共空间-数字空间”四</w:t>
      </w:r>
      <w:r>
        <w:rPr>
          <w:rFonts w:ascii="Times New Roman" w:hAnsi="Times New Roman" w:cs="Times New Roman"/>
          <w:b w:val="0"/>
          <w:bCs w:val="0"/>
          <w:szCs w:val="32"/>
          <w:lang w:eastAsia="zh-CN"/>
        </w:rPr>
        <w:t>维</w:t>
      </w:r>
      <w:r>
        <w:rPr>
          <w:rFonts w:hint="eastAsia" w:ascii="Times New Roman" w:hAnsi="Times New Roman" w:cs="Times New Roman"/>
          <w:b w:val="0"/>
          <w:bCs w:val="0"/>
          <w:szCs w:val="32"/>
          <w:lang w:val="en-US" w:eastAsia="zh-CN"/>
        </w:rPr>
        <w:t>公共服务</w:t>
      </w:r>
      <w:r>
        <w:rPr>
          <w:rFonts w:ascii="Times New Roman" w:hAnsi="Times New Roman" w:cs="Times New Roman"/>
          <w:b w:val="0"/>
          <w:bCs w:val="0"/>
          <w:szCs w:val="32"/>
          <w:lang w:eastAsia="zh-CN"/>
        </w:rPr>
        <w:t>体系，全面推进</w:t>
      </w:r>
      <w:r>
        <w:rPr>
          <w:rFonts w:hint="eastAsia" w:ascii="Times New Roman" w:hAnsi="Times New Roman" w:cs="Times New Roman"/>
          <w:b w:val="0"/>
          <w:bCs w:val="0"/>
          <w:szCs w:val="32"/>
          <w:lang w:val="en-US" w:eastAsia="zh-CN"/>
        </w:rPr>
        <w:t>中山市</w:t>
      </w:r>
      <w:r>
        <w:rPr>
          <w:rFonts w:ascii="Times New Roman" w:hAnsi="Times New Roman" w:cs="Times New Roman"/>
          <w:b w:val="0"/>
          <w:bCs w:val="0"/>
          <w:szCs w:val="32"/>
          <w:lang w:eastAsia="zh-CN"/>
        </w:rPr>
        <w:t>无障碍环境建设</w:t>
      </w:r>
      <w:r>
        <w:rPr>
          <w:rFonts w:hint="eastAsia" w:ascii="Times New Roman" w:hAnsi="Times New Roman" w:cs="Times New Roman"/>
          <w:b w:val="0"/>
          <w:bCs w:val="0"/>
          <w:szCs w:val="32"/>
          <w:lang w:eastAsia="zh-CN"/>
        </w:rPr>
        <w:t>。</w:t>
      </w:r>
    </w:p>
    <w:p w14:paraId="6643906C">
      <w:pPr>
        <w:ind w:firstLine="643"/>
        <w:rPr>
          <w:rFonts w:ascii="Wingdings" w:hAnsi="Wingdings" w:cs="Times New Roman"/>
          <w:szCs w:val="32"/>
          <w:lang w:eastAsia="zh-CN"/>
        </w:rPr>
      </w:pPr>
      <w:r>
        <w:rPr>
          <w:rFonts w:ascii="Wingdings" w:hAnsi="Wingdings" w:cs="Times New Roman"/>
          <w:b/>
          <w:bCs/>
          <w:szCs w:val="32"/>
          <w:lang w:eastAsia="zh-CN"/>
        </w:rPr>
        <w:t>公共设施</w:t>
      </w:r>
      <w:r>
        <w:rPr>
          <w:rFonts w:hint="eastAsia" w:ascii="仿宋_GB2312" w:hAnsi="仿宋_GB2312" w:cs="仿宋_GB2312"/>
          <w:szCs w:val="32"/>
          <w:vertAlign w:val="superscript"/>
        </w:rPr>
        <w:footnoteReference w:id="0"/>
      </w:r>
      <w:r>
        <w:rPr>
          <w:rFonts w:hint="eastAsia" w:ascii="Wingdings" w:hAnsi="Wingdings" w:cs="Times New Roman"/>
          <w:b/>
          <w:bCs/>
          <w:szCs w:val="32"/>
          <w:lang w:eastAsia="zh-CN"/>
        </w:rPr>
        <w:t>（</w:t>
      </w:r>
      <w:r>
        <w:rPr>
          <w:rFonts w:ascii="Wingdings" w:hAnsi="Wingdings" w:cs="Times New Roman"/>
          <w:b/>
          <w:bCs/>
          <w:szCs w:val="32"/>
          <w:lang w:eastAsia="zh-CN"/>
        </w:rPr>
        <w:t>静态实体基础</w:t>
      </w:r>
      <w:r>
        <w:rPr>
          <w:rFonts w:hint="eastAsia" w:ascii="Wingdings" w:hAnsi="Wingdings" w:cs="Times New Roman"/>
          <w:b/>
          <w:bCs/>
          <w:szCs w:val="32"/>
          <w:lang w:eastAsia="zh-CN"/>
        </w:rPr>
        <w:t>）：</w:t>
      </w:r>
      <w:r>
        <w:rPr>
          <w:rFonts w:ascii="Wingdings" w:hAnsi="Wingdings" w:cs="Times New Roman"/>
          <w:szCs w:val="32"/>
          <w:lang w:eastAsia="zh-CN"/>
        </w:rPr>
        <w:t>夯实无障碍环境基础支撑，覆盖城市各类可触达实体设施，涵盖</w:t>
      </w:r>
      <w:r>
        <w:rPr>
          <w:rFonts w:hint="eastAsia" w:ascii="Wingdings" w:hAnsi="Wingdings" w:cs="Times New Roman"/>
          <w:szCs w:val="32"/>
          <w:lang w:eastAsia="zh-CN"/>
        </w:rPr>
        <w:t>无障碍</w:t>
      </w:r>
      <w:r>
        <w:rPr>
          <w:rFonts w:ascii="Wingdings" w:hAnsi="Wingdings" w:cs="Times New Roman"/>
          <w:szCs w:val="32"/>
          <w:lang w:eastAsia="zh-CN"/>
        </w:rPr>
        <w:t>专属服务设施</w:t>
      </w:r>
      <w:r>
        <w:rPr>
          <w:rFonts w:hint="eastAsia" w:ascii="Wingdings" w:hAnsi="Wingdings" w:cs="Times New Roman"/>
          <w:szCs w:val="32"/>
          <w:lang w:eastAsia="zh-CN"/>
        </w:rPr>
        <w:t>（如</w:t>
      </w:r>
      <w:r>
        <w:rPr>
          <w:rFonts w:ascii="Wingdings" w:hAnsi="Wingdings" w:cs="Times New Roman"/>
          <w:szCs w:val="32"/>
          <w:lang w:eastAsia="zh-CN"/>
        </w:rPr>
        <w:t>残疾人综合服务中心等</w:t>
      </w:r>
      <w:r>
        <w:rPr>
          <w:rFonts w:hint="eastAsia" w:ascii="Wingdings" w:hAnsi="Wingdings" w:cs="Times New Roman"/>
          <w:szCs w:val="32"/>
          <w:lang w:eastAsia="zh-CN"/>
        </w:rPr>
        <w:t>）</w:t>
      </w:r>
      <w:r>
        <w:rPr>
          <w:rFonts w:ascii="Wingdings" w:hAnsi="Wingdings" w:cs="Times New Roman"/>
          <w:szCs w:val="32"/>
          <w:lang w:eastAsia="zh-CN"/>
        </w:rPr>
        <w:t>，以及文教体卫等通用服务设施配套的无障碍坡道、电梯、卫生间等</w:t>
      </w:r>
      <w:r>
        <w:rPr>
          <w:rFonts w:hint="eastAsia" w:ascii="Wingdings" w:hAnsi="Wingdings" w:cs="Times New Roman"/>
          <w:szCs w:val="32"/>
          <w:lang w:eastAsia="zh-CN"/>
        </w:rPr>
        <w:t>无障碍专属服务</w:t>
      </w:r>
      <w:r>
        <w:rPr>
          <w:rFonts w:ascii="Wingdings" w:hAnsi="Wingdings" w:cs="Times New Roman"/>
          <w:szCs w:val="32"/>
          <w:lang w:eastAsia="zh-CN"/>
        </w:rPr>
        <w:t>功能；</w:t>
      </w:r>
    </w:p>
    <w:p w14:paraId="6A4F85FB">
      <w:pPr>
        <w:ind w:firstLine="643"/>
        <w:rPr>
          <w:rFonts w:ascii="Wingdings" w:hAnsi="Wingdings" w:cs="Times New Roman"/>
          <w:szCs w:val="32"/>
          <w:lang w:eastAsia="zh-CN"/>
        </w:rPr>
      </w:pPr>
      <w:r>
        <w:rPr>
          <w:rFonts w:ascii="Wingdings" w:hAnsi="Wingdings" w:cs="Times New Roman"/>
          <w:b/>
          <w:bCs/>
          <w:szCs w:val="32"/>
          <w:lang w:eastAsia="zh-CN"/>
        </w:rPr>
        <w:t>公共交通</w:t>
      </w:r>
      <w:r>
        <w:rPr>
          <w:rFonts w:hint="eastAsia" w:ascii="Wingdings" w:hAnsi="Wingdings" w:cs="Times New Roman"/>
          <w:b/>
          <w:bCs/>
          <w:szCs w:val="32"/>
          <w:lang w:eastAsia="zh-CN"/>
        </w:rPr>
        <w:t>（</w:t>
      </w:r>
      <w:r>
        <w:rPr>
          <w:rFonts w:ascii="Wingdings" w:hAnsi="Wingdings" w:cs="Times New Roman"/>
          <w:b/>
          <w:bCs/>
          <w:szCs w:val="32"/>
          <w:lang w:eastAsia="zh-CN"/>
        </w:rPr>
        <w:t>动态流动网络</w:t>
      </w:r>
      <w:r>
        <w:rPr>
          <w:rFonts w:hint="eastAsia" w:ascii="Wingdings" w:hAnsi="Wingdings" w:cs="Times New Roman"/>
          <w:b/>
          <w:bCs/>
          <w:szCs w:val="32"/>
          <w:lang w:eastAsia="zh-CN"/>
        </w:rPr>
        <w:t>）：</w:t>
      </w:r>
      <w:r>
        <w:rPr>
          <w:rFonts w:ascii="Wingdings" w:hAnsi="Wingdings" w:cs="Times New Roman"/>
          <w:szCs w:val="32"/>
          <w:lang w:eastAsia="zh-CN"/>
        </w:rPr>
        <w:t>打造串联城市各功能节点的连通纽带，保障特殊群体独立、顺畅完成全流程出行，覆盖骨干路网、公交系统、慢行系统等；</w:t>
      </w:r>
    </w:p>
    <w:p w14:paraId="77317380">
      <w:pPr>
        <w:ind w:firstLine="643"/>
        <w:rPr>
          <w:rFonts w:ascii="Wingdings" w:hAnsi="Wingdings" w:cs="Times New Roman"/>
          <w:szCs w:val="32"/>
          <w:lang w:eastAsia="zh-CN"/>
        </w:rPr>
      </w:pPr>
      <w:r>
        <w:rPr>
          <w:rFonts w:ascii="Wingdings" w:hAnsi="Wingdings" w:cs="Times New Roman"/>
          <w:b/>
          <w:bCs/>
          <w:szCs w:val="32"/>
          <w:lang w:eastAsia="zh-CN"/>
        </w:rPr>
        <w:t>公共空间</w:t>
      </w:r>
      <w:r>
        <w:rPr>
          <w:rFonts w:hint="eastAsia" w:ascii="Wingdings" w:hAnsi="Wingdings" w:cs="Times New Roman"/>
          <w:b/>
          <w:bCs/>
          <w:szCs w:val="32"/>
          <w:lang w:eastAsia="zh-CN"/>
        </w:rPr>
        <w:t>（</w:t>
      </w:r>
      <w:r>
        <w:rPr>
          <w:rFonts w:ascii="Wingdings" w:hAnsi="Wingdings" w:cs="Times New Roman"/>
          <w:b/>
          <w:bCs/>
          <w:szCs w:val="32"/>
          <w:lang w:eastAsia="zh-CN"/>
        </w:rPr>
        <w:t>实体活动场域</w:t>
      </w:r>
      <w:r>
        <w:rPr>
          <w:rFonts w:hint="eastAsia" w:ascii="Wingdings" w:hAnsi="Wingdings" w:cs="Times New Roman"/>
          <w:b/>
          <w:bCs/>
          <w:szCs w:val="32"/>
          <w:lang w:eastAsia="zh-CN"/>
        </w:rPr>
        <w:t>）：</w:t>
      </w:r>
      <w:r>
        <w:rPr>
          <w:rFonts w:ascii="Wingdings" w:hAnsi="Wingdings" w:cs="Times New Roman"/>
          <w:szCs w:val="32"/>
          <w:lang w:eastAsia="zh-CN"/>
        </w:rPr>
        <w:t>搭建承载居民活动休憩的全域载体，涵盖</w:t>
      </w:r>
      <w:r>
        <w:rPr>
          <w:rFonts w:hint="eastAsia" w:ascii="Wingdings" w:hAnsi="Wingdings" w:cs="Times New Roman"/>
          <w:szCs w:val="32"/>
          <w:lang w:eastAsia="zh-CN"/>
        </w:rPr>
        <w:t>居住空间、自然空间</w:t>
      </w:r>
      <w:r>
        <w:rPr>
          <w:rFonts w:ascii="Wingdings" w:hAnsi="Wingdings" w:cs="Times New Roman"/>
          <w:szCs w:val="32"/>
          <w:lang w:eastAsia="zh-CN"/>
        </w:rPr>
        <w:t>等各类开放空间与生活场景；</w:t>
      </w:r>
    </w:p>
    <w:p w14:paraId="39E6DFDF">
      <w:pPr>
        <w:keepNext w:val="0"/>
        <w:keepLines w:val="0"/>
        <w:pageBreakBefore w:val="0"/>
        <w:widowControl/>
        <w:kinsoku/>
        <w:wordWrap/>
        <w:overflowPunct/>
        <w:topLinePunct w:val="0"/>
        <w:autoSpaceDE/>
        <w:autoSpaceDN/>
        <w:bidi w:val="0"/>
        <w:adjustRightInd/>
        <w:snapToGrid/>
        <w:ind w:firstLine="640"/>
        <w:textAlignment w:val="auto"/>
        <w:rPr>
          <w:rFonts w:hint="eastAsia" w:ascii="Times New Roman" w:hAnsi="Times New Roman"/>
          <w:szCs w:val="32"/>
          <w:lang w:eastAsia="zh-CN"/>
        </w:rPr>
      </w:pPr>
      <w:r>
        <w:rPr>
          <w:rFonts w:ascii="Wingdings" w:hAnsi="Wingdings" w:cs="Times New Roman"/>
          <w:b/>
          <w:bCs/>
          <w:szCs w:val="32"/>
          <w:lang w:eastAsia="zh-CN"/>
        </w:rPr>
        <w:t>数字空间</w:t>
      </w:r>
      <w:r>
        <w:rPr>
          <w:rFonts w:hint="eastAsia" w:ascii="Wingdings" w:hAnsi="Wingdings" w:cs="Times New Roman"/>
          <w:b/>
          <w:bCs/>
          <w:szCs w:val="32"/>
          <w:lang w:eastAsia="zh-CN"/>
        </w:rPr>
        <w:t>（</w:t>
      </w:r>
      <w:r>
        <w:rPr>
          <w:rFonts w:ascii="Wingdings" w:hAnsi="Wingdings" w:cs="Times New Roman"/>
          <w:b/>
          <w:bCs/>
          <w:szCs w:val="32"/>
          <w:lang w:eastAsia="zh-CN"/>
        </w:rPr>
        <w:t>虚拟公共场域</w:t>
      </w:r>
      <w:r>
        <w:rPr>
          <w:rFonts w:hint="eastAsia" w:ascii="Wingdings" w:hAnsi="Wingdings" w:cs="Times New Roman"/>
          <w:b/>
          <w:bCs/>
          <w:szCs w:val="32"/>
          <w:lang w:eastAsia="zh-CN"/>
        </w:rPr>
        <w:t>）：</w:t>
      </w:r>
      <w:r>
        <w:rPr>
          <w:rFonts w:hint="eastAsia" w:ascii="Wingdings" w:hAnsi="Wingdings" w:cs="Times New Roman"/>
          <w:szCs w:val="32"/>
          <w:lang w:eastAsia="zh-CN"/>
        </w:rPr>
        <w:t>拓展无障碍环境时间维度赋能边界，依托数字空间可回溯、可复用的特性，衔接线上线下服务、打通数字服务壁垒，保障特殊群体平等获取数字服务、便捷融入数字生活，重点推进政务服务、数字基础设施、信息传播等领域无障碍建设。</w:t>
      </w:r>
    </w:p>
    <w:p w14:paraId="5B69BC52">
      <w:pPr>
        <w:pStyle w:val="3"/>
        <w:spacing w:before="120" w:line="560" w:lineRule="exact"/>
        <w:ind w:firstLine="0" w:firstLineChars="0"/>
        <w:rPr>
          <w:rFonts w:hint="eastAsia" w:ascii="楷体_GB2312" w:hAnsi="楷体_GB2312" w:eastAsia="楷体_GB2312" w:cs="楷体_GB2312"/>
          <w:bCs/>
        </w:rPr>
      </w:pPr>
      <w:bookmarkStart w:id="25" w:name="_Toc23593"/>
      <w:bookmarkStart w:id="26" w:name="_Toc3235"/>
      <w:r>
        <w:rPr>
          <w:rFonts w:hint="eastAsia" w:ascii="楷体_GB2312" w:hAnsi="楷体_GB2312" w:eastAsia="楷体_GB2312" w:cs="楷体_GB2312"/>
          <w:bCs/>
        </w:rPr>
        <w:t>1.</w:t>
      </w:r>
      <w:r>
        <w:rPr>
          <w:rFonts w:hint="eastAsia" w:ascii="楷体_GB2312" w:hAnsi="楷体_GB2312" w:eastAsia="楷体_GB2312" w:cs="楷体_GB2312"/>
          <w:bCs/>
          <w:lang w:val="en-US" w:eastAsia="zh-CN"/>
        </w:rPr>
        <w:t>7</w:t>
      </w:r>
      <w:r>
        <w:rPr>
          <w:rFonts w:hint="eastAsia" w:ascii="楷体_GB2312" w:hAnsi="楷体_GB2312" w:eastAsia="楷体_GB2312" w:cs="楷体_GB2312"/>
          <w:bCs/>
        </w:rPr>
        <w:t>规划期限</w:t>
      </w:r>
      <w:bookmarkEnd w:id="25"/>
      <w:bookmarkEnd w:id="26"/>
    </w:p>
    <w:p w14:paraId="006A76A1">
      <w:pPr>
        <w:widowControl w:val="0"/>
        <w:ind w:firstLine="640"/>
        <w:rPr>
          <w:rFonts w:hint="eastAsia" w:ascii="Times New Roman" w:hAnsi="Times New Roman"/>
          <w:szCs w:val="32"/>
          <w:lang w:eastAsia="zh-CN"/>
        </w:rPr>
      </w:pPr>
      <w:r>
        <w:rPr>
          <w:rFonts w:ascii="Times New Roman" w:hAnsi="Times New Roman"/>
          <w:szCs w:val="32"/>
          <w:lang w:eastAsia="zh-CN"/>
        </w:rPr>
        <w:t>本规划期限为2025-2035年，分为近期</w:t>
      </w:r>
      <w:r>
        <w:rPr>
          <w:rFonts w:hint="eastAsia" w:ascii="Times New Roman" w:hAnsi="Times New Roman"/>
          <w:szCs w:val="32"/>
          <w:lang w:eastAsia="zh-CN"/>
        </w:rPr>
        <w:t>（2025-20</w:t>
      </w:r>
      <w:r>
        <w:rPr>
          <w:rFonts w:hint="eastAsia" w:ascii="Times New Roman" w:hAnsi="Times New Roman"/>
          <w:szCs w:val="32"/>
          <w:lang w:val="en-US" w:eastAsia="zh-CN"/>
        </w:rPr>
        <w:t>27</w:t>
      </w:r>
      <w:r>
        <w:rPr>
          <w:rFonts w:hint="eastAsia" w:ascii="Times New Roman" w:hAnsi="Times New Roman"/>
          <w:szCs w:val="32"/>
          <w:lang w:eastAsia="zh-CN"/>
        </w:rPr>
        <w:t>年）</w:t>
      </w:r>
      <w:r>
        <w:rPr>
          <w:rFonts w:ascii="Times New Roman" w:hAnsi="Times New Roman"/>
          <w:szCs w:val="32"/>
          <w:lang w:eastAsia="zh-CN"/>
        </w:rPr>
        <w:t>和远期</w:t>
      </w:r>
      <w:r>
        <w:rPr>
          <w:rFonts w:hint="eastAsia" w:ascii="Times New Roman" w:hAnsi="Times New Roman"/>
          <w:szCs w:val="32"/>
          <w:lang w:eastAsia="zh-CN"/>
        </w:rPr>
        <w:t>（20</w:t>
      </w:r>
      <w:r>
        <w:rPr>
          <w:rFonts w:hint="eastAsia" w:ascii="Times New Roman" w:hAnsi="Times New Roman"/>
          <w:szCs w:val="32"/>
          <w:lang w:val="en-US" w:eastAsia="zh-CN"/>
        </w:rPr>
        <w:t>31</w:t>
      </w:r>
      <w:r>
        <w:rPr>
          <w:rFonts w:hint="eastAsia" w:ascii="Times New Roman" w:hAnsi="Times New Roman"/>
          <w:szCs w:val="32"/>
          <w:lang w:eastAsia="zh-CN"/>
        </w:rPr>
        <w:t>-2035年）两</w:t>
      </w:r>
      <w:r>
        <w:rPr>
          <w:rFonts w:ascii="Times New Roman" w:hAnsi="Times New Roman"/>
          <w:szCs w:val="32"/>
          <w:lang w:eastAsia="zh-CN"/>
        </w:rPr>
        <w:t>个阶段</w:t>
      </w:r>
      <w:r>
        <w:rPr>
          <w:rFonts w:hint="eastAsia" w:ascii="Times New Roman" w:hAnsi="Times New Roman"/>
          <w:szCs w:val="32"/>
          <w:lang w:eastAsia="zh-CN"/>
        </w:rPr>
        <w:t>。</w:t>
      </w:r>
    </w:p>
    <w:p w14:paraId="4A569C1A">
      <w:pPr>
        <w:ind w:firstLine="640"/>
        <w:rPr>
          <w:rFonts w:hint="eastAsia" w:ascii="Times New Roman" w:hAnsi="Times New Roman" w:eastAsia="黑体" w:cs="黑体"/>
          <w:szCs w:val="32"/>
          <w:lang w:eastAsia="zh-CN"/>
        </w:rPr>
      </w:pPr>
      <w:r>
        <w:rPr>
          <w:rFonts w:hint="eastAsia" w:ascii="Times New Roman" w:hAnsi="Times New Roman" w:eastAsia="黑体" w:cs="黑体"/>
          <w:szCs w:val="32"/>
          <w:lang w:eastAsia="zh-CN"/>
        </w:rPr>
        <w:br w:type="page"/>
      </w:r>
    </w:p>
    <w:p w14:paraId="241A1427">
      <w:pPr>
        <w:pStyle w:val="2"/>
        <w:spacing w:before="240" w:line="560" w:lineRule="exact"/>
        <w:rPr>
          <w:lang w:eastAsia="zh-CN"/>
        </w:rPr>
      </w:pPr>
      <w:bookmarkStart w:id="27" w:name="_Toc21658_ai"/>
      <w:bookmarkStart w:id="28" w:name="_Toc1006"/>
      <w:bookmarkStart w:id="29" w:name="_Toc10317_ai"/>
      <w:bookmarkStart w:id="30" w:name="_Toc17670"/>
      <w:bookmarkStart w:id="31" w:name="_Toc17311"/>
      <w:bookmarkStart w:id="32" w:name="_Toc9522"/>
      <w:r>
        <w:rPr>
          <w:rFonts w:hint="eastAsia"/>
          <w:lang w:eastAsia="zh-CN"/>
        </w:rPr>
        <w:t>第二章</w:t>
      </w:r>
      <w:bookmarkEnd w:id="27"/>
      <w:r>
        <w:rPr>
          <w:rFonts w:hint="eastAsia"/>
          <w:lang w:eastAsia="zh-CN"/>
        </w:rPr>
        <w:t xml:space="preserve"> 规划背景</w:t>
      </w:r>
      <w:bookmarkEnd w:id="28"/>
      <w:bookmarkEnd w:id="29"/>
      <w:bookmarkEnd w:id="30"/>
      <w:bookmarkEnd w:id="31"/>
      <w:bookmarkEnd w:id="32"/>
    </w:p>
    <w:p w14:paraId="2241959D">
      <w:pPr>
        <w:ind w:firstLine="640"/>
        <w:rPr>
          <w:lang w:eastAsia="zh-CN"/>
        </w:rPr>
      </w:pPr>
    </w:p>
    <w:p w14:paraId="2FB3E9BF">
      <w:pPr>
        <w:pStyle w:val="3"/>
        <w:spacing w:before="120" w:line="560" w:lineRule="exact"/>
        <w:ind w:firstLine="0" w:firstLineChars="0"/>
        <w:rPr>
          <w:rFonts w:hint="eastAsia" w:ascii="楷体_GB2312" w:hAnsi="楷体_GB2312" w:eastAsia="楷体_GB2312" w:cs="楷体_GB2312"/>
          <w:bCs/>
        </w:rPr>
      </w:pPr>
      <w:bookmarkStart w:id="33" w:name="_Toc22175"/>
      <w:bookmarkStart w:id="34" w:name="_Toc8120"/>
      <w:r>
        <w:rPr>
          <w:rFonts w:hint="eastAsia" w:ascii="楷体_GB2312" w:hAnsi="楷体_GB2312" w:eastAsia="楷体_GB2312" w:cs="楷体_GB2312"/>
          <w:bCs/>
        </w:rPr>
        <w:t>2.1建设成就</w:t>
      </w:r>
      <w:bookmarkEnd w:id="33"/>
      <w:bookmarkEnd w:id="34"/>
    </w:p>
    <w:p w14:paraId="0FE8927A">
      <w:pPr>
        <w:spacing w:line="560" w:lineRule="exact"/>
        <w:ind w:firstLine="616" w:firstLineChars="0"/>
        <w:jc w:val="both"/>
        <w:rPr>
          <w:rFonts w:hint="eastAsia" w:ascii="Times New Roman" w:hAnsi="Times New Roman" w:eastAsia="仿宋_GB2312" w:cs="仿宋_GB2312"/>
          <w:spacing w:val="-6"/>
          <w:sz w:val="32"/>
          <w:szCs w:val="32"/>
          <w:lang w:val="en-US" w:eastAsia="zh-CN" w:bidi="ar-SA"/>
        </w:rPr>
      </w:pPr>
      <w:r>
        <w:rPr>
          <w:rFonts w:ascii="Times New Roman" w:hAnsi="Times New Roman" w:eastAsia="仿宋_GB2312"/>
          <w:sz w:val="32"/>
          <w:szCs w:val="32"/>
          <w:lang w:val="en-US" w:eastAsia="zh-CN" w:bidi="ar-SA"/>
        </w:rPr>
        <w:t>“十四五”期间，中山在居住环境、政务服务、医疗服务、教育体育、公园绿地、交通出行、信息化建设等方面无障碍环境建设取得一定成就，</w:t>
      </w:r>
      <w:r>
        <w:rPr>
          <w:rFonts w:hint="eastAsia" w:ascii="Times New Roman" w:hAnsi="Times New Roman"/>
          <w:sz w:val="32"/>
          <w:szCs w:val="32"/>
          <w:lang w:val="en-US" w:eastAsia="zh-CN" w:bidi="ar-SA"/>
        </w:rPr>
        <w:t>有效</w:t>
      </w:r>
      <w:r>
        <w:rPr>
          <w:rFonts w:ascii="Times New Roman" w:hAnsi="Times New Roman" w:eastAsia="仿宋_GB2312"/>
          <w:sz w:val="32"/>
          <w:szCs w:val="32"/>
          <w:lang w:val="en-US" w:eastAsia="zh-CN" w:bidi="ar-SA"/>
        </w:rPr>
        <w:t>保障了特殊群体平等参与社会生活的权利，也为构建全民全龄共享的社会环境奠定了坚实基础。</w:t>
      </w:r>
    </w:p>
    <w:p w14:paraId="407A2DB0">
      <w:pPr>
        <w:spacing w:line="560" w:lineRule="exact"/>
        <w:ind w:firstLine="616" w:firstLineChars="0"/>
        <w:jc w:val="both"/>
        <w:rPr>
          <w:rFonts w:hint="eastAsia" w:ascii="Times New Roman" w:hAnsi="Times New Roman" w:cs="仿宋_GB2312"/>
          <w:spacing w:val="-6"/>
          <w:szCs w:val="32"/>
          <w:lang w:eastAsia="zh-CN"/>
        </w:rPr>
      </w:pPr>
      <w:r>
        <w:rPr>
          <w:rFonts w:hint="eastAsia" w:ascii="Times New Roman" w:hAnsi="Times New Roman" w:cs="仿宋_GB2312"/>
          <w:b/>
          <w:bCs/>
          <w:spacing w:val="-6"/>
          <w:szCs w:val="32"/>
          <w:lang w:eastAsia="zh-CN"/>
        </w:rPr>
        <w:t>居住环境无障碍改造工作稳步推进。</w:t>
      </w:r>
      <w:r>
        <w:rPr>
          <w:rFonts w:hint="eastAsia" w:ascii="Times New Roman" w:hAnsi="Times New Roman" w:cs="仿宋_GB2312"/>
          <w:spacing w:val="-6"/>
          <w:szCs w:val="32"/>
          <w:lang w:eastAsia="zh-CN"/>
        </w:rPr>
        <w:t>“十四五”</w:t>
      </w:r>
      <w:r>
        <w:rPr>
          <w:rFonts w:hint="eastAsia" w:ascii="Times New Roman" w:hAnsi="Times New Roman" w:cs="仿宋_GB2312"/>
          <w:spacing w:val="-6"/>
          <w:szCs w:val="32"/>
          <w:lang w:val="en-US" w:eastAsia="zh-CN"/>
        </w:rPr>
        <w:t>期间，</w:t>
      </w:r>
      <w:r>
        <w:rPr>
          <w:rFonts w:hint="eastAsia" w:ascii="Times New Roman" w:hAnsi="Times New Roman" w:cs="仿宋_GB2312"/>
          <w:spacing w:val="-6"/>
          <w:szCs w:val="32"/>
          <w:lang w:eastAsia="zh-CN"/>
        </w:rPr>
        <w:t>全市累计完成276个小区改造项目，惠及居民逾6万户，实现无障碍设施与改造工程同步规划、同步建设，显著提升老旧社区宜居水平；累计实施285个加装电梯项目，覆盖全市多个镇街，有效解决老旧小区居民“上下楼难”问题，部分项目精准惠及低保、低收入家庭等困难群体。</w:t>
      </w:r>
    </w:p>
    <w:p w14:paraId="582F82F8">
      <w:pPr>
        <w:spacing w:line="560" w:lineRule="exact"/>
        <w:ind w:firstLine="616" w:firstLineChars="0"/>
        <w:jc w:val="both"/>
        <w:rPr>
          <w:rFonts w:hint="eastAsia" w:ascii="Times New Roman" w:hAnsi="Times New Roman" w:cs="仿宋_GB2312"/>
          <w:spacing w:val="-6"/>
          <w:szCs w:val="32"/>
          <w:lang w:val="en-US" w:eastAsia="zh-CN"/>
        </w:rPr>
      </w:pPr>
      <w:r>
        <w:rPr>
          <w:rStyle w:val="63"/>
          <w:rFonts w:hint="eastAsia" w:eastAsia="仿宋_GB2312"/>
          <w:spacing w:val="-6"/>
          <w:kern w:val="2"/>
          <w:sz w:val="32"/>
          <w:lang w:eastAsia="zh-CN"/>
        </w:rPr>
        <w:t>政务服务无障碍水平持续提升</w:t>
      </w:r>
      <w:r>
        <w:rPr>
          <w:rFonts w:hint="eastAsia" w:ascii="Times New Roman" w:hAnsi="Times New Roman" w:cs="仿宋_GB2312"/>
          <w:spacing w:val="-6"/>
          <w:szCs w:val="32"/>
          <w:lang w:eastAsia="zh-CN"/>
        </w:rPr>
        <w:t>。“十四五”</w:t>
      </w:r>
      <w:r>
        <w:rPr>
          <w:rFonts w:hint="eastAsia" w:ascii="Times New Roman" w:hAnsi="Times New Roman" w:cs="仿宋_GB2312"/>
          <w:spacing w:val="-6"/>
          <w:szCs w:val="32"/>
          <w:lang w:val="en-US" w:eastAsia="zh-CN"/>
        </w:rPr>
        <w:t>期间，全市25家政务服务中心均按高标准配备无障碍停车位、洗手间、通道等硬件设施，提供爱心轮椅、手语翻译机、“一对一”帮办代办等暖心服务，为特殊群体办事开辟“绿色通道”。</w:t>
      </w:r>
    </w:p>
    <w:p w14:paraId="38654E40">
      <w:pPr>
        <w:spacing w:line="560" w:lineRule="exact"/>
        <w:ind w:firstLine="616" w:firstLineChars="0"/>
        <w:jc w:val="both"/>
        <w:rPr>
          <w:rFonts w:hint="eastAsia" w:ascii="Times New Roman" w:hAnsi="Times New Roman" w:cs="仿宋_GB2312"/>
          <w:spacing w:val="-6"/>
          <w:szCs w:val="32"/>
          <w:lang w:val="en-US" w:eastAsia="zh-CN"/>
        </w:rPr>
      </w:pPr>
      <w:r>
        <w:rPr>
          <w:rStyle w:val="63"/>
          <w:rFonts w:hint="eastAsia" w:eastAsia="仿宋_GB2312"/>
          <w:spacing w:val="-6"/>
          <w:kern w:val="2"/>
          <w:sz w:val="32"/>
          <w:lang w:val="en-US" w:eastAsia="zh-CN"/>
        </w:rPr>
        <w:t>医疗服务无障碍体系日趋完善</w:t>
      </w:r>
      <w:r>
        <w:rPr>
          <w:rFonts w:hint="eastAsia" w:ascii="Times New Roman" w:hAnsi="Times New Roman" w:cs="仿宋_GB2312"/>
          <w:spacing w:val="-6"/>
          <w:szCs w:val="32"/>
          <w:lang w:val="en-US" w:eastAsia="zh-CN"/>
        </w:rPr>
        <w:t>。“十四五”期间，31家市属及镇街医院实现无障碍坡道、出入口100%覆盖，电梯配置率超过90%；23家社区卫生服务中心及下属站点实现绿色通道全覆盖，基层医疗无障碍服务网络基本形成。</w:t>
      </w:r>
    </w:p>
    <w:p w14:paraId="7C02CD93">
      <w:pPr>
        <w:spacing w:line="560" w:lineRule="exact"/>
        <w:ind w:firstLine="616" w:firstLineChars="0"/>
        <w:jc w:val="both"/>
        <w:rPr>
          <w:rFonts w:hint="eastAsia" w:ascii="Times New Roman" w:hAnsi="Times New Roman" w:cs="仿宋_GB2312"/>
          <w:b/>
          <w:spacing w:val="-6"/>
          <w:szCs w:val="32"/>
          <w:lang w:val="en-US" w:eastAsia="zh-CN"/>
        </w:rPr>
      </w:pPr>
      <w:r>
        <w:rPr>
          <w:rStyle w:val="63"/>
          <w:rFonts w:hint="eastAsia" w:eastAsia="仿宋_GB2312"/>
          <w:spacing w:val="-6"/>
          <w:kern w:val="2"/>
          <w:sz w:val="32"/>
          <w:lang w:val="en-US" w:eastAsia="zh-CN"/>
        </w:rPr>
        <w:t>教育体育无障碍建设均衡发展</w:t>
      </w:r>
      <w:r>
        <w:rPr>
          <w:rFonts w:hint="eastAsia" w:ascii="Times New Roman" w:hAnsi="Times New Roman" w:cs="仿宋_GB2312"/>
          <w:spacing w:val="-6"/>
          <w:szCs w:val="32"/>
          <w:lang w:val="en-US" w:eastAsia="zh-CN"/>
        </w:rPr>
        <w:t>。“十四五”期间，特殊教育学校无障碍设施配置齐全；以全运会场馆改造为契机，市属公共体育场馆实现无障碍设施全覆盖，镇街体育场地严格按照规范配置无障碍设施，确保与主体工程“同步规划、同步设计、同步施工、同步验收、同步交付”。</w:t>
      </w:r>
    </w:p>
    <w:p w14:paraId="5C2B3849">
      <w:pPr>
        <w:spacing w:line="560" w:lineRule="exact"/>
        <w:ind w:firstLine="616" w:firstLineChars="0"/>
        <w:jc w:val="both"/>
        <w:rPr>
          <w:rFonts w:hint="eastAsia" w:ascii="Times New Roman" w:hAnsi="Times New Roman" w:cs="仿宋_GB2312"/>
          <w:spacing w:val="-6"/>
          <w:szCs w:val="32"/>
          <w:lang w:val="en-US" w:eastAsia="zh-CN"/>
        </w:rPr>
      </w:pPr>
      <w:r>
        <w:rPr>
          <w:rStyle w:val="63"/>
          <w:rFonts w:hint="eastAsia" w:eastAsia="仿宋_GB2312"/>
          <w:spacing w:val="-6"/>
          <w:kern w:val="2"/>
          <w:sz w:val="32"/>
          <w:lang w:val="en-US" w:eastAsia="zh-CN"/>
        </w:rPr>
        <w:t>公园绿地无障碍设施持续优化</w:t>
      </w:r>
      <w:r>
        <w:rPr>
          <w:rFonts w:hint="eastAsia" w:ascii="Times New Roman" w:hAnsi="Times New Roman" w:cs="仿宋_GB2312"/>
          <w:spacing w:val="-6"/>
          <w:szCs w:val="32"/>
          <w:lang w:val="en-US" w:eastAsia="zh-CN"/>
        </w:rPr>
        <w:t>。“十四五”期间，市属公园扎实推进无障碍设施建设，完成48座卫生间的无障碍改造、新增65个无障碍停车位，切实保障特殊群体游园需求，有力促进包容共享型城市公共空间建设。</w:t>
      </w:r>
    </w:p>
    <w:p w14:paraId="18E2B960">
      <w:pPr>
        <w:spacing w:line="560" w:lineRule="exact"/>
        <w:ind w:firstLine="616" w:firstLineChars="0"/>
        <w:jc w:val="both"/>
        <w:rPr>
          <w:rFonts w:hint="eastAsia" w:ascii="Times New Roman" w:hAnsi="Times New Roman" w:cs="仿宋_GB2312"/>
          <w:b/>
          <w:spacing w:val="-6"/>
          <w:szCs w:val="32"/>
          <w:lang w:val="en-US" w:eastAsia="zh-CN"/>
        </w:rPr>
      </w:pPr>
      <w:r>
        <w:rPr>
          <w:rStyle w:val="63"/>
          <w:rFonts w:hint="eastAsia" w:eastAsia="仿宋_GB2312"/>
          <w:spacing w:val="-6"/>
          <w:kern w:val="2"/>
          <w:sz w:val="32"/>
          <w:lang w:val="en-US" w:eastAsia="zh-CN"/>
        </w:rPr>
        <w:t>交通出行无障碍体系日益健全。</w:t>
      </w:r>
      <w:r>
        <w:rPr>
          <w:rFonts w:hint="eastAsia" w:ascii="Times New Roman" w:hAnsi="Times New Roman" w:cs="仿宋_GB2312"/>
          <w:spacing w:val="-6"/>
          <w:szCs w:val="32"/>
          <w:lang w:val="en-US" w:eastAsia="zh-CN"/>
        </w:rPr>
        <w:t>“十四五”期间，全市7个高速公路服务区、24个快速公交站台、3个等级客运站、11个公交枢纽站、7个轨道站点均严格按照标准配备无障碍通道、卫生间、盲道等设施；350辆公交车配备轮椅固定装置，2430辆公交车安装语音报站系统，切实保障特殊群体出行权益。</w:t>
      </w:r>
    </w:p>
    <w:p w14:paraId="57E4A87B">
      <w:pPr>
        <w:ind w:firstLine="618"/>
        <w:rPr>
          <w:rFonts w:ascii="Times New Roman" w:hAnsi="Times New Roman" w:cs="仿宋_GB2312"/>
          <w:spacing w:val="-6"/>
          <w:szCs w:val="32"/>
          <w:lang w:eastAsia="zh-CN"/>
        </w:rPr>
      </w:pPr>
      <w:r>
        <w:rPr>
          <w:rFonts w:hint="eastAsia" w:ascii="Times New Roman" w:hAnsi="Times New Roman" w:cs="仿宋_GB2312"/>
          <w:b/>
          <w:bCs/>
          <w:spacing w:val="-6"/>
          <w:szCs w:val="32"/>
          <w:lang w:val="en-US" w:eastAsia="zh-CN"/>
        </w:rPr>
        <w:t>无障碍信息化建设取得初步成效。</w:t>
      </w:r>
      <w:r>
        <w:rPr>
          <w:rFonts w:hint="eastAsia" w:ascii="Times New Roman" w:hAnsi="Times New Roman" w:cs="仿宋_GB2312"/>
          <w:spacing w:val="-6"/>
          <w:szCs w:val="32"/>
          <w:lang w:val="en-US" w:eastAsia="zh-CN"/>
        </w:rPr>
        <w:t>“十四五”期间，全市已完成59个政府网站的无障碍改造，通过优化布局、增添语音导航、引入无障碍访问工具等举措，累计服务调用超6000次，有效保障特殊群体平等获取政务信息、享受政务服务的权利。</w:t>
      </w:r>
    </w:p>
    <w:p w14:paraId="4C07FD04">
      <w:pPr>
        <w:pStyle w:val="3"/>
        <w:spacing w:before="120" w:line="560" w:lineRule="exact"/>
        <w:ind w:firstLine="0" w:firstLineChars="0"/>
        <w:rPr>
          <w:rFonts w:hint="eastAsia" w:ascii="楷体_GB2312" w:hAnsi="楷体_GB2312" w:eastAsia="楷体_GB2312" w:cs="楷体_GB2312"/>
          <w:bCs/>
        </w:rPr>
      </w:pPr>
      <w:bookmarkStart w:id="35" w:name="_Toc26624"/>
      <w:bookmarkStart w:id="36" w:name="_Toc27653"/>
      <w:r>
        <w:rPr>
          <w:rFonts w:hint="eastAsia" w:ascii="楷体_GB2312" w:hAnsi="楷体_GB2312" w:eastAsia="楷体_GB2312" w:cs="楷体_GB2312"/>
          <w:bCs/>
        </w:rPr>
        <w:t>2.2存在问题</w:t>
      </w:r>
      <w:bookmarkEnd w:id="35"/>
      <w:bookmarkEnd w:id="36"/>
    </w:p>
    <w:p w14:paraId="698892DB">
      <w:pPr>
        <w:keepNext/>
        <w:keepLines/>
        <w:ind w:firstLine="643"/>
        <w:outlineLvl w:val="2"/>
        <w:rPr>
          <w:rFonts w:hint="eastAsia" w:ascii="仿宋_GB2312" w:hAnsi="仿宋_GB2312" w:cs="仿宋_GB2312"/>
          <w:b/>
          <w:bCs/>
          <w:szCs w:val="32"/>
          <w:lang w:eastAsia="zh-CN"/>
        </w:rPr>
      </w:pPr>
      <w:bookmarkStart w:id="37" w:name="_Toc7981"/>
      <w:bookmarkStart w:id="38" w:name="_Toc31264"/>
      <w:r>
        <w:rPr>
          <w:rFonts w:hint="eastAsia" w:ascii="仿宋_GB2312" w:hAnsi="仿宋_GB2312" w:cs="仿宋_GB2312"/>
          <w:b/>
          <w:bCs/>
          <w:szCs w:val="32"/>
          <w:lang w:eastAsia="zh-CN"/>
        </w:rPr>
        <w:t>2.2.1设施配置不均衡问题突出</w:t>
      </w:r>
      <w:bookmarkEnd w:id="37"/>
      <w:bookmarkEnd w:id="38"/>
    </w:p>
    <w:p w14:paraId="7639FC13">
      <w:pPr>
        <w:widowControl w:val="0"/>
        <w:ind w:firstLine="618" w:firstLineChars="0"/>
        <w:rPr>
          <w:rFonts w:ascii="Times New Roman" w:hAnsi="Times New Roman" w:cs="仿宋_GB2312"/>
          <w:b/>
          <w:spacing w:val="-6"/>
          <w:szCs w:val="32"/>
          <w:lang w:eastAsia="zh-CN"/>
        </w:rPr>
      </w:pPr>
      <w:r>
        <w:rPr>
          <w:rFonts w:ascii="Times New Roman" w:hAnsi="Times New Roman"/>
          <w:b/>
          <w:spacing w:val="-6"/>
          <w:kern w:val="2"/>
          <w:lang w:eastAsia="zh-CN"/>
        </w:rPr>
        <w:t>教育</w:t>
      </w:r>
      <w:r>
        <w:rPr>
          <w:rFonts w:hint="eastAsia" w:ascii="Times New Roman" w:hAnsi="Times New Roman"/>
          <w:b/>
          <w:spacing w:val="-6"/>
          <w:kern w:val="2"/>
          <w:lang w:eastAsia="zh-CN"/>
        </w:rPr>
        <w:t>设施</w:t>
      </w:r>
      <w:r>
        <w:rPr>
          <w:rFonts w:ascii="Times New Roman" w:hAnsi="Times New Roman" w:cs="仿宋_GB2312"/>
          <w:spacing w:val="-6"/>
          <w:szCs w:val="32"/>
          <w:lang w:eastAsia="zh-CN"/>
        </w:rPr>
        <w:t>：随班就读和特教班学校因经费紧张，大部分无障碍设施配备不全；部分镇街学校未配置无障碍设施，无法满足特殊学生的学习生活需求。</w:t>
      </w:r>
    </w:p>
    <w:p w14:paraId="66B0E909">
      <w:pPr>
        <w:ind w:firstLine="616" w:firstLineChars="0"/>
        <w:rPr>
          <w:rFonts w:ascii="Times New Roman" w:hAnsi="Times New Roman" w:cs="仿宋_GB2312"/>
          <w:b/>
          <w:spacing w:val="-6"/>
          <w:szCs w:val="32"/>
          <w:lang w:eastAsia="zh-CN"/>
        </w:rPr>
      </w:pPr>
      <w:r>
        <w:rPr>
          <w:rFonts w:ascii="Times New Roman" w:hAnsi="Times New Roman"/>
          <w:b/>
          <w:spacing w:val="-6"/>
          <w:kern w:val="2"/>
          <w:lang w:eastAsia="zh-CN"/>
        </w:rPr>
        <w:t>公园</w:t>
      </w:r>
      <w:r>
        <w:rPr>
          <w:rFonts w:hint="eastAsia" w:ascii="Times New Roman" w:hAnsi="Times New Roman"/>
          <w:b/>
          <w:spacing w:val="-6"/>
          <w:kern w:val="2"/>
          <w:lang w:eastAsia="zh-CN"/>
        </w:rPr>
        <w:t>设施</w:t>
      </w:r>
      <w:r>
        <w:rPr>
          <w:rFonts w:ascii="Times New Roman" w:hAnsi="Times New Roman" w:cs="仿宋_GB2312"/>
          <w:spacing w:val="-6"/>
          <w:szCs w:val="32"/>
          <w:lang w:eastAsia="zh-CN"/>
        </w:rPr>
        <w:t>：</w:t>
      </w:r>
      <w:r>
        <w:rPr>
          <w:rFonts w:hint="eastAsia" w:ascii="Times New Roman" w:hAnsi="Times New Roman" w:cs="仿宋_GB2312"/>
          <w:spacing w:val="-6"/>
          <w:szCs w:val="32"/>
          <w:lang w:eastAsia="zh-CN"/>
        </w:rPr>
        <w:t>部分</w:t>
      </w:r>
      <w:r>
        <w:rPr>
          <w:rFonts w:ascii="Times New Roman" w:hAnsi="Times New Roman" w:cs="仿宋_GB2312"/>
          <w:spacing w:val="-6"/>
          <w:szCs w:val="32"/>
          <w:lang w:eastAsia="zh-CN"/>
        </w:rPr>
        <w:t>市属公园公厕因建设年代久远未配置无障碍卫生间，部分公园停车场未设置无障碍车位，制约特殊群体享受公园公共服务。</w:t>
      </w:r>
    </w:p>
    <w:p w14:paraId="3FE6A437">
      <w:pPr>
        <w:ind w:firstLine="616" w:firstLineChars="0"/>
        <w:rPr>
          <w:rFonts w:ascii="Times New Roman" w:hAnsi="Times New Roman" w:cs="仿宋_GB2312"/>
          <w:b/>
          <w:spacing w:val="-6"/>
          <w:szCs w:val="32"/>
          <w:lang w:eastAsia="zh-CN"/>
        </w:rPr>
      </w:pPr>
      <w:r>
        <w:rPr>
          <w:rFonts w:hint="eastAsia" w:ascii="Times New Roman" w:hAnsi="Times New Roman" w:cs="仿宋_GB2312"/>
          <w:b/>
          <w:bCs/>
          <w:spacing w:val="-6"/>
          <w:szCs w:val="32"/>
          <w:lang w:eastAsia="zh-CN"/>
        </w:rPr>
        <w:t>社区服务设施</w:t>
      </w:r>
      <w:r>
        <w:rPr>
          <w:rFonts w:ascii="Times New Roman" w:hAnsi="Times New Roman" w:cs="仿宋_GB2312"/>
          <w:b/>
          <w:bCs/>
          <w:spacing w:val="-6"/>
          <w:szCs w:val="32"/>
          <w:lang w:eastAsia="zh-CN"/>
        </w:rPr>
        <w:t>：</w:t>
      </w:r>
      <w:r>
        <w:rPr>
          <w:rFonts w:ascii="Times New Roman" w:hAnsi="Times New Roman" w:cs="仿宋_GB2312"/>
          <w:spacing w:val="-6"/>
          <w:szCs w:val="32"/>
          <w:lang w:eastAsia="zh-CN"/>
        </w:rPr>
        <w:t>部分</w:t>
      </w:r>
      <w:r>
        <w:rPr>
          <w:rFonts w:hint="eastAsia" w:ascii="Times New Roman" w:hAnsi="Times New Roman" w:cs="仿宋_GB2312"/>
          <w:spacing w:val="-6"/>
          <w:szCs w:val="32"/>
          <w:lang w:eastAsia="zh-CN"/>
        </w:rPr>
        <w:t>社区康园</w:t>
      </w:r>
      <w:r>
        <w:rPr>
          <w:rFonts w:ascii="Times New Roman" w:hAnsi="Times New Roman" w:cs="仿宋_GB2312"/>
          <w:spacing w:val="-6"/>
          <w:szCs w:val="32"/>
          <w:lang w:eastAsia="zh-CN"/>
        </w:rPr>
        <w:t>中心未配备电梯</w:t>
      </w:r>
      <w:r>
        <w:rPr>
          <w:rFonts w:hint="eastAsia" w:ascii="Times New Roman" w:hAnsi="Times New Roman" w:cs="仿宋_GB2312"/>
          <w:spacing w:val="-6"/>
          <w:szCs w:val="32"/>
          <w:lang w:eastAsia="zh-CN"/>
        </w:rPr>
        <w:t>、</w:t>
      </w:r>
      <w:r>
        <w:rPr>
          <w:rFonts w:ascii="Times New Roman" w:hAnsi="Times New Roman" w:cs="仿宋_GB2312"/>
          <w:spacing w:val="-6"/>
          <w:szCs w:val="32"/>
          <w:lang w:eastAsia="zh-CN"/>
        </w:rPr>
        <w:t>扶手</w:t>
      </w:r>
      <w:r>
        <w:rPr>
          <w:rFonts w:hint="eastAsia" w:ascii="Times New Roman" w:hAnsi="Times New Roman" w:cs="仿宋_GB2312"/>
          <w:spacing w:val="-6"/>
          <w:szCs w:val="32"/>
          <w:lang w:eastAsia="zh-CN"/>
        </w:rPr>
        <w:t>、</w:t>
      </w:r>
      <w:r>
        <w:rPr>
          <w:rFonts w:ascii="Times New Roman" w:hAnsi="Times New Roman" w:cs="仿宋_GB2312"/>
          <w:spacing w:val="-6"/>
          <w:szCs w:val="32"/>
          <w:lang w:eastAsia="zh-CN"/>
        </w:rPr>
        <w:t>盲道，设施配置存在明显短板，影响服务质量。</w:t>
      </w:r>
    </w:p>
    <w:p w14:paraId="2D669729">
      <w:pPr>
        <w:keepNext/>
        <w:keepLines/>
        <w:ind w:firstLine="643"/>
        <w:outlineLvl w:val="2"/>
        <w:rPr>
          <w:rFonts w:hint="eastAsia" w:ascii="仿宋_GB2312" w:hAnsi="仿宋_GB2312" w:cs="仿宋_GB2312"/>
          <w:b/>
          <w:bCs/>
          <w:szCs w:val="32"/>
          <w:lang w:eastAsia="zh-CN"/>
        </w:rPr>
      </w:pPr>
      <w:bookmarkStart w:id="39" w:name="_Toc6827"/>
      <w:bookmarkStart w:id="40" w:name="_Toc7734"/>
      <w:r>
        <w:rPr>
          <w:rFonts w:hint="eastAsia" w:ascii="仿宋_GB2312" w:hAnsi="仿宋_GB2312" w:cs="仿宋_GB2312"/>
          <w:b/>
          <w:bCs/>
          <w:szCs w:val="32"/>
          <w:lang w:eastAsia="zh-CN"/>
        </w:rPr>
        <w:t>2.2.2设施维护与管理存在薄弱环节</w:t>
      </w:r>
      <w:bookmarkEnd w:id="39"/>
      <w:bookmarkEnd w:id="40"/>
    </w:p>
    <w:p w14:paraId="76A32CB2">
      <w:pPr>
        <w:ind w:firstLine="618"/>
        <w:rPr>
          <w:rFonts w:ascii="Times New Roman" w:hAnsi="Times New Roman" w:cs="仿宋_GB2312"/>
          <w:b/>
          <w:spacing w:val="-6"/>
          <w:szCs w:val="32"/>
          <w:lang w:eastAsia="zh-CN"/>
        </w:rPr>
      </w:pPr>
      <w:r>
        <w:rPr>
          <w:rFonts w:ascii="Times New Roman" w:hAnsi="Times New Roman"/>
          <w:b/>
          <w:spacing w:val="-6"/>
          <w:kern w:val="2"/>
          <w:lang w:eastAsia="zh-CN"/>
        </w:rPr>
        <w:t>市政设施</w:t>
      </w:r>
      <w:r>
        <w:rPr>
          <w:rFonts w:ascii="Times New Roman" w:hAnsi="Times New Roman" w:cs="仿宋_GB2312"/>
          <w:spacing w:val="-6"/>
          <w:szCs w:val="32"/>
          <w:lang w:eastAsia="zh-CN"/>
        </w:rPr>
        <w:t>：老城区盲道被占用、被井盖中断等问题较为突出；富华总站人行通道电梯故障频发，影响正常使用；部分设施完好率、使用率未进行系统统计，精细化管理水平有待提升。</w:t>
      </w:r>
    </w:p>
    <w:p w14:paraId="7F06CC89">
      <w:pPr>
        <w:ind w:firstLine="618"/>
        <w:rPr>
          <w:rFonts w:ascii="Times New Roman" w:hAnsi="Times New Roman" w:cs="仿宋_GB2312"/>
          <w:b/>
          <w:spacing w:val="-6"/>
          <w:szCs w:val="32"/>
          <w:lang w:eastAsia="zh-CN"/>
        </w:rPr>
      </w:pPr>
      <w:r>
        <w:rPr>
          <w:rFonts w:ascii="Times New Roman" w:hAnsi="Times New Roman"/>
          <w:b/>
          <w:spacing w:val="-6"/>
          <w:kern w:val="2"/>
          <w:lang w:eastAsia="zh-CN"/>
        </w:rPr>
        <w:t>环卫设施</w:t>
      </w:r>
      <w:r>
        <w:rPr>
          <w:rFonts w:ascii="Times New Roman" w:hAnsi="Times New Roman" w:cs="仿宋_GB2312"/>
          <w:spacing w:val="-6"/>
          <w:szCs w:val="32"/>
          <w:lang w:eastAsia="zh-CN"/>
        </w:rPr>
        <w:t>：老城区部分环卫公厕无障碍坡道和扶手损坏频发，</w:t>
      </w:r>
      <w:r>
        <w:rPr>
          <w:rFonts w:hint="eastAsia" w:ascii="Times New Roman" w:hAnsi="Times New Roman" w:cs="仿宋_GB2312"/>
          <w:spacing w:val="-6"/>
          <w:szCs w:val="32"/>
          <w:lang w:eastAsia="zh-CN"/>
        </w:rPr>
        <w:t>虽然</w:t>
      </w:r>
      <w:r>
        <w:rPr>
          <w:rFonts w:ascii="Times New Roman" w:hAnsi="Times New Roman" w:cs="仿宋_GB2312"/>
          <w:spacing w:val="-6"/>
          <w:szCs w:val="32"/>
          <w:lang w:eastAsia="zh-CN"/>
        </w:rPr>
        <w:t>整体完好率</w:t>
      </w:r>
      <w:r>
        <w:rPr>
          <w:rFonts w:hint="eastAsia" w:ascii="Times New Roman" w:hAnsi="Times New Roman" w:cs="仿宋_GB2312"/>
          <w:spacing w:val="-6"/>
          <w:szCs w:val="32"/>
          <w:lang w:val="en-US" w:eastAsia="zh-CN"/>
        </w:rPr>
        <w:t>较高</w:t>
      </w:r>
      <w:r>
        <w:rPr>
          <w:rFonts w:ascii="Times New Roman" w:hAnsi="Times New Roman" w:cs="仿宋_GB2312"/>
          <w:spacing w:val="-6"/>
          <w:szCs w:val="32"/>
          <w:lang w:eastAsia="zh-CN"/>
        </w:rPr>
        <w:t>，但仍有缺陷待消除；巡查发现问题后处置流程时限不够明确，处置周期缺乏有效管控。</w:t>
      </w:r>
    </w:p>
    <w:p w14:paraId="5B0CCE59">
      <w:pPr>
        <w:keepNext/>
        <w:keepLines/>
        <w:ind w:firstLine="643"/>
        <w:outlineLvl w:val="2"/>
        <w:rPr>
          <w:rFonts w:hint="eastAsia" w:ascii="仿宋_GB2312" w:hAnsi="仿宋_GB2312" w:cs="仿宋_GB2312"/>
          <w:b/>
          <w:bCs/>
          <w:szCs w:val="32"/>
          <w:lang w:eastAsia="zh-CN"/>
        </w:rPr>
      </w:pPr>
      <w:bookmarkStart w:id="41" w:name="_Toc4210"/>
      <w:bookmarkStart w:id="42" w:name="_Toc29841"/>
      <w:r>
        <w:rPr>
          <w:rFonts w:hint="eastAsia" w:ascii="仿宋_GB2312" w:hAnsi="仿宋_GB2312" w:cs="仿宋_GB2312"/>
          <w:b/>
          <w:bCs/>
          <w:szCs w:val="32"/>
          <w:lang w:eastAsia="zh-CN"/>
        </w:rPr>
        <w:t>2.2.3跨部门协调与监管机制有待完善</w:t>
      </w:r>
      <w:bookmarkEnd w:id="41"/>
      <w:bookmarkEnd w:id="42"/>
    </w:p>
    <w:p w14:paraId="17744E74">
      <w:pPr>
        <w:ind w:firstLine="618"/>
        <w:rPr>
          <w:rFonts w:ascii="Times New Roman" w:hAnsi="Times New Roman" w:cs="仿宋_GB2312"/>
          <w:b/>
          <w:spacing w:val="-6"/>
          <w:szCs w:val="32"/>
          <w:lang w:eastAsia="zh-CN"/>
        </w:rPr>
      </w:pPr>
      <w:r>
        <w:rPr>
          <w:rFonts w:hint="eastAsia" w:ascii="Times New Roman" w:hAnsi="Times New Roman" w:cs="仿宋_GB2312"/>
          <w:b/>
          <w:bCs/>
          <w:spacing w:val="-6"/>
          <w:szCs w:val="32"/>
          <w:lang w:eastAsia="zh-CN"/>
        </w:rPr>
        <w:t>建设层面</w:t>
      </w:r>
      <w:r>
        <w:rPr>
          <w:rFonts w:ascii="Times New Roman" w:hAnsi="Times New Roman" w:cs="仿宋_GB2312"/>
          <w:b/>
          <w:bCs/>
          <w:spacing w:val="-6"/>
          <w:szCs w:val="32"/>
          <w:lang w:eastAsia="zh-CN"/>
        </w:rPr>
        <w:t>：</w:t>
      </w:r>
      <w:r>
        <w:rPr>
          <w:rFonts w:ascii="Times New Roman" w:hAnsi="Times New Roman" w:cs="仿宋_GB2312"/>
          <w:spacing w:val="-6"/>
          <w:szCs w:val="32"/>
          <w:lang w:eastAsia="zh-CN"/>
        </w:rPr>
        <w:t>城管部门未参与</w:t>
      </w:r>
      <w:r>
        <w:rPr>
          <w:rFonts w:hint="eastAsia" w:ascii="Times New Roman" w:hAnsi="Times New Roman" w:cs="仿宋_GB2312"/>
          <w:spacing w:val="-6"/>
          <w:szCs w:val="32"/>
          <w:lang w:val="en-US" w:eastAsia="zh-CN"/>
        </w:rPr>
        <w:t>住建部门</w:t>
      </w:r>
      <w:r>
        <w:rPr>
          <w:rFonts w:ascii="Times New Roman" w:hAnsi="Times New Roman" w:cs="仿宋_GB2312"/>
          <w:spacing w:val="-6"/>
          <w:szCs w:val="32"/>
          <w:lang w:eastAsia="zh-CN"/>
        </w:rPr>
        <w:t>新建公园竣工验收</w:t>
      </w:r>
      <w:r>
        <w:rPr>
          <w:rFonts w:hint="eastAsia" w:ascii="Times New Roman" w:hAnsi="Times New Roman" w:cs="仿宋_GB2312"/>
          <w:spacing w:val="-6"/>
          <w:szCs w:val="32"/>
          <w:lang w:eastAsia="zh-CN"/>
        </w:rPr>
        <w:t>环节</w:t>
      </w:r>
      <w:r>
        <w:rPr>
          <w:rFonts w:ascii="Times New Roman" w:hAnsi="Times New Roman" w:cs="仿宋_GB2312"/>
          <w:spacing w:val="-6"/>
          <w:szCs w:val="32"/>
          <w:lang w:eastAsia="zh-CN"/>
        </w:rPr>
        <w:t>，部分项目无障碍设施质量把控存在漏洞，监管合力尚未充分形成。</w:t>
      </w:r>
    </w:p>
    <w:p w14:paraId="5C3D2599">
      <w:pPr>
        <w:ind w:firstLine="618"/>
        <w:rPr>
          <w:rFonts w:ascii="Times New Roman" w:hAnsi="Times New Roman" w:cs="仿宋_GB2312"/>
          <w:b/>
          <w:spacing w:val="-6"/>
          <w:szCs w:val="32"/>
          <w:lang w:eastAsia="zh-CN"/>
        </w:rPr>
      </w:pPr>
      <w:r>
        <w:rPr>
          <w:rFonts w:hint="eastAsia" w:ascii="Times New Roman" w:hAnsi="Times New Roman"/>
          <w:b/>
          <w:spacing w:val="-6"/>
          <w:kern w:val="2"/>
          <w:lang w:eastAsia="zh-CN"/>
        </w:rPr>
        <w:t>管理层面：</w:t>
      </w:r>
      <w:r>
        <w:rPr>
          <w:rFonts w:hint="eastAsia" w:ascii="Times New Roman" w:hAnsi="Times New Roman"/>
          <w:bCs/>
          <w:spacing w:val="-6"/>
          <w:kern w:val="2"/>
          <w:lang w:eastAsia="zh-CN"/>
        </w:rPr>
        <w:t>公共交通</w:t>
      </w:r>
      <w:r>
        <w:rPr>
          <w:rFonts w:ascii="Times New Roman" w:hAnsi="Times New Roman" w:cs="仿宋_GB2312"/>
          <w:spacing w:val="-6"/>
          <w:szCs w:val="32"/>
          <w:lang w:eastAsia="zh-CN"/>
        </w:rPr>
        <w:t>运营管理未建立跨部门联席会议制度，巡检监督缺乏有效处罚措施，公众反馈的无障碍设施问题未形成专门数据收集机制，协同治理效能有待提升。</w:t>
      </w:r>
    </w:p>
    <w:p w14:paraId="2837075B">
      <w:pPr>
        <w:pStyle w:val="3"/>
        <w:spacing w:before="120" w:line="560" w:lineRule="exact"/>
        <w:ind w:firstLine="0" w:firstLineChars="0"/>
        <w:rPr>
          <w:rFonts w:hint="eastAsia" w:ascii="楷体_GB2312" w:hAnsi="楷体_GB2312" w:eastAsia="楷体_GB2312" w:cs="楷体_GB2312"/>
          <w:bCs/>
        </w:rPr>
      </w:pPr>
      <w:bookmarkStart w:id="43" w:name="_Toc312"/>
      <w:bookmarkStart w:id="44" w:name="_Toc13166"/>
      <w:r>
        <w:rPr>
          <w:rFonts w:hint="eastAsia" w:ascii="楷体_GB2312" w:hAnsi="楷体_GB2312" w:eastAsia="楷体_GB2312" w:cs="楷体_GB2312"/>
          <w:bCs/>
        </w:rPr>
        <w:t>2.3发展趋势</w:t>
      </w:r>
      <w:bookmarkEnd w:id="43"/>
      <w:bookmarkEnd w:id="44"/>
    </w:p>
    <w:p w14:paraId="5DA522AA">
      <w:pPr>
        <w:ind w:firstLine="640"/>
        <w:rPr>
          <w:rFonts w:ascii="Times New Roman" w:hAnsi="Times New Roman"/>
          <w:szCs w:val="32"/>
          <w:lang w:eastAsia="zh-CN"/>
        </w:rPr>
      </w:pPr>
      <w:r>
        <w:rPr>
          <w:rFonts w:ascii="Times New Roman" w:hAnsi="Times New Roman"/>
          <w:szCs w:val="32"/>
          <w:lang w:eastAsia="zh-CN"/>
        </w:rPr>
        <w:t>无障碍建设的发展趋势呈现全民全龄化、系统化建设、智慧化赋能</w:t>
      </w:r>
      <w:r>
        <w:rPr>
          <w:rFonts w:hint="eastAsia" w:ascii="Times New Roman" w:hAnsi="Times New Roman"/>
          <w:szCs w:val="32"/>
          <w:lang w:eastAsia="zh-CN"/>
        </w:rPr>
        <w:t>、多主体协作和全周期管理</w:t>
      </w:r>
      <w:r>
        <w:rPr>
          <w:rFonts w:ascii="Times New Roman" w:hAnsi="Times New Roman"/>
          <w:szCs w:val="32"/>
          <w:lang w:eastAsia="zh-CN"/>
        </w:rPr>
        <w:t>等特点。</w:t>
      </w:r>
    </w:p>
    <w:p w14:paraId="40BEF73A">
      <w:pPr>
        <w:ind w:firstLine="643"/>
        <w:rPr>
          <w:rFonts w:ascii="Times New Roman" w:hAnsi="Times New Roman"/>
          <w:szCs w:val="32"/>
          <w:lang w:eastAsia="zh-CN"/>
        </w:rPr>
      </w:pPr>
      <w:r>
        <w:rPr>
          <w:rFonts w:ascii="Times New Roman" w:hAnsi="Times New Roman"/>
          <w:b/>
          <w:bCs/>
          <w:szCs w:val="32"/>
          <w:lang w:eastAsia="zh-CN"/>
        </w:rPr>
        <w:t>全民全龄化趋势明显</w:t>
      </w:r>
      <w:r>
        <w:rPr>
          <w:rFonts w:hint="eastAsia" w:ascii="Times New Roman" w:hAnsi="Times New Roman"/>
          <w:b/>
          <w:bCs/>
          <w:szCs w:val="32"/>
          <w:lang w:eastAsia="zh-CN"/>
        </w:rPr>
        <w:t>。</w:t>
      </w:r>
      <w:r>
        <w:rPr>
          <w:rFonts w:ascii="Times New Roman" w:hAnsi="Times New Roman"/>
          <w:szCs w:val="32"/>
          <w:lang w:eastAsia="zh-CN"/>
        </w:rPr>
        <w:t>服务对象已从残疾人扩展至老年人、孕妇、儿童及临时障碍者。随着人口老龄化加剧和全民健康意识提升，无障碍环境建设已从特定群体的需求扩展为全民全龄的普遍需求。</w:t>
      </w:r>
    </w:p>
    <w:p w14:paraId="456255B9">
      <w:pPr>
        <w:ind w:firstLine="643"/>
        <w:rPr>
          <w:rFonts w:ascii="Times New Roman" w:hAnsi="Times New Roman"/>
          <w:szCs w:val="32"/>
          <w:lang w:eastAsia="zh-CN"/>
        </w:rPr>
      </w:pPr>
      <w:r>
        <w:rPr>
          <w:rFonts w:ascii="Times New Roman" w:hAnsi="Times New Roman"/>
          <w:b/>
          <w:bCs/>
          <w:szCs w:val="32"/>
          <w:lang w:eastAsia="zh-CN"/>
        </w:rPr>
        <w:t>系统化建设成为主流</w:t>
      </w:r>
      <w:r>
        <w:rPr>
          <w:rFonts w:hint="eastAsia" w:ascii="Times New Roman" w:hAnsi="Times New Roman"/>
          <w:b/>
          <w:bCs/>
          <w:szCs w:val="32"/>
          <w:lang w:eastAsia="zh-CN"/>
        </w:rPr>
        <w:t>。</w:t>
      </w:r>
      <w:r>
        <w:rPr>
          <w:rFonts w:ascii="Times New Roman" w:hAnsi="Times New Roman"/>
          <w:szCs w:val="32"/>
          <w:lang w:eastAsia="zh-CN"/>
        </w:rPr>
        <w:t>建设模式强调</w:t>
      </w:r>
      <w:r>
        <w:rPr>
          <w:rFonts w:hint="eastAsia" w:ascii="Times New Roman" w:hAnsi="Times New Roman"/>
          <w:szCs w:val="32"/>
          <w:lang w:eastAsia="zh-CN"/>
        </w:rPr>
        <w:t>多维度</w:t>
      </w:r>
      <w:r>
        <w:rPr>
          <w:rFonts w:ascii="Times New Roman" w:hAnsi="Times New Roman"/>
          <w:szCs w:val="32"/>
          <w:lang w:eastAsia="zh-CN"/>
        </w:rPr>
        <w:t>衔接</w:t>
      </w:r>
      <w:r>
        <w:rPr>
          <w:rFonts w:hint="eastAsia" w:ascii="Times New Roman" w:hAnsi="Times New Roman"/>
          <w:szCs w:val="32"/>
          <w:lang w:eastAsia="zh-CN"/>
        </w:rPr>
        <w:t>，</w:t>
      </w:r>
      <w:r>
        <w:rPr>
          <w:rFonts w:ascii="Times New Roman" w:hAnsi="Times New Roman"/>
          <w:szCs w:val="32"/>
          <w:lang w:eastAsia="zh-CN"/>
        </w:rPr>
        <w:t>无障碍环境建设已从单一设施改造转向系统性建设，注重各类设施之间的衔接和整合，形成系统性和整体性的无障碍网络。</w:t>
      </w:r>
    </w:p>
    <w:p w14:paraId="27F75357">
      <w:pPr>
        <w:ind w:firstLine="643"/>
        <w:rPr>
          <w:rFonts w:ascii="Times New Roman" w:hAnsi="Times New Roman"/>
          <w:szCs w:val="32"/>
          <w:lang w:eastAsia="zh-CN"/>
        </w:rPr>
      </w:pPr>
      <w:r>
        <w:rPr>
          <w:rFonts w:ascii="Times New Roman" w:hAnsi="Times New Roman"/>
          <w:b/>
          <w:bCs/>
          <w:szCs w:val="32"/>
          <w:lang w:eastAsia="zh-CN"/>
        </w:rPr>
        <w:t>智慧化赋能加速推进</w:t>
      </w:r>
      <w:r>
        <w:rPr>
          <w:rFonts w:hint="eastAsia" w:ascii="Times New Roman" w:hAnsi="Times New Roman"/>
          <w:b/>
          <w:bCs/>
          <w:szCs w:val="32"/>
          <w:lang w:eastAsia="zh-CN"/>
        </w:rPr>
        <w:t>。</w:t>
      </w:r>
      <w:r>
        <w:rPr>
          <w:rFonts w:ascii="Times New Roman" w:hAnsi="Times New Roman"/>
          <w:szCs w:val="32"/>
          <w:lang w:eastAsia="zh-CN"/>
        </w:rPr>
        <w:t>技术应用上融合CIM平台、AI导航等技术</w:t>
      </w:r>
      <w:r>
        <w:rPr>
          <w:rFonts w:hint="eastAsia" w:ascii="Times New Roman" w:hAnsi="Times New Roman"/>
          <w:szCs w:val="32"/>
          <w:lang w:eastAsia="zh-CN"/>
        </w:rPr>
        <w:t>，</w:t>
      </w:r>
      <w:r>
        <w:rPr>
          <w:rFonts w:ascii="Times New Roman" w:hAnsi="Times New Roman"/>
          <w:szCs w:val="32"/>
          <w:lang w:eastAsia="zh-CN"/>
        </w:rPr>
        <w:t>现代信息技术的快速发展为无障碍环境建设提供了新的技术手段，智慧化成为提升无障碍设施效能的重要途径。这一趋势要求规划更加注重技术创新，推动无障碍设施的智能化升级。</w:t>
      </w:r>
    </w:p>
    <w:p w14:paraId="611301E1">
      <w:pPr>
        <w:ind w:firstLine="643"/>
        <w:rPr>
          <w:rFonts w:hint="eastAsia" w:ascii="Times New Roman" w:hAnsi="Times New Roman" w:eastAsia="黑体" w:cs="黑体"/>
          <w:szCs w:val="32"/>
          <w:lang w:eastAsia="zh-CN"/>
        </w:rPr>
      </w:pPr>
      <w:r>
        <w:rPr>
          <w:rFonts w:hint="eastAsia" w:ascii="Times New Roman" w:hAnsi="Times New Roman"/>
          <w:b/>
          <w:bCs/>
          <w:szCs w:val="32"/>
          <w:lang w:eastAsia="zh-CN"/>
        </w:rPr>
        <w:t>多主体协作、全周期管理。</w:t>
      </w:r>
      <w:r>
        <w:rPr>
          <w:rFonts w:hint="eastAsia" w:ascii="Times New Roman" w:hAnsi="Times New Roman"/>
          <w:szCs w:val="32"/>
          <w:lang w:eastAsia="zh-CN"/>
        </w:rPr>
        <w:t xml:space="preserve">以法律法规为基础，多主体依照职责分工，积极开展协同工作，全力促成在前期规划设计、报建审批、建设验收和使用维护等全流程的无障碍全周期闭环管理。 </w:t>
      </w:r>
      <w:r>
        <w:rPr>
          <w:rFonts w:hint="eastAsia" w:ascii="Times New Roman" w:hAnsi="Times New Roman" w:eastAsia="黑体" w:cs="黑体"/>
          <w:szCs w:val="32"/>
          <w:lang w:eastAsia="zh-CN"/>
        </w:rPr>
        <w:br w:type="page"/>
      </w:r>
    </w:p>
    <w:p w14:paraId="3D5FD53E">
      <w:pPr>
        <w:pStyle w:val="2"/>
        <w:spacing w:before="240"/>
        <w:rPr>
          <w:rFonts w:hint="default"/>
          <w:lang w:val="en-US" w:eastAsia="zh-CN"/>
        </w:rPr>
      </w:pPr>
      <w:bookmarkStart w:id="45" w:name="_Toc27928_ai"/>
      <w:bookmarkStart w:id="46" w:name="_Toc15387"/>
      <w:bookmarkStart w:id="47" w:name="_Toc32632"/>
      <w:bookmarkStart w:id="48" w:name="_Toc28578"/>
      <w:bookmarkStart w:id="49" w:name="_Toc17816_ai"/>
      <w:bookmarkStart w:id="50" w:name="_Toc27607"/>
      <w:r>
        <w:rPr>
          <w:rFonts w:hint="eastAsia"/>
          <w:lang w:eastAsia="zh-CN"/>
        </w:rPr>
        <w:t>第三章 规划</w:t>
      </w:r>
      <w:bookmarkEnd w:id="45"/>
      <w:bookmarkEnd w:id="46"/>
      <w:bookmarkEnd w:id="47"/>
      <w:bookmarkEnd w:id="48"/>
      <w:bookmarkEnd w:id="49"/>
      <w:r>
        <w:rPr>
          <w:rFonts w:hint="eastAsia"/>
          <w:lang w:val="en-US" w:eastAsia="zh-CN"/>
        </w:rPr>
        <w:t>愿景</w:t>
      </w:r>
      <w:bookmarkEnd w:id="50"/>
    </w:p>
    <w:p w14:paraId="529E011E">
      <w:pPr>
        <w:ind w:firstLine="640"/>
        <w:rPr>
          <w:lang w:eastAsia="zh-CN"/>
        </w:rPr>
      </w:pPr>
    </w:p>
    <w:p w14:paraId="08BA8F48">
      <w:pPr>
        <w:pStyle w:val="3"/>
        <w:spacing w:before="120"/>
        <w:ind w:firstLine="0" w:firstLineChars="0"/>
        <w:rPr>
          <w:rFonts w:hint="eastAsia" w:ascii="楷体_GB2312" w:hAnsi="楷体_GB2312" w:eastAsia="楷体_GB2312" w:cs="楷体_GB2312"/>
          <w:bCs/>
        </w:rPr>
      </w:pPr>
      <w:bookmarkStart w:id="51" w:name="_Toc23712"/>
      <w:bookmarkStart w:id="52" w:name="_Toc4466"/>
      <w:r>
        <w:rPr>
          <w:rFonts w:hint="eastAsia" w:ascii="楷体_GB2312" w:hAnsi="楷体_GB2312" w:eastAsia="楷体_GB2312" w:cs="楷体_GB2312"/>
          <w:bCs/>
        </w:rPr>
        <w:t>3.1总体目标</w:t>
      </w:r>
      <w:bookmarkEnd w:id="51"/>
      <w:bookmarkEnd w:id="52"/>
    </w:p>
    <w:p w14:paraId="14D4670F">
      <w:pPr>
        <w:ind w:firstLine="640"/>
        <w:rPr>
          <w:rFonts w:ascii="Times New Roman" w:hAnsi="Times New Roman"/>
          <w:szCs w:val="32"/>
          <w:lang w:eastAsia="zh-CN"/>
        </w:rPr>
      </w:pPr>
      <w:r>
        <w:rPr>
          <w:rFonts w:ascii="Times New Roman" w:hAnsi="Times New Roman"/>
          <w:szCs w:val="32"/>
          <w:lang w:eastAsia="zh-CN"/>
        </w:rPr>
        <w:t>到2035年，建成大湾区西岸无障碍</w:t>
      </w:r>
      <w:r>
        <w:rPr>
          <w:rFonts w:hint="eastAsia" w:ascii="Times New Roman" w:hAnsi="Times New Roman"/>
          <w:szCs w:val="32"/>
          <w:lang w:eastAsia="zh-CN"/>
        </w:rPr>
        <w:t>环境建设</w:t>
      </w:r>
      <w:r>
        <w:rPr>
          <w:rFonts w:ascii="Times New Roman" w:hAnsi="Times New Roman"/>
          <w:szCs w:val="32"/>
          <w:lang w:eastAsia="zh-CN"/>
        </w:rPr>
        <w:t>示范城市，实现</w:t>
      </w:r>
      <w:r>
        <w:rPr>
          <w:rFonts w:hint="eastAsia" w:ascii="Times New Roman" w:hAnsi="Times New Roman"/>
          <w:szCs w:val="32"/>
          <w:lang w:eastAsia="zh-CN"/>
        </w:rPr>
        <w:t>“</w:t>
      </w:r>
      <w:r>
        <w:rPr>
          <w:rFonts w:ascii="Times New Roman" w:hAnsi="Times New Roman"/>
          <w:szCs w:val="32"/>
          <w:lang w:eastAsia="zh-CN"/>
        </w:rPr>
        <w:t>出行无障、服务无碍、信息互通</w:t>
      </w:r>
      <w:r>
        <w:rPr>
          <w:rFonts w:hint="eastAsia" w:ascii="Times New Roman" w:hAnsi="Times New Roman"/>
          <w:szCs w:val="32"/>
          <w:lang w:eastAsia="zh-CN"/>
        </w:rPr>
        <w:t>”</w:t>
      </w:r>
      <w:r>
        <w:rPr>
          <w:rFonts w:ascii="Times New Roman" w:hAnsi="Times New Roman"/>
          <w:szCs w:val="32"/>
          <w:lang w:eastAsia="zh-CN"/>
        </w:rPr>
        <w:t>，成为全民全龄友好型城市典范。</w:t>
      </w:r>
    </w:p>
    <w:p w14:paraId="42C47F79">
      <w:pPr>
        <w:ind w:firstLine="640"/>
        <w:rPr>
          <w:rFonts w:ascii="Times New Roman" w:hAnsi="Times New Roman"/>
          <w:szCs w:val="32"/>
          <w:lang w:eastAsia="zh-CN"/>
        </w:rPr>
      </w:pPr>
      <w:r>
        <w:rPr>
          <w:rFonts w:ascii="Times New Roman" w:hAnsi="Times New Roman"/>
          <w:szCs w:val="32"/>
          <w:lang w:eastAsia="zh-CN"/>
        </w:rPr>
        <w:t>中山市无障碍城市发展的总体愿景是构建一个全民全龄共享、安全便捷、多元包容的无障碍城市空间体系。这一体系将覆盖全市所有</w:t>
      </w:r>
      <w:r>
        <w:rPr>
          <w:rFonts w:hint="eastAsia" w:ascii="Times New Roman" w:hAnsi="Times New Roman"/>
          <w:szCs w:val="32"/>
          <w:lang w:eastAsia="zh-CN"/>
        </w:rPr>
        <w:t>公共</w:t>
      </w:r>
      <w:r>
        <w:rPr>
          <w:rFonts w:ascii="Times New Roman" w:hAnsi="Times New Roman"/>
          <w:szCs w:val="32"/>
          <w:lang w:eastAsia="zh-CN"/>
        </w:rPr>
        <w:t>区域，衔接各类</w:t>
      </w:r>
      <w:r>
        <w:rPr>
          <w:rFonts w:hint="eastAsia" w:ascii="Times New Roman" w:hAnsi="Times New Roman"/>
          <w:szCs w:val="32"/>
          <w:lang w:eastAsia="zh-CN"/>
        </w:rPr>
        <w:t>主要公共</w:t>
      </w:r>
      <w:r>
        <w:rPr>
          <w:rFonts w:ascii="Times New Roman" w:hAnsi="Times New Roman"/>
          <w:szCs w:val="32"/>
          <w:lang w:eastAsia="zh-CN"/>
        </w:rPr>
        <w:t>设施，服务不同人群，实现无障碍环境的全域覆盖、系统完善和高效运行。通过无障碍城市建设，为其他城市提供可</w:t>
      </w:r>
      <w:r>
        <w:rPr>
          <w:rFonts w:hint="eastAsia" w:ascii="Times New Roman" w:hAnsi="Times New Roman"/>
          <w:szCs w:val="32"/>
          <w:lang w:val="en-US" w:eastAsia="zh-CN"/>
        </w:rPr>
        <w:t>借鉴</w:t>
      </w:r>
      <w:r>
        <w:rPr>
          <w:rFonts w:ascii="Times New Roman" w:hAnsi="Times New Roman"/>
          <w:szCs w:val="32"/>
          <w:lang w:eastAsia="zh-CN"/>
        </w:rPr>
        <w:t>、可推广的经验。</w:t>
      </w:r>
    </w:p>
    <w:p w14:paraId="15537687">
      <w:pPr>
        <w:pStyle w:val="3"/>
        <w:spacing w:before="120"/>
        <w:ind w:firstLine="0" w:firstLineChars="0"/>
        <w:rPr>
          <w:rFonts w:hint="eastAsia" w:ascii="楷体_GB2312" w:hAnsi="楷体_GB2312" w:eastAsia="楷体_GB2312" w:cs="楷体_GB2312"/>
          <w:bCs/>
        </w:rPr>
      </w:pPr>
      <w:bookmarkStart w:id="53" w:name="_Toc15777"/>
      <w:bookmarkStart w:id="54" w:name="_Toc17861"/>
      <w:r>
        <w:rPr>
          <w:rFonts w:hint="eastAsia" w:ascii="楷体_GB2312" w:hAnsi="楷体_GB2312" w:eastAsia="楷体_GB2312" w:cs="楷体_GB2312"/>
          <w:bCs/>
        </w:rPr>
        <w:t>3.2阶段目标</w:t>
      </w:r>
      <w:bookmarkEnd w:id="53"/>
      <w:bookmarkEnd w:id="54"/>
    </w:p>
    <w:p w14:paraId="487C0BA6">
      <w:pPr>
        <w:ind w:firstLine="640"/>
        <w:rPr>
          <w:rFonts w:hint="eastAsia" w:eastAsia="仿宋_GB2312"/>
          <w:lang w:eastAsia="zh-CN"/>
        </w:rPr>
      </w:pPr>
      <w:r>
        <w:rPr>
          <w:rFonts w:hint="eastAsia" w:ascii="Times New Roman" w:hAnsi="Times New Roman"/>
          <w:szCs w:val="32"/>
          <w:lang w:eastAsia="zh-CN"/>
        </w:rPr>
        <w:t>依据规划期限进行划分，</w:t>
      </w:r>
      <w:r>
        <w:rPr>
          <w:rFonts w:hint="eastAsia" w:ascii="Times New Roman" w:hAnsi="Times New Roman"/>
          <w:szCs w:val="32"/>
          <w:lang w:val="en-US" w:eastAsia="zh-CN"/>
        </w:rPr>
        <w:t xml:space="preserve">可分为近期目标（2027年）与远期目标（2035年），各阶段目标如下： </w:t>
      </w:r>
    </w:p>
    <w:p w14:paraId="6084D153">
      <w:pPr>
        <w:ind w:firstLine="640"/>
        <w:rPr>
          <w:rFonts w:ascii="Times New Roman" w:hAnsi="Times New Roman"/>
          <w:szCs w:val="32"/>
          <w:lang w:eastAsia="zh-CN"/>
        </w:rPr>
      </w:pPr>
      <w:r>
        <w:rPr>
          <w:rFonts w:hint="eastAsia" w:ascii="Times New Roman" w:hAnsi="Times New Roman"/>
          <w:szCs w:val="32"/>
          <w:lang w:eastAsia="zh-CN"/>
        </w:rPr>
        <w:t>到20</w:t>
      </w:r>
      <w:r>
        <w:rPr>
          <w:rFonts w:hint="eastAsia" w:ascii="Times New Roman" w:hAnsi="Times New Roman"/>
          <w:szCs w:val="32"/>
          <w:lang w:val="en-US" w:eastAsia="zh-CN"/>
        </w:rPr>
        <w:t>27</w:t>
      </w:r>
      <w:r>
        <w:rPr>
          <w:rFonts w:hint="eastAsia" w:ascii="Times New Roman" w:hAnsi="Times New Roman"/>
          <w:szCs w:val="32"/>
          <w:lang w:eastAsia="zh-CN"/>
        </w:rPr>
        <w:t>年，全市无障碍环境建设与经济社会发展相协调，无障碍环境持续优化，全社会关心、支持、参与无障碍环境建设的氛围日益浓厚。建设一批具有中山特色的无障碍公共场所、公园和旅游服务圈，无障碍标准化、规范化管理水平明显提高，残疾人、老年人等在内的全体社会成员平等参与社会生活，获得公共服务的环境更舒适、更便捷。</w:t>
      </w:r>
    </w:p>
    <w:p w14:paraId="647EEEC1">
      <w:pPr>
        <w:ind w:firstLine="640"/>
        <w:rPr>
          <w:lang w:eastAsia="zh-CN"/>
        </w:rPr>
      </w:pPr>
      <w:r>
        <w:rPr>
          <w:rFonts w:hint="eastAsia" w:ascii="Times New Roman" w:hAnsi="Times New Roman"/>
          <w:szCs w:val="32"/>
          <w:lang w:eastAsia="zh-CN"/>
        </w:rPr>
        <w:t>到2035年，全民全龄无障碍网络全面建成，无障碍理念深度融入城市治理和市民生活方式，实现从“基础保障”向“品质提升”跨越，与粤港澳大湾区无障碍城市协同发展格局深度融合，形成涵盖物理空间、数字环境、公共服务、社会氛围的全方位无障碍体系。建成覆盖城乡的无障碍设施网络，重点推进老旧小区、历史街区、交通枢纽等区域无障碍改造提质，实现公共交通、公共服务场所无障碍设施100%达标且互联互通；智慧无障碍服务体系成熟，数字无障碍建设达到国内先进水平，政务服务、医疗教育、文化旅游等领域实现全流程无障碍适配，残疾人、老年人等群体“数字鸿沟”全面消除；无障碍建设标准化体系进一步完善，建立跨部门协同监管机制和第三方评估制度，社会力量参与无障碍建设的渠道更加畅通，形成“政府主导、社会共建、全民共享”的良性发展格局；全社会无障碍意识全面普及，包容互助的社会风尚蔚然成风，全体社会成员平等参与社会生活的权利得到充分保障，无障碍环境成为中山建设宜居宜业现代化城市的核心竞争力之一，为全国同类城市无障碍建设提供可复制、可推广的“中山经验”。</w:t>
      </w:r>
    </w:p>
    <w:p w14:paraId="15D7277B">
      <w:pPr>
        <w:keepNext/>
        <w:keepLines/>
        <w:spacing w:before="120" w:beforeLines="50" w:line="574" w:lineRule="exact"/>
        <w:ind w:firstLine="0" w:firstLineChars="0"/>
        <w:jc w:val="both"/>
        <w:outlineLvl w:val="1"/>
        <w:rPr>
          <w:rFonts w:hint="eastAsia" w:ascii="楷体_GB2312" w:hAnsi="楷体_GB2312" w:eastAsia="楷体_GB2312" w:cs="楷体_GB2312"/>
          <w:b/>
          <w:bCs/>
          <w:color w:val="000000"/>
          <w:sz w:val="32"/>
          <w:lang w:val="en-US" w:eastAsia="zh-CN" w:bidi="ar-SA"/>
        </w:rPr>
      </w:pPr>
      <w:bookmarkStart w:id="55" w:name="_Toc11224"/>
      <w:bookmarkStart w:id="56" w:name="_Toc2888"/>
      <w:r>
        <w:rPr>
          <w:rFonts w:hint="eastAsia" w:ascii="楷体_GB2312" w:hAnsi="楷体_GB2312" w:eastAsia="楷体_GB2312" w:cs="楷体_GB2312"/>
          <w:b/>
          <w:bCs/>
          <w:color w:val="000000"/>
          <w:sz w:val="32"/>
          <w:lang w:val="en-US" w:eastAsia="zh-CN" w:bidi="ar-SA"/>
        </w:rPr>
        <w:t>3.3规划原则</w:t>
      </w:r>
      <w:bookmarkEnd w:id="55"/>
      <w:bookmarkEnd w:id="56"/>
    </w:p>
    <w:p w14:paraId="706FB684">
      <w:pPr>
        <w:ind w:firstLine="640"/>
        <w:rPr>
          <w:rFonts w:ascii="Times New Roman" w:hAnsi="Times New Roman" w:cs="Times New Roman"/>
          <w:szCs w:val="32"/>
          <w:lang w:eastAsia="zh-CN"/>
        </w:rPr>
      </w:pPr>
      <w:r>
        <w:rPr>
          <w:rFonts w:ascii="Times New Roman" w:hAnsi="Times New Roman" w:cs="Times New Roman"/>
          <w:szCs w:val="32"/>
          <w:lang w:eastAsia="zh-CN"/>
        </w:rPr>
        <w:t>中山市无障碍</w:t>
      </w:r>
      <w:r>
        <w:rPr>
          <w:rFonts w:hint="eastAsia" w:ascii="Times New Roman" w:hAnsi="Times New Roman" w:cs="Times New Roman"/>
          <w:szCs w:val="32"/>
          <w:lang w:val="en-US" w:eastAsia="zh-CN"/>
        </w:rPr>
        <w:t>城市发展规划</w:t>
      </w:r>
      <w:r>
        <w:rPr>
          <w:rFonts w:ascii="Times New Roman" w:hAnsi="Times New Roman" w:cs="Times New Roman"/>
          <w:szCs w:val="32"/>
          <w:lang w:eastAsia="zh-CN"/>
        </w:rPr>
        <w:t>遵循以下基本原则：</w:t>
      </w:r>
    </w:p>
    <w:p w14:paraId="30F111B7">
      <w:pPr>
        <w:ind w:firstLine="643"/>
        <w:rPr>
          <w:rFonts w:hint="eastAsia" w:ascii="Times New Roman" w:hAnsi="Times New Roman" w:cs="Times New Roman"/>
          <w:szCs w:val="32"/>
          <w:lang w:eastAsia="zh-CN"/>
        </w:rPr>
      </w:pPr>
      <w:r>
        <w:rPr>
          <w:rFonts w:hint="eastAsia" w:ascii="Times New Roman" w:hAnsi="Times New Roman" w:cs="Times New Roman"/>
          <w:b/>
          <w:bCs/>
          <w:szCs w:val="32"/>
          <w:lang w:eastAsia="zh-CN"/>
        </w:rPr>
        <w:t>统筹推进，多元共建。</w:t>
      </w:r>
      <w:r>
        <w:rPr>
          <w:rFonts w:hint="eastAsia" w:ascii="Times New Roman" w:hAnsi="Times New Roman" w:cs="Times New Roman"/>
          <w:szCs w:val="32"/>
          <w:lang w:eastAsia="zh-CN"/>
        </w:rPr>
        <w:t>完善政府主导、部门协同、社会参与的工作机制，搭建多元、开放、动态的共建平台，充分发挥镇街、职能部门的主体作用，充分发挥残疾人、老年人</w:t>
      </w:r>
      <w:r>
        <w:rPr>
          <w:rFonts w:hint="eastAsia" w:cs="Times New Roman"/>
          <w:lang w:eastAsia="zh-CN"/>
        </w:rPr>
        <w:t>、妇女儿童等社会</w:t>
      </w:r>
      <w:r>
        <w:rPr>
          <w:rFonts w:hint="eastAsia" w:ascii="Times New Roman" w:hAnsi="Times New Roman" w:cs="Times New Roman"/>
          <w:szCs w:val="32"/>
          <w:lang w:eastAsia="zh-CN"/>
        </w:rPr>
        <w:t>组织的协调作用，促进标准化建设、规范化管理，提高共治共享水平。</w:t>
      </w:r>
    </w:p>
    <w:p w14:paraId="4A5A05E8">
      <w:pPr>
        <w:ind w:firstLine="643"/>
        <w:rPr>
          <w:rFonts w:hint="eastAsia" w:ascii="Times New Roman" w:hAnsi="Times New Roman" w:cs="Times New Roman"/>
          <w:szCs w:val="32"/>
          <w:lang w:eastAsia="zh-CN"/>
        </w:rPr>
      </w:pPr>
      <w:r>
        <w:rPr>
          <w:rFonts w:hint="eastAsia" w:ascii="Times New Roman" w:hAnsi="Times New Roman" w:cs="Times New Roman"/>
          <w:b/>
          <w:bCs/>
          <w:szCs w:val="32"/>
          <w:lang w:eastAsia="zh-CN"/>
        </w:rPr>
        <w:t>市镇联动，条块结合。</w:t>
      </w:r>
      <w:r>
        <w:rPr>
          <w:rFonts w:hint="eastAsia" w:ascii="Times New Roman" w:hAnsi="Times New Roman" w:cs="Times New Roman"/>
          <w:szCs w:val="32"/>
          <w:lang w:eastAsia="zh-CN"/>
        </w:rPr>
        <w:t>强化全市一盘棋理念，建立“市镇联动，条块结合”的市、镇协同工作体系，完善市级各职能部门、镇街、残联组织履职尽责、分工协作的职责体系，提升无障碍设施建设管理水平。市级行业主管部门要认真履职，按照“谁主管，谁负责”的要求，市级责任主体要落实好市属设施无障碍环境建设和管理工作，督促指导镇街级行业主管部门开展相关工作。属地镇街要发挥主体作用，统筹区域内各方面力量，将无障碍环境问题解决在属地。</w:t>
      </w:r>
    </w:p>
    <w:p w14:paraId="2E116561">
      <w:pPr>
        <w:ind w:firstLine="643"/>
        <w:rPr>
          <w:rFonts w:hint="eastAsia" w:ascii="Times New Roman" w:hAnsi="Times New Roman" w:cs="Times New Roman"/>
          <w:szCs w:val="32"/>
          <w:lang w:eastAsia="zh-CN"/>
        </w:rPr>
      </w:pPr>
      <w:r>
        <w:rPr>
          <w:rFonts w:hint="eastAsia" w:ascii="Times New Roman" w:hAnsi="Times New Roman" w:cs="Times New Roman"/>
          <w:b/>
          <w:bCs/>
          <w:szCs w:val="32"/>
          <w:lang w:eastAsia="zh-CN"/>
        </w:rPr>
        <w:t>规划先行，严守标准。</w:t>
      </w:r>
      <w:r>
        <w:rPr>
          <w:rFonts w:hint="eastAsia" w:ascii="Times New Roman" w:hAnsi="Times New Roman" w:cs="Times New Roman"/>
          <w:szCs w:val="32"/>
          <w:lang w:eastAsia="zh-CN"/>
        </w:rPr>
        <w:t>详细规划编制时落实无障碍环境建设目标，严格执行国家相关标准规范，对标先进，体现地方特色，充分利用、整合现有资源，坚持无障碍设施与主体工程同步规划、同步设计、同步施工、同步验收、同步交付使用的“五同步”原则，科学、有序推进无障碍环境建设目标。</w:t>
      </w:r>
    </w:p>
    <w:p w14:paraId="2FF2E474">
      <w:pPr>
        <w:ind w:firstLine="643"/>
        <w:rPr>
          <w:rFonts w:hint="eastAsia" w:ascii="Times New Roman" w:hAnsi="Times New Roman" w:cs="Times New Roman"/>
          <w:szCs w:val="32"/>
          <w:lang w:eastAsia="zh-CN"/>
        </w:rPr>
      </w:pPr>
      <w:r>
        <w:rPr>
          <w:rFonts w:hint="eastAsia" w:ascii="Times New Roman" w:hAnsi="Times New Roman" w:cs="Times New Roman"/>
          <w:b/>
          <w:bCs/>
          <w:szCs w:val="32"/>
          <w:lang w:eastAsia="zh-CN"/>
        </w:rPr>
        <w:t>突出重点，兼顾全面。</w:t>
      </w:r>
      <w:r>
        <w:rPr>
          <w:rFonts w:hint="eastAsia" w:ascii="Times New Roman" w:hAnsi="Times New Roman" w:cs="Times New Roman"/>
          <w:szCs w:val="32"/>
          <w:lang w:eastAsia="zh-CN"/>
        </w:rPr>
        <w:t>聚焦残疾人、老年人反映强烈的“痛点”“堵点”，以城市道路、公共交通、体育场馆、文化场馆、公共服务场所及信息交流等领域为重点，补齐无障碍设施短板，健全长效机制，实现常态化管理，营造无障碍信息交流环境，全方位、系统性推进全市无障碍环境建设。</w:t>
      </w:r>
    </w:p>
    <w:p w14:paraId="3726FE8A">
      <w:pPr>
        <w:ind w:firstLine="640"/>
        <w:rPr>
          <w:rFonts w:hint="eastAsia" w:ascii="Times New Roman" w:hAnsi="Times New Roman" w:eastAsia="黑体" w:cs="黑体"/>
          <w:szCs w:val="32"/>
          <w:lang w:eastAsia="zh-CN"/>
        </w:rPr>
      </w:pPr>
      <w:r>
        <w:rPr>
          <w:rFonts w:hint="eastAsia" w:ascii="Times New Roman" w:hAnsi="Times New Roman" w:eastAsia="黑体" w:cs="黑体"/>
          <w:szCs w:val="32"/>
          <w:lang w:eastAsia="zh-CN"/>
        </w:rPr>
        <w:br w:type="page"/>
      </w:r>
    </w:p>
    <w:p w14:paraId="1DB602D7">
      <w:pPr>
        <w:pStyle w:val="2"/>
        <w:spacing w:before="240"/>
        <w:rPr>
          <w:lang w:eastAsia="zh-CN"/>
        </w:rPr>
      </w:pPr>
      <w:bookmarkStart w:id="57" w:name="_Toc1159_ai"/>
      <w:bookmarkStart w:id="58" w:name="_Toc30007_ai"/>
      <w:bookmarkStart w:id="59" w:name="_Toc28252"/>
      <w:bookmarkStart w:id="60" w:name="_Toc24716"/>
      <w:bookmarkStart w:id="61" w:name="_Toc21136"/>
      <w:bookmarkStart w:id="62" w:name="_Toc9842"/>
      <w:r>
        <w:rPr>
          <w:rFonts w:hint="eastAsia"/>
          <w:lang w:eastAsia="zh-CN"/>
        </w:rPr>
        <w:t>第</w:t>
      </w:r>
      <w:r>
        <w:rPr>
          <w:rFonts w:hint="eastAsia"/>
          <w:lang w:val="en-US" w:eastAsia="zh-CN"/>
        </w:rPr>
        <w:t>四</w:t>
      </w:r>
      <w:r>
        <w:rPr>
          <w:rFonts w:hint="eastAsia"/>
          <w:lang w:eastAsia="zh-CN"/>
        </w:rPr>
        <w:t>章</w:t>
      </w:r>
      <w:bookmarkEnd w:id="57"/>
      <w:r>
        <w:rPr>
          <w:rFonts w:hint="eastAsia"/>
          <w:lang w:eastAsia="zh-CN"/>
        </w:rPr>
        <w:t xml:space="preserve"> </w:t>
      </w:r>
      <w:bookmarkEnd w:id="58"/>
      <w:r>
        <w:rPr>
          <w:rFonts w:hint="eastAsia"/>
          <w:lang w:val="en-US" w:eastAsia="zh-CN"/>
        </w:rPr>
        <w:t>发展</w:t>
      </w:r>
      <w:r>
        <w:rPr>
          <w:rFonts w:hint="eastAsia"/>
          <w:lang w:eastAsia="zh-CN"/>
        </w:rPr>
        <w:t>指引</w:t>
      </w:r>
      <w:bookmarkEnd w:id="59"/>
      <w:bookmarkEnd w:id="60"/>
      <w:bookmarkEnd w:id="61"/>
      <w:bookmarkEnd w:id="62"/>
    </w:p>
    <w:p w14:paraId="6A70AC93">
      <w:pPr>
        <w:ind w:firstLine="640"/>
        <w:rPr>
          <w:lang w:eastAsia="zh-CN"/>
        </w:rPr>
      </w:pPr>
    </w:p>
    <w:p w14:paraId="4A1308F4">
      <w:pPr>
        <w:pStyle w:val="3"/>
        <w:spacing w:before="120"/>
        <w:ind w:firstLine="0" w:firstLineChars="0"/>
      </w:pPr>
      <w:bookmarkStart w:id="63" w:name="_Toc26021_ai"/>
      <w:bookmarkStart w:id="64" w:name="_Toc26767_ai"/>
      <w:bookmarkStart w:id="65" w:name="_Toc27056"/>
      <w:r>
        <w:rPr>
          <w:rFonts w:hint="eastAsia" w:ascii="楷体_GB2312" w:hAnsi="楷体_GB2312" w:eastAsia="楷体_GB2312" w:cs="楷体_GB2312"/>
          <w:b/>
          <w:bCs/>
          <w:color w:val="000000"/>
          <w:sz w:val="32"/>
          <w:lang w:val="en-US" w:eastAsia="zh-CN" w:bidi="ar-SA"/>
        </w:rPr>
        <w:t>4.1公共设施无障碍发展指引</w:t>
      </w:r>
      <w:bookmarkEnd w:id="63"/>
      <w:bookmarkEnd w:id="64"/>
    </w:p>
    <w:bookmarkEnd w:id="65"/>
    <w:p w14:paraId="0FD4146A">
      <w:pPr>
        <w:keepNext/>
        <w:keepLines/>
        <w:ind w:firstLine="643" w:firstLineChars="200"/>
        <w:outlineLvl w:val="2"/>
      </w:pPr>
      <w:bookmarkStart w:id="66" w:name="_Toc27056_ai"/>
      <w:r>
        <w:rPr>
          <w:rFonts w:hint="eastAsia" w:ascii="仿宋_GB2312" w:hAnsi="仿宋_GB2312" w:eastAsia="仿宋_GB2312" w:cs="仿宋_GB2312"/>
          <w:b/>
          <w:bCs/>
          <w:sz w:val="32"/>
          <w:szCs w:val="32"/>
          <w:lang w:val="en-US" w:eastAsia="zh-CN" w:bidi="ar-SA"/>
        </w:rPr>
        <w:t>4.1.1规划</w:t>
      </w:r>
      <w:bookmarkEnd w:id="66"/>
      <w:r>
        <w:rPr>
          <w:rFonts w:hint="eastAsia" w:ascii="仿宋_GB2312" w:hAnsi="仿宋_GB2312" w:eastAsia="仿宋_GB2312" w:cs="仿宋_GB2312"/>
          <w:b/>
          <w:bCs/>
          <w:sz w:val="32"/>
          <w:szCs w:val="32"/>
          <w:lang w:val="en-US" w:eastAsia="zh-CN" w:bidi="ar-SA"/>
        </w:rPr>
        <w:t>要求</w:t>
      </w:r>
    </w:p>
    <w:p w14:paraId="7240118B">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公共设施无障碍规划应坚持“完善专属服务设施，提升通用服务功能，充分利用存量空间”的基本</w:t>
      </w:r>
      <w:r>
        <w:rPr>
          <w:rFonts w:hint="eastAsia" w:ascii="仿宋_GB2312" w:hAnsi="仿宋_GB2312" w:cs="仿宋_GB2312"/>
          <w:szCs w:val="32"/>
          <w:lang w:val="en-US" w:eastAsia="zh-CN"/>
        </w:rPr>
        <w:t>要求</w:t>
      </w:r>
      <w:r>
        <w:rPr>
          <w:rFonts w:hint="eastAsia" w:ascii="仿宋_GB2312" w:hAnsi="仿宋_GB2312" w:cs="仿宋_GB2312"/>
          <w:szCs w:val="32"/>
          <w:lang w:eastAsia="zh-CN"/>
        </w:rPr>
        <w:t>，形成分级分类的公共设施无障碍体系，为有需要者提供精准的、专业的公共服务支持。规划应注重系统性和连续性，确保各类公共设施无障碍环境建设的协调统一，同时结合中山市实际情况，合理确定建设标准和实施路径，推动无障碍环境建设与城市发展的有机结合。</w:t>
      </w:r>
    </w:p>
    <w:p w14:paraId="0A4A0511">
      <w:pPr>
        <w:keepNext/>
        <w:keepLines/>
        <w:ind w:firstLine="643" w:firstLineChars="200"/>
        <w:outlineLvl w:val="2"/>
      </w:pPr>
      <w:bookmarkStart w:id="67" w:name="_Toc1103_ai"/>
      <w:r>
        <w:rPr>
          <w:rFonts w:hint="eastAsia" w:ascii="仿宋_GB2312" w:hAnsi="仿宋_GB2312" w:eastAsia="仿宋_GB2312" w:cs="仿宋_GB2312"/>
          <w:b/>
          <w:bCs/>
          <w:sz w:val="32"/>
          <w:szCs w:val="32"/>
          <w:lang w:val="en-US" w:eastAsia="zh-CN" w:bidi="ar-SA"/>
        </w:rPr>
        <w:t>4.1.2专属服务设施建设指引</w:t>
      </w:r>
      <w:bookmarkEnd w:id="67"/>
    </w:p>
    <w:p w14:paraId="379B27DC">
      <w:pPr>
        <w:ind w:firstLine="640"/>
        <w:rPr>
          <w:rFonts w:hint="eastAsia" w:ascii="仿宋_GB2312" w:hAnsi="仿宋_GB2312" w:cs="仿宋_GB2312"/>
          <w:szCs w:val="32"/>
          <w:lang w:eastAsia="zh-CN"/>
        </w:rPr>
      </w:pPr>
      <w:r>
        <w:rPr>
          <w:rFonts w:hint="eastAsia" w:ascii="仿宋_GB2312" w:hAnsi="仿宋_GB2312" w:cs="仿宋_GB2312"/>
          <w:szCs w:val="32"/>
          <w:lang w:eastAsia="zh-CN"/>
        </w:rPr>
        <w:t>专属服务设施是公共设施无障碍体系的核心组成部分，应按照市级、街道、社区三级进行规划建设，形成覆盖全市、功能完善的专属服务网络。各级专属服务设施应根据服务范围、功能要求和建设条件，采用不同的建设方式和空间布局，确保服务的可及性和便利性。</w:t>
      </w:r>
    </w:p>
    <w:p w14:paraId="738BD161">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（1）市级专属服务设施建设指引</w:t>
      </w:r>
    </w:p>
    <w:p w14:paraId="28A5DDDA">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市级专属服务设施以独立占地为主，在全市域范围内统筹建设，</w:t>
      </w:r>
      <w:r>
        <w:rPr>
          <w:rFonts w:hint="eastAsia" w:ascii="仿宋_GB2312" w:hAnsi="仿宋_GB2312" w:cs="仿宋_GB2312"/>
          <w:szCs w:val="32"/>
          <w:lang w:val="en-US" w:eastAsia="zh-CN"/>
        </w:rPr>
        <w:t>主要服务残疾人、妇女、儿童、老年人等特殊群体</w:t>
      </w:r>
      <w:r>
        <w:rPr>
          <w:rFonts w:hint="eastAsia" w:ascii="仿宋_GB2312" w:hAnsi="仿宋_GB2312" w:cs="仿宋_GB2312"/>
          <w:szCs w:val="32"/>
          <w:lang w:eastAsia="zh-CN"/>
        </w:rPr>
        <w:t>。市级专属服务设施服务范围广、功能综合，应选址交通便利、环境适宜的区域，注重与城市公共服务设施的有机衔接，形成示范引领效应。</w:t>
      </w:r>
    </w:p>
    <w:p w14:paraId="17DE5B07">
      <w:pPr>
        <w:ind w:firstLine="0" w:firstLineChars="0"/>
        <w:jc w:val="center"/>
        <w:rPr>
          <w:rFonts w:ascii="黑体" w:hAnsi="黑体" w:eastAsia="黑体" w:cs="黑体"/>
          <w:sz w:val="28"/>
          <w:szCs w:val="28"/>
          <w:lang w:eastAsia="zh-CN"/>
        </w:rPr>
      </w:pPr>
      <w:r>
        <w:rPr>
          <w:rFonts w:hint="eastAsia" w:ascii="黑体" w:hAnsi="黑体" w:eastAsia="黑体" w:cs="黑体"/>
          <w:sz w:val="28"/>
          <w:szCs w:val="28"/>
          <w:lang w:eastAsia="zh-CN"/>
        </w:rPr>
        <w:t>表2 市级专属服务设施建设指引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6"/>
        <w:gridCol w:w="1750"/>
        <w:gridCol w:w="1576"/>
        <w:gridCol w:w="4474"/>
      </w:tblGrid>
      <w:tr w14:paraId="4BF3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blHeader/>
        </w:trPr>
        <w:tc>
          <w:tcPr>
            <w:tcW w:w="0" w:type="auto"/>
            <w:shd w:val="clear" w:color="auto" w:fill="D7D7D7"/>
            <w:noWrap w:val="0"/>
            <w:tcMar>
              <w:left w:w="108" w:type="dxa"/>
              <w:right w:w="108" w:type="dxa"/>
            </w:tcMar>
            <w:vAlign w:val="center"/>
          </w:tcPr>
          <w:p w14:paraId="1A81CBE4">
            <w:pPr>
              <w:spacing w:line="240" w:lineRule="auto"/>
              <w:ind w:firstLine="0" w:firstLineChars="0"/>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服务群体</w:t>
            </w:r>
          </w:p>
        </w:tc>
        <w:tc>
          <w:tcPr>
            <w:tcW w:w="0" w:type="auto"/>
            <w:shd w:val="clear" w:color="auto" w:fill="D7D7D7"/>
            <w:noWrap w:val="0"/>
            <w:tcMar>
              <w:left w:w="108" w:type="dxa"/>
              <w:right w:w="108" w:type="dxa"/>
            </w:tcMar>
            <w:vAlign w:val="center"/>
          </w:tcPr>
          <w:p w14:paraId="632E92AD">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设施类型</w:t>
            </w:r>
          </w:p>
        </w:tc>
        <w:tc>
          <w:tcPr>
            <w:tcW w:w="1576" w:type="dxa"/>
            <w:shd w:val="clear" w:color="auto" w:fill="D7D7D7"/>
            <w:noWrap w:val="0"/>
            <w:tcMar>
              <w:left w:w="108" w:type="dxa"/>
              <w:right w:w="108" w:type="dxa"/>
            </w:tcMar>
            <w:vAlign w:val="center"/>
          </w:tcPr>
          <w:p w14:paraId="2D0DE59B">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建设方式</w:t>
            </w:r>
          </w:p>
        </w:tc>
        <w:tc>
          <w:tcPr>
            <w:tcW w:w="4474" w:type="dxa"/>
            <w:shd w:val="clear" w:color="auto" w:fill="D7D7D7"/>
            <w:noWrap w:val="0"/>
            <w:tcMar>
              <w:left w:w="108" w:type="dxa"/>
              <w:right w:w="108" w:type="dxa"/>
            </w:tcMar>
            <w:vAlign w:val="center"/>
          </w:tcPr>
          <w:p w14:paraId="0D94C691">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功能要求</w:t>
            </w:r>
          </w:p>
        </w:tc>
      </w:tr>
      <w:tr w14:paraId="4007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0" w:type="auto"/>
            <w:vMerge w:val="restart"/>
            <w:noWrap w:val="0"/>
            <w:tcMar>
              <w:left w:w="108" w:type="dxa"/>
              <w:right w:w="108" w:type="dxa"/>
            </w:tcMar>
            <w:vAlign w:val="center"/>
          </w:tcPr>
          <w:p w14:paraId="3AE9E519">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残疾人</w:t>
            </w:r>
          </w:p>
        </w:tc>
        <w:tc>
          <w:tcPr>
            <w:tcW w:w="0" w:type="auto"/>
            <w:noWrap w:val="0"/>
            <w:tcMar>
              <w:left w:w="108" w:type="dxa"/>
              <w:right w:w="108" w:type="dxa"/>
            </w:tcMar>
            <w:vAlign w:val="center"/>
          </w:tcPr>
          <w:p w14:paraId="756BFCC4">
            <w:pPr>
              <w:spacing w:line="240" w:lineRule="auto"/>
              <w:ind w:firstLine="0" w:firstLineChars="0"/>
              <w:jc w:val="center"/>
              <w:rPr>
                <w:rFonts w:eastAsia="微软雅黑"/>
                <w:sz w:val="28"/>
                <w:szCs w:val="28"/>
              </w:rPr>
            </w:pPr>
            <w:r>
              <w:rPr>
                <w:rFonts w:hint="eastAsia" w:ascii="仿宋_GB2312" w:hAnsi="仿宋_GB2312" w:cs="仿宋_GB2312"/>
                <w:bCs/>
                <w:sz w:val="28"/>
                <w:szCs w:val="28"/>
                <w:lang w:val="en-US" w:eastAsia="zh-CN"/>
              </w:rPr>
              <w:t>市级</w:t>
            </w:r>
            <w:r>
              <w:rPr>
                <w:rFonts w:hint="eastAsia" w:ascii="仿宋_GB2312" w:hAnsi="仿宋_GB2312" w:cs="仿宋_GB2312"/>
                <w:bCs/>
                <w:sz w:val="28"/>
                <w:szCs w:val="28"/>
                <w:lang w:eastAsia="zh-CN"/>
              </w:rPr>
              <w:t>残疾人综合服务中心</w:t>
            </w:r>
          </w:p>
        </w:tc>
        <w:tc>
          <w:tcPr>
            <w:tcW w:w="1576" w:type="dxa"/>
            <w:noWrap w:val="0"/>
            <w:tcMar>
              <w:left w:w="108" w:type="dxa"/>
              <w:right w:w="108" w:type="dxa"/>
            </w:tcMar>
            <w:vAlign w:val="center"/>
          </w:tcPr>
          <w:p w14:paraId="6149C882">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独立占地或附建</w:t>
            </w:r>
          </w:p>
        </w:tc>
        <w:tc>
          <w:tcPr>
            <w:tcW w:w="4474" w:type="dxa"/>
            <w:noWrap w:val="0"/>
            <w:tcMar>
              <w:left w:w="108" w:type="dxa"/>
              <w:right w:w="108" w:type="dxa"/>
            </w:tcMar>
            <w:vAlign w:val="center"/>
          </w:tcPr>
          <w:p w14:paraId="07F5F8F0">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为全市残疾人提供康复、就业、培训、文体及权益保障等综合服务，配套全方位无障碍设施，适配各类残疾人群体使用需求</w:t>
            </w:r>
          </w:p>
        </w:tc>
      </w:tr>
      <w:tr w14:paraId="7922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0" w:type="auto"/>
            <w:vMerge w:val="continue"/>
            <w:noWrap w:val="0"/>
            <w:tcMar>
              <w:left w:w="108" w:type="dxa"/>
              <w:right w:w="108" w:type="dxa"/>
            </w:tcMar>
            <w:vAlign w:val="center"/>
          </w:tcPr>
          <w:p w14:paraId="7E6C3264">
            <w:pPr>
              <w:spacing w:line="240" w:lineRule="auto"/>
              <w:ind w:firstLine="0" w:firstLineChars="0"/>
              <w:jc w:val="center"/>
              <w:rPr>
                <w:rFonts w:hint="eastAsia" w:ascii="仿宋_GB2312" w:hAnsi="仿宋_GB2312" w:cs="仿宋_GB2312"/>
                <w:bCs/>
                <w:sz w:val="28"/>
                <w:szCs w:val="28"/>
                <w:lang w:eastAsia="zh-CN"/>
              </w:rPr>
            </w:pPr>
          </w:p>
        </w:tc>
        <w:tc>
          <w:tcPr>
            <w:tcW w:w="0" w:type="auto"/>
            <w:noWrap w:val="0"/>
            <w:tcMar>
              <w:left w:w="108" w:type="dxa"/>
              <w:right w:w="108" w:type="dxa"/>
            </w:tcMar>
            <w:vAlign w:val="center"/>
          </w:tcPr>
          <w:p w14:paraId="4F374A94">
            <w:pPr>
              <w:spacing w:line="240" w:lineRule="auto"/>
              <w:ind w:firstLine="0" w:firstLineChars="0"/>
              <w:jc w:val="center"/>
              <w:rPr>
                <w:rFonts w:eastAsia="微软雅黑"/>
                <w:sz w:val="28"/>
                <w:szCs w:val="28"/>
                <w:lang w:eastAsia="zh-CN"/>
              </w:rPr>
            </w:pPr>
            <w:r>
              <w:rPr>
                <w:rFonts w:hint="eastAsia" w:ascii="仿宋_GB2312" w:hAnsi="仿宋_GB2312" w:cs="仿宋_GB2312"/>
                <w:bCs/>
                <w:sz w:val="28"/>
                <w:szCs w:val="28"/>
                <w:lang w:val="en-US" w:eastAsia="zh-CN"/>
              </w:rPr>
              <w:t>市级</w:t>
            </w:r>
            <w:r>
              <w:rPr>
                <w:rFonts w:hint="eastAsia" w:ascii="仿宋_GB2312" w:hAnsi="仿宋_GB2312" w:cs="仿宋_GB2312"/>
                <w:bCs/>
                <w:sz w:val="28"/>
                <w:szCs w:val="28"/>
                <w:lang w:eastAsia="zh-CN"/>
              </w:rPr>
              <w:t>创新创业无障碍服务中心</w:t>
            </w:r>
          </w:p>
        </w:tc>
        <w:tc>
          <w:tcPr>
            <w:tcW w:w="1576" w:type="dxa"/>
            <w:noWrap w:val="0"/>
            <w:tcMar>
              <w:left w:w="108" w:type="dxa"/>
              <w:right w:w="108" w:type="dxa"/>
            </w:tcMar>
            <w:vAlign w:val="center"/>
          </w:tcPr>
          <w:p w14:paraId="01E1619C">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独立占地或附建</w:t>
            </w:r>
          </w:p>
        </w:tc>
        <w:tc>
          <w:tcPr>
            <w:tcW w:w="4474" w:type="dxa"/>
            <w:noWrap w:val="0"/>
            <w:tcMar>
              <w:left w:w="108" w:type="dxa"/>
              <w:right w:w="108" w:type="dxa"/>
            </w:tcMar>
            <w:vAlign w:val="center"/>
          </w:tcPr>
          <w:p w14:paraId="6ECB20B0">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依托现有创新创业平台，为全市残疾人群体提供创业扶持、技能指导及无障碍创业环境适配服务</w:t>
            </w:r>
          </w:p>
        </w:tc>
      </w:tr>
      <w:tr w14:paraId="648D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0" w:type="auto"/>
            <w:vMerge w:val="continue"/>
            <w:noWrap w:val="0"/>
            <w:tcMar>
              <w:left w:w="108" w:type="dxa"/>
              <w:right w:w="108" w:type="dxa"/>
            </w:tcMar>
            <w:vAlign w:val="center"/>
          </w:tcPr>
          <w:p w14:paraId="77847FB7">
            <w:pPr>
              <w:spacing w:line="240" w:lineRule="auto"/>
              <w:ind w:firstLine="0" w:firstLineChars="0"/>
              <w:jc w:val="center"/>
              <w:rPr>
                <w:rFonts w:hint="eastAsia" w:ascii="仿宋_GB2312" w:hAnsi="仿宋_GB2312" w:cs="仿宋_GB2312"/>
                <w:bCs/>
                <w:sz w:val="28"/>
                <w:szCs w:val="28"/>
                <w:lang w:eastAsia="zh-CN"/>
              </w:rPr>
            </w:pPr>
          </w:p>
        </w:tc>
        <w:tc>
          <w:tcPr>
            <w:tcW w:w="0" w:type="auto"/>
            <w:noWrap w:val="0"/>
            <w:tcMar>
              <w:left w:w="108" w:type="dxa"/>
              <w:right w:w="108" w:type="dxa"/>
            </w:tcMar>
            <w:vAlign w:val="center"/>
          </w:tcPr>
          <w:p w14:paraId="342E8391">
            <w:pPr>
              <w:spacing w:line="240" w:lineRule="auto"/>
              <w:ind w:firstLine="0" w:firstLineChars="0"/>
              <w:jc w:val="center"/>
              <w:rPr>
                <w:rFonts w:eastAsia="微软雅黑"/>
                <w:sz w:val="28"/>
                <w:szCs w:val="28"/>
                <w:lang w:eastAsia="zh-CN"/>
              </w:rPr>
            </w:pPr>
            <w:r>
              <w:rPr>
                <w:rFonts w:hint="eastAsia" w:ascii="仿宋_GB2312" w:hAnsi="仿宋_GB2312" w:cs="仿宋_GB2312"/>
                <w:bCs/>
                <w:sz w:val="28"/>
                <w:szCs w:val="28"/>
                <w:lang w:val="en-US" w:eastAsia="zh-CN"/>
              </w:rPr>
              <w:t>市级</w:t>
            </w:r>
            <w:r>
              <w:rPr>
                <w:rFonts w:hint="eastAsia" w:ascii="仿宋_GB2312" w:hAnsi="仿宋_GB2312" w:cs="仿宋_GB2312"/>
                <w:bCs/>
                <w:sz w:val="28"/>
                <w:szCs w:val="28"/>
                <w:lang w:eastAsia="zh-CN"/>
              </w:rPr>
              <w:t>重度身心障碍者托养中心</w:t>
            </w:r>
          </w:p>
        </w:tc>
        <w:tc>
          <w:tcPr>
            <w:tcW w:w="1576" w:type="dxa"/>
            <w:noWrap w:val="0"/>
            <w:tcMar>
              <w:left w:w="108" w:type="dxa"/>
              <w:right w:w="108" w:type="dxa"/>
            </w:tcMar>
            <w:vAlign w:val="center"/>
          </w:tcPr>
          <w:p w14:paraId="7ACD905D">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独立占地或附建</w:t>
            </w:r>
          </w:p>
        </w:tc>
        <w:tc>
          <w:tcPr>
            <w:tcW w:w="4474" w:type="dxa"/>
            <w:noWrap w:val="0"/>
            <w:tcMar>
              <w:left w:w="108" w:type="dxa"/>
              <w:right w:w="108" w:type="dxa"/>
            </w:tcMar>
            <w:vAlign w:val="center"/>
          </w:tcPr>
          <w:p w14:paraId="5C8602D2">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为全市重度肢体、精神、智力障碍者提供日间托养、医疗康复、生活照料等专属服务，设施全面适配重度障碍者无障碍使用</w:t>
            </w:r>
          </w:p>
        </w:tc>
      </w:tr>
      <w:tr w14:paraId="102F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0" w:type="auto"/>
            <w:vMerge w:val="continue"/>
            <w:noWrap w:val="0"/>
            <w:tcMar>
              <w:left w:w="108" w:type="dxa"/>
              <w:right w:w="108" w:type="dxa"/>
            </w:tcMar>
            <w:vAlign w:val="center"/>
          </w:tcPr>
          <w:p w14:paraId="40E59507">
            <w:pPr>
              <w:spacing w:line="240" w:lineRule="auto"/>
              <w:ind w:firstLine="0" w:firstLineChars="0"/>
              <w:jc w:val="center"/>
              <w:rPr>
                <w:rFonts w:hint="eastAsia" w:ascii="仿宋_GB2312" w:hAnsi="仿宋_GB2312" w:cs="仿宋_GB2312"/>
                <w:bCs/>
                <w:sz w:val="28"/>
                <w:szCs w:val="28"/>
                <w:lang w:eastAsia="zh-CN"/>
              </w:rPr>
            </w:pPr>
          </w:p>
        </w:tc>
        <w:tc>
          <w:tcPr>
            <w:tcW w:w="0" w:type="auto"/>
            <w:noWrap w:val="0"/>
            <w:tcMar>
              <w:left w:w="108" w:type="dxa"/>
              <w:right w:w="108" w:type="dxa"/>
            </w:tcMar>
            <w:vAlign w:val="center"/>
          </w:tcPr>
          <w:p w14:paraId="315CD0AB">
            <w:pPr>
              <w:spacing w:line="240" w:lineRule="auto"/>
              <w:ind w:firstLine="0" w:firstLineChars="0"/>
              <w:jc w:val="center"/>
              <w:rPr>
                <w:rFonts w:eastAsia="微软雅黑"/>
                <w:sz w:val="28"/>
                <w:szCs w:val="28"/>
              </w:rPr>
            </w:pPr>
            <w:r>
              <w:rPr>
                <w:rFonts w:hint="eastAsia" w:ascii="仿宋_GB2312" w:hAnsi="仿宋_GB2312" w:cs="仿宋_GB2312"/>
                <w:bCs/>
                <w:sz w:val="28"/>
                <w:szCs w:val="28"/>
                <w:lang w:val="en-US" w:eastAsia="zh-CN"/>
              </w:rPr>
              <w:t>市级</w:t>
            </w:r>
            <w:r>
              <w:rPr>
                <w:rFonts w:hint="eastAsia" w:ascii="仿宋_GB2312" w:hAnsi="仿宋_GB2312" w:cs="仿宋_GB2312"/>
                <w:bCs/>
                <w:sz w:val="28"/>
                <w:szCs w:val="28"/>
                <w:lang w:eastAsia="zh-CN"/>
              </w:rPr>
              <w:t>特殊教育学校</w:t>
            </w:r>
          </w:p>
        </w:tc>
        <w:tc>
          <w:tcPr>
            <w:tcW w:w="1576" w:type="dxa"/>
            <w:noWrap w:val="0"/>
            <w:tcMar>
              <w:left w:w="108" w:type="dxa"/>
              <w:right w:w="108" w:type="dxa"/>
            </w:tcMar>
            <w:vAlign w:val="center"/>
          </w:tcPr>
          <w:p w14:paraId="72B38975">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独立占地</w:t>
            </w:r>
          </w:p>
        </w:tc>
        <w:tc>
          <w:tcPr>
            <w:tcW w:w="4474" w:type="dxa"/>
            <w:noWrap w:val="0"/>
            <w:tcMar>
              <w:left w:w="108" w:type="dxa"/>
              <w:right w:w="108" w:type="dxa"/>
            </w:tcMar>
            <w:vAlign w:val="center"/>
          </w:tcPr>
          <w:p w14:paraId="0A046419">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为全市残疾儿童、青少年提供义务阶段的特殊教育、康复训练及生活技能培养服务，配套适配各类残疾学生的无障碍教学及生活设施</w:t>
            </w:r>
          </w:p>
        </w:tc>
      </w:tr>
      <w:tr w14:paraId="5B44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0" w:type="auto"/>
            <w:vMerge w:val="restart"/>
            <w:noWrap w:val="0"/>
            <w:tcMar>
              <w:left w:w="108" w:type="dxa"/>
              <w:right w:w="108" w:type="dxa"/>
            </w:tcMar>
            <w:vAlign w:val="center"/>
          </w:tcPr>
          <w:p w14:paraId="681C9301">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儿童</w:t>
            </w:r>
          </w:p>
        </w:tc>
        <w:tc>
          <w:tcPr>
            <w:tcW w:w="0" w:type="auto"/>
            <w:noWrap w:val="0"/>
            <w:tcMar>
              <w:left w:w="108" w:type="dxa"/>
              <w:right w:w="108" w:type="dxa"/>
            </w:tcMar>
            <w:vAlign w:val="center"/>
          </w:tcPr>
          <w:p w14:paraId="71DA3399">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市级儿童福利院</w:t>
            </w:r>
          </w:p>
        </w:tc>
        <w:tc>
          <w:tcPr>
            <w:tcW w:w="1576" w:type="dxa"/>
            <w:noWrap w:val="0"/>
            <w:tcMar>
              <w:left w:w="108" w:type="dxa"/>
              <w:right w:w="108" w:type="dxa"/>
            </w:tcMar>
            <w:vAlign w:val="center"/>
          </w:tcPr>
          <w:p w14:paraId="243A5A9B">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独立占地</w:t>
            </w:r>
          </w:p>
        </w:tc>
        <w:tc>
          <w:tcPr>
            <w:tcW w:w="4474" w:type="dxa"/>
            <w:noWrap w:val="0"/>
            <w:tcMar>
              <w:left w:w="108" w:type="dxa"/>
              <w:right w:w="108" w:type="dxa"/>
            </w:tcMar>
            <w:vAlign w:val="center"/>
          </w:tcPr>
          <w:p w14:paraId="6EB6158B">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承担全市弃婴（童）、孤儿的抚养、教育、医疗康复及社会领养相关服务，适配儿童及残疾儿童无障碍使用需求</w:t>
            </w:r>
          </w:p>
        </w:tc>
      </w:tr>
      <w:tr w14:paraId="48AA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0" w:type="auto"/>
            <w:vMerge w:val="continue"/>
            <w:noWrap w:val="0"/>
            <w:tcMar>
              <w:left w:w="108" w:type="dxa"/>
              <w:right w:w="108" w:type="dxa"/>
            </w:tcMar>
            <w:vAlign w:val="center"/>
          </w:tcPr>
          <w:p w14:paraId="495DD856">
            <w:pPr>
              <w:spacing w:line="240" w:lineRule="auto"/>
              <w:ind w:firstLine="0" w:firstLineChars="0"/>
              <w:jc w:val="center"/>
              <w:rPr>
                <w:rFonts w:hint="eastAsia" w:ascii="仿宋_GB2312" w:hAnsi="仿宋_GB2312" w:cs="仿宋_GB2312"/>
                <w:bCs/>
                <w:sz w:val="28"/>
                <w:szCs w:val="28"/>
                <w:lang w:val="en-US" w:eastAsia="zh-CN"/>
              </w:rPr>
            </w:pPr>
          </w:p>
        </w:tc>
        <w:tc>
          <w:tcPr>
            <w:tcW w:w="0" w:type="auto"/>
            <w:noWrap w:val="0"/>
            <w:tcMar>
              <w:left w:w="108" w:type="dxa"/>
              <w:right w:w="108" w:type="dxa"/>
            </w:tcMar>
            <w:vAlign w:val="center"/>
          </w:tcPr>
          <w:p w14:paraId="42161AF3">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市级青少年活动中心（青少年宫）</w:t>
            </w:r>
          </w:p>
        </w:tc>
        <w:tc>
          <w:tcPr>
            <w:tcW w:w="1576" w:type="dxa"/>
            <w:noWrap w:val="0"/>
            <w:tcMar>
              <w:left w:w="108" w:type="dxa"/>
              <w:right w:w="108" w:type="dxa"/>
            </w:tcMar>
            <w:vAlign w:val="center"/>
          </w:tcPr>
          <w:p w14:paraId="1AEAFAF6">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独立占地</w:t>
            </w:r>
          </w:p>
        </w:tc>
        <w:tc>
          <w:tcPr>
            <w:tcW w:w="4474" w:type="dxa"/>
            <w:noWrap w:val="0"/>
            <w:tcMar>
              <w:left w:w="108" w:type="dxa"/>
              <w:right w:w="108" w:type="dxa"/>
            </w:tcMar>
            <w:vAlign w:val="center"/>
          </w:tcPr>
          <w:p w14:paraId="7F4EC443">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为全市青少年提供文化、科技、艺术等实践培训与活动服务，配套无障碍通行及活动设施，兼顾特殊青少年需求</w:t>
            </w:r>
          </w:p>
        </w:tc>
      </w:tr>
      <w:tr w14:paraId="078B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985" w:type="dxa"/>
            <w:vMerge w:val="restart"/>
            <w:shd w:val="clear" w:color="auto" w:fill="auto"/>
            <w:noWrap w:val="0"/>
            <w:tcMar>
              <w:left w:w="108" w:type="dxa"/>
              <w:right w:w="108" w:type="dxa"/>
            </w:tcMar>
            <w:vAlign w:val="center"/>
          </w:tcPr>
          <w:p w14:paraId="180F7A5E">
            <w:pPr>
              <w:spacing w:line="240" w:lineRule="auto"/>
              <w:ind w:firstLine="0" w:firstLineChars="0"/>
              <w:jc w:val="center"/>
              <w:rPr>
                <w:rFonts w:hint="default"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bidi="ar-SA"/>
              </w:rPr>
              <w:t>妇女、儿童</w:t>
            </w:r>
          </w:p>
        </w:tc>
        <w:tc>
          <w:tcPr>
            <w:tcW w:w="0" w:type="auto"/>
            <w:shd w:val="clear" w:color="auto" w:fill="auto"/>
            <w:noWrap w:val="0"/>
            <w:tcMar>
              <w:left w:w="108" w:type="dxa"/>
              <w:right w:w="108" w:type="dxa"/>
            </w:tcMar>
            <w:vAlign w:val="center"/>
          </w:tcPr>
          <w:p w14:paraId="35370C91">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市级妇女儿童活动中心</w:t>
            </w:r>
          </w:p>
        </w:tc>
        <w:tc>
          <w:tcPr>
            <w:tcW w:w="1576" w:type="dxa"/>
            <w:shd w:val="clear" w:color="auto" w:fill="auto"/>
            <w:noWrap w:val="0"/>
            <w:tcMar>
              <w:left w:w="108" w:type="dxa"/>
              <w:right w:w="108" w:type="dxa"/>
            </w:tcMar>
            <w:vAlign w:val="center"/>
          </w:tcPr>
          <w:p w14:paraId="4D50D59F">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独立占地</w:t>
            </w:r>
          </w:p>
        </w:tc>
        <w:tc>
          <w:tcPr>
            <w:tcW w:w="4474" w:type="dxa"/>
            <w:shd w:val="clear" w:color="auto" w:fill="auto"/>
            <w:noWrap w:val="0"/>
            <w:tcMar>
              <w:left w:w="108" w:type="dxa"/>
              <w:right w:w="108" w:type="dxa"/>
            </w:tcMar>
            <w:vAlign w:val="center"/>
          </w:tcPr>
          <w:p w14:paraId="6FAEA716">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为全市妇女、儿童提供文化、科技、艺术等实践培训与活动服务</w:t>
            </w:r>
          </w:p>
        </w:tc>
      </w:tr>
      <w:tr w14:paraId="3495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985" w:type="dxa"/>
            <w:vMerge w:val="continue"/>
            <w:shd w:val="clear" w:color="auto" w:fill="auto"/>
            <w:noWrap w:val="0"/>
            <w:tcMar>
              <w:left w:w="108" w:type="dxa"/>
              <w:right w:w="108" w:type="dxa"/>
            </w:tcMar>
            <w:vAlign w:val="center"/>
          </w:tcPr>
          <w:p w14:paraId="663485E7">
            <w:pPr>
              <w:spacing w:line="240" w:lineRule="auto"/>
              <w:ind w:firstLine="0" w:firstLineChars="0"/>
              <w:jc w:val="center"/>
              <w:rPr>
                <w:rFonts w:hint="default" w:ascii="仿宋_GB2312" w:hAnsi="仿宋_GB2312" w:eastAsia="仿宋_GB2312" w:cs="仿宋_GB2312"/>
                <w:bCs/>
                <w:sz w:val="28"/>
                <w:szCs w:val="28"/>
                <w:lang w:val="en-US" w:eastAsia="zh-CN" w:bidi="ar-SA"/>
              </w:rPr>
            </w:pPr>
          </w:p>
        </w:tc>
        <w:tc>
          <w:tcPr>
            <w:tcW w:w="0" w:type="auto"/>
            <w:shd w:val="clear" w:color="auto" w:fill="auto"/>
            <w:noWrap w:val="0"/>
            <w:tcMar>
              <w:left w:w="108" w:type="dxa"/>
              <w:right w:w="108" w:type="dxa"/>
            </w:tcMar>
            <w:vAlign w:val="center"/>
          </w:tcPr>
          <w:p w14:paraId="02F3E581">
            <w:pPr>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rPr>
              <w:t>市级妇幼保健院</w:t>
            </w:r>
          </w:p>
        </w:tc>
        <w:tc>
          <w:tcPr>
            <w:tcW w:w="1576" w:type="dxa"/>
            <w:shd w:val="clear" w:color="auto" w:fill="auto"/>
            <w:noWrap w:val="0"/>
            <w:tcMar>
              <w:left w:w="108" w:type="dxa"/>
              <w:right w:w="108" w:type="dxa"/>
            </w:tcMar>
            <w:vAlign w:val="center"/>
          </w:tcPr>
          <w:p w14:paraId="46B5046A">
            <w:pPr>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独立占地</w:t>
            </w:r>
          </w:p>
        </w:tc>
        <w:tc>
          <w:tcPr>
            <w:tcW w:w="4474" w:type="dxa"/>
            <w:shd w:val="clear" w:color="auto" w:fill="auto"/>
            <w:noWrap w:val="0"/>
            <w:tcMar>
              <w:left w:w="108" w:type="dxa"/>
              <w:right w:w="108" w:type="dxa"/>
            </w:tcMar>
            <w:vAlign w:val="center"/>
          </w:tcPr>
          <w:p w14:paraId="7B31741B">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主要为全市妇女、儿童提供医疗保健服务，设置无障碍就医通道及适配妇女儿童的专属无障碍区域</w:t>
            </w:r>
          </w:p>
        </w:tc>
      </w:tr>
      <w:tr w14:paraId="33A1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0" w:type="auto"/>
            <w:noWrap w:val="0"/>
            <w:tcMar>
              <w:left w:w="108" w:type="dxa"/>
              <w:right w:w="108" w:type="dxa"/>
            </w:tcMar>
            <w:vAlign w:val="center"/>
          </w:tcPr>
          <w:p w14:paraId="4828CF7B">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老年人</w:t>
            </w:r>
          </w:p>
        </w:tc>
        <w:tc>
          <w:tcPr>
            <w:tcW w:w="0" w:type="auto"/>
            <w:noWrap w:val="0"/>
            <w:tcMar>
              <w:left w:w="108" w:type="dxa"/>
              <w:right w:w="108" w:type="dxa"/>
            </w:tcMar>
            <w:vAlign w:val="center"/>
          </w:tcPr>
          <w:p w14:paraId="3579BF98">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市级社会福利院（养老服务指导中心）</w:t>
            </w:r>
          </w:p>
        </w:tc>
        <w:tc>
          <w:tcPr>
            <w:tcW w:w="1576" w:type="dxa"/>
            <w:noWrap w:val="0"/>
            <w:tcMar>
              <w:left w:w="108" w:type="dxa"/>
              <w:right w:w="108" w:type="dxa"/>
            </w:tcMar>
            <w:vAlign w:val="center"/>
          </w:tcPr>
          <w:p w14:paraId="4BD19574">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独立占地</w:t>
            </w:r>
          </w:p>
        </w:tc>
        <w:tc>
          <w:tcPr>
            <w:tcW w:w="4474" w:type="dxa"/>
            <w:noWrap w:val="0"/>
            <w:tcMar>
              <w:left w:w="108" w:type="dxa"/>
              <w:right w:w="108" w:type="dxa"/>
            </w:tcMar>
            <w:vAlign w:val="center"/>
          </w:tcPr>
          <w:p w14:paraId="2239A23E">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提供养老照护、孤寡老人安置服务，同时指导全市养老服务开展，适配老年人及残障老人无障碍、适老化需求</w:t>
            </w:r>
          </w:p>
        </w:tc>
      </w:tr>
    </w:tbl>
    <w:p w14:paraId="64E0C15F">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（2）镇街级专属服务设施建设指引</w:t>
      </w:r>
    </w:p>
    <w:p w14:paraId="75974E13">
      <w:pPr>
        <w:ind w:firstLine="640"/>
        <w:rPr>
          <w:rFonts w:hint="eastAsia" w:ascii="仿宋_GB2312" w:hAnsi="仿宋_GB2312" w:cs="仿宋_GB2312"/>
          <w:szCs w:val="32"/>
          <w:lang w:eastAsia="zh-CN"/>
        </w:rPr>
      </w:pPr>
      <w:r>
        <w:rPr>
          <w:rFonts w:hint="eastAsia" w:ascii="仿宋_GB2312" w:hAnsi="仿宋_GB2312" w:cs="仿宋_GB2312"/>
          <w:szCs w:val="32"/>
          <w:lang w:eastAsia="zh-CN"/>
        </w:rPr>
        <w:t>镇街级专属服务设施可独立占地，也可采用混合或者附建方式，重点推进各镇街残疾人综合服务中心、</w:t>
      </w:r>
      <w:r>
        <w:rPr>
          <w:rFonts w:hint="eastAsia" w:ascii="仿宋_GB2312" w:hAnsi="仿宋_GB2312" w:cs="仿宋_GB2312"/>
          <w:szCs w:val="32"/>
          <w:lang w:val="en-US" w:eastAsia="zh-CN"/>
        </w:rPr>
        <w:t>儿童福利服务站、综合养老服务中心等专属服务设施</w:t>
      </w:r>
      <w:r>
        <w:rPr>
          <w:rFonts w:hint="eastAsia" w:ascii="仿宋_GB2312" w:hAnsi="仿宋_GB2312" w:cs="仿宋_GB2312"/>
          <w:szCs w:val="32"/>
          <w:lang w:eastAsia="zh-CN"/>
        </w:rPr>
        <w:t>的建设。镇街级专属服务设施应根据区域特点和需求，合理确定建设规模和功能配置，注重与市级设施的衔接和互补。</w:t>
      </w:r>
    </w:p>
    <w:p w14:paraId="2F909E45">
      <w:pPr>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表3 镇街级专属服务设施建设指引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
        <w:gridCol w:w="1574"/>
        <w:gridCol w:w="1370"/>
        <w:gridCol w:w="5074"/>
      </w:tblGrid>
      <w:tr w14:paraId="1631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tblHeader/>
        </w:trPr>
        <w:tc>
          <w:tcPr>
            <w:tcW w:w="838" w:type="dxa"/>
            <w:shd w:val="clear" w:color="auto" w:fill="D7D7D7"/>
            <w:noWrap w:val="0"/>
            <w:tcMar>
              <w:left w:w="108" w:type="dxa"/>
              <w:right w:w="108" w:type="dxa"/>
            </w:tcMar>
            <w:vAlign w:val="center"/>
          </w:tcPr>
          <w:p w14:paraId="698B1B6A">
            <w:pPr>
              <w:spacing w:line="240" w:lineRule="auto"/>
              <w:ind w:firstLine="0" w:firstLineChars="0"/>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服务群体</w:t>
            </w:r>
          </w:p>
        </w:tc>
        <w:tc>
          <w:tcPr>
            <w:tcW w:w="1574" w:type="dxa"/>
            <w:shd w:val="clear" w:color="auto" w:fill="D7D7D7"/>
            <w:noWrap w:val="0"/>
            <w:tcMar>
              <w:left w:w="108" w:type="dxa"/>
              <w:right w:w="108" w:type="dxa"/>
            </w:tcMar>
            <w:vAlign w:val="center"/>
          </w:tcPr>
          <w:p w14:paraId="79D7FB1F">
            <w:pPr>
              <w:spacing w:line="240" w:lineRule="auto"/>
              <w:ind w:firstLine="0" w:firstLineChars="0"/>
              <w:jc w:val="center"/>
              <w:rPr>
                <w:rFonts w:hint="eastAsia" w:ascii="黑体" w:hAnsi="黑体" w:eastAsia="黑体" w:cs="黑体"/>
                <w:bCs/>
                <w:sz w:val="28"/>
                <w:szCs w:val="28"/>
                <w:lang w:val="en-US" w:eastAsia="en-US" w:bidi="ar-SA"/>
              </w:rPr>
            </w:pPr>
            <w:r>
              <w:rPr>
                <w:rFonts w:hint="eastAsia" w:ascii="黑体" w:hAnsi="黑体" w:eastAsia="黑体" w:cs="黑体"/>
                <w:bCs/>
                <w:sz w:val="28"/>
                <w:szCs w:val="28"/>
              </w:rPr>
              <w:t>设施类型</w:t>
            </w:r>
          </w:p>
        </w:tc>
        <w:tc>
          <w:tcPr>
            <w:tcW w:w="1370" w:type="dxa"/>
            <w:shd w:val="clear" w:color="auto" w:fill="D7D7D7"/>
            <w:noWrap w:val="0"/>
            <w:tcMar>
              <w:left w:w="108" w:type="dxa"/>
              <w:right w:w="108" w:type="dxa"/>
            </w:tcMar>
            <w:vAlign w:val="center"/>
          </w:tcPr>
          <w:p w14:paraId="4669A5C0">
            <w:pPr>
              <w:spacing w:line="240" w:lineRule="auto"/>
              <w:ind w:firstLine="0" w:firstLineChars="0"/>
              <w:jc w:val="center"/>
              <w:rPr>
                <w:rFonts w:hint="eastAsia" w:ascii="黑体" w:hAnsi="黑体" w:eastAsia="黑体" w:cs="黑体"/>
                <w:bCs/>
                <w:sz w:val="28"/>
                <w:szCs w:val="28"/>
                <w:lang w:val="en-US" w:eastAsia="en-US" w:bidi="ar-SA"/>
              </w:rPr>
            </w:pPr>
            <w:r>
              <w:rPr>
                <w:rFonts w:hint="eastAsia" w:ascii="黑体" w:hAnsi="黑体" w:eastAsia="黑体" w:cs="黑体"/>
                <w:bCs/>
                <w:sz w:val="28"/>
                <w:szCs w:val="28"/>
              </w:rPr>
              <w:t>建设方式</w:t>
            </w:r>
          </w:p>
        </w:tc>
        <w:tc>
          <w:tcPr>
            <w:tcW w:w="5074" w:type="dxa"/>
            <w:shd w:val="clear" w:color="auto" w:fill="D7D7D7"/>
            <w:noWrap w:val="0"/>
            <w:tcMar>
              <w:left w:w="108" w:type="dxa"/>
              <w:right w:w="108" w:type="dxa"/>
            </w:tcMar>
            <w:vAlign w:val="center"/>
          </w:tcPr>
          <w:p w14:paraId="00EAB8A1">
            <w:pPr>
              <w:spacing w:line="240" w:lineRule="auto"/>
              <w:ind w:firstLine="0" w:firstLineChars="0"/>
              <w:jc w:val="center"/>
              <w:rPr>
                <w:rFonts w:hint="eastAsia" w:ascii="黑体" w:hAnsi="黑体" w:eastAsia="黑体" w:cs="黑体"/>
                <w:bCs/>
                <w:sz w:val="28"/>
                <w:szCs w:val="28"/>
                <w:lang w:val="en-US" w:eastAsia="en-US" w:bidi="ar-SA"/>
              </w:rPr>
            </w:pPr>
            <w:r>
              <w:rPr>
                <w:rFonts w:hint="eastAsia" w:ascii="黑体" w:hAnsi="黑体" w:eastAsia="黑体" w:cs="黑体"/>
                <w:bCs/>
                <w:sz w:val="28"/>
                <w:szCs w:val="28"/>
              </w:rPr>
              <w:t>功能要求</w:t>
            </w:r>
          </w:p>
        </w:tc>
      </w:tr>
      <w:tr w14:paraId="7721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38" w:type="dxa"/>
            <w:noWrap w:val="0"/>
            <w:tcMar>
              <w:left w:w="108" w:type="dxa"/>
              <w:right w:w="108" w:type="dxa"/>
            </w:tcMar>
            <w:vAlign w:val="center"/>
          </w:tcPr>
          <w:p w14:paraId="6C4CF18C">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残疾人</w:t>
            </w:r>
          </w:p>
        </w:tc>
        <w:tc>
          <w:tcPr>
            <w:tcW w:w="1574" w:type="dxa"/>
            <w:noWrap w:val="0"/>
            <w:tcMar>
              <w:left w:w="108" w:type="dxa"/>
              <w:right w:w="108" w:type="dxa"/>
            </w:tcMar>
            <w:vAlign w:val="center"/>
          </w:tcPr>
          <w:p w14:paraId="6ED04399">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镇街残疾人综合服务站</w:t>
            </w:r>
          </w:p>
        </w:tc>
        <w:tc>
          <w:tcPr>
            <w:tcW w:w="1370" w:type="dxa"/>
            <w:noWrap w:val="0"/>
            <w:tcMar>
              <w:left w:w="108" w:type="dxa"/>
              <w:right w:w="108" w:type="dxa"/>
            </w:tcMar>
            <w:vAlign w:val="center"/>
          </w:tcPr>
          <w:p w14:paraId="006AE232">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独立占地或混合、附建</w:t>
            </w:r>
          </w:p>
        </w:tc>
        <w:tc>
          <w:tcPr>
            <w:tcW w:w="5074" w:type="dxa"/>
            <w:noWrap w:val="0"/>
            <w:tcMar>
              <w:left w:w="108" w:type="dxa"/>
              <w:right w:w="108" w:type="dxa"/>
            </w:tcMar>
            <w:vAlign w:val="center"/>
          </w:tcPr>
          <w:p w14:paraId="737462AE">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为本镇街残疾人提供就近康复、就业、培训、文体及权益保障等基础综合服务</w:t>
            </w:r>
          </w:p>
        </w:tc>
      </w:tr>
      <w:tr w14:paraId="179D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38" w:type="dxa"/>
            <w:vMerge w:val="restart"/>
            <w:shd w:val="clear" w:color="auto" w:fill="auto"/>
            <w:noWrap w:val="0"/>
            <w:tcMar>
              <w:left w:w="108" w:type="dxa"/>
              <w:right w:w="108" w:type="dxa"/>
            </w:tcMar>
            <w:vAlign w:val="center"/>
          </w:tcPr>
          <w:p w14:paraId="0E2E7A9A">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儿童</w:t>
            </w:r>
          </w:p>
        </w:tc>
        <w:tc>
          <w:tcPr>
            <w:tcW w:w="1574" w:type="dxa"/>
            <w:shd w:val="clear" w:color="auto" w:fill="auto"/>
            <w:noWrap w:val="0"/>
            <w:tcMar>
              <w:left w:w="108" w:type="dxa"/>
              <w:right w:w="108" w:type="dxa"/>
            </w:tcMar>
            <w:vAlign w:val="center"/>
          </w:tcPr>
          <w:p w14:paraId="3F769D4C">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镇街儿童福利服务站</w:t>
            </w:r>
          </w:p>
        </w:tc>
        <w:tc>
          <w:tcPr>
            <w:tcW w:w="1370" w:type="dxa"/>
            <w:shd w:val="clear" w:color="auto" w:fill="auto"/>
            <w:noWrap w:val="0"/>
            <w:tcMar>
              <w:left w:w="108" w:type="dxa"/>
              <w:right w:w="108" w:type="dxa"/>
            </w:tcMar>
            <w:vAlign w:val="center"/>
          </w:tcPr>
          <w:p w14:paraId="65C6D680">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独立占地或混合、附建</w:t>
            </w:r>
          </w:p>
        </w:tc>
        <w:tc>
          <w:tcPr>
            <w:tcW w:w="5074" w:type="dxa"/>
            <w:shd w:val="clear" w:color="auto" w:fill="auto"/>
            <w:noWrap w:val="0"/>
            <w:tcMar>
              <w:left w:w="108" w:type="dxa"/>
              <w:right w:w="108" w:type="dxa"/>
            </w:tcMar>
            <w:vAlign w:val="center"/>
          </w:tcPr>
          <w:p w14:paraId="0862440F">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承担本镇街困境儿童、留守儿童的临时照料、关爱帮扶及监护指导服务</w:t>
            </w:r>
          </w:p>
        </w:tc>
      </w:tr>
      <w:tr w14:paraId="047E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38" w:type="dxa"/>
            <w:vMerge w:val="continue"/>
            <w:shd w:val="clear" w:color="auto" w:fill="auto"/>
            <w:noWrap w:val="0"/>
            <w:tcMar>
              <w:left w:w="108" w:type="dxa"/>
              <w:right w:w="108" w:type="dxa"/>
            </w:tcMar>
            <w:vAlign w:val="center"/>
          </w:tcPr>
          <w:p w14:paraId="0A11217E">
            <w:pPr>
              <w:spacing w:line="240" w:lineRule="auto"/>
              <w:ind w:firstLine="0" w:firstLineChars="0"/>
              <w:jc w:val="center"/>
              <w:rPr>
                <w:rFonts w:hint="eastAsia" w:ascii="仿宋_GB2312" w:hAnsi="仿宋_GB2312" w:cs="仿宋_GB2312"/>
                <w:bCs/>
                <w:sz w:val="28"/>
                <w:szCs w:val="28"/>
                <w:lang w:eastAsia="zh-CN"/>
              </w:rPr>
            </w:pPr>
          </w:p>
        </w:tc>
        <w:tc>
          <w:tcPr>
            <w:tcW w:w="1574" w:type="dxa"/>
            <w:shd w:val="clear" w:color="auto" w:fill="auto"/>
            <w:noWrap w:val="0"/>
            <w:tcMar>
              <w:left w:w="108" w:type="dxa"/>
              <w:right w:w="108" w:type="dxa"/>
            </w:tcMar>
            <w:vAlign w:val="center"/>
          </w:tcPr>
          <w:p w14:paraId="28B62F21">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镇街青少年活动中心</w:t>
            </w:r>
          </w:p>
        </w:tc>
        <w:tc>
          <w:tcPr>
            <w:tcW w:w="1370" w:type="dxa"/>
            <w:shd w:val="clear" w:color="auto" w:fill="auto"/>
            <w:noWrap w:val="0"/>
            <w:tcMar>
              <w:left w:w="108" w:type="dxa"/>
              <w:right w:w="108" w:type="dxa"/>
            </w:tcMar>
            <w:vAlign w:val="center"/>
          </w:tcPr>
          <w:p w14:paraId="388FB38D">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独立占地或混合、附建</w:t>
            </w:r>
          </w:p>
        </w:tc>
        <w:tc>
          <w:tcPr>
            <w:tcW w:w="5074" w:type="dxa"/>
            <w:shd w:val="clear" w:color="auto" w:fill="auto"/>
            <w:noWrap w:val="0"/>
            <w:tcMar>
              <w:left w:w="108" w:type="dxa"/>
              <w:right w:w="108" w:type="dxa"/>
            </w:tcMar>
            <w:vAlign w:val="center"/>
          </w:tcPr>
          <w:p w14:paraId="0D6CF490">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为本镇街青少年提供就近文化、科技、艺术等实践培训与活动服务，配套无障碍通行及活动设施，兼顾特殊青少年需求</w:t>
            </w:r>
          </w:p>
        </w:tc>
      </w:tr>
      <w:tr w14:paraId="6F6A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38" w:type="dxa"/>
            <w:shd w:val="clear" w:color="auto" w:fill="auto"/>
            <w:noWrap w:val="0"/>
            <w:tcMar>
              <w:left w:w="108" w:type="dxa"/>
              <w:right w:w="108" w:type="dxa"/>
            </w:tcMar>
            <w:vAlign w:val="center"/>
          </w:tcPr>
          <w:p w14:paraId="68E79A5E">
            <w:pPr>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rPr>
              <w:t>妇女、儿童</w:t>
            </w:r>
          </w:p>
        </w:tc>
        <w:tc>
          <w:tcPr>
            <w:tcW w:w="1574" w:type="dxa"/>
            <w:shd w:val="clear" w:color="auto" w:fill="auto"/>
            <w:noWrap w:val="0"/>
            <w:tcMar>
              <w:left w:w="108" w:type="dxa"/>
              <w:right w:w="108" w:type="dxa"/>
            </w:tcMar>
            <w:vAlign w:val="center"/>
          </w:tcPr>
          <w:p w14:paraId="1413989F">
            <w:pPr>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rPr>
              <w:t>市级妇女儿童活动中心镇街分教点</w:t>
            </w:r>
          </w:p>
        </w:tc>
        <w:tc>
          <w:tcPr>
            <w:tcW w:w="1370" w:type="dxa"/>
            <w:shd w:val="clear" w:color="auto" w:fill="auto"/>
            <w:noWrap w:val="0"/>
            <w:tcMar>
              <w:left w:w="108" w:type="dxa"/>
              <w:right w:w="108" w:type="dxa"/>
            </w:tcMar>
            <w:vAlign w:val="center"/>
          </w:tcPr>
          <w:p w14:paraId="028208C1">
            <w:pPr>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rPr>
              <w:t>独立占地或混合、附建</w:t>
            </w:r>
          </w:p>
        </w:tc>
        <w:tc>
          <w:tcPr>
            <w:tcW w:w="5074" w:type="dxa"/>
            <w:shd w:val="clear" w:color="auto" w:fill="auto"/>
            <w:noWrap w:val="0"/>
            <w:tcMar>
              <w:left w:w="108" w:type="dxa"/>
              <w:right w:w="108" w:type="dxa"/>
            </w:tcMar>
            <w:vAlign w:val="center"/>
          </w:tcPr>
          <w:p w14:paraId="3FD8DA8A">
            <w:pPr>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rPr>
              <w:t>为本镇街妇女、儿童提供文化、科技、艺术等实践培训与活动服务</w:t>
            </w:r>
          </w:p>
        </w:tc>
      </w:tr>
      <w:tr w14:paraId="23F8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38" w:type="dxa"/>
            <w:shd w:val="clear" w:color="auto" w:fill="auto"/>
            <w:noWrap w:val="0"/>
            <w:tcMar>
              <w:left w:w="108" w:type="dxa"/>
              <w:right w:w="108" w:type="dxa"/>
            </w:tcMar>
            <w:vAlign w:val="center"/>
          </w:tcPr>
          <w:p w14:paraId="29A7E88F">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老年人</w:t>
            </w:r>
          </w:p>
        </w:tc>
        <w:tc>
          <w:tcPr>
            <w:tcW w:w="1574" w:type="dxa"/>
            <w:shd w:val="clear" w:color="auto" w:fill="auto"/>
            <w:noWrap w:val="0"/>
            <w:tcMar>
              <w:left w:w="108" w:type="dxa"/>
              <w:right w:w="108" w:type="dxa"/>
            </w:tcMar>
            <w:vAlign w:val="center"/>
          </w:tcPr>
          <w:p w14:paraId="7E0CAE79">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镇街综合养老服务中心</w:t>
            </w:r>
          </w:p>
        </w:tc>
        <w:tc>
          <w:tcPr>
            <w:tcW w:w="1370" w:type="dxa"/>
            <w:shd w:val="clear" w:color="auto" w:fill="auto"/>
            <w:noWrap w:val="0"/>
            <w:tcMar>
              <w:left w:w="108" w:type="dxa"/>
              <w:right w:w="108" w:type="dxa"/>
            </w:tcMar>
            <w:vAlign w:val="center"/>
          </w:tcPr>
          <w:p w14:paraId="244222EF">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独立占地或混合、附建</w:t>
            </w:r>
          </w:p>
        </w:tc>
        <w:tc>
          <w:tcPr>
            <w:tcW w:w="5074" w:type="dxa"/>
            <w:shd w:val="clear" w:color="auto" w:fill="auto"/>
            <w:noWrap w:val="0"/>
            <w:tcMar>
              <w:left w:w="108" w:type="dxa"/>
              <w:right w:w="108" w:type="dxa"/>
            </w:tcMar>
            <w:vAlign w:val="center"/>
          </w:tcPr>
          <w:p w14:paraId="3582C594">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提供本镇街养老照护、孤寡老人安置服务，同时指导村（社区）养老服务开展，适配老年人及残障老人无障碍、适老化需求</w:t>
            </w:r>
          </w:p>
        </w:tc>
      </w:tr>
    </w:tbl>
    <w:p w14:paraId="3F90B9D8">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（3）社区专属服务设施建设指引</w:t>
      </w:r>
    </w:p>
    <w:p w14:paraId="651F3118">
      <w:pPr>
        <w:ind w:firstLine="640"/>
        <w:rPr>
          <w:rFonts w:hint="eastAsia" w:ascii="仿宋_GB2312" w:hAnsi="仿宋_GB2312" w:cs="仿宋_GB2312"/>
          <w:szCs w:val="32"/>
          <w:lang w:eastAsia="zh-CN"/>
        </w:rPr>
      </w:pPr>
      <w:r>
        <w:rPr>
          <w:rFonts w:hint="eastAsia" w:ascii="仿宋_GB2312" w:hAnsi="仿宋_GB2312" w:cs="仿宋_GB2312"/>
          <w:szCs w:val="32"/>
          <w:lang w:eastAsia="zh-CN"/>
        </w:rPr>
        <w:t>社区专属服务设施应根据社区内</w:t>
      </w:r>
      <w:r>
        <w:rPr>
          <w:rFonts w:hint="eastAsia" w:ascii="仿宋_GB2312" w:hAnsi="仿宋_GB2312" w:cs="仿宋_GB2312"/>
          <w:szCs w:val="32"/>
          <w:lang w:val="en-US" w:eastAsia="zh-CN"/>
        </w:rPr>
        <w:t>特殊群体</w:t>
      </w:r>
      <w:r>
        <w:rPr>
          <w:rFonts w:hint="eastAsia" w:ascii="仿宋_GB2312" w:hAnsi="仿宋_GB2312" w:cs="仿宋_GB2312"/>
          <w:szCs w:val="32"/>
          <w:lang w:eastAsia="zh-CN"/>
        </w:rPr>
        <w:t>类型和数量灵活建设，加强与社区其他服务设施的联动，优先考虑存量物业空间再利用，以嵌入或混合方式建设，提供就近医疗康复、照料托养等服务，满足15分钟社区生活圈内便利性需求。</w:t>
      </w:r>
    </w:p>
    <w:p w14:paraId="429297E6">
      <w:pPr>
        <w:ind w:firstLine="0" w:firstLineChars="0"/>
        <w:jc w:val="center"/>
        <w:rPr>
          <w:rFonts w:ascii="仿宋_GB2312" w:hAnsi="仿宋_GB2312" w:cs="仿宋_GB2312"/>
          <w:szCs w:val="32"/>
          <w:lang w:eastAsia="zh-CN"/>
        </w:rPr>
      </w:pPr>
      <w:r>
        <w:rPr>
          <w:rFonts w:hint="eastAsia" w:ascii="黑体" w:hAnsi="黑体" w:eastAsia="黑体" w:cs="黑体"/>
          <w:sz w:val="28"/>
          <w:szCs w:val="28"/>
          <w:lang w:eastAsia="zh-CN"/>
        </w:rPr>
        <w:t>表4 社区专属服务设施建设指引</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7"/>
        <w:gridCol w:w="1631"/>
        <w:gridCol w:w="919"/>
        <w:gridCol w:w="5299"/>
      </w:tblGrid>
      <w:tr w14:paraId="613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tblHeader/>
          <w:jc w:val="center"/>
        </w:trPr>
        <w:tc>
          <w:tcPr>
            <w:tcW w:w="1007" w:type="dxa"/>
            <w:shd w:val="clear" w:color="auto" w:fill="D7D7D7"/>
            <w:noWrap w:val="0"/>
            <w:tcMar>
              <w:left w:w="108" w:type="dxa"/>
              <w:right w:w="108" w:type="dxa"/>
            </w:tcMar>
            <w:vAlign w:val="center"/>
          </w:tcPr>
          <w:p w14:paraId="6164E110">
            <w:pPr>
              <w:spacing w:line="240" w:lineRule="auto"/>
              <w:ind w:firstLine="0" w:firstLineChars="0"/>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服务人群</w:t>
            </w:r>
          </w:p>
        </w:tc>
        <w:tc>
          <w:tcPr>
            <w:tcW w:w="1631" w:type="dxa"/>
            <w:shd w:val="clear" w:color="auto" w:fill="D7D7D7"/>
            <w:noWrap w:val="0"/>
            <w:tcMar>
              <w:left w:w="108" w:type="dxa"/>
              <w:right w:w="108" w:type="dxa"/>
            </w:tcMar>
            <w:vAlign w:val="center"/>
          </w:tcPr>
          <w:p w14:paraId="5C8ED562">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设施类型</w:t>
            </w:r>
          </w:p>
        </w:tc>
        <w:tc>
          <w:tcPr>
            <w:tcW w:w="919" w:type="dxa"/>
            <w:shd w:val="clear" w:color="auto" w:fill="D7D7D7"/>
            <w:noWrap w:val="0"/>
            <w:tcMar>
              <w:left w:w="108" w:type="dxa"/>
              <w:right w:w="108" w:type="dxa"/>
            </w:tcMar>
            <w:vAlign w:val="center"/>
          </w:tcPr>
          <w:p w14:paraId="14061E10">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建设方式</w:t>
            </w:r>
          </w:p>
        </w:tc>
        <w:tc>
          <w:tcPr>
            <w:tcW w:w="5299" w:type="dxa"/>
            <w:shd w:val="clear" w:color="auto" w:fill="D7D7D7"/>
            <w:noWrap w:val="0"/>
            <w:tcMar>
              <w:left w:w="108" w:type="dxa"/>
              <w:right w:w="108" w:type="dxa"/>
            </w:tcMar>
            <w:vAlign w:val="center"/>
          </w:tcPr>
          <w:p w14:paraId="1ACC3C58">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功能要求</w:t>
            </w:r>
          </w:p>
        </w:tc>
      </w:tr>
      <w:tr w14:paraId="2E5D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07" w:type="dxa"/>
            <w:noWrap w:val="0"/>
            <w:tcMar>
              <w:left w:w="108" w:type="dxa"/>
              <w:right w:w="108" w:type="dxa"/>
            </w:tcMar>
            <w:vAlign w:val="center"/>
          </w:tcPr>
          <w:p w14:paraId="4B9FB6DE">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残疾人</w:t>
            </w:r>
          </w:p>
        </w:tc>
        <w:tc>
          <w:tcPr>
            <w:tcW w:w="1631" w:type="dxa"/>
            <w:shd w:val="clear" w:color="auto" w:fill="auto"/>
            <w:noWrap w:val="0"/>
            <w:tcMar>
              <w:left w:w="108" w:type="dxa"/>
              <w:right w:w="108" w:type="dxa"/>
            </w:tcMar>
            <w:vAlign w:val="center"/>
          </w:tcPr>
          <w:p w14:paraId="3CDF876B">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社区康园中心（社区残疾人服务点）</w:t>
            </w:r>
          </w:p>
        </w:tc>
        <w:tc>
          <w:tcPr>
            <w:tcW w:w="919" w:type="dxa"/>
            <w:shd w:val="clear" w:color="auto" w:fill="auto"/>
            <w:noWrap w:val="0"/>
            <w:tcMar>
              <w:left w:w="108" w:type="dxa"/>
              <w:right w:w="108" w:type="dxa"/>
            </w:tcMar>
            <w:vAlign w:val="center"/>
          </w:tcPr>
          <w:p w14:paraId="43069DD4">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嵌入或混合</w:t>
            </w:r>
          </w:p>
        </w:tc>
        <w:tc>
          <w:tcPr>
            <w:tcW w:w="5299" w:type="dxa"/>
            <w:shd w:val="clear" w:color="auto" w:fill="auto"/>
            <w:noWrap w:val="0"/>
            <w:tcMar>
              <w:left w:w="108" w:type="dxa"/>
              <w:right w:w="108" w:type="dxa"/>
            </w:tcMar>
            <w:vAlign w:val="center"/>
          </w:tcPr>
          <w:p w14:paraId="775DCCA9">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聚焦本社区轻度至中度残疾人，提供日间照料、康复训练、职业康复、文体娱乐及融入活动等基础服务；配套无障碍设施；可提供器具租赁服务</w:t>
            </w:r>
          </w:p>
        </w:tc>
      </w:tr>
      <w:tr w14:paraId="4E0D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07" w:type="dxa"/>
            <w:noWrap w:val="0"/>
            <w:tcMar>
              <w:left w:w="108" w:type="dxa"/>
              <w:right w:w="108" w:type="dxa"/>
            </w:tcMar>
            <w:vAlign w:val="center"/>
          </w:tcPr>
          <w:p w14:paraId="0979D4C6">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老年人</w:t>
            </w:r>
          </w:p>
        </w:tc>
        <w:tc>
          <w:tcPr>
            <w:tcW w:w="1631" w:type="dxa"/>
            <w:noWrap w:val="0"/>
            <w:tcMar>
              <w:left w:w="108" w:type="dxa"/>
              <w:right w:w="108" w:type="dxa"/>
            </w:tcMar>
            <w:vAlign w:val="center"/>
          </w:tcPr>
          <w:p w14:paraId="2115DF49">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老年人服务站（社区养老服务点）</w:t>
            </w:r>
          </w:p>
        </w:tc>
        <w:tc>
          <w:tcPr>
            <w:tcW w:w="919" w:type="dxa"/>
            <w:noWrap w:val="0"/>
            <w:tcMar>
              <w:left w:w="108" w:type="dxa"/>
              <w:right w:w="108" w:type="dxa"/>
            </w:tcMar>
            <w:vAlign w:val="center"/>
          </w:tcPr>
          <w:p w14:paraId="769174C4">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嵌入或混合</w:t>
            </w:r>
          </w:p>
        </w:tc>
        <w:tc>
          <w:tcPr>
            <w:tcW w:w="5299" w:type="dxa"/>
            <w:noWrap w:val="0"/>
            <w:tcMar>
              <w:left w:w="108" w:type="dxa"/>
              <w:right w:w="108" w:type="dxa"/>
            </w:tcMar>
            <w:vAlign w:val="center"/>
          </w:tcPr>
          <w:p w14:paraId="09B5574F">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为本社区老年人提供助餐助浴、日间照料、健康管理、紧急救助及文体娱乐等普惠养老服务；配置防滑地面、扶手、低位呼叫及无障碍卫生间等适老化设施，构建社区 “15分钟养老服务圈”</w:t>
            </w:r>
          </w:p>
        </w:tc>
      </w:tr>
      <w:tr w14:paraId="6397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07" w:type="dxa"/>
            <w:noWrap w:val="0"/>
            <w:tcMar>
              <w:left w:w="108" w:type="dxa"/>
              <w:right w:w="108" w:type="dxa"/>
            </w:tcMar>
            <w:vAlign w:val="center"/>
          </w:tcPr>
          <w:p w14:paraId="617FC3B4">
            <w:pPr>
              <w:spacing w:line="240" w:lineRule="auto"/>
              <w:ind w:firstLine="0" w:firstLineChars="0"/>
              <w:jc w:val="center"/>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妇女、儿童</w:t>
            </w:r>
          </w:p>
        </w:tc>
        <w:tc>
          <w:tcPr>
            <w:tcW w:w="1631" w:type="dxa"/>
            <w:noWrap w:val="0"/>
            <w:tcMar>
              <w:left w:w="108" w:type="dxa"/>
              <w:right w:w="108" w:type="dxa"/>
            </w:tcMar>
            <w:vAlign w:val="center"/>
          </w:tcPr>
          <w:p w14:paraId="0FAB6D33">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妇女儿童之家（社区妇女儿童服务点）</w:t>
            </w:r>
          </w:p>
        </w:tc>
        <w:tc>
          <w:tcPr>
            <w:tcW w:w="919" w:type="dxa"/>
            <w:noWrap w:val="0"/>
            <w:tcMar>
              <w:left w:w="108" w:type="dxa"/>
              <w:right w:w="108" w:type="dxa"/>
            </w:tcMar>
            <w:vAlign w:val="center"/>
          </w:tcPr>
          <w:p w14:paraId="5179D5FA">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嵌入或混合</w:t>
            </w:r>
          </w:p>
        </w:tc>
        <w:tc>
          <w:tcPr>
            <w:tcW w:w="5299" w:type="dxa"/>
            <w:noWrap w:val="0"/>
            <w:tcMar>
              <w:left w:w="108" w:type="dxa"/>
              <w:right w:w="108" w:type="dxa"/>
            </w:tcMar>
            <w:vAlign w:val="center"/>
          </w:tcPr>
          <w:p w14:paraId="56C5D79F">
            <w:pPr>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val="en-US" w:eastAsia="zh-CN"/>
              </w:rPr>
              <w:t>为本社区妇女、儿童及困境儿童提供权益保障、心理疏导、家庭关爱、早教辅导、安全教育及文体活动等服务；场地无障碍适配，保障儿童及特殊需求群体安全使用，衔接镇街儿童福利与青少年活动载体，强化妇女儿童家庭服务与社会融入</w:t>
            </w:r>
          </w:p>
        </w:tc>
      </w:tr>
    </w:tbl>
    <w:p w14:paraId="274855F9">
      <w:pPr>
        <w:keepNext/>
        <w:keepLines/>
        <w:ind w:firstLine="643" w:firstLineChars="200"/>
        <w:outlineLvl w:val="2"/>
      </w:pPr>
      <w:bookmarkStart w:id="68" w:name="_Toc21209_ai"/>
      <w:r>
        <w:rPr>
          <w:rFonts w:hint="eastAsia" w:ascii="仿宋_GB2312" w:hAnsi="仿宋_GB2312" w:eastAsia="仿宋_GB2312" w:cs="仿宋_GB2312"/>
          <w:b/>
          <w:bCs/>
          <w:sz w:val="32"/>
          <w:szCs w:val="32"/>
          <w:lang w:val="en-US" w:eastAsia="zh-CN" w:bidi="ar-SA"/>
        </w:rPr>
        <w:t>4.1.3通用设施无障碍专属服务功能提升指引</w:t>
      </w:r>
      <w:bookmarkEnd w:id="68"/>
    </w:p>
    <w:p w14:paraId="3B261B51">
      <w:pPr>
        <w:ind w:firstLine="640"/>
        <w:rPr>
          <w:rFonts w:hint="eastAsia" w:ascii="仿宋_GB2312" w:hAnsi="仿宋_GB2312" w:cs="仿宋_GB2312"/>
          <w:szCs w:val="32"/>
          <w:lang w:eastAsia="zh-CN"/>
        </w:rPr>
      </w:pPr>
      <w:r>
        <w:rPr>
          <w:rFonts w:hint="eastAsia" w:ascii="仿宋_GB2312" w:hAnsi="仿宋_GB2312" w:cs="仿宋_GB2312"/>
          <w:szCs w:val="32"/>
          <w:lang w:eastAsia="zh-CN"/>
        </w:rPr>
        <w:t>通用设施无障碍专属服务功能提升是公共设施无障碍建设的重要内容，主要通过推进无障碍环境系统化改造、增设专属服务设施或功能空间，促进各类公共设施达到</w:t>
      </w:r>
      <w:r>
        <w:rPr>
          <w:rFonts w:hint="eastAsia" w:ascii="仿宋_GB2312" w:hAnsi="仿宋_GB2312" w:cs="仿宋_GB2312"/>
          <w:szCs w:val="32"/>
          <w:lang w:val="en-US" w:eastAsia="zh-CN"/>
        </w:rPr>
        <w:t>国内</w:t>
      </w:r>
      <w:r>
        <w:rPr>
          <w:rFonts w:hint="eastAsia" w:ascii="仿宋_GB2312" w:hAnsi="仿宋_GB2312" w:cs="仿宋_GB2312"/>
          <w:szCs w:val="32"/>
          <w:lang w:eastAsia="zh-CN"/>
        </w:rPr>
        <w:t>领先的通用设计标准。通用设施无障碍改造应注重功能提升和服务优化，确保特殊群体能够平等、便利地使用各类公共服务设施。</w:t>
      </w:r>
    </w:p>
    <w:p w14:paraId="712619C5">
      <w:pPr>
        <w:keepNext/>
        <w:keepLines w:val="0"/>
        <w:pageBreakBefore w:val="0"/>
        <w:widowControl/>
        <w:kinsoku/>
        <w:wordWrap/>
        <w:overflowPunct w:val="0"/>
        <w:topLinePunct/>
        <w:autoSpaceDE/>
        <w:autoSpaceDN/>
        <w:bidi w:val="0"/>
        <w:adjustRightInd/>
        <w:snapToGrid/>
        <w:ind w:firstLine="643"/>
        <w:textAlignment w:val="auto"/>
        <w:outlineLvl w:val="3"/>
        <w:rPr>
          <w:rFonts w:ascii="仿宋_GB2312" w:hAnsi="仿宋_GB2312" w:cs="仿宋_GB2312"/>
          <w:b/>
          <w:bCs/>
          <w:szCs w:val="32"/>
          <w:lang w:eastAsia="zh-CN"/>
        </w:rPr>
      </w:pPr>
      <w:r>
        <w:rPr>
          <w:rFonts w:hint="eastAsia" w:ascii="仿宋_GB2312" w:hAnsi="仿宋_GB2312" w:cs="仿宋_GB2312"/>
          <w:b/>
          <w:bCs/>
          <w:szCs w:val="32"/>
          <w:lang w:eastAsia="zh-CN"/>
        </w:rPr>
        <w:t>（1）文化设施无障碍专属服务功能提升指引</w:t>
      </w:r>
    </w:p>
    <w:p w14:paraId="42E74DD7">
      <w:pPr>
        <w:ind w:firstLine="640"/>
        <w:rPr>
          <w:rFonts w:hint="eastAsia" w:ascii="仿宋_GB2312" w:hAnsi="仿宋_GB2312" w:cs="仿宋_GB2312"/>
          <w:szCs w:val="32"/>
          <w:lang w:eastAsia="zh-CN"/>
        </w:rPr>
      </w:pPr>
      <w:r>
        <w:rPr>
          <w:rFonts w:hint="eastAsia" w:ascii="仿宋_GB2312" w:hAnsi="仿宋_GB2312" w:cs="仿宋_GB2312"/>
          <w:szCs w:val="32"/>
          <w:lang w:eastAsia="zh-CN"/>
        </w:rPr>
        <w:t>文化设施应结合重大文化设施建设，融入无障碍使用要求，现状市、镇街级文化设施应进行通用化改造并增补无障碍专属服务功能，提升文化服务的包容性和可及性。文化设施无障碍改造应注重信息无障碍和环境无障碍的有机结合，通过多感官信息传递、无障碍空间设计等方式，确保特殊群体能够平等参与文化活动，享受文化服务。同时，应加强文化设施无障碍服务的专业化和标准化建设，提升服务质量和水平。</w:t>
      </w:r>
    </w:p>
    <w:p w14:paraId="4A2A79E5">
      <w:pPr>
        <w:ind w:firstLine="0" w:firstLineChars="0"/>
        <w:jc w:val="center"/>
        <w:rPr>
          <w:rFonts w:ascii="仿宋_GB2312" w:hAnsi="仿宋_GB2312" w:cs="仿宋_GB2312"/>
          <w:szCs w:val="32"/>
          <w:lang w:eastAsia="zh-CN"/>
        </w:rPr>
      </w:pPr>
      <w:r>
        <w:rPr>
          <w:rFonts w:hint="eastAsia" w:ascii="黑体" w:hAnsi="黑体" w:eastAsia="黑体" w:cs="黑体"/>
          <w:sz w:val="28"/>
          <w:szCs w:val="28"/>
          <w:lang w:eastAsia="zh-CN"/>
        </w:rPr>
        <w:t>表5 文化设施无障碍专属服务提升指引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29"/>
        <w:gridCol w:w="5028"/>
        <w:gridCol w:w="1399"/>
      </w:tblGrid>
      <w:tr w14:paraId="6418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26B9EEF1">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设施类型</w:t>
            </w:r>
          </w:p>
        </w:tc>
        <w:tc>
          <w:tcPr>
            <w:tcW w:w="5028"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500B4C9F">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无障碍专属服务功能</w:t>
            </w:r>
          </w:p>
        </w:tc>
        <w:tc>
          <w:tcPr>
            <w:tcW w:w="1399"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685D4AB2">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2581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9364EB">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图书馆</w:t>
            </w:r>
          </w:p>
        </w:tc>
        <w:tc>
          <w:tcPr>
            <w:tcW w:w="50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41E95E">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设置盲文阅读室、有声读物区、无障碍阅览席位</w:t>
            </w:r>
          </w:p>
        </w:tc>
        <w:tc>
          <w:tcPr>
            <w:tcW w:w="139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BA9331">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2E18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90ABFA">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科技馆/博物馆/美术馆</w:t>
            </w:r>
          </w:p>
        </w:tc>
        <w:tc>
          <w:tcPr>
            <w:tcW w:w="50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CCB781">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提供语音讲解服务、触摸展品、无障碍参观路线</w:t>
            </w:r>
          </w:p>
        </w:tc>
        <w:tc>
          <w:tcPr>
            <w:tcW w:w="139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E106C1">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7027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BEF93C">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歌剧院/音乐厅</w:t>
            </w:r>
          </w:p>
        </w:tc>
        <w:tc>
          <w:tcPr>
            <w:tcW w:w="50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F6E626">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增设无障碍观看席位、无障碍通道、无障碍卫生间</w:t>
            </w:r>
          </w:p>
        </w:tc>
        <w:tc>
          <w:tcPr>
            <w:tcW w:w="139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85ABAE">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5467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BBBFD0">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文化中心</w:t>
            </w:r>
          </w:p>
        </w:tc>
        <w:tc>
          <w:tcPr>
            <w:tcW w:w="50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BA0B26">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设置无障碍活动室、无障碍培训空间、无障碍展示区</w:t>
            </w:r>
          </w:p>
        </w:tc>
        <w:tc>
          <w:tcPr>
            <w:tcW w:w="139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515B32">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bl>
    <w:p w14:paraId="29B239F5">
      <w:pPr>
        <w:keepNext/>
        <w:keepLines w:val="0"/>
        <w:pageBreakBefore w:val="0"/>
        <w:widowControl/>
        <w:kinsoku/>
        <w:wordWrap/>
        <w:overflowPunct w:val="0"/>
        <w:topLinePunct/>
        <w:autoSpaceDE/>
        <w:autoSpaceDN/>
        <w:bidi w:val="0"/>
        <w:adjustRightInd/>
        <w:snapToGrid/>
        <w:ind w:firstLine="643"/>
        <w:textAlignment w:val="auto"/>
        <w:outlineLvl w:val="3"/>
        <w:rPr>
          <w:rFonts w:ascii="仿宋_GB2312" w:hAnsi="仿宋_GB2312" w:cs="仿宋_GB2312"/>
          <w:b/>
          <w:bCs/>
          <w:szCs w:val="32"/>
          <w:lang w:eastAsia="zh-CN"/>
        </w:rPr>
      </w:pPr>
      <w:r>
        <w:rPr>
          <w:rFonts w:hint="eastAsia" w:ascii="仿宋_GB2312" w:hAnsi="仿宋_GB2312" w:cs="仿宋_GB2312"/>
          <w:b/>
          <w:bCs/>
          <w:szCs w:val="32"/>
          <w:lang w:eastAsia="zh-CN"/>
        </w:rPr>
        <w:t>（2）教育设施无障碍专属服务功能提升指引</w:t>
      </w:r>
    </w:p>
    <w:p w14:paraId="097C7510">
      <w:pPr>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教育设施应在实现义务教育优质均衡发展的同时推进融合教育，落实《广东省促进特殊教育公平融合发展行动方案</w:t>
      </w:r>
      <w:r>
        <w:rPr>
          <w:rFonts w:hint="eastAsia" w:ascii="微软雅黑" w:hAnsi="微软雅黑" w:eastAsia="仿宋_GB2312" w:cs="Times New Roman"/>
          <w:sz w:val="32"/>
          <w:szCs w:val="24"/>
          <w:lang w:val="en-US" w:eastAsia="zh-CN" w:bidi="ar-SA"/>
        </w:rPr>
        <w:t>》（粤教基</w:t>
      </w:r>
      <w:r>
        <w:rPr>
          <w:rFonts w:hint="default" w:ascii="Times New Roman" w:hAnsi="Times New Roman" w:eastAsia="仿宋_GB2312" w:cs="Times New Roman"/>
          <w:sz w:val="32"/>
          <w:szCs w:val="24"/>
          <w:lang w:val="en-US" w:eastAsia="zh-CN" w:bidi="ar-SA"/>
        </w:rPr>
        <w:t>〔2019〕30号）</w:t>
      </w:r>
      <w:r>
        <w:rPr>
          <w:rFonts w:hint="default" w:ascii="Times New Roman" w:hAnsi="Times New Roman" w:eastAsia="仿宋_GB2312" w:cs="Times New Roman"/>
          <w:sz w:val="32"/>
          <w:szCs w:val="32"/>
          <w:lang w:val="en-US" w:eastAsia="zh-CN" w:bidi="ar-SA"/>
        </w:rPr>
        <w:t>，提升</w:t>
      </w:r>
      <w:r>
        <w:rPr>
          <w:rFonts w:hint="eastAsia" w:ascii="仿宋_GB2312" w:hAnsi="仿宋_GB2312" w:eastAsia="仿宋_GB2312" w:cs="仿宋_GB2312"/>
          <w:sz w:val="32"/>
          <w:szCs w:val="32"/>
          <w:lang w:val="en-US" w:eastAsia="zh-CN" w:bidi="ar-SA"/>
        </w:rPr>
        <w:t>教育服务的包容性和可及性。教育设施无障碍改造应注重物理环境无障碍和信息交流无障碍的有机结合，通过无障碍设施建设、辅助技术应用、专业服务配备等方式，确保特殊群体能够平等接受教育，实现教育公平。同时，应加强教育设施无障碍服务的专业化和系统化建设，提升教育服务质量和水平。</w:t>
      </w:r>
    </w:p>
    <w:p w14:paraId="107677E8">
      <w:pPr>
        <w:keepNext/>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表6 教育设施无障碍专属服务提升指引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4"/>
        <w:gridCol w:w="4970"/>
        <w:gridCol w:w="1362"/>
      </w:tblGrid>
      <w:tr w14:paraId="610D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550FBDC2">
            <w:pPr>
              <w:spacing w:line="240" w:lineRule="auto"/>
              <w:ind w:firstLine="0" w:firstLineChars="0"/>
              <w:jc w:val="center"/>
              <w:rPr>
                <w:rFonts w:hint="eastAsia" w:ascii="仿宋_GB2312" w:hAnsi="仿宋_GB2312" w:cs="仿宋_GB2312"/>
                <w:bCs/>
                <w:sz w:val="28"/>
                <w:szCs w:val="28"/>
              </w:rPr>
            </w:pPr>
            <w:r>
              <w:rPr>
                <w:rFonts w:hint="eastAsia" w:ascii="黑体" w:hAnsi="黑体" w:eastAsia="黑体" w:cs="黑体"/>
                <w:bCs/>
                <w:sz w:val="28"/>
                <w:szCs w:val="28"/>
              </w:rPr>
              <w:t>设施类型</w:t>
            </w:r>
          </w:p>
        </w:tc>
        <w:tc>
          <w:tcPr>
            <w:tcW w:w="4970"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20AC9228">
            <w:pPr>
              <w:spacing w:line="240" w:lineRule="auto"/>
              <w:ind w:firstLine="0" w:firstLineChars="0"/>
              <w:jc w:val="center"/>
              <w:rPr>
                <w:rFonts w:hint="eastAsia" w:ascii="仿宋_GB2312" w:hAnsi="仿宋_GB2312" w:cs="仿宋_GB2312"/>
                <w:bCs/>
                <w:sz w:val="28"/>
                <w:szCs w:val="28"/>
              </w:rPr>
            </w:pPr>
            <w:r>
              <w:rPr>
                <w:rFonts w:hint="eastAsia" w:ascii="黑体" w:hAnsi="黑体" w:eastAsia="黑体" w:cs="黑体"/>
                <w:bCs/>
                <w:sz w:val="28"/>
                <w:szCs w:val="28"/>
              </w:rPr>
              <w:t>无障碍专属服务功能</w:t>
            </w:r>
          </w:p>
        </w:tc>
        <w:tc>
          <w:tcPr>
            <w:tcW w:w="1362"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19AD7B46">
            <w:pPr>
              <w:spacing w:line="240" w:lineRule="auto"/>
              <w:ind w:firstLine="0" w:firstLineChars="0"/>
              <w:jc w:val="center"/>
              <w:rPr>
                <w:rFonts w:hint="eastAsia" w:ascii="仿宋_GB2312" w:hAnsi="仿宋_GB2312" w:cs="仿宋_GB2312"/>
                <w:bCs/>
                <w:sz w:val="28"/>
                <w:szCs w:val="28"/>
              </w:rPr>
            </w:pPr>
            <w:r>
              <w:rPr>
                <w:rFonts w:hint="eastAsia" w:ascii="黑体" w:hAnsi="黑体" w:eastAsia="黑体" w:cs="黑体"/>
                <w:bCs/>
                <w:sz w:val="28"/>
                <w:szCs w:val="28"/>
              </w:rPr>
              <w:t>实施方式</w:t>
            </w:r>
          </w:p>
        </w:tc>
      </w:tr>
      <w:tr w14:paraId="7DA4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6F5DD6">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学前教育阶段普通学校（普通幼儿园）</w:t>
            </w:r>
          </w:p>
        </w:tc>
        <w:tc>
          <w:tcPr>
            <w:tcW w:w="49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7184CC">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优先采用随班就学方式，就近安排适龄残疾幼儿接受学前教育，大力实施学前融合教育</w:t>
            </w:r>
          </w:p>
        </w:tc>
        <w:tc>
          <w:tcPr>
            <w:tcW w:w="13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433942">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3895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1D3DA6">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义务教育阶段普通学校（普通小学、普通初中）</w:t>
            </w:r>
          </w:p>
        </w:tc>
        <w:tc>
          <w:tcPr>
            <w:tcW w:w="49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AC0BE6">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优先采用普通学校就读的方式，就近安排能接受普通教育的适龄残疾儿童少年就读</w:t>
            </w:r>
          </w:p>
        </w:tc>
        <w:tc>
          <w:tcPr>
            <w:tcW w:w="13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C6A8FF">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277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0847AF">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高中阶段普通学校（中等职业学校、普通高中）</w:t>
            </w:r>
          </w:p>
        </w:tc>
        <w:tc>
          <w:tcPr>
            <w:tcW w:w="49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A97910">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通过随班就读、举办特教班等形式扩大招收残疾学生的规模；中等职业学校根据社会需要和残疾人的身心特性合理设置专业</w:t>
            </w:r>
          </w:p>
        </w:tc>
        <w:tc>
          <w:tcPr>
            <w:tcW w:w="13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EBA566">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bl>
    <w:p w14:paraId="59B3EFA5">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注：引用文件为《残疾人教育条例》、《无障碍环境建设条例》、《广东省促进特殊教育公平融合发展行动方案》（粤教基〔2019〕30号）。</w:t>
      </w:r>
    </w:p>
    <w:p w14:paraId="4E14A6EC">
      <w:pPr>
        <w:keepNext/>
        <w:keepLines w:val="0"/>
        <w:pageBreakBefore w:val="0"/>
        <w:widowControl/>
        <w:kinsoku/>
        <w:wordWrap/>
        <w:overflowPunct w:val="0"/>
        <w:topLinePunct/>
        <w:autoSpaceDE/>
        <w:autoSpaceDN/>
        <w:bidi w:val="0"/>
        <w:adjustRightInd/>
        <w:snapToGrid/>
        <w:ind w:firstLine="643"/>
        <w:textAlignment w:val="auto"/>
        <w:outlineLvl w:val="3"/>
        <w:rPr>
          <w:rFonts w:ascii="仿宋_GB2312" w:hAnsi="仿宋_GB2312" w:cs="仿宋_GB2312"/>
          <w:b/>
          <w:bCs/>
          <w:szCs w:val="32"/>
          <w:lang w:eastAsia="zh-CN"/>
        </w:rPr>
      </w:pPr>
      <w:r>
        <w:rPr>
          <w:rFonts w:hint="eastAsia" w:ascii="仿宋_GB2312" w:hAnsi="仿宋_GB2312" w:cs="仿宋_GB2312"/>
          <w:b/>
          <w:bCs/>
          <w:szCs w:val="32"/>
          <w:lang w:eastAsia="zh-CN"/>
        </w:rPr>
        <w:t>（3）体育设施无障碍专属服务功能提升指引</w:t>
      </w:r>
    </w:p>
    <w:p w14:paraId="7ADDDD5E">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cs="仿宋_GB2312"/>
          <w:szCs w:val="32"/>
          <w:lang w:eastAsia="zh-CN"/>
        </w:rPr>
      </w:pPr>
      <w:r>
        <w:rPr>
          <w:rFonts w:hint="eastAsia" w:ascii="仿宋_GB2312" w:hAnsi="仿宋_GB2312" w:cs="仿宋_GB2312"/>
          <w:szCs w:val="32"/>
          <w:lang w:eastAsia="zh-CN"/>
        </w:rPr>
        <w:t>体育设施应推进大型体育场馆的无障碍环境系统化建设，现状市、镇街级体育场馆应推进通用化改造，重点进行运动项目场地无障碍改造，提升体育服务的包容性和可及性。体育设施无障碍改造应注重运动参与无障碍和观赛体验无障碍的有机结合，通过无障碍设施建设、专业服务配备等方式，确保特殊群体能够平等参与体育活动，享受体育服务。同时，应加强体育设施无障碍服务的专业化和多样化建设，提升体育服务质量和水平。</w:t>
      </w:r>
    </w:p>
    <w:p w14:paraId="600AC474">
      <w:pPr>
        <w:keepNext/>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表7 体育设施无障碍专属服务提升指引</w:t>
      </w:r>
    </w:p>
    <w:tbl>
      <w:tblPr>
        <w:tblStyle w:val="53"/>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78"/>
        <w:gridCol w:w="4557"/>
        <w:gridCol w:w="2179"/>
      </w:tblGrid>
      <w:tr w14:paraId="0B0F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3" w:hRule="atLeast"/>
          <w:tblHeader/>
        </w:trPr>
        <w:tc>
          <w:tcPr>
            <w:tcW w:w="1361"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1F6FFCD7">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设施类型</w:t>
            </w:r>
          </w:p>
        </w:tc>
        <w:tc>
          <w:tcPr>
            <w:tcW w:w="2847"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13D9BAEA">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无障碍专属服务功能</w:t>
            </w:r>
          </w:p>
        </w:tc>
        <w:tc>
          <w:tcPr>
            <w:tcW w:w="1361"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5899DFCC">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3589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42CBCB">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大型体育场馆</w:t>
            </w:r>
          </w:p>
        </w:tc>
        <w:tc>
          <w:tcPr>
            <w:tcW w:w="284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8FD3BC">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无障碍环境系统化建设，无障碍观看席位、无障碍通道</w:t>
            </w:r>
          </w:p>
        </w:tc>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AAED53">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01E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09C5BE">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游泳馆</w:t>
            </w:r>
          </w:p>
        </w:tc>
        <w:tc>
          <w:tcPr>
            <w:tcW w:w="284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F68A2B">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增加轮椅泳道、无障碍更衣室、无障碍卫生间</w:t>
            </w:r>
          </w:p>
        </w:tc>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BD66DB">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4F6F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A67EE0">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健身中心</w:t>
            </w:r>
          </w:p>
        </w:tc>
        <w:tc>
          <w:tcPr>
            <w:tcW w:w="284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A3908F">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设置无障碍健身器材、无障碍健身区域</w:t>
            </w:r>
          </w:p>
        </w:tc>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107E27">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r w14:paraId="10DA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7CDF06">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社区体育设施</w:t>
            </w:r>
          </w:p>
        </w:tc>
        <w:tc>
          <w:tcPr>
            <w:tcW w:w="284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E02A6A">
            <w:pPr>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无障碍健身路径、无障碍健身器材、无障碍休息区</w:t>
            </w:r>
          </w:p>
        </w:tc>
        <w:tc>
          <w:tcPr>
            <w:tcW w:w="13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22645D">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改造提升</w:t>
            </w:r>
          </w:p>
        </w:tc>
      </w:tr>
    </w:tbl>
    <w:p w14:paraId="1EE84E15">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注：引用文件为《体育建筑设计规范》（JGJ 31-2003）、《无障碍环境建设条例》（国务院令第622号）、《游泳池和水上游乐池给水排水设计规程》（CJJ 122-2017）、《城市社区体育设施技术要求》（GB/T 36246-2018）、《社区残疾人健身康复设施技术要求》（GB/T 36662-2018）。</w:t>
      </w:r>
    </w:p>
    <w:p w14:paraId="6BFE436C">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（4）医疗卫生设施无障碍专属服务功能提升指引</w:t>
      </w:r>
    </w:p>
    <w:p w14:paraId="19DF77EB">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医疗卫生设施应鼓励市、镇街级综合医院增设康复医学科，提升医疗卫生设施的无障碍诊疗环境，提供医疗特殊加速通道服务以及特殊专属病房等。医疗卫生设施无障碍改造应注重诊疗环境无障碍和医疗服务无障碍的有机结合，通过无障碍设施建设、专业服务配备等方式，确保特殊群体能够平等获得医疗服务，享受健康权益。同时，应加强医疗卫生设施无障碍服务的专业化和人性化建设，提升医疗服务质量和水平。</w:t>
      </w:r>
    </w:p>
    <w:p w14:paraId="39C33679">
      <w:pPr>
        <w:keepNext/>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表8 医疗卫生设施无障碍专属服务提升指引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6"/>
        <w:gridCol w:w="5036"/>
        <w:gridCol w:w="1774"/>
      </w:tblGrid>
      <w:tr w14:paraId="162D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56CBE4E7">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设施类型</w:t>
            </w:r>
          </w:p>
        </w:tc>
        <w:tc>
          <w:tcPr>
            <w:tcW w:w="5036"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5982D973">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无障碍专属服务功能</w:t>
            </w:r>
          </w:p>
        </w:tc>
        <w:tc>
          <w:tcPr>
            <w:tcW w:w="1774"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27A59627">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023C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58FB67">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综合医院</w:t>
            </w:r>
          </w:p>
        </w:tc>
        <w:tc>
          <w:tcPr>
            <w:tcW w:w="503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38D229">
            <w:pPr>
              <w:spacing w:line="240" w:lineRule="auto"/>
              <w:ind w:firstLine="0" w:firstLineChars="0"/>
              <w:jc w:val="center"/>
              <w:rPr>
                <w:rFonts w:eastAsia="微软雅黑"/>
                <w:sz w:val="28"/>
                <w:szCs w:val="28"/>
                <w:lang w:eastAsia="zh-CN"/>
              </w:rPr>
            </w:pPr>
            <w:r>
              <w:rPr>
                <w:rFonts w:hint="eastAsia" w:ascii="仿宋_GB2312" w:hAnsi="仿宋_GB2312" w:cs="仿宋_GB2312"/>
                <w:bCs/>
                <w:sz w:val="28"/>
                <w:szCs w:val="28"/>
                <w:lang w:eastAsia="zh-CN"/>
              </w:rPr>
              <w:t>增设康复医学科、无障碍诊疗环境、医疗特殊加速通道</w:t>
            </w:r>
          </w:p>
        </w:tc>
        <w:tc>
          <w:tcPr>
            <w:tcW w:w="17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E077AB">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改造提升</w:t>
            </w:r>
          </w:p>
        </w:tc>
      </w:tr>
      <w:tr w14:paraId="2D81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19CC58">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康复医院</w:t>
            </w:r>
          </w:p>
        </w:tc>
        <w:tc>
          <w:tcPr>
            <w:tcW w:w="503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288E05">
            <w:pPr>
              <w:spacing w:line="240" w:lineRule="auto"/>
              <w:ind w:firstLine="0" w:firstLineChars="0"/>
              <w:jc w:val="center"/>
              <w:rPr>
                <w:rFonts w:eastAsia="微软雅黑"/>
                <w:sz w:val="28"/>
                <w:szCs w:val="28"/>
                <w:lang w:eastAsia="zh-CN"/>
              </w:rPr>
            </w:pPr>
            <w:r>
              <w:rPr>
                <w:rFonts w:hint="eastAsia" w:ascii="仿宋_GB2312" w:hAnsi="仿宋_GB2312" w:cs="仿宋_GB2312"/>
                <w:bCs/>
                <w:sz w:val="28"/>
                <w:szCs w:val="28"/>
                <w:lang w:eastAsia="zh-CN"/>
              </w:rPr>
              <w:t>提供专业康复医疗服务、无障碍康复设施、无障碍病房</w:t>
            </w:r>
          </w:p>
        </w:tc>
        <w:tc>
          <w:tcPr>
            <w:tcW w:w="17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E8D90C">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改造提升</w:t>
            </w:r>
          </w:p>
        </w:tc>
      </w:tr>
      <w:tr w14:paraId="0A15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5CB387">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专科医院</w:t>
            </w:r>
          </w:p>
        </w:tc>
        <w:tc>
          <w:tcPr>
            <w:tcW w:w="503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8DDC0E">
            <w:pPr>
              <w:spacing w:line="240" w:lineRule="auto"/>
              <w:ind w:firstLine="0" w:firstLineChars="0"/>
              <w:jc w:val="center"/>
              <w:rPr>
                <w:rFonts w:eastAsia="微软雅黑"/>
                <w:sz w:val="28"/>
                <w:szCs w:val="28"/>
                <w:lang w:eastAsia="zh-CN"/>
              </w:rPr>
            </w:pPr>
            <w:r>
              <w:rPr>
                <w:rFonts w:hint="eastAsia" w:ascii="仿宋_GB2312" w:hAnsi="仿宋_GB2312" w:cs="仿宋_GB2312"/>
                <w:bCs/>
                <w:sz w:val="28"/>
                <w:szCs w:val="28"/>
                <w:lang w:eastAsia="zh-CN"/>
              </w:rPr>
              <w:t>提供无障碍专科诊疗服务、无障碍住院环境</w:t>
            </w:r>
          </w:p>
        </w:tc>
        <w:tc>
          <w:tcPr>
            <w:tcW w:w="17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227A1E">
            <w:pPr>
              <w:spacing w:line="240" w:lineRule="auto"/>
              <w:ind w:firstLine="0" w:firstLineChars="0"/>
              <w:jc w:val="center"/>
              <w:rPr>
                <w:rFonts w:eastAsia="微软雅黑"/>
                <w:sz w:val="28"/>
                <w:szCs w:val="28"/>
              </w:rPr>
            </w:pPr>
            <w:r>
              <w:rPr>
                <w:rFonts w:hint="eastAsia" w:ascii="仿宋_GB2312" w:hAnsi="仿宋_GB2312" w:cs="仿宋_GB2312"/>
                <w:bCs/>
                <w:sz w:val="28"/>
                <w:szCs w:val="28"/>
                <w:lang w:eastAsia="zh-CN"/>
              </w:rPr>
              <w:t>改造提升</w:t>
            </w:r>
          </w:p>
        </w:tc>
      </w:tr>
      <w:tr w14:paraId="06DF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67CBAAD">
            <w:pPr>
              <w:spacing w:line="240" w:lineRule="auto"/>
              <w:ind w:firstLine="0" w:firstLineChars="0"/>
              <w:jc w:val="center"/>
              <w:rPr>
                <w:rFonts w:hint="eastAsia" w:ascii="微软雅黑" w:hAnsi="微软雅黑" w:eastAsia="微软雅黑" w:cs="Times New Roman"/>
                <w:sz w:val="28"/>
                <w:szCs w:val="28"/>
                <w:lang w:val="en-US" w:eastAsia="zh-CN" w:bidi="ar-SA"/>
              </w:rPr>
            </w:pPr>
            <w:r>
              <w:rPr>
                <w:rFonts w:hint="eastAsia" w:ascii="仿宋_GB2312" w:hAnsi="仿宋_GB2312" w:cs="仿宋_GB2312"/>
                <w:bCs/>
                <w:sz w:val="28"/>
                <w:szCs w:val="28"/>
                <w:lang w:eastAsia="zh-CN"/>
              </w:rPr>
              <w:t>社区卫生服务中心</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61F2771B">
            <w:pPr>
              <w:spacing w:line="240" w:lineRule="auto"/>
              <w:ind w:firstLine="0" w:firstLineChars="0"/>
              <w:jc w:val="center"/>
              <w:rPr>
                <w:rFonts w:hint="eastAsia" w:ascii="微软雅黑" w:hAnsi="微软雅黑" w:eastAsia="微软雅黑" w:cs="Times New Roman"/>
                <w:sz w:val="28"/>
                <w:szCs w:val="28"/>
                <w:lang w:val="en-US" w:eastAsia="zh-CN" w:bidi="ar-SA"/>
              </w:rPr>
            </w:pPr>
            <w:r>
              <w:rPr>
                <w:rFonts w:hint="eastAsia" w:ascii="仿宋_GB2312" w:hAnsi="仿宋_GB2312" w:cs="仿宋_GB2312"/>
                <w:bCs/>
                <w:sz w:val="28"/>
                <w:szCs w:val="28"/>
                <w:lang w:eastAsia="zh-CN"/>
              </w:rPr>
              <w:t>设置无障碍诊疗区、无障碍康复区、无障碍药房</w:t>
            </w:r>
          </w:p>
        </w:tc>
        <w:tc>
          <w:tcPr>
            <w:tcW w:w="1774"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15404B8E">
            <w:pPr>
              <w:spacing w:line="240" w:lineRule="auto"/>
              <w:ind w:firstLine="0" w:firstLineChars="0"/>
              <w:jc w:val="center"/>
              <w:rPr>
                <w:rFonts w:hint="eastAsia" w:ascii="微软雅黑" w:hAnsi="微软雅黑" w:eastAsia="微软雅黑" w:cs="Times New Roman"/>
                <w:sz w:val="28"/>
                <w:szCs w:val="28"/>
                <w:lang w:val="en-US" w:eastAsia="zh-CN" w:bidi="ar-SA"/>
              </w:rPr>
            </w:pPr>
            <w:r>
              <w:rPr>
                <w:rFonts w:hint="eastAsia" w:ascii="仿宋_GB2312" w:hAnsi="仿宋_GB2312" w:cs="仿宋_GB2312"/>
                <w:bCs/>
                <w:sz w:val="28"/>
                <w:szCs w:val="28"/>
                <w:lang w:eastAsia="zh-CN"/>
              </w:rPr>
              <w:t>改造提升</w:t>
            </w:r>
          </w:p>
        </w:tc>
      </w:tr>
    </w:tbl>
    <w:p w14:paraId="02506401">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32"/>
          <w:szCs w:val="32"/>
          <w:lang w:val="en-US" w:eastAsia="zh-CN" w:bidi="ar-SA"/>
        </w:rPr>
      </w:pPr>
      <w:bookmarkStart w:id="69" w:name="_Toc25734_ai"/>
      <w:bookmarkStart w:id="70" w:name="_Toc25273_ai"/>
      <w:bookmarkStart w:id="71" w:name="_Toc31886"/>
      <w:r>
        <w:rPr>
          <w:rFonts w:hint="eastAsia" w:ascii="仿宋_GB2312" w:hAnsi="仿宋_GB2312" w:eastAsia="仿宋_GB2312" w:cs="仿宋_GB2312"/>
          <w:sz w:val="24"/>
          <w:szCs w:val="24"/>
          <w:lang w:val="en-US" w:eastAsia="zh-CN" w:bidi="ar-SA"/>
        </w:rPr>
        <w:t>注：引用文件为《医院建筑设计规范》（GB 51039-2014）、《无障碍环境建设条例》（国务院令第622号）、《康复医院基本标准》（卫医政发〔2011〕21号）、《社区卫生服务中心建设标准》（建标 163-2013）。</w:t>
      </w:r>
    </w:p>
    <w:p w14:paraId="308BC4FE">
      <w:pPr>
        <w:keepNext/>
        <w:keepLines/>
        <w:spacing w:before="120" w:beforeLines="50" w:after="100" w:line="574" w:lineRule="exact"/>
        <w:ind w:firstLine="0" w:firstLineChars="0"/>
        <w:outlineLvl w:val="1"/>
      </w:pPr>
      <w:r>
        <w:rPr>
          <w:rFonts w:hint="eastAsia" w:ascii="楷体_GB2312" w:hAnsi="楷体_GB2312" w:eastAsia="楷体_GB2312" w:cs="楷体_GB2312"/>
          <w:b/>
          <w:bCs/>
          <w:color w:val="000000"/>
          <w:sz w:val="32"/>
          <w:lang w:val="en-US" w:eastAsia="zh-CN" w:bidi="ar-SA"/>
        </w:rPr>
        <w:t>4.2公共交通无障碍发展指引</w:t>
      </w:r>
      <w:bookmarkEnd w:id="69"/>
      <w:bookmarkEnd w:id="70"/>
    </w:p>
    <w:bookmarkEnd w:id="71"/>
    <w:p w14:paraId="0ACDAB0B">
      <w:pPr>
        <w:keepNext/>
        <w:keepLines/>
        <w:ind w:firstLine="643" w:firstLineChars="200"/>
        <w:outlineLvl w:val="2"/>
      </w:pPr>
      <w:bookmarkStart w:id="72" w:name="_Toc31886_ai"/>
      <w:r>
        <w:rPr>
          <w:rFonts w:hint="eastAsia" w:ascii="仿宋_GB2312" w:hAnsi="仿宋_GB2312" w:eastAsia="仿宋_GB2312" w:cs="仿宋_GB2312"/>
          <w:b/>
          <w:bCs/>
          <w:sz w:val="32"/>
          <w:szCs w:val="32"/>
          <w:lang w:val="en-US" w:eastAsia="zh-CN" w:bidi="ar-SA"/>
        </w:rPr>
        <w:t>4.2.1规划</w:t>
      </w:r>
      <w:bookmarkEnd w:id="72"/>
      <w:r>
        <w:rPr>
          <w:rFonts w:hint="eastAsia" w:ascii="仿宋_GB2312" w:hAnsi="仿宋_GB2312" w:eastAsia="仿宋_GB2312" w:cs="仿宋_GB2312"/>
          <w:b/>
          <w:bCs/>
          <w:sz w:val="32"/>
          <w:szCs w:val="32"/>
          <w:lang w:val="en-US" w:eastAsia="zh-CN" w:bidi="ar-SA"/>
        </w:rPr>
        <w:t>要求</w:t>
      </w:r>
    </w:p>
    <w:p w14:paraId="74C51B71">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公共交通无障碍规划应坚持“系统衔接、智慧助行、三网一体”的基本</w:t>
      </w:r>
      <w:r>
        <w:rPr>
          <w:rFonts w:hint="eastAsia" w:ascii="仿宋_GB2312" w:hAnsi="仿宋_GB2312" w:cs="仿宋_GB2312"/>
          <w:szCs w:val="32"/>
          <w:lang w:val="en-US" w:eastAsia="zh-CN"/>
        </w:rPr>
        <w:t>要求</w:t>
      </w:r>
      <w:r>
        <w:rPr>
          <w:rFonts w:hint="eastAsia" w:ascii="仿宋_GB2312" w:hAnsi="仿宋_GB2312" w:cs="仿宋_GB2312"/>
          <w:szCs w:val="32"/>
          <w:lang w:eastAsia="zh-CN"/>
        </w:rPr>
        <w:t>，</w:t>
      </w:r>
      <w:r>
        <w:rPr>
          <w:rFonts w:hint="eastAsia" w:ascii="仿宋_GB2312" w:hAnsi="仿宋_GB2312" w:cs="仿宋_GB2312"/>
          <w:szCs w:val="32"/>
          <w:lang w:val="en-US" w:eastAsia="zh-CN"/>
        </w:rPr>
        <w:t>优先</w:t>
      </w:r>
      <w:r>
        <w:rPr>
          <w:rFonts w:hint="eastAsia" w:ascii="仿宋_GB2312" w:hAnsi="仿宋_GB2312" w:cs="仿宋_GB2312"/>
          <w:szCs w:val="32"/>
          <w:lang w:eastAsia="zh-CN"/>
        </w:rPr>
        <w:t>选取与轨道交通</w:t>
      </w:r>
      <w:r>
        <w:rPr>
          <w:rFonts w:hint="eastAsia" w:ascii="仿宋_GB2312" w:hAnsi="仿宋_GB2312" w:cs="仿宋_GB2312"/>
          <w:szCs w:val="32"/>
          <w:vertAlign w:val="superscript"/>
        </w:rPr>
        <w:footnoteReference w:id="1"/>
      </w:r>
      <w:r>
        <w:rPr>
          <w:rFonts w:hint="eastAsia" w:ascii="仿宋_GB2312" w:hAnsi="仿宋_GB2312" w:cs="仿宋_GB2312"/>
          <w:szCs w:val="32"/>
          <w:lang w:eastAsia="zh-CN"/>
        </w:rPr>
        <w:t>、BRT</w:t>
      </w:r>
      <w:r>
        <w:rPr>
          <w:rFonts w:hint="eastAsia" w:ascii="仿宋_GB2312" w:hAnsi="仿宋_GB2312" w:cs="仿宋_GB2312"/>
          <w:szCs w:val="32"/>
          <w:vertAlign w:val="superscript"/>
        </w:rPr>
        <w:footnoteReference w:id="2"/>
      </w:r>
      <w:r>
        <w:rPr>
          <w:rFonts w:hint="eastAsia" w:ascii="仿宋_GB2312" w:hAnsi="仿宋_GB2312" w:cs="仿宋_GB2312"/>
          <w:szCs w:val="32"/>
          <w:lang w:eastAsia="zh-CN"/>
        </w:rPr>
        <w:t>共线的主要生活性道路，建设形成全市无障碍骨干路网，重点围绕轨道站与街道、公交站与街道、街道慢行空间的无障碍通道和设施衔接开展改造提升，强化无障碍出行链，建立“轨道+公交+慢行”三网一体、系统衔接、智慧助行的无障碍公共交通体系。</w:t>
      </w:r>
    </w:p>
    <w:p w14:paraId="2E678C13">
      <w:pPr>
        <w:keepNext/>
        <w:keepLines/>
        <w:ind w:firstLine="643" w:firstLineChars="200"/>
        <w:outlineLvl w:val="2"/>
      </w:pPr>
      <w:bookmarkStart w:id="73" w:name="_Toc24289_ai"/>
      <w:r>
        <w:rPr>
          <w:rFonts w:hint="eastAsia" w:ascii="仿宋_GB2312" w:hAnsi="仿宋_GB2312" w:eastAsia="仿宋_GB2312" w:cs="仿宋_GB2312"/>
          <w:b/>
          <w:bCs/>
          <w:sz w:val="32"/>
          <w:szCs w:val="32"/>
          <w:lang w:val="en-US" w:eastAsia="zh-CN" w:bidi="ar-SA"/>
        </w:rPr>
        <w:t>4.2.2无障碍骨干路网规划指引</w:t>
      </w:r>
      <w:bookmarkEnd w:id="73"/>
    </w:p>
    <w:p w14:paraId="5CE213AC">
      <w:pPr>
        <w:ind w:firstLine="640"/>
        <w:rPr>
          <w:rFonts w:hint="eastAsia" w:ascii="仿宋_GB2312" w:hAnsi="仿宋_GB2312" w:cs="仿宋_GB2312"/>
          <w:szCs w:val="32"/>
          <w:lang w:eastAsia="zh-CN"/>
        </w:rPr>
      </w:pPr>
      <w:r>
        <w:rPr>
          <w:rFonts w:hint="eastAsia" w:ascii="仿宋_GB2312" w:hAnsi="仿宋_GB2312" w:cs="仿宋_GB2312"/>
          <w:szCs w:val="32"/>
          <w:lang w:eastAsia="zh-CN"/>
        </w:rPr>
        <w:t>无障碍骨干路网是公共交通无障碍体系的基础框架，应</w:t>
      </w:r>
      <w:r>
        <w:rPr>
          <w:rFonts w:hint="eastAsia" w:ascii="仿宋_GB2312" w:hAnsi="仿宋_GB2312" w:cs="仿宋_GB2312"/>
          <w:szCs w:val="32"/>
          <w:lang w:val="en-US" w:eastAsia="zh-CN"/>
        </w:rPr>
        <w:t>优先</w:t>
      </w:r>
      <w:r>
        <w:rPr>
          <w:rFonts w:hint="eastAsia" w:ascii="仿宋_GB2312" w:hAnsi="仿宋_GB2312" w:cs="仿宋_GB2312"/>
          <w:szCs w:val="32"/>
          <w:lang w:eastAsia="zh-CN"/>
        </w:rPr>
        <w:t>选取与轨道交通、BRT共线的主要生活性道路建设形成全市无障碍骨干路网，为特殊群体提供连续、便捷的无障碍出行通道。无障碍骨干路网建设应注重系统性和连续性，确保各类无障碍设施的有机衔接。其规划指引包括但不限于以下内容：</w:t>
      </w:r>
    </w:p>
    <w:p w14:paraId="3581E60A">
      <w:pPr>
        <w:keepNext/>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表9 无障碍骨干路网规划指引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2"/>
        <w:gridCol w:w="2800"/>
        <w:gridCol w:w="2637"/>
        <w:gridCol w:w="2566"/>
      </w:tblGrid>
      <w:tr w14:paraId="21E8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trPr>
        <w:tc>
          <w:tcPr>
            <w:tcW w:w="0" w:type="auto"/>
            <w:shd w:val="clear" w:color="auto" w:fill="D7D7D7"/>
            <w:noWrap w:val="0"/>
            <w:vAlign w:val="center"/>
          </w:tcPr>
          <w:p w14:paraId="79EF2356">
            <w:pPr>
              <w:snapToGrid w:val="0"/>
              <w:spacing w:line="240" w:lineRule="auto"/>
              <w:ind w:firstLine="0" w:firstLineChars="0"/>
              <w:jc w:val="center"/>
              <w:rPr>
                <w:rFonts w:hint="eastAsia" w:ascii="黑体" w:hAnsi="黑体" w:eastAsia="黑体" w:cs="黑体"/>
                <w:bCs/>
                <w:sz w:val="28"/>
                <w:szCs w:val="28"/>
                <w:lang w:eastAsia="zh-CN"/>
              </w:rPr>
            </w:pPr>
            <w:r>
              <w:rPr>
                <w:rFonts w:hint="eastAsia" w:ascii="黑体" w:hAnsi="黑体" w:eastAsia="黑体" w:cs="黑体"/>
                <w:bCs/>
                <w:sz w:val="28"/>
                <w:szCs w:val="28"/>
                <w:lang w:eastAsia="zh-CN"/>
              </w:rPr>
              <w:t>规划内容</w:t>
            </w:r>
          </w:p>
        </w:tc>
        <w:tc>
          <w:tcPr>
            <w:tcW w:w="0" w:type="auto"/>
            <w:shd w:val="clear" w:color="auto" w:fill="D7D7D7"/>
            <w:noWrap w:val="0"/>
            <w:vAlign w:val="center"/>
          </w:tcPr>
          <w:p w14:paraId="1D6D9EEF">
            <w:pPr>
              <w:snapToGrid w:val="0"/>
              <w:spacing w:line="240" w:lineRule="auto"/>
              <w:ind w:firstLine="0" w:firstLineChars="0"/>
              <w:jc w:val="center"/>
              <w:rPr>
                <w:rFonts w:hint="eastAsia" w:ascii="黑体" w:hAnsi="黑体" w:eastAsia="黑体" w:cs="黑体"/>
                <w:bCs/>
                <w:sz w:val="28"/>
                <w:szCs w:val="28"/>
                <w:lang w:eastAsia="zh-CN"/>
              </w:rPr>
            </w:pPr>
            <w:r>
              <w:rPr>
                <w:rFonts w:hint="eastAsia" w:ascii="黑体" w:hAnsi="黑体" w:eastAsia="黑体" w:cs="黑体"/>
                <w:bCs/>
                <w:sz w:val="28"/>
                <w:szCs w:val="28"/>
                <w:lang w:eastAsia="zh-CN"/>
              </w:rPr>
              <w:t>技术要求</w:t>
            </w:r>
          </w:p>
        </w:tc>
        <w:tc>
          <w:tcPr>
            <w:tcW w:w="0" w:type="auto"/>
            <w:shd w:val="clear" w:color="auto" w:fill="D7D7D7"/>
            <w:noWrap w:val="0"/>
            <w:vAlign w:val="center"/>
          </w:tcPr>
          <w:p w14:paraId="48973C21">
            <w:pPr>
              <w:snapToGrid w:val="0"/>
              <w:spacing w:line="240" w:lineRule="auto"/>
              <w:ind w:firstLine="0" w:firstLineChars="0"/>
              <w:jc w:val="center"/>
              <w:rPr>
                <w:rFonts w:hint="eastAsia" w:ascii="黑体" w:hAnsi="黑体" w:eastAsia="黑体" w:cs="黑体"/>
                <w:bCs/>
                <w:sz w:val="28"/>
                <w:szCs w:val="28"/>
                <w:lang w:eastAsia="zh-CN"/>
              </w:rPr>
            </w:pPr>
            <w:r>
              <w:rPr>
                <w:rFonts w:hint="eastAsia" w:ascii="黑体" w:hAnsi="黑体" w:eastAsia="黑体" w:cs="黑体"/>
                <w:bCs/>
                <w:sz w:val="28"/>
                <w:szCs w:val="28"/>
                <w:lang w:eastAsia="zh-CN"/>
              </w:rPr>
              <w:t>实施方式</w:t>
            </w:r>
          </w:p>
        </w:tc>
        <w:tc>
          <w:tcPr>
            <w:tcW w:w="0" w:type="auto"/>
            <w:shd w:val="clear" w:color="auto" w:fill="D7D7D7"/>
            <w:noWrap w:val="0"/>
            <w:vAlign w:val="center"/>
          </w:tcPr>
          <w:p w14:paraId="38B1FDA1">
            <w:pPr>
              <w:snapToGrid w:val="0"/>
              <w:spacing w:line="240" w:lineRule="auto"/>
              <w:ind w:firstLine="0" w:firstLineChars="0"/>
              <w:jc w:val="center"/>
              <w:rPr>
                <w:rFonts w:hint="eastAsia" w:ascii="黑体" w:hAnsi="黑体" w:eastAsia="黑体" w:cs="黑体"/>
                <w:bCs/>
                <w:sz w:val="28"/>
                <w:szCs w:val="28"/>
                <w:lang w:eastAsia="zh-CN"/>
              </w:rPr>
            </w:pPr>
            <w:r>
              <w:rPr>
                <w:rFonts w:hint="eastAsia" w:ascii="黑体" w:hAnsi="黑体" w:eastAsia="黑体" w:cs="黑体"/>
                <w:bCs/>
                <w:sz w:val="28"/>
                <w:szCs w:val="28"/>
                <w:lang w:eastAsia="zh-CN"/>
              </w:rPr>
              <w:t>衔接关系</w:t>
            </w:r>
          </w:p>
        </w:tc>
      </w:tr>
      <w:tr w14:paraId="7487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noWrap w:val="0"/>
            <w:vAlign w:val="center"/>
          </w:tcPr>
          <w:p w14:paraId="16E5439B">
            <w:pPr>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路网规划</w:t>
            </w:r>
          </w:p>
        </w:tc>
        <w:tc>
          <w:tcPr>
            <w:tcW w:w="0" w:type="auto"/>
            <w:noWrap w:val="0"/>
            <w:vAlign w:val="center"/>
          </w:tcPr>
          <w:p w14:paraId="0D6DED76">
            <w:pPr>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eastAsia="zh-CN"/>
              </w:rPr>
              <w:t>选取主要生活性道路，形成全市无障碍骨干路网</w:t>
            </w:r>
          </w:p>
        </w:tc>
        <w:tc>
          <w:tcPr>
            <w:tcW w:w="0" w:type="auto"/>
            <w:noWrap w:val="0"/>
            <w:vAlign w:val="center"/>
          </w:tcPr>
          <w:p w14:paraId="0C0BCFC2">
            <w:pPr>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eastAsia="zh-CN"/>
              </w:rPr>
              <w:t>结合城市总体规划编制无障碍骨干路网专项规划</w:t>
            </w:r>
          </w:p>
        </w:tc>
        <w:tc>
          <w:tcPr>
            <w:tcW w:w="0" w:type="auto"/>
            <w:noWrap w:val="0"/>
            <w:vAlign w:val="center"/>
          </w:tcPr>
          <w:p w14:paraId="1E3DD190">
            <w:pPr>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eastAsia="zh-CN"/>
              </w:rPr>
              <w:t>与城市总体规划、综合立体交通网规划衔接</w:t>
            </w:r>
          </w:p>
        </w:tc>
      </w:tr>
    </w:tbl>
    <w:p w14:paraId="18678B28">
      <w:pPr>
        <w:ind w:firstLine="640"/>
        <w:rPr>
          <w:rFonts w:hint="eastAsia" w:ascii="仿宋_GB2312" w:hAnsi="仿宋_GB2312" w:cs="仿宋_GB2312"/>
          <w:szCs w:val="32"/>
          <w:lang w:eastAsia="zh-CN"/>
        </w:rPr>
      </w:pPr>
      <w:r>
        <w:rPr>
          <w:rFonts w:hint="eastAsia" w:ascii="仿宋_GB2312" w:hAnsi="仿宋_GB2312" w:cs="仿宋_GB2312"/>
          <w:szCs w:val="32"/>
          <w:lang w:eastAsia="zh-CN"/>
        </w:rPr>
        <w:t>无障碍骨干路网建设应注重技术标准和实施要求的有机结合，通过统一规划、分步实施的方式，确保无障碍骨干路网建设的系统性和连续性。同时，应加强无障碍骨干路网的智慧化建设，提升无障碍出行的便利性和安全性。</w:t>
      </w:r>
    </w:p>
    <w:p w14:paraId="4638AA67">
      <w:pPr>
        <w:keepNext/>
        <w:keepLines/>
        <w:ind w:firstLine="643" w:firstLineChars="200"/>
        <w:outlineLvl w:val="2"/>
      </w:pPr>
      <w:bookmarkStart w:id="74" w:name="_Toc17382_ai"/>
      <w:r>
        <w:rPr>
          <w:rFonts w:hint="eastAsia" w:ascii="仿宋_GB2312" w:hAnsi="仿宋_GB2312" w:eastAsia="仿宋_GB2312" w:cs="仿宋_GB2312"/>
          <w:b/>
          <w:bCs/>
          <w:sz w:val="32"/>
          <w:szCs w:val="32"/>
          <w:lang w:val="en-US" w:eastAsia="zh-CN" w:bidi="ar-SA"/>
        </w:rPr>
        <w:t>4.2.3轨道站与街道无障碍衔接指引</w:t>
      </w:r>
      <w:bookmarkEnd w:id="74"/>
    </w:p>
    <w:p w14:paraId="0A6CEF48">
      <w:pPr>
        <w:ind w:firstLine="640"/>
        <w:rPr>
          <w:rFonts w:hint="eastAsia" w:ascii="仿宋_GB2312" w:hAnsi="仿宋_GB2312" w:cs="仿宋_GB2312"/>
          <w:szCs w:val="32"/>
          <w:lang w:eastAsia="zh-CN"/>
        </w:rPr>
      </w:pPr>
      <w:r>
        <w:rPr>
          <w:rFonts w:hint="eastAsia" w:ascii="仿宋_GB2312" w:hAnsi="仿宋_GB2312" w:cs="仿宋_GB2312"/>
          <w:szCs w:val="32"/>
          <w:lang w:eastAsia="zh-CN"/>
        </w:rPr>
        <w:t>轨道站</w:t>
      </w:r>
      <w:r>
        <w:rPr>
          <w:rFonts w:hint="eastAsia" w:ascii="仿宋_GB2312" w:hAnsi="仿宋_GB2312" w:cs="仿宋_GB2312"/>
          <w:szCs w:val="32"/>
          <w:vertAlign w:val="superscript"/>
        </w:rPr>
        <w:footnoteReference w:id="3"/>
      </w:r>
      <w:r>
        <w:rPr>
          <w:rFonts w:hint="eastAsia" w:ascii="仿宋_GB2312" w:hAnsi="仿宋_GB2312" w:cs="仿宋_GB2312"/>
          <w:szCs w:val="32"/>
          <w:lang w:eastAsia="zh-CN"/>
        </w:rPr>
        <w:t>与街道的无障碍衔接是公共交通无障碍体系的关键环节，应结合轨道网发展规划，强化轨道站点的“最后一公里”无障碍出行链。其衔接指引包括但不限于以下内容：</w:t>
      </w:r>
    </w:p>
    <w:p w14:paraId="6C3C43DD">
      <w:pPr>
        <w:keepNext/>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表10 轨道站与街道无障碍衔接指引</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6"/>
        <w:gridCol w:w="3742"/>
        <w:gridCol w:w="2239"/>
        <w:gridCol w:w="1989"/>
      </w:tblGrid>
      <w:tr w14:paraId="45FF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886"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54FC5E1E">
            <w:pPr>
              <w:snapToGrid w:val="0"/>
              <w:spacing w:line="240" w:lineRule="auto"/>
              <w:ind w:firstLine="0" w:firstLineChars="0"/>
              <w:jc w:val="center"/>
            </w:pPr>
            <w:r>
              <w:rPr>
                <w:rFonts w:hint="eastAsia" w:ascii="黑体" w:hAnsi="黑体" w:eastAsia="黑体" w:cs="黑体"/>
                <w:bCs/>
                <w:sz w:val="28"/>
                <w:szCs w:val="28"/>
                <w:lang w:eastAsia="zh-CN"/>
              </w:rPr>
              <w:t>衔接内容</w:t>
            </w:r>
          </w:p>
        </w:tc>
        <w:tc>
          <w:tcPr>
            <w:tcW w:w="3742"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09A41E7A">
            <w:pPr>
              <w:snapToGrid w:val="0"/>
              <w:spacing w:line="240" w:lineRule="auto"/>
              <w:ind w:firstLine="0" w:firstLineChars="0"/>
              <w:jc w:val="center"/>
            </w:pPr>
            <w:r>
              <w:rPr>
                <w:rFonts w:hint="eastAsia" w:ascii="黑体" w:hAnsi="黑体" w:eastAsia="黑体" w:cs="黑体"/>
                <w:bCs/>
                <w:sz w:val="28"/>
                <w:szCs w:val="28"/>
                <w:lang w:eastAsia="zh-CN"/>
              </w:rPr>
              <w:t>技术要求</w:t>
            </w:r>
          </w:p>
        </w:tc>
        <w:tc>
          <w:tcPr>
            <w:tcW w:w="2239"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6E38179A">
            <w:pPr>
              <w:snapToGrid w:val="0"/>
              <w:spacing w:line="240" w:lineRule="auto"/>
              <w:ind w:firstLine="0" w:firstLineChars="0"/>
              <w:jc w:val="center"/>
            </w:pPr>
            <w:r>
              <w:rPr>
                <w:rFonts w:hint="eastAsia" w:ascii="黑体" w:hAnsi="黑体" w:eastAsia="黑体" w:cs="黑体"/>
                <w:bCs/>
                <w:sz w:val="28"/>
                <w:szCs w:val="28"/>
                <w:lang w:eastAsia="zh-CN"/>
              </w:rPr>
              <w:t>实施方式</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4150E0AB">
            <w:pPr>
              <w:keepNext/>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r>
              <w:rPr>
                <w:rFonts w:hint="eastAsia" w:ascii="黑体" w:hAnsi="黑体" w:eastAsia="黑体" w:cs="黑体"/>
                <w:bCs/>
                <w:sz w:val="28"/>
                <w:szCs w:val="28"/>
                <w:lang w:eastAsia="zh-CN"/>
              </w:rPr>
              <w:t>衔接关系</w:t>
            </w:r>
          </w:p>
        </w:tc>
      </w:tr>
      <w:tr w14:paraId="13F4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1B356F">
            <w:pPr>
              <w:snapToGrid w:val="0"/>
              <w:spacing w:line="240" w:lineRule="auto"/>
              <w:ind w:firstLine="0" w:firstLineChars="0"/>
              <w:jc w:val="center"/>
              <w:rPr>
                <w:rFonts w:hint="eastAsia"/>
              </w:rPr>
            </w:pPr>
            <w:r>
              <w:rPr>
                <w:rFonts w:hint="eastAsia" w:ascii="仿宋_GB2312" w:hAnsi="仿宋_GB2312" w:cs="仿宋_GB2312"/>
                <w:sz w:val="28"/>
                <w:szCs w:val="28"/>
              </w:rPr>
              <w:t>无障碍候车位置</w:t>
            </w:r>
          </w:p>
        </w:tc>
        <w:tc>
          <w:tcPr>
            <w:tcW w:w="37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5FCDF2">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val="en-US" w:eastAsia="zh-CN"/>
              </w:rPr>
              <w:t>地面完全平整，</w:t>
            </w:r>
            <w:r>
              <w:rPr>
                <w:rFonts w:hint="eastAsia" w:ascii="仿宋_GB2312" w:hAnsi="仿宋_GB2312" w:cs="仿宋_GB2312"/>
                <w:sz w:val="28"/>
                <w:szCs w:val="28"/>
                <w:lang w:eastAsia="zh-CN"/>
              </w:rPr>
              <w:t>设置提示盲道引导，候车区面积≥2.5㎡（轮椅回旋直径≥1.5米）</w:t>
            </w:r>
          </w:p>
        </w:tc>
        <w:tc>
          <w:tcPr>
            <w:tcW w:w="22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287D35">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新建或改造候车区，配备呼叫按钮及声光提示装置</w:t>
            </w:r>
          </w:p>
        </w:tc>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8F4172">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与无障碍通道、车辆停靠区精准对接</w:t>
            </w:r>
          </w:p>
        </w:tc>
      </w:tr>
      <w:tr w14:paraId="7CC2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EAB550">
            <w:pPr>
              <w:snapToGrid w:val="0"/>
              <w:spacing w:line="240" w:lineRule="auto"/>
              <w:ind w:firstLine="0" w:firstLineChars="0"/>
              <w:jc w:val="center"/>
              <w:rPr>
                <w:rFonts w:hint="eastAsia"/>
              </w:rPr>
            </w:pPr>
            <w:r>
              <w:rPr>
                <w:rFonts w:hint="eastAsia" w:ascii="仿宋_GB2312" w:hAnsi="仿宋_GB2312" w:cs="仿宋_GB2312"/>
                <w:sz w:val="28"/>
                <w:szCs w:val="28"/>
              </w:rPr>
              <w:t>盲道系统</w:t>
            </w:r>
          </w:p>
        </w:tc>
        <w:tc>
          <w:tcPr>
            <w:tcW w:w="37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C2C086">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站内外盲道保持连续畅通，采用条形与圆点地砖组合设计，十字路口设置定向音响设施，设置体现人文关怀的礼遇通道</w:t>
            </w:r>
          </w:p>
        </w:tc>
        <w:tc>
          <w:tcPr>
            <w:tcW w:w="22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0988A6">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新建或改造站点内外盲道系统，与周边环境引导标识系统整合</w:t>
            </w:r>
          </w:p>
        </w:tc>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A945E8">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与无障碍骨干路网、街道慢行空间等衔接</w:t>
            </w:r>
          </w:p>
        </w:tc>
      </w:tr>
      <w:tr w14:paraId="66B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94ACA0">
            <w:pPr>
              <w:snapToGrid w:val="0"/>
              <w:spacing w:line="240" w:lineRule="auto"/>
              <w:ind w:firstLine="0" w:firstLineChars="0"/>
              <w:jc w:val="center"/>
              <w:rPr>
                <w:rFonts w:hint="eastAsia"/>
                <w:lang w:eastAsia="zh-CN"/>
              </w:rPr>
            </w:pPr>
            <w:r>
              <w:rPr>
                <w:rFonts w:hint="eastAsia" w:ascii="仿宋_GB2312" w:hAnsi="仿宋_GB2312" w:cs="仿宋_GB2312"/>
                <w:sz w:val="28"/>
                <w:szCs w:val="28"/>
              </w:rPr>
              <w:t>无障碍出入口</w:t>
            </w:r>
          </w:p>
        </w:tc>
        <w:tc>
          <w:tcPr>
            <w:tcW w:w="37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0BA7B">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val="en-US" w:eastAsia="zh-CN"/>
              </w:rPr>
              <w:t>轨道站应设置无障碍出入口，且应为下列三种之一：</w:t>
            </w:r>
            <w:r>
              <w:rPr>
                <w:rFonts w:hint="eastAsia" w:ascii="仿宋_GB2312" w:hAnsi="仿宋_GB2312" w:cs="仿宋_GB2312"/>
                <w:sz w:val="28"/>
                <w:szCs w:val="28"/>
                <w:lang w:eastAsia="zh-CN"/>
              </w:rPr>
              <w:t>地面坡度不大于1:20的平坡出入口;同时设置台阶和轮椅坡道的出入口;同时设置台阶和升降平台的出入口</w:t>
            </w:r>
          </w:p>
        </w:tc>
        <w:tc>
          <w:tcPr>
            <w:tcW w:w="22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8EFC82">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新建或改造轨道站点及出入口，同步设置标准化无障碍标识</w:t>
            </w:r>
          </w:p>
        </w:tc>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CCEA2E">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作为无障碍系统的起点，与全天候无障碍通道无缝衔接</w:t>
            </w:r>
          </w:p>
        </w:tc>
      </w:tr>
      <w:tr w14:paraId="7405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86" w:type="dxa"/>
            <w:noWrap w:val="0"/>
            <w:vAlign w:val="center"/>
          </w:tcPr>
          <w:p w14:paraId="3D805CFE">
            <w:pPr>
              <w:snapToGrid w:val="0"/>
              <w:spacing w:line="240" w:lineRule="auto"/>
              <w:ind w:firstLine="0" w:firstLineChars="0"/>
              <w:jc w:val="center"/>
              <w:rPr>
                <w:rFonts w:hint="eastAsia"/>
                <w:lang w:eastAsia="zh-CN"/>
              </w:rPr>
            </w:pPr>
            <w:r>
              <w:rPr>
                <w:rFonts w:hint="eastAsia" w:ascii="仿宋_GB2312" w:hAnsi="仿宋_GB2312" w:cs="仿宋_GB2312"/>
                <w:sz w:val="28"/>
                <w:szCs w:val="28"/>
              </w:rPr>
              <w:t>全天候无障碍通道</w:t>
            </w:r>
          </w:p>
        </w:tc>
        <w:tc>
          <w:tcPr>
            <w:tcW w:w="3742" w:type="dxa"/>
            <w:noWrap w:val="0"/>
            <w:vAlign w:val="center"/>
          </w:tcPr>
          <w:p w14:paraId="38C57ACB">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以风雨连廊、地下通道等封闭或半封闭设施，配套</w:t>
            </w:r>
            <w:r>
              <w:rPr>
                <w:rFonts w:hint="eastAsia" w:ascii="仿宋_GB2312" w:hAnsi="仿宋_GB2312" w:cs="仿宋_GB2312"/>
                <w:sz w:val="28"/>
                <w:szCs w:val="28"/>
                <w:lang w:val="en-US" w:eastAsia="zh-CN"/>
              </w:rPr>
              <w:t>轮椅坡道、垂直电梯或升降平台</w:t>
            </w:r>
            <w:r>
              <w:rPr>
                <w:rFonts w:hint="eastAsia" w:ascii="仿宋_GB2312" w:hAnsi="仿宋_GB2312" w:cs="仿宋_GB2312"/>
                <w:sz w:val="28"/>
                <w:szCs w:val="28"/>
                <w:lang w:eastAsia="zh-CN"/>
              </w:rPr>
              <w:t>，连接建筑前区、公交站等站点周边区域</w:t>
            </w:r>
          </w:p>
        </w:tc>
        <w:tc>
          <w:tcPr>
            <w:tcW w:w="2239" w:type="dxa"/>
            <w:noWrap w:val="0"/>
            <w:vAlign w:val="center"/>
          </w:tcPr>
          <w:p w14:paraId="71FA516B">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新建或改造站点周边连接设施，同步验收并明确维护责任人</w:t>
            </w:r>
          </w:p>
        </w:tc>
        <w:tc>
          <w:tcPr>
            <w:tcW w:w="0" w:type="auto"/>
            <w:noWrap w:val="0"/>
            <w:vAlign w:val="center"/>
          </w:tcPr>
          <w:p w14:paraId="72C2C028">
            <w:pPr>
              <w:snapToGrid w:val="0"/>
              <w:spacing w:line="240" w:lineRule="auto"/>
              <w:ind w:firstLine="0" w:firstLineChars="0"/>
              <w:jc w:val="center"/>
              <w:rPr>
                <w:rFonts w:hint="eastAsia"/>
                <w:lang w:eastAsia="zh-CN"/>
              </w:rPr>
            </w:pPr>
            <w:r>
              <w:rPr>
                <w:rFonts w:hint="eastAsia" w:ascii="仿宋_GB2312" w:hAnsi="仿宋_GB2312" w:cs="仿宋_GB2312"/>
                <w:sz w:val="28"/>
                <w:szCs w:val="28"/>
                <w:lang w:eastAsia="zh-CN"/>
              </w:rPr>
              <w:t>作为无障碍出入口的直接延伸，构建站点与邻近交通节点的无缝连接</w:t>
            </w:r>
          </w:p>
        </w:tc>
      </w:tr>
      <w:tr w14:paraId="1F9D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86" w:type="dxa"/>
            <w:shd w:val="clear" w:color="auto" w:fill="auto"/>
            <w:noWrap w:val="0"/>
            <w:vAlign w:val="center"/>
          </w:tcPr>
          <w:p w14:paraId="6EF3E760">
            <w:pPr>
              <w:snapToGrid w:val="0"/>
              <w:spacing w:line="240" w:lineRule="auto"/>
              <w:ind w:firstLine="0" w:firstLineChars="0"/>
              <w:jc w:val="center"/>
              <w:rPr>
                <w:rFonts w:hint="default" w:ascii="微软雅黑" w:hAnsi="微软雅黑" w:eastAsia="仿宋_GB2312" w:cs="Times New Roman"/>
                <w:sz w:val="32"/>
                <w:szCs w:val="24"/>
                <w:lang w:val="en-US" w:eastAsia="zh-CN" w:bidi="ar-SA"/>
              </w:rPr>
            </w:pPr>
            <w:r>
              <w:rPr>
                <w:rFonts w:hint="eastAsia" w:ascii="仿宋_GB2312" w:hAnsi="仿宋_GB2312" w:cs="仿宋_GB2312"/>
                <w:sz w:val="28"/>
                <w:szCs w:val="28"/>
                <w:lang w:val="en-US" w:eastAsia="zh-CN"/>
              </w:rPr>
              <w:t>信息交互</w:t>
            </w:r>
          </w:p>
        </w:tc>
        <w:tc>
          <w:tcPr>
            <w:tcW w:w="3742" w:type="dxa"/>
            <w:shd w:val="clear" w:color="auto" w:fill="auto"/>
            <w:noWrap w:val="0"/>
            <w:vAlign w:val="center"/>
          </w:tcPr>
          <w:p w14:paraId="206970B6">
            <w:pPr>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eastAsia="zh-CN"/>
              </w:rPr>
              <w:t>提供出入口信息服务台、盲文（触摸）指引（高度1.2米）、语音地图、坐姿视读互动信息装置（倾斜10度）、站台语音广播（</w:t>
            </w:r>
            <w:r>
              <w:rPr>
                <w:rFonts w:hint="eastAsia" w:ascii="仿宋_GB2312" w:hAnsi="仿宋_GB2312" w:cs="仿宋_GB2312"/>
                <w:sz w:val="28"/>
                <w:szCs w:val="28"/>
                <w:lang w:val="en-US" w:eastAsia="zh-CN"/>
              </w:rPr>
              <w:t>中英双语</w:t>
            </w:r>
            <w:r>
              <w:rPr>
                <w:rFonts w:hint="eastAsia" w:ascii="仿宋_GB2312" w:hAnsi="仿宋_GB2312" w:cs="仿宋_GB2312"/>
                <w:sz w:val="28"/>
                <w:szCs w:val="28"/>
                <w:lang w:eastAsia="zh-CN"/>
              </w:rPr>
              <w:t>）等多元素引导系统</w:t>
            </w:r>
          </w:p>
        </w:tc>
        <w:tc>
          <w:tcPr>
            <w:tcW w:w="2239" w:type="dxa"/>
            <w:shd w:val="clear" w:color="auto" w:fill="auto"/>
            <w:noWrap w:val="0"/>
            <w:vAlign w:val="center"/>
          </w:tcPr>
          <w:p w14:paraId="46EE9004">
            <w:pPr>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eastAsia="zh-CN"/>
              </w:rPr>
              <w:t>新建或改造站点内信息服务设施，标识纳入城市引导系统</w:t>
            </w:r>
          </w:p>
        </w:tc>
        <w:tc>
          <w:tcPr>
            <w:tcW w:w="0" w:type="auto"/>
            <w:shd w:val="clear" w:color="auto" w:fill="auto"/>
            <w:noWrap w:val="0"/>
            <w:vAlign w:val="center"/>
          </w:tcPr>
          <w:p w14:paraId="50BB0060">
            <w:pPr>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eastAsia="zh-CN"/>
              </w:rPr>
              <w:t>与</w:t>
            </w:r>
            <w:r>
              <w:rPr>
                <w:rFonts w:hint="eastAsia" w:ascii="仿宋_GB2312" w:hAnsi="仿宋_GB2312" w:cs="仿宋_GB2312"/>
                <w:sz w:val="28"/>
                <w:szCs w:val="28"/>
                <w:lang w:val="en-US" w:eastAsia="zh-CN"/>
              </w:rPr>
              <w:t>公交站</w:t>
            </w:r>
            <w:r>
              <w:rPr>
                <w:rFonts w:hint="eastAsia" w:ascii="仿宋_GB2312" w:hAnsi="仿宋_GB2312" w:cs="仿宋_GB2312"/>
                <w:sz w:val="28"/>
                <w:szCs w:val="28"/>
                <w:lang w:eastAsia="zh-CN"/>
              </w:rPr>
              <w:t>等衔接</w:t>
            </w:r>
          </w:p>
        </w:tc>
      </w:tr>
    </w:tbl>
    <w:p w14:paraId="65F86204">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注：引用文件为《无障碍设计规范》（GB 50763-2012）</w:t>
      </w:r>
      <w:r>
        <w:rPr>
          <w:rFonts w:hint="eastAsia" w:ascii="仿宋_GB2312" w:hAnsi="仿宋_GB2312" w:cs="仿宋_GB2312"/>
          <w:sz w:val="24"/>
          <w:szCs w:val="24"/>
          <w:lang w:val="en-US" w:eastAsia="zh-CN" w:bidi="ar-SA"/>
        </w:rPr>
        <w:t>、</w:t>
      </w:r>
      <w:r>
        <w:rPr>
          <w:rFonts w:hint="eastAsia" w:ascii="仿宋_GB2312" w:hAnsi="仿宋_GB2312" w:eastAsia="仿宋_GB2312" w:cs="仿宋_GB2312"/>
          <w:sz w:val="24"/>
          <w:szCs w:val="24"/>
          <w:lang w:val="en-US" w:eastAsia="zh-CN" w:bidi="ar-SA"/>
        </w:rPr>
        <w:t>《建筑与市政工程无障碍通用规范》（GB 55019-202</w:t>
      </w:r>
      <w:r>
        <w:rPr>
          <w:rFonts w:hint="eastAsia" w:ascii="仿宋_GB2312" w:hAnsi="仿宋_GB2312" w:cs="仿宋_GB2312"/>
          <w:sz w:val="24"/>
          <w:szCs w:val="24"/>
          <w:lang w:val="en-US" w:eastAsia="zh-CN" w:bidi="ar-SA"/>
        </w:rPr>
        <w:t>1</w:t>
      </w:r>
      <w:r>
        <w:rPr>
          <w:rFonts w:hint="eastAsia" w:ascii="仿宋_GB2312" w:hAnsi="仿宋_GB2312" w:eastAsia="仿宋_GB2312" w:cs="仿宋_GB2312"/>
          <w:sz w:val="24"/>
          <w:szCs w:val="24"/>
          <w:lang w:val="en-US" w:eastAsia="zh-CN" w:bidi="ar-SA"/>
        </w:rPr>
        <w:t>）。</w:t>
      </w:r>
    </w:p>
    <w:p w14:paraId="5C1D0C2D">
      <w:pPr>
        <w:ind w:firstLine="640"/>
        <w:rPr>
          <w:rFonts w:hint="eastAsia" w:ascii="仿宋_GB2312" w:hAnsi="仿宋_GB2312" w:cs="仿宋_GB2312"/>
          <w:szCs w:val="32"/>
          <w:lang w:eastAsia="zh-CN"/>
        </w:rPr>
      </w:pPr>
      <w:r>
        <w:rPr>
          <w:rFonts w:hint="eastAsia" w:ascii="仿宋_GB2312" w:hAnsi="仿宋_GB2312" w:cs="仿宋_GB2312"/>
          <w:szCs w:val="32"/>
          <w:lang w:eastAsia="zh-CN"/>
        </w:rPr>
        <w:t>轨道站与街道的无障碍衔接应注重功能性和便利性的有机结合，通过多感标识、无障碍通道等建设，确保特殊群体能够安全、便捷地使用轨道交通服务。同时，应加强轨道站与街道无障碍衔接的智慧化建设，提升无障碍出行的便利性和安全性。</w:t>
      </w:r>
    </w:p>
    <w:p w14:paraId="6199D57C">
      <w:pPr>
        <w:keepNext/>
        <w:keepLines/>
        <w:ind w:firstLine="643" w:firstLineChars="200"/>
        <w:outlineLvl w:val="2"/>
      </w:pPr>
      <w:bookmarkStart w:id="75" w:name="_Toc24202_ai"/>
      <w:r>
        <w:rPr>
          <w:rFonts w:hint="eastAsia" w:ascii="仿宋_GB2312" w:hAnsi="仿宋_GB2312" w:eastAsia="仿宋_GB2312" w:cs="仿宋_GB2312"/>
          <w:b/>
          <w:bCs/>
          <w:sz w:val="32"/>
          <w:szCs w:val="32"/>
          <w:lang w:val="en-US" w:eastAsia="zh-CN" w:bidi="ar-SA"/>
        </w:rPr>
        <w:t>4.2.4公交站与街道无障碍衔接指引</w:t>
      </w:r>
      <w:bookmarkEnd w:id="75"/>
    </w:p>
    <w:p w14:paraId="65BB123D">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公交站与街道的无障碍衔接是公共交通无障碍体系的重要组成部分，应加快推广智慧公交站台建设，加强公交站与轨道站、公交站与建筑前区、人行道、小区出入口等的无障碍衔接。</w:t>
      </w:r>
    </w:p>
    <w:p w14:paraId="5D7C8789">
      <w:pPr>
        <w:keepNext/>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表11 公交站与街道无障碍衔接指引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3100"/>
        <w:gridCol w:w="2616"/>
        <w:gridCol w:w="2178"/>
      </w:tblGrid>
      <w:tr w14:paraId="17D6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trPr>
        <w:tc>
          <w:tcPr>
            <w:tcW w:w="962" w:type="dxa"/>
            <w:shd w:val="clear" w:color="auto" w:fill="D7D7D7"/>
            <w:noWrap w:val="0"/>
            <w:tcMar>
              <w:left w:w="108" w:type="dxa"/>
              <w:right w:w="108" w:type="dxa"/>
            </w:tcMar>
            <w:vAlign w:val="center"/>
          </w:tcPr>
          <w:p w14:paraId="51DC40BB">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黑体" w:hAnsi="黑体" w:eastAsia="黑体" w:cs="黑体"/>
                <w:bCs/>
                <w:sz w:val="28"/>
                <w:szCs w:val="28"/>
                <w:lang w:val="en-US" w:eastAsia="en-US" w:bidi="ar-SA"/>
              </w:rPr>
              <w:t>衔接内容</w:t>
            </w:r>
          </w:p>
        </w:tc>
        <w:tc>
          <w:tcPr>
            <w:tcW w:w="3100" w:type="dxa"/>
            <w:shd w:val="clear" w:color="auto" w:fill="D7D7D7"/>
            <w:noWrap w:val="0"/>
            <w:tcMar>
              <w:left w:w="108" w:type="dxa"/>
              <w:right w:w="108" w:type="dxa"/>
            </w:tcMar>
            <w:vAlign w:val="center"/>
          </w:tcPr>
          <w:p w14:paraId="3E3E5631">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黑体" w:hAnsi="黑体" w:eastAsia="黑体" w:cs="黑体"/>
                <w:bCs/>
                <w:sz w:val="28"/>
                <w:szCs w:val="28"/>
                <w:lang w:val="en-US" w:eastAsia="en-US" w:bidi="ar-SA"/>
              </w:rPr>
              <w:t>技术要求</w:t>
            </w:r>
          </w:p>
        </w:tc>
        <w:tc>
          <w:tcPr>
            <w:tcW w:w="2616" w:type="dxa"/>
            <w:shd w:val="clear" w:color="auto" w:fill="D7D7D7"/>
            <w:noWrap w:val="0"/>
            <w:tcMar>
              <w:left w:w="108" w:type="dxa"/>
              <w:right w:w="108" w:type="dxa"/>
            </w:tcMar>
            <w:vAlign w:val="center"/>
          </w:tcPr>
          <w:p w14:paraId="2A3EBB58">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黑体" w:hAnsi="黑体" w:eastAsia="黑体" w:cs="黑体"/>
                <w:bCs/>
                <w:sz w:val="28"/>
                <w:szCs w:val="28"/>
                <w:lang w:val="en-US" w:eastAsia="en-US" w:bidi="ar-SA"/>
              </w:rPr>
              <w:t>实施方式</w:t>
            </w:r>
          </w:p>
        </w:tc>
        <w:tc>
          <w:tcPr>
            <w:tcW w:w="2178" w:type="dxa"/>
            <w:shd w:val="clear" w:color="auto" w:fill="D7D7D7"/>
            <w:noWrap w:val="0"/>
            <w:tcMar>
              <w:left w:w="108" w:type="dxa"/>
              <w:right w:w="108" w:type="dxa"/>
            </w:tcMar>
            <w:vAlign w:val="center"/>
          </w:tcPr>
          <w:p w14:paraId="5913FAA8">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黑体" w:hAnsi="黑体" w:eastAsia="黑体" w:cs="黑体"/>
                <w:bCs/>
                <w:sz w:val="28"/>
                <w:szCs w:val="28"/>
                <w:lang w:val="en-US" w:eastAsia="en-US" w:bidi="ar-SA"/>
              </w:rPr>
              <w:t>衔接关系</w:t>
            </w:r>
          </w:p>
        </w:tc>
      </w:tr>
      <w:tr w14:paraId="0F87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62" w:type="dxa"/>
            <w:noWrap w:val="0"/>
            <w:tcMar>
              <w:left w:w="108" w:type="dxa"/>
              <w:right w:w="108" w:type="dxa"/>
            </w:tcMar>
            <w:vAlign w:val="center"/>
          </w:tcPr>
          <w:p w14:paraId="03A7330A">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公交站台位置优化</w:t>
            </w:r>
          </w:p>
        </w:tc>
        <w:tc>
          <w:tcPr>
            <w:tcW w:w="3100" w:type="dxa"/>
            <w:noWrap w:val="0"/>
            <w:tcMar>
              <w:left w:w="108" w:type="dxa"/>
              <w:right w:w="108" w:type="dxa"/>
            </w:tcMar>
            <w:vAlign w:val="center"/>
          </w:tcPr>
          <w:p w14:paraId="3B5ADA46">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结合街道慢行空间、轨道站出入口位置优化公交站台位置和设计</w:t>
            </w:r>
          </w:p>
        </w:tc>
        <w:tc>
          <w:tcPr>
            <w:tcW w:w="2616" w:type="dxa"/>
            <w:noWrap w:val="0"/>
            <w:tcMar>
              <w:left w:w="108" w:type="dxa"/>
              <w:right w:w="108" w:type="dxa"/>
            </w:tcMar>
            <w:vAlign w:val="center"/>
          </w:tcPr>
          <w:p w14:paraId="38128ABA">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新建或改造公交站台位置，同步实施无障碍标识系统</w:t>
            </w:r>
          </w:p>
        </w:tc>
        <w:tc>
          <w:tcPr>
            <w:tcW w:w="2178" w:type="dxa"/>
            <w:noWrap w:val="0"/>
            <w:tcMar>
              <w:left w:w="108" w:type="dxa"/>
              <w:right w:w="108" w:type="dxa"/>
            </w:tcMar>
            <w:vAlign w:val="center"/>
          </w:tcPr>
          <w:p w14:paraId="678E0719">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与轨道站出入口、街道慢行空间</w:t>
            </w:r>
            <w:r>
              <w:rPr>
                <w:rFonts w:hint="eastAsia" w:ascii="仿宋_GB2312" w:hAnsi="仿宋_GB2312" w:cs="仿宋_GB2312"/>
                <w:bCs/>
                <w:sz w:val="28"/>
                <w:szCs w:val="28"/>
                <w:lang w:val="en-US" w:eastAsia="zh-CN" w:bidi="ar-SA"/>
              </w:rPr>
              <w:t>等</w:t>
            </w:r>
            <w:r>
              <w:rPr>
                <w:rFonts w:hint="eastAsia" w:ascii="仿宋_GB2312" w:hAnsi="仿宋_GB2312" w:eastAsia="仿宋_GB2312" w:cs="仿宋_GB2312"/>
                <w:bCs/>
                <w:sz w:val="28"/>
                <w:szCs w:val="28"/>
                <w:lang w:val="en-US" w:eastAsia="zh-CN" w:bidi="ar-SA"/>
              </w:rPr>
              <w:t>合理衔接</w:t>
            </w:r>
          </w:p>
        </w:tc>
      </w:tr>
      <w:tr w14:paraId="669D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62" w:type="dxa"/>
            <w:noWrap w:val="0"/>
            <w:tcMar>
              <w:left w:w="108" w:type="dxa"/>
              <w:right w:w="108" w:type="dxa"/>
            </w:tcMar>
            <w:vAlign w:val="center"/>
          </w:tcPr>
          <w:p w14:paraId="00F64EED">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无障碍候车位置</w:t>
            </w:r>
          </w:p>
        </w:tc>
        <w:tc>
          <w:tcPr>
            <w:tcW w:w="3100" w:type="dxa"/>
            <w:noWrap w:val="0"/>
            <w:tcMar>
              <w:left w:w="108" w:type="dxa"/>
              <w:right w:w="108" w:type="dxa"/>
            </w:tcMar>
            <w:vAlign w:val="center"/>
          </w:tcPr>
          <w:p w14:paraId="70FDE10D">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地面完全平整，设置提示盲道引导，候车区面积≥2.5㎡（轮椅回旋直径≥1.5米）</w:t>
            </w:r>
          </w:p>
        </w:tc>
        <w:tc>
          <w:tcPr>
            <w:tcW w:w="2616" w:type="dxa"/>
            <w:noWrap w:val="0"/>
            <w:tcMar>
              <w:left w:w="108" w:type="dxa"/>
              <w:right w:w="108" w:type="dxa"/>
            </w:tcMar>
            <w:vAlign w:val="center"/>
          </w:tcPr>
          <w:p w14:paraId="48E59A9C">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新建或改造候车区，配备呼叫按钮及声光提示装置</w:t>
            </w:r>
          </w:p>
        </w:tc>
        <w:tc>
          <w:tcPr>
            <w:tcW w:w="2178" w:type="dxa"/>
            <w:noWrap w:val="0"/>
            <w:tcMar>
              <w:left w:w="108" w:type="dxa"/>
              <w:right w:w="108" w:type="dxa"/>
            </w:tcMar>
            <w:vAlign w:val="center"/>
          </w:tcPr>
          <w:p w14:paraId="1D6AFADC">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与无障碍通道、车辆停靠区精准对接</w:t>
            </w:r>
          </w:p>
        </w:tc>
      </w:tr>
      <w:tr w14:paraId="3DB0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62" w:type="dxa"/>
            <w:noWrap w:val="0"/>
            <w:tcMar>
              <w:left w:w="108" w:type="dxa"/>
              <w:right w:w="108" w:type="dxa"/>
            </w:tcMar>
            <w:vAlign w:val="center"/>
          </w:tcPr>
          <w:p w14:paraId="173453C5">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无障碍通道</w:t>
            </w:r>
          </w:p>
        </w:tc>
        <w:tc>
          <w:tcPr>
            <w:tcW w:w="3100" w:type="dxa"/>
            <w:noWrap w:val="0"/>
            <w:tcMar>
              <w:left w:w="108" w:type="dxa"/>
              <w:right w:w="108" w:type="dxa"/>
            </w:tcMar>
            <w:vAlign w:val="center"/>
          </w:tcPr>
          <w:p w14:paraId="77F09675">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站台内外通道连续畅通</w:t>
            </w:r>
            <w:r>
              <w:rPr>
                <w:rFonts w:hint="eastAsia" w:ascii="仿宋_GB2312" w:hAnsi="仿宋_GB2312" w:cs="仿宋_GB2312"/>
                <w:bCs/>
                <w:sz w:val="28"/>
                <w:szCs w:val="28"/>
                <w:lang w:val="en-US" w:eastAsia="zh-CN" w:bidi="ar-SA"/>
              </w:rPr>
              <w:t>；</w:t>
            </w:r>
            <w:r>
              <w:rPr>
                <w:rFonts w:hint="eastAsia" w:ascii="仿宋_GB2312" w:hAnsi="仿宋_GB2312" w:eastAsia="仿宋_GB2312" w:cs="仿宋_GB2312"/>
                <w:bCs/>
                <w:sz w:val="28"/>
                <w:szCs w:val="28"/>
                <w:lang w:val="en-US" w:eastAsia="zh-CN" w:bidi="ar-SA"/>
              </w:rPr>
              <w:t>盲道采用条形+圆点地砖组合设计</w:t>
            </w:r>
            <w:r>
              <w:rPr>
                <w:rFonts w:hint="eastAsia" w:ascii="仿宋_GB2312" w:hAnsi="仿宋_GB2312" w:cs="仿宋_GB2312"/>
                <w:bCs/>
                <w:sz w:val="28"/>
                <w:szCs w:val="28"/>
                <w:lang w:val="en-US" w:eastAsia="zh-CN" w:bidi="ar-SA"/>
              </w:rPr>
              <w:t>；</w:t>
            </w:r>
            <w:r>
              <w:rPr>
                <w:rFonts w:hint="eastAsia" w:ascii="仿宋_GB2312" w:hAnsi="仿宋_GB2312" w:eastAsia="仿宋_GB2312" w:cs="仿宋_GB2312"/>
                <w:bCs/>
                <w:sz w:val="28"/>
                <w:szCs w:val="28"/>
                <w:lang w:val="en-US" w:eastAsia="zh-CN" w:bidi="ar-SA"/>
              </w:rPr>
              <w:t>轮椅坡道坡度≤1:12、净宽≥</w:t>
            </w:r>
            <w:r>
              <w:rPr>
                <w:rFonts w:hint="eastAsia" w:ascii="仿宋_GB2312" w:hAnsi="仿宋_GB2312" w:cs="仿宋_GB2312"/>
                <w:bCs/>
                <w:sz w:val="28"/>
                <w:szCs w:val="28"/>
                <w:lang w:val="en-US" w:eastAsia="zh-CN" w:bidi="ar-SA"/>
              </w:rPr>
              <w:t>1.2</w:t>
            </w:r>
            <w:r>
              <w:rPr>
                <w:rFonts w:hint="eastAsia" w:ascii="仿宋_GB2312" w:hAnsi="仿宋_GB2312" w:eastAsia="仿宋_GB2312" w:cs="仿宋_GB2312"/>
                <w:bCs/>
                <w:sz w:val="28"/>
                <w:szCs w:val="28"/>
                <w:lang w:val="en-US" w:eastAsia="zh-CN" w:bidi="ar-SA"/>
              </w:rPr>
              <w:t>米</w:t>
            </w:r>
          </w:p>
        </w:tc>
        <w:tc>
          <w:tcPr>
            <w:tcW w:w="2616" w:type="dxa"/>
            <w:noWrap w:val="0"/>
            <w:tcMar>
              <w:left w:w="108" w:type="dxa"/>
              <w:right w:w="108" w:type="dxa"/>
            </w:tcMar>
            <w:vAlign w:val="center"/>
          </w:tcPr>
          <w:p w14:paraId="52EEAD48">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新建或改造通道设施，与周边盲道系统整合验收</w:t>
            </w:r>
          </w:p>
        </w:tc>
        <w:tc>
          <w:tcPr>
            <w:tcW w:w="2178" w:type="dxa"/>
            <w:noWrap w:val="0"/>
            <w:tcMar>
              <w:left w:w="108" w:type="dxa"/>
              <w:right w:w="108" w:type="dxa"/>
            </w:tcMar>
            <w:vAlign w:val="center"/>
          </w:tcPr>
          <w:p w14:paraId="64C6ACAE">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仿宋_GB2312" w:eastAsia="仿宋_GB2312" w:cs="仿宋_GB2312"/>
                <w:bCs/>
                <w:sz w:val="28"/>
                <w:szCs w:val="28"/>
                <w:lang w:val="en-US" w:eastAsia="zh-CN" w:bidi="ar-SA"/>
              </w:rPr>
              <w:t>串联无障碍候车位置与街道慢行空间</w:t>
            </w:r>
          </w:p>
        </w:tc>
      </w:tr>
      <w:tr w14:paraId="13FF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62" w:type="dxa"/>
            <w:shd w:val="clear" w:color="auto" w:fill="auto"/>
            <w:noWrap w:val="0"/>
            <w:tcMar>
              <w:left w:w="108" w:type="dxa"/>
              <w:right w:w="108" w:type="dxa"/>
            </w:tcMar>
            <w:vAlign w:val="center"/>
          </w:tcPr>
          <w:p w14:paraId="06867FCD">
            <w:pPr>
              <w:snapToGrid w:val="0"/>
              <w:spacing w:line="240" w:lineRule="auto"/>
              <w:ind w:firstLine="0" w:firstLineChars="0"/>
              <w:jc w:val="center"/>
              <w:rPr>
                <w:rFonts w:hint="default" w:ascii="微软雅黑" w:hAnsi="微软雅黑" w:eastAsia="仿宋_GB2312" w:cs="Times New Roman"/>
                <w:sz w:val="32"/>
                <w:szCs w:val="24"/>
                <w:lang w:val="en-US" w:eastAsia="zh-CN" w:bidi="ar-SA"/>
              </w:rPr>
            </w:pPr>
            <w:r>
              <w:rPr>
                <w:rFonts w:hint="eastAsia" w:ascii="仿宋_GB2312" w:hAnsi="仿宋_GB2312" w:cs="仿宋_GB2312"/>
                <w:bCs/>
                <w:sz w:val="28"/>
                <w:szCs w:val="28"/>
                <w:lang w:val="en-US" w:eastAsia="zh-CN" w:bidi="ar-SA"/>
              </w:rPr>
              <w:t>信息交互</w:t>
            </w:r>
          </w:p>
        </w:tc>
        <w:tc>
          <w:tcPr>
            <w:tcW w:w="3100" w:type="dxa"/>
            <w:shd w:val="clear" w:color="auto" w:fill="auto"/>
            <w:noWrap w:val="0"/>
            <w:tcMar>
              <w:left w:w="108" w:type="dxa"/>
              <w:right w:w="108" w:type="dxa"/>
            </w:tcMar>
            <w:vAlign w:val="center"/>
          </w:tcPr>
          <w:p w14:paraId="22CC532C">
            <w:pPr>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eastAsia="zh-CN"/>
              </w:rPr>
              <w:t>提供盲文（触摸）指引（高度1.2米）、坐姿视读互动信息装置（倾斜10度）、站台语音广播（</w:t>
            </w:r>
            <w:r>
              <w:rPr>
                <w:rFonts w:hint="eastAsia" w:ascii="仿宋_GB2312" w:hAnsi="仿宋_GB2312" w:cs="仿宋_GB2312"/>
                <w:sz w:val="28"/>
                <w:szCs w:val="28"/>
                <w:lang w:val="en-US" w:eastAsia="zh-CN"/>
              </w:rPr>
              <w:t>中英双语</w:t>
            </w:r>
            <w:r>
              <w:rPr>
                <w:rFonts w:hint="eastAsia" w:ascii="仿宋_GB2312" w:hAnsi="仿宋_GB2312" w:cs="仿宋_GB2312"/>
                <w:sz w:val="28"/>
                <w:szCs w:val="28"/>
                <w:lang w:eastAsia="zh-CN"/>
              </w:rPr>
              <w:t>）等多元素引导系统</w:t>
            </w:r>
          </w:p>
        </w:tc>
        <w:tc>
          <w:tcPr>
            <w:tcW w:w="2616" w:type="dxa"/>
            <w:shd w:val="clear" w:color="auto" w:fill="auto"/>
            <w:noWrap w:val="0"/>
            <w:tcMar>
              <w:left w:w="108" w:type="dxa"/>
              <w:right w:w="108" w:type="dxa"/>
            </w:tcMar>
            <w:vAlign w:val="center"/>
          </w:tcPr>
          <w:p w14:paraId="7B4E89F1">
            <w:pPr>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eastAsia="zh-CN"/>
              </w:rPr>
              <w:t>新建或改造站点内信息服务设施，标识纳入城市引导系统</w:t>
            </w:r>
          </w:p>
        </w:tc>
        <w:tc>
          <w:tcPr>
            <w:tcW w:w="2178" w:type="dxa"/>
            <w:shd w:val="clear" w:color="auto" w:fill="auto"/>
            <w:noWrap w:val="0"/>
            <w:tcMar>
              <w:left w:w="108" w:type="dxa"/>
              <w:right w:w="108" w:type="dxa"/>
            </w:tcMar>
            <w:vAlign w:val="center"/>
          </w:tcPr>
          <w:p w14:paraId="318E9571">
            <w:pPr>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eastAsia="zh-CN"/>
              </w:rPr>
              <w:t>与</w:t>
            </w:r>
            <w:r>
              <w:rPr>
                <w:rFonts w:hint="eastAsia" w:ascii="仿宋_GB2312" w:hAnsi="仿宋_GB2312" w:cs="仿宋_GB2312"/>
                <w:sz w:val="28"/>
                <w:szCs w:val="28"/>
                <w:lang w:val="en-US" w:eastAsia="zh-CN"/>
              </w:rPr>
              <w:t>轨道站</w:t>
            </w:r>
            <w:r>
              <w:rPr>
                <w:rFonts w:hint="eastAsia" w:ascii="仿宋_GB2312" w:hAnsi="仿宋_GB2312" w:cs="仿宋_GB2312"/>
                <w:sz w:val="28"/>
                <w:szCs w:val="28"/>
                <w:lang w:eastAsia="zh-CN"/>
              </w:rPr>
              <w:t>等衔接</w:t>
            </w:r>
          </w:p>
        </w:tc>
      </w:tr>
    </w:tbl>
    <w:p w14:paraId="05155420">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注：引用文件为《无障碍设计规范》（GB 50763-2012）、《建筑与市政工程无障碍通用规范》（GB 55019-2021）、《城市道路工程设计规范》（CJJ 37-2012）、《民用建筑设计统一标准》（GB 50352-2019）。</w:t>
      </w:r>
    </w:p>
    <w:p w14:paraId="1EB4898A">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公交站与街道的无障碍衔接应注重功能性和便利性的有机结合，通过无障碍通道、无障碍候车位置、信息标识等建设，确保特殊群体能够安全、便捷地使用公共交通服务。同时，应加强公交站与街道无障碍衔接的智慧化建设，提升无障碍出行的便利性和安全性。</w:t>
      </w:r>
    </w:p>
    <w:p w14:paraId="01B8698D">
      <w:pPr>
        <w:keepNext/>
        <w:keepLines/>
        <w:ind w:firstLine="643" w:firstLineChars="200"/>
        <w:outlineLvl w:val="2"/>
      </w:pPr>
      <w:bookmarkStart w:id="76" w:name="_Toc10363_ai"/>
      <w:r>
        <w:rPr>
          <w:rFonts w:hint="eastAsia" w:ascii="仿宋_GB2312" w:hAnsi="仿宋_GB2312" w:eastAsia="仿宋_GB2312" w:cs="仿宋_GB2312"/>
          <w:b/>
          <w:bCs/>
          <w:sz w:val="32"/>
          <w:szCs w:val="32"/>
          <w:lang w:val="en-US" w:eastAsia="zh-CN" w:bidi="ar-SA"/>
        </w:rPr>
        <w:t>4.2.5街道慢行空间无障碍衔接指引</w:t>
      </w:r>
      <w:bookmarkEnd w:id="76"/>
    </w:p>
    <w:p w14:paraId="0EE3EA87">
      <w:pPr>
        <w:ind w:firstLine="640"/>
        <w:rPr>
          <w:rFonts w:hint="eastAsia" w:ascii="仿宋_GB2312" w:hAnsi="仿宋_GB2312" w:cs="仿宋_GB2312"/>
          <w:szCs w:val="32"/>
          <w:lang w:eastAsia="zh-CN"/>
        </w:rPr>
      </w:pPr>
      <w:r>
        <w:rPr>
          <w:rFonts w:hint="eastAsia" w:ascii="仿宋_GB2312" w:hAnsi="仿宋_GB2312" w:cs="仿宋_GB2312"/>
          <w:szCs w:val="32"/>
          <w:lang w:eastAsia="zh-CN"/>
        </w:rPr>
        <w:t>街道慢行空间的无障碍衔接是公共交通无障碍体系的基础环节，应重点加强人行道、立体过街设施和道路交叉口等街道慢行空间的无障碍设施衔接，形成系统连接轨道站、公交站、公共通道、公园绿地、公共设施和商业设施等的无障碍慢行街区。</w:t>
      </w:r>
    </w:p>
    <w:p w14:paraId="461F45A1">
      <w:pPr>
        <w:keepNext/>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表12 街道慢行空间无障碍衔接指引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5"/>
        <w:gridCol w:w="5139"/>
        <w:gridCol w:w="810"/>
        <w:gridCol w:w="2002"/>
      </w:tblGrid>
      <w:tr w14:paraId="3AC0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798A85B0">
            <w:pPr>
              <w:adjustRightInd w:val="0"/>
              <w:snapToGrid w:val="0"/>
              <w:spacing w:line="240" w:lineRule="auto"/>
              <w:ind w:firstLine="0" w:firstLineChars="0"/>
              <w:jc w:val="center"/>
            </w:pPr>
            <w:r>
              <w:rPr>
                <w:rFonts w:hint="eastAsia" w:ascii="黑体" w:hAnsi="黑体" w:eastAsia="黑体" w:cs="黑体"/>
                <w:bCs/>
                <w:sz w:val="28"/>
                <w:szCs w:val="28"/>
                <w:lang w:eastAsia="zh-CN"/>
              </w:rPr>
              <w:t>衔接内容</w:t>
            </w:r>
          </w:p>
        </w:tc>
        <w:tc>
          <w:tcPr>
            <w:tcW w:w="5139"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7C6D4CEE">
            <w:pPr>
              <w:adjustRightInd w:val="0"/>
              <w:snapToGrid w:val="0"/>
              <w:spacing w:line="240" w:lineRule="auto"/>
              <w:ind w:firstLine="0" w:firstLineChars="0"/>
              <w:jc w:val="center"/>
            </w:pPr>
            <w:r>
              <w:rPr>
                <w:rFonts w:hint="eastAsia" w:ascii="黑体" w:hAnsi="黑体" w:eastAsia="黑体" w:cs="黑体"/>
                <w:bCs/>
                <w:sz w:val="28"/>
                <w:szCs w:val="28"/>
                <w:lang w:eastAsia="zh-CN"/>
              </w:rPr>
              <w:t>技术要求</w:t>
            </w:r>
          </w:p>
        </w:tc>
        <w:tc>
          <w:tcPr>
            <w:tcW w:w="810" w:type="dxa"/>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41C68044">
            <w:pPr>
              <w:adjustRightInd w:val="0"/>
              <w:snapToGrid w:val="0"/>
              <w:spacing w:line="240" w:lineRule="auto"/>
              <w:ind w:firstLine="0" w:firstLineChars="0"/>
              <w:jc w:val="center"/>
            </w:pPr>
            <w:r>
              <w:rPr>
                <w:rFonts w:hint="eastAsia" w:ascii="黑体" w:hAnsi="黑体" w:eastAsia="黑体" w:cs="黑体"/>
                <w:bCs/>
                <w:sz w:val="28"/>
                <w:szCs w:val="28"/>
                <w:lang w:eastAsia="zh-CN"/>
              </w:rPr>
              <w:t>实施方式</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tcMar>
              <w:left w:w="108" w:type="dxa"/>
              <w:right w:w="108" w:type="dxa"/>
            </w:tcMar>
            <w:vAlign w:val="center"/>
          </w:tcPr>
          <w:p w14:paraId="3C5A4D2B">
            <w:pPr>
              <w:adjustRightInd w:val="0"/>
              <w:snapToGrid w:val="0"/>
              <w:spacing w:line="240" w:lineRule="auto"/>
              <w:ind w:firstLine="0" w:firstLineChars="0"/>
              <w:jc w:val="center"/>
            </w:pPr>
            <w:r>
              <w:rPr>
                <w:rFonts w:hint="eastAsia" w:ascii="黑体" w:hAnsi="黑体" w:eastAsia="黑体" w:cs="黑体"/>
                <w:bCs/>
                <w:sz w:val="28"/>
                <w:szCs w:val="28"/>
                <w:lang w:eastAsia="zh-CN"/>
              </w:rPr>
              <w:t>衔接关系</w:t>
            </w:r>
          </w:p>
        </w:tc>
      </w:tr>
      <w:tr w14:paraId="3A2E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2F0ED9">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lang w:val="en-US" w:eastAsia="zh-CN"/>
              </w:rPr>
              <w:t>人行道</w:t>
            </w:r>
          </w:p>
        </w:tc>
        <w:tc>
          <w:tcPr>
            <w:tcW w:w="5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C4934C">
            <w:pPr>
              <w:adjustRightInd w:val="0"/>
              <w:snapToGrid w:val="0"/>
              <w:spacing w:line="240" w:lineRule="auto"/>
              <w:ind w:firstLine="0" w:firstLineChars="0"/>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人行道净宽≥2.5m（核心路段≥3.0m），平整度≤3mm；无障碍通道净宽≥1.2m，坡度≤1:12；盲道宽≥0.3m、距路缘≥0.25m，数字盲道信号覆盖范围≥5米</w:t>
            </w:r>
          </w:p>
        </w:tc>
        <w:tc>
          <w:tcPr>
            <w:tcW w:w="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AD7BE5">
            <w:pPr>
              <w:adjustRightInd w:val="0"/>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改造</w:t>
            </w:r>
          </w:p>
        </w:tc>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BD1C9E">
            <w:pPr>
              <w:adjustRightInd w:val="0"/>
              <w:snapToGrid w:val="0"/>
              <w:spacing w:line="240" w:lineRule="auto"/>
              <w:ind w:firstLine="0" w:firstLineChars="0"/>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作为无障碍慢行系统的基础，串联所有核心节点</w:t>
            </w:r>
          </w:p>
        </w:tc>
      </w:tr>
      <w:tr w14:paraId="0814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0F4837">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lang w:val="en-US" w:eastAsia="zh-CN"/>
              </w:rPr>
              <w:t>立体过街设施</w:t>
            </w:r>
          </w:p>
        </w:tc>
        <w:tc>
          <w:tcPr>
            <w:tcW w:w="5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C27382">
            <w:pPr>
              <w:adjustRightInd w:val="0"/>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天桥/地道坡道坡度≤1:12、净宽≥1.5m；垂直电梯载重≥1000kg、候梯厅≥1.8m，出入口与人行道0高差</w:t>
            </w:r>
          </w:p>
        </w:tc>
        <w:tc>
          <w:tcPr>
            <w:tcW w:w="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BFFF44">
            <w:pPr>
              <w:adjustRightInd w:val="0"/>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新建/改造</w:t>
            </w:r>
          </w:p>
        </w:tc>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243E1D">
            <w:pPr>
              <w:adjustRightInd w:val="0"/>
              <w:snapToGrid w:val="0"/>
              <w:spacing w:line="240" w:lineRule="auto"/>
              <w:ind w:firstLine="0" w:firstLineChars="0"/>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衔接道路两侧人行道、轨道站、公交站，连通周边公共设施</w:t>
            </w:r>
          </w:p>
        </w:tc>
      </w:tr>
      <w:tr w14:paraId="268C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829381">
            <w:pPr>
              <w:adjustRightInd w:val="0"/>
              <w:snapToGrid w:val="0"/>
              <w:spacing w:line="240" w:lineRule="auto"/>
              <w:ind w:firstLine="0" w:firstLineChars="0"/>
              <w:jc w:val="center"/>
              <w:rPr>
                <w:rFonts w:hint="default" w:ascii="仿宋_GB2312" w:hAnsi="仿宋_GB2312" w:cs="仿宋_GB2312"/>
                <w:sz w:val="28"/>
                <w:szCs w:val="28"/>
                <w:lang w:val="en-US"/>
              </w:rPr>
            </w:pPr>
            <w:r>
              <w:rPr>
                <w:rFonts w:hint="eastAsia" w:ascii="仿宋_GB2312" w:hAnsi="仿宋_GB2312" w:cs="仿宋_GB2312"/>
                <w:sz w:val="28"/>
                <w:szCs w:val="28"/>
                <w:lang w:val="en-US" w:eastAsia="zh-CN"/>
              </w:rPr>
              <w:t>平面过街设施</w:t>
            </w:r>
          </w:p>
        </w:tc>
        <w:tc>
          <w:tcPr>
            <w:tcW w:w="5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57D5FF">
            <w:pPr>
              <w:adjustRightInd w:val="0"/>
              <w:snapToGrid w:val="0"/>
              <w:spacing w:line="240" w:lineRule="auto"/>
              <w:ind w:firstLine="0" w:firstLineChars="0"/>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人行横道、安全岛和导流岛两端应采用</w:t>
            </w:r>
            <w:r>
              <w:rPr>
                <w:rFonts w:hint="eastAsia" w:ascii="仿宋_GB2312" w:hAnsi="仿宋_GB2312" w:cs="仿宋_GB2312"/>
                <w:sz w:val="28"/>
                <w:szCs w:val="28"/>
                <w:lang w:eastAsia="zh-CN"/>
              </w:rPr>
              <w:t>缘石坡道，全宽式单面坡坡度≤1:20，三面坡坡度≤1:</w:t>
            </w:r>
            <w:r>
              <w:rPr>
                <w:rFonts w:hint="eastAsia" w:ascii="仿宋_GB2312" w:hAnsi="仿宋_GB2312" w:cs="仿宋_GB2312"/>
                <w:sz w:val="28"/>
                <w:szCs w:val="28"/>
                <w:lang w:val="en-US" w:eastAsia="zh-CN"/>
              </w:rPr>
              <w:t>12；拦车桩高度0.6-0.8m米，间距≥1.2米，盲道端点处建议采用柔性材质</w:t>
            </w:r>
          </w:p>
        </w:tc>
        <w:tc>
          <w:tcPr>
            <w:tcW w:w="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8FAC9E">
            <w:pPr>
              <w:adjustRightInd w:val="0"/>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改造</w:t>
            </w:r>
          </w:p>
        </w:tc>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ADCA3E">
            <w:pPr>
              <w:adjustRightInd w:val="0"/>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衔接道路两侧人行道、轨道站、公交站，连通周边公共设施</w:t>
            </w:r>
          </w:p>
        </w:tc>
      </w:tr>
      <w:tr w14:paraId="2154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B77FF4">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lang w:val="en-US" w:eastAsia="zh-CN"/>
              </w:rPr>
              <w:t>公共交通站点衔接</w:t>
            </w:r>
          </w:p>
        </w:tc>
        <w:tc>
          <w:tcPr>
            <w:tcW w:w="5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62E7C4">
            <w:pPr>
              <w:adjustRightInd w:val="0"/>
              <w:snapToGrid w:val="0"/>
              <w:spacing w:line="240" w:lineRule="auto"/>
              <w:ind w:firstLine="0" w:firstLineChars="0"/>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 xml:space="preserve">实现与轨道站、公交站等公共交通站点的无障碍衔接，具体标准参照4.2.3、4.2.4中关于无障碍通道的技术要求。 </w:t>
            </w:r>
          </w:p>
        </w:tc>
        <w:tc>
          <w:tcPr>
            <w:tcW w:w="8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0F4EB0">
            <w:pPr>
              <w:adjustRightInd w:val="0"/>
              <w:snapToGrid w:val="0"/>
              <w:spacing w:line="240" w:lineRule="auto"/>
              <w:ind w:firstLine="0" w:firstLineChars="0"/>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新建/改造</w:t>
            </w:r>
          </w:p>
        </w:tc>
        <w:tc>
          <w:tcPr>
            <w:tcW w:w="0" w:type="auto"/>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B35B72">
            <w:pPr>
              <w:adjustRightInd w:val="0"/>
              <w:snapToGrid w:val="0"/>
              <w:spacing w:line="240" w:lineRule="auto"/>
              <w:ind w:firstLine="0" w:firstLineChars="0"/>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与公交站、轨道站等衔接</w:t>
            </w:r>
          </w:p>
        </w:tc>
      </w:tr>
      <w:tr w14:paraId="19EA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39BF2386">
            <w:pPr>
              <w:adjustRightInd w:val="0"/>
              <w:snapToGrid w:val="0"/>
              <w:spacing w:line="240" w:lineRule="auto"/>
              <w:ind w:firstLine="0" w:firstLineChars="0"/>
              <w:jc w:val="center"/>
              <w:rPr>
                <w:rFonts w:hint="eastAsia" w:ascii="微软雅黑" w:hAnsi="微软雅黑" w:eastAsia="仿宋_GB2312" w:cs="Times New Roman"/>
                <w:sz w:val="32"/>
                <w:szCs w:val="24"/>
                <w:lang w:val="en-US" w:eastAsia="en-US" w:bidi="ar-SA"/>
              </w:rPr>
            </w:pPr>
            <w:r>
              <w:rPr>
                <w:rFonts w:hint="eastAsia" w:ascii="仿宋_GB2312" w:hAnsi="仿宋_GB2312" w:cs="仿宋_GB2312"/>
                <w:sz w:val="28"/>
                <w:szCs w:val="28"/>
                <w:lang w:val="en-US" w:eastAsia="zh-CN"/>
              </w:rPr>
              <w:t>公共设施</w:t>
            </w:r>
            <w:r>
              <w:rPr>
                <w:rFonts w:hint="eastAsia" w:ascii="仿宋_GB2312" w:hAnsi="仿宋_GB2312" w:cs="仿宋_GB2312"/>
                <w:sz w:val="28"/>
                <w:szCs w:val="28"/>
              </w:rPr>
              <w:t>出入口衔接</w:t>
            </w:r>
          </w:p>
        </w:tc>
        <w:tc>
          <w:tcPr>
            <w:tcW w:w="513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49D05748">
            <w:pPr>
              <w:adjustRightInd w:val="0"/>
              <w:snapToGrid w:val="0"/>
              <w:spacing w:line="240" w:lineRule="auto"/>
              <w:ind w:firstLine="0" w:firstLineChars="0"/>
              <w:jc w:val="center"/>
              <w:rPr>
                <w:rFonts w:hint="default" w:ascii="微软雅黑" w:hAnsi="微软雅黑" w:eastAsia="仿宋_GB2312" w:cs="Times New Roman"/>
                <w:sz w:val="32"/>
                <w:szCs w:val="24"/>
                <w:lang w:val="en-US" w:eastAsia="zh-CN" w:bidi="ar-SA"/>
              </w:rPr>
            </w:pPr>
            <w:r>
              <w:rPr>
                <w:rFonts w:hint="eastAsia" w:ascii="仿宋_GB2312" w:hAnsi="仿宋_GB2312" w:cs="仿宋_GB2312"/>
                <w:sz w:val="28"/>
                <w:szCs w:val="28"/>
                <w:lang w:val="en-US" w:eastAsia="zh-CN"/>
              </w:rPr>
              <w:t>专属、通用公共服务设施应设置无障碍</w:t>
            </w:r>
            <w:r>
              <w:rPr>
                <w:rFonts w:hint="eastAsia" w:ascii="仿宋_GB2312" w:hAnsi="仿宋_GB2312" w:cs="仿宋_GB2312"/>
                <w:sz w:val="28"/>
                <w:szCs w:val="28"/>
                <w:lang w:eastAsia="zh-CN"/>
              </w:rPr>
              <w:t>出入口，</w:t>
            </w:r>
            <w:r>
              <w:rPr>
                <w:rFonts w:hint="eastAsia" w:ascii="仿宋_GB2312" w:hAnsi="仿宋_GB2312" w:cs="仿宋_GB2312"/>
                <w:sz w:val="28"/>
                <w:szCs w:val="28"/>
                <w:lang w:val="en-US" w:eastAsia="zh-CN"/>
              </w:rPr>
              <w:t>具体标准参照4.2.3中关于无障碍出入口的技术要求。</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2C103E63">
            <w:pPr>
              <w:adjustRightInd w:val="0"/>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val="en-US" w:eastAsia="zh-CN"/>
              </w:rPr>
              <w:t>新建/</w:t>
            </w:r>
            <w:r>
              <w:rPr>
                <w:rFonts w:hint="eastAsia" w:ascii="仿宋_GB2312" w:hAnsi="仿宋_GB2312" w:cs="仿宋_GB2312"/>
                <w:sz w:val="28"/>
                <w:szCs w:val="28"/>
              </w:rPr>
              <w:t>改造</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F1C8709">
            <w:pPr>
              <w:adjustRightInd w:val="0"/>
              <w:snapToGrid w:val="0"/>
              <w:spacing w:line="240" w:lineRule="auto"/>
              <w:ind w:firstLine="0" w:firstLineChars="0"/>
              <w:jc w:val="center"/>
              <w:rPr>
                <w:rFonts w:hint="eastAsia" w:ascii="微软雅黑" w:hAnsi="微软雅黑" w:eastAsia="仿宋_GB2312" w:cs="Times New Roman"/>
                <w:sz w:val="32"/>
                <w:szCs w:val="24"/>
                <w:lang w:val="en-US" w:eastAsia="zh-CN" w:bidi="ar-SA"/>
              </w:rPr>
            </w:pPr>
            <w:r>
              <w:rPr>
                <w:rFonts w:hint="eastAsia" w:ascii="仿宋_GB2312" w:hAnsi="仿宋_GB2312" w:cs="仿宋_GB2312"/>
                <w:sz w:val="28"/>
                <w:szCs w:val="28"/>
                <w:lang w:val="en-US" w:eastAsia="zh-CN"/>
              </w:rPr>
              <w:t>与公共服务设施</w:t>
            </w:r>
            <w:r>
              <w:rPr>
                <w:rFonts w:hint="eastAsia" w:ascii="仿宋_GB2312" w:hAnsi="仿宋_GB2312" w:cs="仿宋_GB2312"/>
                <w:sz w:val="28"/>
                <w:szCs w:val="28"/>
                <w:lang w:eastAsia="zh-CN"/>
              </w:rPr>
              <w:t>衔接</w:t>
            </w:r>
          </w:p>
        </w:tc>
      </w:tr>
    </w:tbl>
    <w:p w14:paraId="03907B1E">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注：引用文件为《无障碍设计规范》（GB 50763-2012）、《建筑与市政工程无障碍通用规范》（GB 55019-2021）、《城市道路工程设计规范》（CJJ 37-2012）、《民用建筑设计统一标准》（GB 50352-2019），并参考《社区无障碍设施建设技术导则》（JD37-007-2025）（山东省）。</w:t>
      </w:r>
    </w:p>
    <w:p w14:paraId="3D1F5450">
      <w:pPr>
        <w:ind w:firstLine="640"/>
        <w:rPr>
          <w:rFonts w:hint="eastAsia" w:ascii="仿宋_GB2312" w:hAnsi="仿宋_GB2312" w:cs="仿宋_GB2312"/>
          <w:szCs w:val="32"/>
          <w:lang w:eastAsia="zh-CN"/>
        </w:rPr>
      </w:pPr>
      <w:r>
        <w:rPr>
          <w:rFonts w:hint="eastAsia" w:ascii="仿宋_GB2312" w:hAnsi="仿宋_GB2312" w:cs="仿宋_GB2312"/>
          <w:szCs w:val="32"/>
          <w:lang w:eastAsia="zh-CN"/>
        </w:rPr>
        <w:t>街道慢行空间的无障碍衔接应注重系统性和连续性的有机结合，通过无障碍通道、无障碍设施、无障碍助行设施等建设，确保特殊群体能够安全、便捷地使用街道慢行空间。同时，应加强街道慢行空间无障碍衔接的智慧化建设，提升无障碍出行的便利性和安全性。</w:t>
      </w:r>
    </w:p>
    <w:p w14:paraId="70587F68">
      <w:pPr>
        <w:keepNext/>
        <w:keepLines/>
        <w:spacing w:before="120" w:beforeLines="50" w:after="100" w:line="574" w:lineRule="exact"/>
        <w:ind w:firstLine="0" w:firstLineChars="0"/>
        <w:outlineLvl w:val="1"/>
      </w:pPr>
      <w:bookmarkStart w:id="77" w:name="_Toc12272_ai"/>
      <w:bookmarkStart w:id="78" w:name="_Toc22591_ai"/>
      <w:bookmarkStart w:id="79" w:name="_Toc20120"/>
      <w:r>
        <w:rPr>
          <w:rFonts w:hint="eastAsia" w:ascii="楷体_GB2312" w:hAnsi="楷体_GB2312" w:eastAsia="楷体_GB2312" w:cs="楷体_GB2312"/>
          <w:b/>
          <w:bCs/>
          <w:color w:val="000000"/>
          <w:sz w:val="32"/>
          <w:lang w:val="en-US" w:eastAsia="zh-CN" w:bidi="ar-SA"/>
        </w:rPr>
        <w:t>4.3公共空间无障碍发展指引</w:t>
      </w:r>
      <w:bookmarkEnd w:id="77"/>
      <w:bookmarkEnd w:id="78"/>
    </w:p>
    <w:bookmarkEnd w:id="79"/>
    <w:p w14:paraId="590527C1">
      <w:pPr>
        <w:keepNext/>
        <w:keepLines/>
        <w:ind w:firstLine="643" w:firstLineChars="200"/>
        <w:outlineLvl w:val="2"/>
      </w:pPr>
      <w:bookmarkStart w:id="80" w:name="_Toc20120_ai"/>
      <w:r>
        <w:rPr>
          <w:rFonts w:hint="eastAsia" w:ascii="仿宋_GB2312" w:hAnsi="仿宋_GB2312" w:eastAsia="仿宋_GB2312" w:cs="仿宋_GB2312"/>
          <w:b/>
          <w:bCs/>
          <w:sz w:val="32"/>
          <w:szCs w:val="32"/>
          <w:lang w:val="en-US" w:eastAsia="zh-CN" w:bidi="ar-SA"/>
        </w:rPr>
        <w:t>4.3.1规划</w:t>
      </w:r>
      <w:bookmarkEnd w:id="80"/>
      <w:r>
        <w:rPr>
          <w:rFonts w:hint="eastAsia" w:ascii="仿宋_GB2312" w:hAnsi="仿宋_GB2312" w:eastAsia="仿宋_GB2312" w:cs="仿宋_GB2312"/>
          <w:b/>
          <w:bCs/>
          <w:sz w:val="32"/>
          <w:szCs w:val="32"/>
          <w:lang w:val="en-US" w:eastAsia="zh-CN" w:bidi="ar-SA"/>
        </w:rPr>
        <w:t>要求</w:t>
      </w:r>
    </w:p>
    <w:p w14:paraId="2762D2C8">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公共空间无障碍规划应坚持“精细化、智慧化、通用化”的基本</w:t>
      </w:r>
      <w:r>
        <w:rPr>
          <w:rFonts w:hint="eastAsia" w:ascii="仿宋_GB2312" w:hAnsi="仿宋_GB2312" w:cs="仿宋_GB2312"/>
          <w:szCs w:val="32"/>
          <w:lang w:val="en-US" w:eastAsia="zh-CN"/>
        </w:rPr>
        <w:t>要求</w:t>
      </w:r>
      <w:r>
        <w:rPr>
          <w:rFonts w:hint="eastAsia" w:ascii="仿宋_GB2312" w:hAnsi="仿宋_GB2312" w:cs="仿宋_GB2312"/>
          <w:szCs w:val="32"/>
          <w:lang w:eastAsia="zh-CN"/>
        </w:rPr>
        <w:t>，分别对居住空间、自然空间无障碍设施和通道的系统衔接，提出精细化、智慧化、通用化无障碍指引，逐步建立无障碍公共空间体系。公共空间无障碍规划应注重系统性和连续性，确保各类无障碍设施的有机衔接，为特殊群体提供平等、便利的公共空间使用条件。</w:t>
      </w:r>
    </w:p>
    <w:p w14:paraId="5F5BEF4A">
      <w:pPr>
        <w:keepNext/>
        <w:keepLines/>
        <w:ind w:firstLine="643" w:firstLineChars="200"/>
        <w:outlineLvl w:val="2"/>
      </w:pPr>
      <w:bookmarkStart w:id="81" w:name="_Toc3919_ai"/>
      <w:r>
        <w:rPr>
          <w:rFonts w:hint="eastAsia" w:ascii="仿宋_GB2312" w:hAnsi="仿宋_GB2312" w:eastAsia="仿宋_GB2312" w:cs="仿宋_GB2312"/>
          <w:b/>
          <w:bCs/>
          <w:sz w:val="32"/>
          <w:szCs w:val="32"/>
          <w:lang w:val="en-US" w:eastAsia="zh-CN" w:bidi="ar-SA"/>
        </w:rPr>
        <w:t>4.3.2居住空间无障碍</w:t>
      </w:r>
      <w:r>
        <w:rPr>
          <w:rFonts w:hint="eastAsia" w:ascii="仿宋_GB2312" w:hAnsi="仿宋_GB2312" w:cs="仿宋_GB2312"/>
          <w:b/>
          <w:bCs/>
          <w:sz w:val="32"/>
          <w:szCs w:val="32"/>
          <w:lang w:val="en-US" w:eastAsia="zh-CN" w:bidi="ar-SA"/>
        </w:rPr>
        <w:t>规划</w:t>
      </w:r>
      <w:r>
        <w:rPr>
          <w:rFonts w:hint="eastAsia" w:ascii="仿宋_GB2312" w:hAnsi="仿宋_GB2312" w:eastAsia="仿宋_GB2312" w:cs="仿宋_GB2312"/>
          <w:b/>
          <w:bCs/>
          <w:sz w:val="32"/>
          <w:szCs w:val="32"/>
          <w:lang w:val="en-US" w:eastAsia="zh-CN" w:bidi="ar-SA"/>
        </w:rPr>
        <w:t>指引</w:t>
      </w:r>
      <w:bookmarkEnd w:id="81"/>
    </w:p>
    <w:p w14:paraId="49D1F153">
      <w:pPr>
        <w:ind w:firstLine="640"/>
        <w:rPr>
          <w:rFonts w:hint="eastAsia" w:ascii="仿宋_GB2312" w:hAnsi="仿宋_GB2312" w:cs="仿宋_GB2312"/>
          <w:szCs w:val="32"/>
          <w:lang w:eastAsia="zh-CN"/>
        </w:rPr>
      </w:pPr>
      <w:r>
        <w:rPr>
          <w:rFonts w:hint="eastAsia" w:ascii="仿宋_GB2312" w:hAnsi="仿宋_GB2312" w:cs="仿宋_GB2312"/>
          <w:szCs w:val="32"/>
          <w:lang w:eastAsia="zh-CN"/>
        </w:rPr>
        <w:t>居住空间无障碍规划应以居住社区为中心，推动15分钟社区生活圈的公共空间无障碍改造与提升，包括社区街道、公共设施和社区绿地等空间，建设连续、顺畅、便利、共享的社区无障碍环境。通过社区无障碍</w:t>
      </w:r>
      <w:r>
        <w:rPr>
          <w:rFonts w:hint="eastAsia" w:ascii="仿宋_GB2312" w:hAnsi="仿宋_GB2312" w:cs="仿宋_GB2312"/>
          <w:szCs w:val="32"/>
          <w:lang w:val="en-US" w:eastAsia="zh-CN"/>
        </w:rPr>
        <w:t>环境</w:t>
      </w:r>
      <w:r>
        <w:rPr>
          <w:rFonts w:hint="eastAsia" w:ascii="仿宋_GB2312" w:hAnsi="仿宋_GB2312" w:cs="仿宋_GB2312"/>
          <w:szCs w:val="32"/>
          <w:lang w:eastAsia="zh-CN"/>
        </w:rPr>
        <w:t>建设，确保特殊群体能够安全、便捷地使用社区公共空间。同时，应加强居住社区无障碍规划的智慧化建设，提升无障碍出行的便利性和安全性。</w:t>
      </w:r>
    </w:p>
    <w:p w14:paraId="3C486DC2">
      <w:pPr>
        <w:keepNext/>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表13 居住空间无障碍建设指引</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6"/>
        <w:gridCol w:w="6877"/>
        <w:gridCol w:w="983"/>
      </w:tblGrid>
      <w:tr w14:paraId="3AAE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blHeader/>
          <w:jc w:val="center"/>
        </w:trPr>
        <w:tc>
          <w:tcPr>
            <w:tcW w:w="0" w:type="auto"/>
            <w:shd w:val="clear" w:color="auto" w:fill="D7D7D7"/>
            <w:noWrap w:val="0"/>
            <w:tcMar>
              <w:left w:w="108" w:type="dxa"/>
              <w:right w:w="108" w:type="dxa"/>
            </w:tcMar>
            <w:vAlign w:val="center"/>
          </w:tcPr>
          <w:p w14:paraId="47D8B221">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黑体" w:hAnsi="黑体" w:eastAsia="黑体" w:cs="黑体"/>
                <w:bCs/>
                <w:sz w:val="28"/>
                <w:szCs w:val="28"/>
                <w:lang w:val="en-US" w:eastAsia="en-US" w:bidi="ar-SA"/>
              </w:rPr>
              <w:t>建设内容</w:t>
            </w:r>
          </w:p>
        </w:tc>
        <w:tc>
          <w:tcPr>
            <w:tcW w:w="0" w:type="auto"/>
            <w:shd w:val="clear" w:color="auto" w:fill="D7D7D7"/>
            <w:noWrap w:val="0"/>
            <w:tcMar>
              <w:left w:w="108" w:type="dxa"/>
              <w:right w:w="108" w:type="dxa"/>
            </w:tcMar>
            <w:vAlign w:val="center"/>
          </w:tcPr>
          <w:p w14:paraId="48DF425B">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黑体" w:hAnsi="黑体" w:eastAsia="黑体" w:cs="黑体"/>
                <w:bCs/>
                <w:sz w:val="28"/>
                <w:szCs w:val="28"/>
                <w:lang w:val="en-US" w:eastAsia="zh-CN" w:bidi="ar-SA"/>
              </w:rPr>
              <w:t>建设</w:t>
            </w:r>
            <w:r>
              <w:rPr>
                <w:rFonts w:hint="eastAsia" w:ascii="黑体" w:hAnsi="黑体" w:eastAsia="黑体" w:cs="黑体"/>
                <w:bCs/>
                <w:sz w:val="28"/>
                <w:szCs w:val="28"/>
                <w:lang w:val="en-US" w:eastAsia="en-US" w:bidi="ar-SA"/>
              </w:rPr>
              <w:t>要求</w:t>
            </w:r>
          </w:p>
        </w:tc>
        <w:tc>
          <w:tcPr>
            <w:tcW w:w="983" w:type="dxa"/>
            <w:shd w:val="clear" w:color="auto" w:fill="D7D7D7"/>
            <w:noWrap w:val="0"/>
            <w:tcMar>
              <w:left w:w="108" w:type="dxa"/>
              <w:right w:w="108" w:type="dxa"/>
            </w:tcMar>
            <w:vAlign w:val="center"/>
          </w:tcPr>
          <w:p w14:paraId="3EA229B3">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黑体" w:hAnsi="黑体" w:eastAsia="黑体" w:cs="黑体"/>
                <w:bCs/>
                <w:sz w:val="28"/>
                <w:szCs w:val="28"/>
                <w:lang w:val="en-US" w:eastAsia="en-US" w:bidi="ar-SA"/>
              </w:rPr>
              <w:t>实施方式</w:t>
            </w:r>
          </w:p>
        </w:tc>
      </w:tr>
      <w:tr w14:paraId="114E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0" w:type="auto"/>
            <w:noWrap w:val="0"/>
            <w:tcMar>
              <w:left w:w="108" w:type="dxa"/>
              <w:right w:w="108" w:type="dxa"/>
            </w:tcMar>
            <w:vAlign w:val="center"/>
          </w:tcPr>
          <w:p w14:paraId="200DC7E0">
            <w:pPr>
              <w:adjustRightInd w:val="0"/>
              <w:snapToGrid w:val="0"/>
              <w:spacing w:line="240" w:lineRule="auto"/>
              <w:ind w:firstLine="0" w:firstLineChars="0"/>
              <w:jc w:val="center"/>
              <w:rPr>
                <w:rFonts w:hint="default" w:ascii="微软雅黑" w:hAnsi="微软雅黑" w:eastAsia="仿宋_GB2312" w:cs="Times New Roman"/>
                <w:sz w:val="32"/>
                <w:szCs w:val="24"/>
                <w:lang w:val="en-US" w:eastAsia="zh-CN" w:bidi="ar-SA"/>
              </w:rPr>
            </w:pPr>
            <w:r>
              <w:rPr>
                <w:rFonts w:hint="eastAsia" w:ascii="仿宋_GB2312" w:hAnsi="宋体" w:cs="仿宋_GB2312"/>
                <w:i w:val="0"/>
                <w:iCs w:val="0"/>
                <w:color w:val="000000"/>
                <w:kern w:val="0"/>
                <w:sz w:val="28"/>
                <w:szCs w:val="28"/>
                <w:u w:val="none"/>
                <w:lang w:val="en-US" w:eastAsia="zh-CN" w:bidi="ar"/>
              </w:rPr>
              <w:t>社区步行道路</w:t>
            </w:r>
          </w:p>
        </w:tc>
        <w:tc>
          <w:tcPr>
            <w:tcW w:w="0" w:type="auto"/>
            <w:noWrap w:val="0"/>
            <w:tcMar>
              <w:left w:w="108" w:type="dxa"/>
              <w:right w:w="108" w:type="dxa"/>
            </w:tcMar>
            <w:vAlign w:val="center"/>
          </w:tcPr>
          <w:p w14:paraId="3F4783A5">
            <w:pPr>
              <w:adjustRightInd w:val="0"/>
              <w:snapToGrid w:val="0"/>
              <w:spacing w:line="240" w:lineRule="auto"/>
              <w:ind w:firstLine="0" w:firstLineChars="0"/>
              <w:jc w:val="both"/>
              <w:rPr>
                <w:rFonts w:hint="eastAsia" w:ascii="仿宋_GB2312" w:hAnsi="宋体"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1.</w:t>
            </w:r>
            <w:r>
              <w:rPr>
                <w:rFonts w:hint="eastAsia" w:ascii="仿宋_GB2312" w:hAnsi="宋体" w:eastAsia="仿宋_GB2312" w:cs="仿宋_GB2312"/>
                <w:i w:val="0"/>
                <w:iCs w:val="0"/>
                <w:color w:val="000000"/>
                <w:kern w:val="0"/>
                <w:sz w:val="28"/>
                <w:szCs w:val="28"/>
                <w:u w:val="none"/>
                <w:lang w:val="en-US" w:eastAsia="zh-CN" w:bidi="ar"/>
              </w:rPr>
              <w:t>居住区道路进行无障碍设计的范围应包括居住区路、小区路、组团路、宅间小路的人行道</w:t>
            </w:r>
            <w:r>
              <w:rPr>
                <w:rFonts w:hint="eastAsia" w:ascii="仿宋_GB2312" w:hAnsi="宋体" w:cs="仿宋_GB2312"/>
                <w:i w:val="0"/>
                <w:iCs w:val="0"/>
                <w:color w:val="000000"/>
                <w:kern w:val="0"/>
                <w:sz w:val="28"/>
                <w:szCs w:val="28"/>
                <w:u w:val="none"/>
                <w:lang w:val="en-US" w:eastAsia="zh-CN" w:bidi="ar"/>
              </w:rPr>
              <w:t>；</w:t>
            </w:r>
          </w:p>
          <w:p w14:paraId="3240F7C5">
            <w:pPr>
              <w:adjustRightInd w:val="0"/>
              <w:snapToGrid w:val="0"/>
              <w:spacing w:line="240" w:lineRule="auto"/>
              <w:ind w:firstLine="0" w:firstLineChars="0"/>
              <w:jc w:val="both"/>
              <w:rPr>
                <w:rFonts w:hint="eastAsia" w:ascii="仿宋_GB2312" w:hAnsi="宋体"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2.社区步行道路应与非机动车、机动车通行空间相互分离；</w:t>
            </w:r>
          </w:p>
          <w:p w14:paraId="6D9E27FB">
            <w:pPr>
              <w:adjustRightInd w:val="0"/>
              <w:snapToGrid w:val="0"/>
              <w:spacing w:line="240" w:lineRule="auto"/>
              <w:ind w:firstLine="0" w:firstLineChars="0"/>
              <w:jc w:val="both"/>
              <w:rPr>
                <w:rFonts w:hint="eastAsia" w:ascii="仿宋_GB2312" w:hAnsi="宋体"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3.社区步行道路不得施划机动车停车泊位；</w:t>
            </w:r>
          </w:p>
          <w:p w14:paraId="3FA935AF">
            <w:pPr>
              <w:adjustRightInd w:val="0"/>
              <w:snapToGrid w:val="0"/>
              <w:spacing w:line="240" w:lineRule="auto"/>
              <w:ind w:firstLine="0" w:firstLineChars="0"/>
              <w:jc w:val="both"/>
              <w:rPr>
                <w:rFonts w:ascii="微软雅黑" w:hAnsi="微软雅黑" w:eastAsia="仿宋_GB2312" w:cs="Times New Roman"/>
                <w:sz w:val="32"/>
                <w:szCs w:val="24"/>
                <w:lang w:val="en-US" w:eastAsia="zh-CN" w:bidi="ar-SA"/>
              </w:rPr>
            </w:pPr>
            <w:r>
              <w:rPr>
                <w:rFonts w:hint="eastAsia" w:ascii="仿宋_GB2312" w:hAnsi="宋体" w:cs="仿宋_GB2312"/>
                <w:i w:val="0"/>
                <w:iCs w:val="0"/>
                <w:color w:val="000000"/>
                <w:kern w:val="0"/>
                <w:sz w:val="28"/>
                <w:szCs w:val="28"/>
                <w:u w:val="none"/>
                <w:lang w:val="en-US" w:eastAsia="zh-CN" w:bidi="ar"/>
              </w:rPr>
              <w:t>4.社区步行道路应保障步行者的通行空间的连续性</w:t>
            </w:r>
          </w:p>
        </w:tc>
        <w:tc>
          <w:tcPr>
            <w:tcW w:w="983" w:type="dxa"/>
            <w:noWrap w:val="0"/>
            <w:tcMar>
              <w:left w:w="108" w:type="dxa"/>
              <w:right w:w="108" w:type="dxa"/>
            </w:tcMar>
            <w:vAlign w:val="center"/>
          </w:tcPr>
          <w:p w14:paraId="0590482E">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改造提升</w:t>
            </w:r>
          </w:p>
        </w:tc>
      </w:tr>
      <w:tr w14:paraId="646E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noWrap w:val="0"/>
            <w:tcMar>
              <w:left w:w="108" w:type="dxa"/>
              <w:right w:w="108" w:type="dxa"/>
            </w:tcMar>
            <w:vAlign w:val="center"/>
          </w:tcPr>
          <w:p w14:paraId="03BE37D5">
            <w:pPr>
              <w:adjustRightInd w:val="0"/>
              <w:snapToGrid w:val="0"/>
              <w:spacing w:line="240" w:lineRule="auto"/>
              <w:ind w:firstLine="0" w:firstLineChars="0"/>
              <w:jc w:val="center"/>
              <w:rPr>
                <w:rFonts w:hint="default" w:ascii="仿宋_GB2312" w:hAnsi="宋体"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居住建筑</w:t>
            </w:r>
          </w:p>
        </w:tc>
        <w:tc>
          <w:tcPr>
            <w:tcW w:w="0" w:type="auto"/>
            <w:noWrap w:val="0"/>
            <w:tcMar>
              <w:left w:w="108" w:type="dxa"/>
              <w:right w:w="108" w:type="dxa"/>
            </w:tcMar>
            <w:vAlign w:val="center"/>
          </w:tcPr>
          <w:p w14:paraId="7A0DD085">
            <w:pPr>
              <w:numPr>
                <w:ilvl w:val="0"/>
                <w:numId w:val="0"/>
              </w:numPr>
              <w:adjustRightInd w:val="0"/>
              <w:snapToGrid w:val="0"/>
              <w:spacing w:line="240" w:lineRule="auto"/>
              <w:ind w:firstLine="0" w:firstLineChars="0"/>
              <w:jc w:val="both"/>
              <w:rPr>
                <w:rFonts w:hint="eastAsia" w:ascii="仿宋_GB2312" w:hAnsi="宋体"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lang w:val="en-US" w:eastAsia="zh-CN" w:bidi="ar"/>
              </w:rPr>
              <w:t>1.</w:t>
            </w:r>
            <w:r>
              <w:rPr>
                <w:rFonts w:hint="eastAsia" w:ascii="仿宋_GB2312" w:hAnsi="宋体" w:cs="仿宋_GB2312"/>
                <w:i w:val="0"/>
                <w:iCs w:val="0"/>
                <w:color w:val="000000"/>
                <w:kern w:val="0"/>
                <w:sz w:val="28"/>
                <w:szCs w:val="28"/>
                <w:u w:val="none"/>
                <w:lang w:val="en-US" w:eastAsia="zh-CN" w:bidi="ar"/>
              </w:rPr>
              <w:t>居住建筑进行无障碍设计的范围应包括住宅及公寓、宿 舍建筑(职工宿舍、学生宿舍)等；</w:t>
            </w:r>
          </w:p>
          <w:p w14:paraId="3386AD12">
            <w:pPr>
              <w:numPr>
                <w:ilvl w:val="0"/>
                <w:numId w:val="0"/>
              </w:num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lang w:val="en-US" w:eastAsia="en-US" w:bidi="ar"/>
              </w:rPr>
              <w:t>2.</w:t>
            </w:r>
            <w:r>
              <w:rPr>
                <w:rFonts w:hint="eastAsia" w:ascii="仿宋_GB2312" w:hAnsi="宋体" w:eastAsia="仿宋_GB2312" w:cs="仿宋_GB2312"/>
                <w:i w:val="0"/>
                <w:iCs w:val="0"/>
                <w:color w:val="000000"/>
                <w:kern w:val="0"/>
                <w:sz w:val="28"/>
                <w:szCs w:val="28"/>
                <w:u w:val="none"/>
                <w:lang w:val="en-US" w:eastAsia="en-US" w:bidi="ar"/>
              </w:rPr>
              <w:t>设置电梯的居住建筑应至少设置1处无障碍出入口，通过无障碍通道直达电梯厅</w:t>
            </w:r>
            <w:r>
              <w:rPr>
                <w:rFonts w:hint="eastAsia" w:ascii="仿宋_GB2312" w:hAnsi="宋体" w:cs="仿宋_GB2312"/>
                <w:i w:val="0"/>
                <w:iCs w:val="0"/>
                <w:color w:val="000000"/>
                <w:kern w:val="0"/>
                <w:sz w:val="28"/>
                <w:szCs w:val="28"/>
                <w:u w:val="none"/>
                <w:lang w:val="en-US" w:eastAsia="zh-CN" w:bidi="ar"/>
              </w:rPr>
              <w:t>；</w:t>
            </w:r>
          </w:p>
          <w:p w14:paraId="3346C042">
            <w:pPr>
              <w:numPr>
                <w:ilvl w:val="0"/>
                <w:numId w:val="0"/>
              </w:num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lang w:val="en-US" w:eastAsia="zh-CN" w:bidi="ar"/>
              </w:rPr>
              <w:t>3.</w:t>
            </w:r>
            <w:r>
              <w:rPr>
                <w:rFonts w:hint="eastAsia" w:ascii="仿宋_GB2312" w:hAnsi="宋体" w:eastAsia="仿宋_GB2312" w:cs="仿宋_GB2312"/>
                <w:i w:val="0"/>
                <w:iCs w:val="0"/>
                <w:color w:val="000000"/>
                <w:kern w:val="0"/>
                <w:sz w:val="28"/>
                <w:szCs w:val="28"/>
                <w:u w:val="none"/>
                <w:lang w:val="en-US" w:eastAsia="en-US" w:bidi="ar"/>
              </w:rPr>
              <w:t>未设置电梯的低层和多层居住建筑，当设置无障碍住房及宿舍时，应设置无障碍出入口</w:t>
            </w:r>
            <w:r>
              <w:rPr>
                <w:rFonts w:hint="eastAsia" w:ascii="仿宋_GB2312" w:hAnsi="宋体" w:cs="仿宋_GB2312"/>
                <w:i w:val="0"/>
                <w:iCs w:val="0"/>
                <w:color w:val="000000"/>
                <w:kern w:val="0"/>
                <w:sz w:val="28"/>
                <w:szCs w:val="28"/>
                <w:u w:val="none"/>
                <w:lang w:val="en-US" w:eastAsia="zh-CN" w:bidi="ar"/>
              </w:rPr>
              <w:t>；</w:t>
            </w:r>
          </w:p>
          <w:p w14:paraId="1B334958">
            <w:pPr>
              <w:numPr>
                <w:ilvl w:val="0"/>
                <w:numId w:val="0"/>
              </w:num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lang w:val="en-US" w:eastAsia="zh-CN" w:bidi="ar"/>
              </w:rPr>
              <w:t>4.</w:t>
            </w:r>
            <w:r>
              <w:rPr>
                <w:rFonts w:hint="eastAsia" w:ascii="仿宋_GB2312" w:hAnsi="宋体" w:eastAsia="仿宋_GB2312" w:cs="仿宋_GB2312"/>
                <w:i w:val="0"/>
                <w:iCs w:val="0"/>
                <w:color w:val="000000"/>
                <w:kern w:val="0"/>
                <w:sz w:val="28"/>
                <w:szCs w:val="28"/>
                <w:u w:val="none"/>
                <w:lang w:val="en-US" w:eastAsia="en-US" w:bidi="ar"/>
              </w:rPr>
              <w:t>设置电梯的居住建筑，每居住单元至少应设置1部能直达户门层的无障碍电梯</w:t>
            </w:r>
          </w:p>
        </w:tc>
        <w:tc>
          <w:tcPr>
            <w:tcW w:w="983" w:type="dxa"/>
            <w:noWrap w:val="0"/>
            <w:tcMar>
              <w:left w:w="108" w:type="dxa"/>
              <w:right w:w="108" w:type="dxa"/>
            </w:tcMar>
            <w:vAlign w:val="center"/>
          </w:tcPr>
          <w:p w14:paraId="035FE1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改造提升</w:t>
            </w:r>
          </w:p>
        </w:tc>
      </w:tr>
      <w:tr w14:paraId="21CF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0" w:type="auto"/>
            <w:noWrap w:val="0"/>
            <w:tcMar>
              <w:left w:w="108" w:type="dxa"/>
              <w:right w:w="108" w:type="dxa"/>
            </w:tcMar>
            <w:vAlign w:val="center"/>
          </w:tcPr>
          <w:p w14:paraId="00118F48">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宋体" w:cs="仿宋_GB2312"/>
                <w:i w:val="0"/>
                <w:iCs w:val="0"/>
                <w:color w:val="000000"/>
                <w:kern w:val="0"/>
                <w:sz w:val="28"/>
                <w:szCs w:val="28"/>
                <w:u w:val="none"/>
                <w:lang w:val="en-US" w:eastAsia="zh-CN" w:bidi="ar"/>
              </w:rPr>
              <w:t>社区服务</w:t>
            </w:r>
            <w:r>
              <w:rPr>
                <w:rFonts w:hint="eastAsia" w:ascii="仿宋_GB2312" w:hAnsi="宋体" w:eastAsia="仿宋_GB2312" w:cs="仿宋_GB2312"/>
                <w:i w:val="0"/>
                <w:iCs w:val="0"/>
                <w:color w:val="000000"/>
                <w:kern w:val="0"/>
                <w:sz w:val="28"/>
                <w:szCs w:val="28"/>
                <w:u w:val="none"/>
                <w:lang w:val="en-US" w:eastAsia="zh-CN" w:bidi="ar"/>
              </w:rPr>
              <w:t>设施</w:t>
            </w:r>
          </w:p>
        </w:tc>
        <w:tc>
          <w:tcPr>
            <w:tcW w:w="0" w:type="auto"/>
            <w:noWrap w:val="0"/>
            <w:tcMar>
              <w:left w:w="108" w:type="dxa"/>
              <w:right w:w="108" w:type="dxa"/>
            </w:tcMar>
            <w:vAlign w:val="center"/>
          </w:tcPr>
          <w:p w14:paraId="5358B9BE">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1.</w:t>
            </w:r>
            <w:r>
              <w:rPr>
                <w:rFonts w:hint="eastAsia" w:ascii="仿宋_GB2312" w:hAnsi="宋体" w:eastAsia="仿宋_GB2312" w:cs="仿宋_GB2312"/>
                <w:i w:val="0"/>
                <w:iCs w:val="0"/>
                <w:color w:val="000000"/>
                <w:kern w:val="0"/>
                <w:sz w:val="28"/>
                <w:szCs w:val="28"/>
                <w:u w:val="none"/>
                <w:lang w:val="en-US" w:eastAsia="zh-CN" w:bidi="ar"/>
              </w:rPr>
              <w:t>居住区内的居委会、卫生站、健身房、物业管理、会所、 社区中心、商业等为居民服务的建筑应设置无障碍出入口</w:t>
            </w:r>
            <w:r>
              <w:rPr>
                <w:rFonts w:hint="eastAsia" w:ascii="仿宋_GB2312" w:hAnsi="宋体" w:cs="仿宋_GB2312"/>
                <w:i w:val="0"/>
                <w:iCs w:val="0"/>
                <w:color w:val="000000"/>
                <w:kern w:val="0"/>
                <w:sz w:val="28"/>
                <w:szCs w:val="28"/>
                <w:u w:val="none"/>
                <w:lang w:val="en-US" w:eastAsia="zh-CN" w:bidi="ar"/>
              </w:rPr>
              <w:t>；</w:t>
            </w:r>
          </w:p>
          <w:p w14:paraId="33A36B5F">
            <w:pPr>
              <w:adjustRightInd w:val="0"/>
              <w:snapToGrid w:val="0"/>
              <w:spacing w:line="240" w:lineRule="auto"/>
              <w:ind w:firstLine="0" w:firstLineChars="0"/>
              <w:jc w:val="both"/>
              <w:rPr>
                <w:rFonts w:ascii="微软雅黑" w:hAnsi="微软雅黑" w:eastAsia="仿宋_GB2312" w:cs="Times New Roman"/>
                <w:sz w:val="32"/>
                <w:szCs w:val="24"/>
                <w:lang w:val="en-US" w:eastAsia="zh-CN" w:bidi="ar-SA"/>
              </w:rPr>
            </w:pPr>
            <w:r>
              <w:rPr>
                <w:rFonts w:hint="eastAsia" w:ascii="仿宋_GB2312" w:hAnsi="宋体" w:cs="仿宋_GB2312"/>
                <w:i w:val="0"/>
                <w:iCs w:val="0"/>
                <w:color w:val="000000"/>
                <w:kern w:val="0"/>
                <w:sz w:val="28"/>
                <w:szCs w:val="28"/>
                <w:u w:val="none"/>
                <w:lang w:val="en-US" w:eastAsia="zh-CN" w:bidi="ar"/>
              </w:rPr>
              <w:t>2.</w:t>
            </w:r>
            <w:r>
              <w:rPr>
                <w:rFonts w:hint="eastAsia" w:ascii="仿宋_GB2312" w:hAnsi="宋体" w:eastAsia="仿宋_GB2312" w:cs="仿宋_GB2312"/>
                <w:i w:val="0"/>
                <w:iCs w:val="0"/>
                <w:color w:val="000000"/>
                <w:kern w:val="0"/>
                <w:sz w:val="28"/>
                <w:szCs w:val="28"/>
                <w:u w:val="none"/>
                <w:lang w:val="en-US" w:eastAsia="zh-CN" w:bidi="ar"/>
              </w:rPr>
              <w:t>设有电梯的建筑至少应设置1部无障碍电梯；未设有电梯的多层建筑，应至少设置1部无障碍楼梯</w:t>
            </w:r>
          </w:p>
        </w:tc>
        <w:tc>
          <w:tcPr>
            <w:tcW w:w="983" w:type="dxa"/>
            <w:noWrap w:val="0"/>
            <w:tcMar>
              <w:left w:w="108" w:type="dxa"/>
              <w:right w:w="108" w:type="dxa"/>
            </w:tcMar>
            <w:vAlign w:val="center"/>
          </w:tcPr>
          <w:p w14:paraId="43B01F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微软雅黑" w:hAnsi="微软雅黑" w:eastAsia="仿宋_GB2312" w:cs="Times New Roman"/>
                <w:sz w:val="32"/>
                <w:szCs w:val="24"/>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改造提升</w:t>
            </w:r>
          </w:p>
        </w:tc>
      </w:tr>
      <w:tr w14:paraId="4E1D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0" w:type="auto"/>
            <w:noWrap w:val="0"/>
            <w:tcMar>
              <w:left w:w="108" w:type="dxa"/>
              <w:right w:w="108" w:type="dxa"/>
            </w:tcMar>
            <w:vAlign w:val="center"/>
          </w:tcPr>
          <w:p w14:paraId="2C22AD71">
            <w:pPr>
              <w:adjustRightInd w:val="0"/>
              <w:snapToGrid w:val="0"/>
              <w:spacing w:line="240" w:lineRule="auto"/>
              <w:ind w:firstLine="0" w:firstLineChars="0"/>
              <w:jc w:val="center"/>
              <w:rPr>
                <w:rFonts w:ascii="微软雅黑" w:hAnsi="微软雅黑" w:eastAsia="仿宋_GB2312" w:cs="Times New Roman"/>
                <w:sz w:val="32"/>
                <w:szCs w:val="24"/>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社区绿地</w:t>
            </w:r>
          </w:p>
        </w:tc>
        <w:tc>
          <w:tcPr>
            <w:tcW w:w="0" w:type="auto"/>
            <w:noWrap w:val="0"/>
            <w:tcMar>
              <w:left w:w="108" w:type="dxa"/>
              <w:right w:w="108" w:type="dxa"/>
            </w:tcMar>
            <w:vAlign w:val="center"/>
          </w:tcPr>
          <w:p w14:paraId="17CA4664">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1.</w:t>
            </w:r>
            <w:r>
              <w:rPr>
                <w:rFonts w:hint="eastAsia" w:ascii="仿宋_GB2312" w:hAnsi="宋体" w:eastAsia="仿宋_GB2312" w:cs="仿宋_GB2312"/>
                <w:i w:val="0"/>
                <w:iCs w:val="0"/>
                <w:color w:val="000000"/>
                <w:kern w:val="0"/>
                <w:sz w:val="28"/>
                <w:szCs w:val="28"/>
                <w:u w:val="none"/>
                <w:lang w:val="en-US" w:eastAsia="zh-CN" w:bidi="ar"/>
              </w:rPr>
              <w:t>居住绿地内进行无障碍设计的范围及建筑物类型包括：出入口、游步道、休憩设施、儿童游乐场、休闲广场、健身运动  场、公共厕所等</w:t>
            </w:r>
            <w:r>
              <w:rPr>
                <w:rFonts w:hint="eastAsia" w:ascii="仿宋_GB2312" w:hAnsi="宋体" w:cs="仿宋_GB2312"/>
                <w:i w:val="0"/>
                <w:iCs w:val="0"/>
                <w:color w:val="000000"/>
                <w:kern w:val="0"/>
                <w:sz w:val="28"/>
                <w:szCs w:val="28"/>
                <w:u w:val="none"/>
                <w:lang w:val="en-US" w:eastAsia="zh-CN" w:bidi="ar"/>
              </w:rPr>
              <w:t>；</w:t>
            </w:r>
          </w:p>
          <w:p w14:paraId="47C02B3D">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t>基地地坪坡度不大于5%的居住区的居住绿地均应满足 无障碍要求，地坪坡度大于5%的居住区，应至少设置1个满足无障碍要求的居住绿地</w:t>
            </w:r>
            <w:r>
              <w:rPr>
                <w:rFonts w:hint="eastAsia" w:ascii="仿宋_GB2312" w:hAnsi="宋体" w:cs="仿宋_GB2312"/>
                <w:i w:val="0"/>
                <w:iCs w:val="0"/>
                <w:color w:val="000000"/>
                <w:kern w:val="0"/>
                <w:sz w:val="28"/>
                <w:szCs w:val="28"/>
                <w:u w:val="none"/>
                <w:lang w:val="en-US" w:eastAsia="zh-CN" w:bidi="ar"/>
              </w:rPr>
              <w:t>；</w:t>
            </w:r>
          </w:p>
          <w:p w14:paraId="6E520D0B">
            <w:pPr>
              <w:adjustRightInd w:val="0"/>
              <w:snapToGrid w:val="0"/>
              <w:spacing w:line="240" w:lineRule="auto"/>
              <w:ind w:firstLine="0" w:firstLineChars="0"/>
              <w:jc w:val="both"/>
              <w:rPr>
                <w:rFonts w:ascii="微软雅黑" w:hAnsi="微软雅黑" w:eastAsia="仿宋_GB2312" w:cs="Times New Roman"/>
                <w:sz w:val="32"/>
                <w:szCs w:val="24"/>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3</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t>满足无障碍要求的居住绿地，宜靠近设有无障碍住房和 宿舍的居住建筑设置，并通过无障碍通道到达</w:t>
            </w:r>
          </w:p>
        </w:tc>
        <w:tc>
          <w:tcPr>
            <w:tcW w:w="983" w:type="dxa"/>
            <w:noWrap w:val="0"/>
            <w:tcMar>
              <w:left w:w="108" w:type="dxa"/>
              <w:right w:w="108" w:type="dxa"/>
            </w:tcMar>
            <w:vAlign w:val="center"/>
          </w:tcPr>
          <w:p w14:paraId="02F655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微软雅黑" w:hAnsi="微软雅黑" w:eastAsia="仿宋_GB2312" w:cs="Times New Roman"/>
                <w:sz w:val="32"/>
                <w:szCs w:val="24"/>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改造提升</w:t>
            </w:r>
          </w:p>
        </w:tc>
      </w:tr>
    </w:tbl>
    <w:p w14:paraId="5C2D79A6">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bookmarkStart w:id="82" w:name="_Toc23640_ai"/>
      <w:r>
        <w:rPr>
          <w:rFonts w:hint="eastAsia" w:ascii="仿宋_GB2312" w:hAnsi="仿宋_GB2312" w:eastAsia="仿宋_GB2312" w:cs="仿宋_GB2312"/>
          <w:sz w:val="24"/>
          <w:szCs w:val="24"/>
          <w:lang w:val="en-US" w:eastAsia="zh-CN" w:bidi="ar-SA"/>
        </w:rPr>
        <w:t>注：引用文件为《无障碍设计规范》（GB 50763-2012）、《建筑与市政工程无障碍通用规范》（GB 55019-2021），并参考《社区无障碍设施建设技术导则》（JD37-007-2025）（山东省）。</w:t>
      </w:r>
    </w:p>
    <w:p w14:paraId="5561ABFA">
      <w:pPr>
        <w:keepNext/>
        <w:keepLines/>
        <w:ind w:firstLine="643" w:firstLineChars="200"/>
        <w:outlineLvl w:val="2"/>
      </w:pPr>
      <w:r>
        <w:rPr>
          <w:rFonts w:hint="eastAsia" w:ascii="仿宋_GB2312" w:hAnsi="仿宋_GB2312" w:eastAsia="仿宋_GB2312" w:cs="仿宋_GB2312"/>
          <w:b/>
          <w:bCs/>
          <w:sz w:val="32"/>
          <w:szCs w:val="32"/>
          <w:lang w:val="en-US" w:eastAsia="zh-CN" w:bidi="ar-SA"/>
        </w:rPr>
        <w:t>4.3.</w:t>
      </w:r>
      <w:r>
        <w:rPr>
          <w:rFonts w:hint="eastAsia" w:ascii="仿宋_GB2312" w:hAnsi="仿宋_GB2312" w:cs="仿宋_GB2312"/>
          <w:b/>
          <w:bCs/>
          <w:sz w:val="32"/>
          <w:szCs w:val="32"/>
          <w:lang w:val="en-US" w:eastAsia="zh-CN" w:bidi="ar-SA"/>
        </w:rPr>
        <w:t>3</w:t>
      </w:r>
      <w:r>
        <w:rPr>
          <w:rFonts w:hint="eastAsia" w:ascii="仿宋_GB2312" w:hAnsi="仿宋_GB2312" w:eastAsia="仿宋_GB2312" w:cs="仿宋_GB2312"/>
          <w:b/>
          <w:bCs/>
          <w:sz w:val="32"/>
          <w:szCs w:val="32"/>
          <w:lang w:val="en-US" w:eastAsia="zh-CN" w:bidi="ar-SA"/>
        </w:rPr>
        <w:t>自然空间无障碍</w:t>
      </w:r>
      <w:r>
        <w:rPr>
          <w:rFonts w:hint="eastAsia" w:ascii="仿宋_GB2312" w:hAnsi="仿宋_GB2312" w:cs="仿宋_GB2312"/>
          <w:b/>
          <w:bCs/>
          <w:sz w:val="32"/>
          <w:szCs w:val="32"/>
          <w:lang w:val="en-US" w:eastAsia="zh-CN" w:bidi="ar-SA"/>
        </w:rPr>
        <w:t>规划</w:t>
      </w:r>
      <w:r>
        <w:rPr>
          <w:rFonts w:hint="eastAsia" w:ascii="仿宋_GB2312" w:hAnsi="仿宋_GB2312" w:eastAsia="仿宋_GB2312" w:cs="仿宋_GB2312"/>
          <w:b/>
          <w:bCs/>
          <w:sz w:val="32"/>
          <w:szCs w:val="32"/>
          <w:lang w:val="en-US" w:eastAsia="zh-CN" w:bidi="ar-SA"/>
        </w:rPr>
        <w:t>指引</w:t>
      </w:r>
      <w:bookmarkEnd w:id="82"/>
    </w:p>
    <w:p w14:paraId="548E7D66">
      <w:pPr>
        <w:ind w:firstLine="640"/>
        <w:rPr>
          <w:rFonts w:hint="eastAsia" w:ascii="仿宋_GB2312" w:hAnsi="仿宋_GB2312" w:cs="仿宋_GB2312"/>
          <w:szCs w:val="32"/>
          <w:lang w:eastAsia="zh-CN"/>
        </w:rPr>
      </w:pPr>
      <w:r>
        <w:rPr>
          <w:rFonts w:hint="eastAsia" w:ascii="仿宋_GB2312" w:hAnsi="仿宋_GB2312" w:cs="仿宋_GB2312"/>
          <w:szCs w:val="32"/>
          <w:lang w:eastAsia="zh-CN"/>
        </w:rPr>
        <w:t>自然空间无障碍规划依托公园与自然游憩空间的出入口、园路系统或城市绿道、碧道，保证形成至少一条无障碍游览环线或无障碍通行流线，尽可能覆盖主要的景点和活动场所。通过无障碍</w:t>
      </w:r>
      <w:r>
        <w:rPr>
          <w:rFonts w:hint="eastAsia" w:ascii="仿宋_GB2312" w:hAnsi="仿宋_GB2312" w:cs="仿宋_GB2312"/>
          <w:szCs w:val="32"/>
          <w:lang w:val="en-US" w:eastAsia="zh-CN"/>
        </w:rPr>
        <w:t>环境</w:t>
      </w:r>
      <w:r>
        <w:rPr>
          <w:rFonts w:hint="eastAsia" w:ascii="仿宋_GB2312" w:hAnsi="仿宋_GB2312" w:cs="仿宋_GB2312"/>
          <w:szCs w:val="32"/>
          <w:lang w:eastAsia="zh-CN"/>
        </w:rPr>
        <w:t>建设，确保特殊群体能够安全、便捷地使用公园与自然游憩空间。同时，应加强公园与自然游憩空间无障碍规划的智慧化建设，提升无障碍游览的便利性和安全性。</w:t>
      </w:r>
    </w:p>
    <w:p w14:paraId="551815EB">
      <w:pPr>
        <w:ind w:firstLine="0" w:firstLineChars="0"/>
        <w:jc w:val="center"/>
        <w:rPr>
          <w:rFonts w:hint="default" w:ascii="仿宋_GB2312" w:hAnsi="仿宋_GB2312" w:eastAsia="仿宋_GB2312" w:cs="仿宋_GB2312"/>
          <w:sz w:val="32"/>
          <w:szCs w:val="32"/>
          <w:lang w:val="en-US" w:eastAsia="en-US" w:bidi="ar-SA"/>
        </w:rPr>
      </w:pPr>
      <w:r>
        <w:rPr>
          <w:rFonts w:hint="eastAsia" w:ascii="黑体" w:hAnsi="黑体" w:eastAsia="黑体" w:cs="黑体"/>
          <w:bCs/>
          <w:sz w:val="28"/>
          <w:szCs w:val="28"/>
          <w:lang w:val="en-US" w:eastAsia="en-US" w:bidi="ar-SA"/>
        </w:rPr>
        <w:t>表14 自然空间无障碍建设指引</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7"/>
        <w:gridCol w:w="6327"/>
        <w:gridCol w:w="1432"/>
      </w:tblGrid>
      <w:tr w14:paraId="4305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tblHeader/>
          <w:jc w:val="center"/>
        </w:trPr>
        <w:tc>
          <w:tcPr>
            <w:tcW w:w="0" w:type="auto"/>
            <w:shd w:val="clear" w:color="auto" w:fill="D7D7D7"/>
            <w:noWrap w:val="0"/>
            <w:tcMar>
              <w:left w:w="108" w:type="dxa"/>
              <w:right w:w="108" w:type="dxa"/>
            </w:tcMar>
            <w:vAlign w:val="center"/>
          </w:tcPr>
          <w:p w14:paraId="134EA672">
            <w:pPr>
              <w:snapToGrid w:val="0"/>
              <w:spacing w:line="240" w:lineRule="auto"/>
              <w:ind w:firstLine="0" w:firstLineChars="0"/>
              <w:jc w:val="center"/>
            </w:pPr>
            <w:r>
              <w:rPr>
                <w:rFonts w:hint="eastAsia" w:ascii="黑体" w:hAnsi="黑体" w:eastAsia="黑体" w:cs="黑体"/>
                <w:bCs/>
                <w:sz w:val="28"/>
                <w:szCs w:val="28"/>
                <w:lang w:val="en-US" w:eastAsia="zh-CN"/>
              </w:rPr>
              <w:t>建设</w:t>
            </w:r>
            <w:r>
              <w:rPr>
                <w:rFonts w:hint="eastAsia" w:ascii="黑体" w:hAnsi="黑体" w:eastAsia="黑体" w:cs="黑体"/>
                <w:bCs/>
                <w:sz w:val="28"/>
                <w:szCs w:val="28"/>
                <w:lang w:eastAsia="zh-CN"/>
              </w:rPr>
              <w:t>内容</w:t>
            </w:r>
          </w:p>
        </w:tc>
        <w:tc>
          <w:tcPr>
            <w:tcW w:w="0" w:type="auto"/>
            <w:shd w:val="clear" w:color="auto" w:fill="D7D7D7"/>
            <w:noWrap w:val="0"/>
            <w:tcMar>
              <w:left w:w="108" w:type="dxa"/>
              <w:right w:w="108" w:type="dxa"/>
            </w:tcMar>
            <w:vAlign w:val="center"/>
          </w:tcPr>
          <w:p w14:paraId="5F0D6C94">
            <w:pPr>
              <w:snapToGrid w:val="0"/>
              <w:spacing w:line="240" w:lineRule="auto"/>
              <w:ind w:firstLine="0" w:firstLineChars="0"/>
              <w:jc w:val="center"/>
            </w:pPr>
            <w:r>
              <w:rPr>
                <w:rFonts w:hint="eastAsia" w:ascii="黑体" w:hAnsi="黑体" w:eastAsia="黑体" w:cs="黑体"/>
                <w:bCs/>
                <w:sz w:val="28"/>
                <w:szCs w:val="28"/>
                <w:lang w:val="en-US" w:eastAsia="zh-CN"/>
              </w:rPr>
              <w:t>建设</w:t>
            </w:r>
            <w:r>
              <w:rPr>
                <w:rFonts w:hint="eastAsia" w:ascii="黑体" w:hAnsi="黑体" w:eastAsia="黑体" w:cs="黑体"/>
                <w:bCs/>
                <w:sz w:val="28"/>
                <w:szCs w:val="28"/>
                <w:lang w:eastAsia="zh-CN"/>
              </w:rPr>
              <w:t>要求</w:t>
            </w:r>
          </w:p>
        </w:tc>
        <w:tc>
          <w:tcPr>
            <w:tcW w:w="0" w:type="auto"/>
            <w:shd w:val="clear" w:color="auto" w:fill="D7D7D7"/>
            <w:noWrap w:val="0"/>
            <w:tcMar>
              <w:left w:w="108" w:type="dxa"/>
              <w:right w:w="108" w:type="dxa"/>
            </w:tcMar>
            <w:vAlign w:val="center"/>
          </w:tcPr>
          <w:p w14:paraId="23CDEAE7">
            <w:pPr>
              <w:snapToGrid w:val="0"/>
              <w:spacing w:line="240" w:lineRule="auto"/>
              <w:ind w:firstLine="0" w:firstLineChars="0"/>
              <w:jc w:val="center"/>
            </w:pPr>
            <w:r>
              <w:rPr>
                <w:rFonts w:hint="eastAsia" w:ascii="黑体" w:hAnsi="黑体" w:eastAsia="黑体" w:cs="黑体"/>
                <w:bCs/>
                <w:sz w:val="28"/>
                <w:szCs w:val="28"/>
                <w:lang w:eastAsia="zh-CN"/>
              </w:rPr>
              <w:t>实施方式</w:t>
            </w:r>
          </w:p>
        </w:tc>
      </w:tr>
      <w:tr w14:paraId="023C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97" w:type="dxa"/>
            <w:noWrap w:val="0"/>
            <w:tcMar>
              <w:left w:w="108" w:type="dxa"/>
              <w:right w:w="108" w:type="dxa"/>
            </w:tcMar>
            <w:vAlign w:val="center"/>
          </w:tcPr>
          <w:p w14:paraId="6CEEA00B">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无障碍停车位</w:t>
            </w:r>
          </w:p>
        </w:tc>
        <w:tc>
          <w:tcPr>
            <w:tcW w:w="6327" w:type="dxa"/>
            <w:noWrap w:val="0"/>
            <w:tcMar>
              <w:left w:w="108" w:type="dxa"/>
              <w:right w:w="108" w:type="dxa"/>
            </w:tcMar>
            <w:vAlign w:val="center"/>
          </w:tcPr>
          <w:p w14:paraId="044B27A7">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1.总停车数＜50辆：设置不少于1个无障碍机动车停车位</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2.50辆≤总停车数＜100辆：设置不少于2个无障碍机动车停车位</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3.总停车数≥100辆：设置不少于总停车数2%的无障碍机动车停车位</w:t>
            </w:r>
          </w:p>
        </w:tc>
        <w:tc>
          <w:tcPr>
            <w:tcW w:w="1432" w:type="dxa"/>
            <w:noWrap w:val="0"/>
            <w:tcMar>
              <w:left w:w="108" w:type="dxa"/>
              <w:right w:w="108" w:type="dxa"/>
            </w:tcMar>
            <w:vAlign w:val="center"/>
          </w:tcPr>
          <w:p w14:paraId="716A71CC">
            <w:pPr>
              <w:adjustRightInd w:val="0"/>
              <w:snapToGrid w:val="0"/>
              <w:spacing w:line="240" w:lineRule="auto"/>
              <w:ind w:firstLine="0" w:firstLineChars="0"/>
              <w:jc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新建或改造</w:t>
            </w:r>
          </w:p>
        </w:tc>
      </w:tr>
      <w:tr w14:paraId="1D4A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97" w:type="dxa"/>
            <w:noWrap w:val="0"/>
            <w:tcMar>
              <w:left w:w="108" w:type="dxa"/>
              <w:right w:w="108" w:type="dxa"/>
            </w:tcMar>
            <w:vAlign w:val="center"/>
          </w:tcPr>
          <w:p w14:paraId="0DBA1D76">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bookmarkStart w:id="83" w:name="_Toc25075_ai"/>
            <w:bookmarkStart w:id="84" w:name="_Toc25664_ai"/>
            <w:bookmarkStart w:id="85" w:name="_Toc20364"/>
            <w:r>
              <w:rPr>
                <w:rFonts w:hint="eastAsia" w:ascii="仿宋_GB2312" w:hAnsi="宋体" w:eastAsia="仿宋_GB2312" w:cs="仿宋_GB2312"/>
                <w:i w:val="0"/>
                <w:iCs w:val="0"/>
                <w:color w:val="000000"/>
                <w:kern w:val="0"/>
                <w:sz w:val="28"/>
                <w:szCs w:val="28"/>
                <w:u w:val="none"/>
                <w:lang w:val="en-US" w:eastAsia="zh-CN" w:bidi="ar"/>
              </w:rPr>
              <w:t>售票处</w:t>
            </w:r>
          </w:p>
        </w:tc>
        <w:tc>
          <w:tcPr>
            <w:tcW w:w="6327" w:type="dxa"/>
            <w:noWrap w:val="0"/>
            <w:tcMar>
              <w:left w:w="108" w:type="dxa"/>
              <w:right w:w="108" w:type="dxa"/>
            </w:tcMar>
            <w:vAlign w:val="center"/>
          </w:tcPr>
          <w:p w14:paraId="3A4E0334">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1.主要出入口售票处设置低位售票窗口</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2.低位售票窗口前有高差时，配套轮椅坡道+不小于1.50m×1.50m的缓冲平台</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3.售票窗口前设置距外墙250mm</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t>500mm的提示盲道</w:t>
            </w:r>
          </w:p>
        </w:tc>
        <w:tc>
          <w:tcPr>
            <w:tcW w:w="1432" w:type="dxa"/>
            <w:noWrap w:val="0"/>
            <w:tcMar>
              <w:left w:w="108" w:type="dxa"/>
              <w:right w:w="108" w:type="dxa"/>
            </w:tcMar>
            <w:vAlign w:val="center"/>
          </w:tcPr>
          <w:p w14:paraId="1EA69A3F">
            <w:pPr>
              <w:adjustRightInd w:val="0"/>
              <w:snapToGrid w:val="0"/>
              <w:spacing w:line="240" w:lineRule="auto"/>
              <w:ind w:firstLine="0" w:firstLineChars="0"/>
              <w:jc w:val="center"/>
              <w:rPr>
                <w:rFonts w:hint="eastAsia" w:ascii="仿宋_GB2312" w:hAnsi="宋体"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改造</w:t>
            </w:r>
          </w:p>
        </w:tc>
      </w:tr>
      <w:tr w14:paraId="3A9E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97" w:type="dxa"/>
            <w:noWrap w:val="0"/>
            <w:tcMar>
              <w:left w:w="108" w:type="dxa"/>
              <w:right w:w="108" w:type="dxa"/>
            </w:tcMar>
            <w:vAlign w:val="center"/>
          </w:tcPr>
          <w:p w14:paraId="494F577A">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出入口</w:t>
            </w:r>
          </w:p>
        </w:tc>
        <w:tc>
          <w:tcPr>
            <w:tcW w:w="6327" w:type="dxa"/>
            <w:noWrap w:val="0"/>
            <w:tcMar>
              <w:left w:w="108" w:type="dxa"/>
              <w:right w:w="108" w:type="dxa"/>
            </w:tcMar>
            <w:vAlign w:val="center"/>
          </w:tcPr>
          <w:p w14:paraId="479481F8">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1.主要出入口设为无障碍出入口，配有自动检票设备的出入口需同步设置轮椅专用检票口</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2.检票口无障碍通道宽度≥1.20m</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3.出入口设置车挡时，车挡间距≥900mm</w:t>
            </w:r>
          </w:p>
        </w:tc>
        <w:tc>
          <w:tcPr>
            <w:tcW w:w="1432" w:type="dxa"/>
            <w:noWrap w:val="0"/>
            <w:tcMar>
              <w:left w:w="108" w:type="dxa"/>
              <w:right w:w="108" w:type="dxa"/>
            </w:tcMar>
            <w:vAlign w:val="center"/>
          </w:tcPr>
          <w:p w14:paraId="343A13F4">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新建或改造</w:t>
            </w:r>
          </w:p>
        </w:tc>
      </w:tr>
      <w:tr w14:paraId="0C78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97" w:type="dxa"/>
            <w:noWrap w:val="0"/>
            <w:tcMar>
              <w:left w:w="108" w:type="dxa"/>
              <w:right w:w="108" w:type="dxa"/>
            </w:tcMar>
            <w:vAlign w:val="center"/>
          </w:tcPr>
          <w:p w14:paraId="7A5F4826">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无障碍游览路线</w:t>
            </w:r>
          </w:p>
        </w:tc>
        <w:tc>
          <w:tcPr>
            <w:tcW w:w="6327" w:type="dxa"/>
            <w:noWrap w:val="0"/>
            <w:tcMar>
              <w:left w:w="108" w:type="dxa"/>
              <w:right w:w="108" w:type="dxa"/>
            </w:tcMar>
            <w:vAlign w:val="center"/>
          </w:tcPr>
          <w:p w14:paraId="1C25457F">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1.主园路结合公园主路设置，可覆盖主要景区景点、宜形成环路，普通公园主园路纵坡宜＜5%，山地公园主园路纵坡＜8%；原则上不设台阶梯道，确需设置的必须同步配套轮椅坡道</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2.支园路连通主要景点与主园路并形成环路，小路无法成环时需便于折返，支园路/小路纵坡＜8%；坡度超8%时做路面防滑处理，不建议供轮椅通行</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3.园路坡度＞8%的路段，每隔10m~20m设置路旁休息平台</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4.临湖路段设置高度≥900mm的安全护栏，地形险要地段配套安全防护设施和警示线</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5.路面平整防滑无松动，窨井盖板与路面平齐，排水沟滤水箅子孔径≤15mm</w:t>
            </w:r>
          </w:p>
        </w:tc>
        <w:tc>
          <w:tcPr>
            <w:tcW w:w="1432" w:type="dxa"/>
            <w:noWrap w:val="0"/>
            <w:tcMar>
              <w:left w:w="108" w:type="dxa"/>
              <w:right w:w="108" w:type="dxa"/>
            </w:tcMar>
            <w:vAlign w:val="center"/>
          </w:tcPr>
          <w:p w14:paraId="4DC54267">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新建或改造</w:t>
            </w:r>
          </w:p>
        </w:tc>
      </w:tr>
      <w:tr w14:paraId="5D69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97" w:type="dxa"/>
            <w:noWrap w:val="0"/>
            <w:tcMar>
              <w:left w:w="108" w:type="dxa"/>
              <w:right w:w="108" w:type="dxa"/>
            </w:tcMar>
            <w:vAlign w:val="center"/>
          </w:tcPr>
          <w:p w14:paraId="15EDAE97">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服务设施</w:t>
            </w:r>
          </w:p>
        </w:tc>
        <w:tc>
          <w:tcPr>
            <w:tcW w:w="6327" w:type="dxa"/>
            <w:noWrap w:val="0"/>
            <w:tcMar>
              <w:left w:w="108" w:type="dxa"/>
              <w:right w:w="108" w:type="dxa"/>
            </w:tcMar>
            <w:vAlign w:val="center"/>
          </w:tcPr>
          <w:p w14:paraId="4DB93F9C">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1.游憩区：主出入口/游览路线沿线设置无障碍游憩区，有高差时配轮椅坡道，地面平整防滑；树池要么高出地面，要么平地面的树池加装防护箅子</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2.游憩配套：亭/廊/榭等景观建筑有高差时配轮椅坡道，院落通道宽度≥1.20m；游览路线上的桥梁为平桥或坡度＜8%的拱桥，宽度≥1.20m，配防护栏杆，与园路衔接有高差时配坡道</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公共服务：小卖店设低位售货窗口，餐饮/摄影等消费场所配无障碍出入口和轮椅席位，服务台/咨询台配低位服务设施；公共厕所符合无障碍规范，核心区设置独立无障碍厕所，饮水器/垃圾箱等小品适配轮椅使用需求，休息座椅旁预留轮椅停留空间</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4.特殊适配：大型植物园设置盲人植物区/角，配套语音讲解、盲文铭牌；展览区、动物园展示区设置轮椅专用参观位</w:t>
            </w:r>
          </w:p>
        </w:tc>
        <w:tc>
          <w:tcPr>
            <w:tcW w:w="1432" w:type="dxa"/>
            <w:noWrap w:val="0"/>
            <w:tcMar>
              <w:left w:w="108" w:type="dxa"/>
              <w:right w:w="108" w:type="dxa"/>
            </w:tcMar>
            <w:vAlign w:val="center"/>
          </w:tcPr>
          <w:p w14:paraId="595EDCDF">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新建或改造</w:t>
            </w:r>
          </w:p>
        </w:tc>
      </w:tr>
      <w:tr w14:paraId="11F9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097" w:type="dxa"/>
            <w:noWrap w:val="0"/>
            <w:tcMar>
              <w:left w:w="108" w:type="dxa"/>
              <w:right w:w="108" w:type="dxa"/>
            </w:tcMar>
            <w:vAlign w:val="center"/>
          </w:tcPr>
          <w:p w14:paraId="20BF9FAB">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标识系统</w:t>
            </w:r>
          </w:p>
        </w:tc>
        <w:tc>
          <w:tcPr>
            <w:tcW w:w="6327" w:type="dxa"/>
            <w:noWrap w:val="0"/>
            <w:tcMar>
              <w:left w:w="108" w:type="dxa"/>
              <w:right w:w="108" w:type="dxa"/>
            </w:tcMar>
            <w:vAlign w:val="center"/>
          </w:tcPr>
          <w:p w14:paraId="2E2CF342">
            <w:pPr>
              <w:adjustRightInd w:val="0"/>
              <w:snapToGrid w:val="0"/>
              <w:spacing w:line="240" w:lineRule="auto"/>
              <w:ind w:firstLine="0" w:firstLineChars="0"/>
              <w:jc w:val="both"/>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1.出入口、无障碍通道、停车位、公共厕所等节点设置无障碍导向标志，形成完整标识体系，明确指引无障碍设施走向与位置</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2.园区配套系统的指路牌、定位导览图、景点说明牌</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3.主出入口设置园区无障碍设施位置图、无障碍游览路线图</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4.危险地段设置醒目的警示标识和安全警示线</w:t>
            </w:r>
          </w:p>
        </w:tc>
        <w:tc>
          <w:tcPr>
            <w:tcW w:w="1432" w:type="dxa"/>
            <w:noWrap w:val="0"/>
            <w:tcMar>
              <w:left w:w="108" w:type="dxa"/>
              <w:right w:w="108" w:type="dxa"/>
            </w:tcMar>
            <w:vAlign w:val="center"/>
          </w:tcPr>
          <w:p w14:paraId="44CF202B">
            <w:pPr>
              <w:adjustRightInd w:val="0"/>
              <w:snapToGrid w:val="0"/>
              <w:spacing w:line="240" w:lineRule="auto"/>
              <w:ind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新建或改造</w:t>
            </w:r>
          </w:p>
        </w:tc>
      </w:tr>
    </w:tbl>
    <w:p w14:paraId="776E2FB1">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注：引用文件为《无障碍设计规范》（GB 50763-2012）、《公园设计规范》（GB 51192-2016）、《建筑与市政工程无障碍通用规范》（GB 55019-2021）。</w:t>
      </w:r>
    </w:p>
    <w:p w14:paraId="6531D89F">
      <w:pPr>
        <w:keepNext/>
        <w:keepLines/>
        <w:spacing w:before="120" w:beforeLines="50" w:after="100" w:line="574" w:lineRule="exact"/>
        <w:ind w:firstLine="0" w:firstLineChars="0"/>
        <w:outlineLvl w:val="1"/>
      </w:pPr>
      <w:r>
        <w:rPr>
          <w:rFonts w:hint="eastAsia" w:ascii="楷体_GB2312" w:hAnsi="楷体_GB2312" w:eastAsia="楷体_GB2312" w:cs="楷体_GB2312"/>
          <w:b/>
          <w:bCs/>
          <w:color w:val="000000"/>
          <w:sz w:val="32"/>
          <w:lang w:val="en-US" w:eastAsia="zh-CN" w:bidi="ar-SA"/>
        </w:rPr>
        <w:t>4.4 数字空间无障碍发展指引</w:t>
      </w:r>
      <w:bookmarkEnd w:id="83"/>
      <w:bookmarkEnd w:id="84"/>
    </w:p>
    <w:bookmarkEnd w:id="85"/>
    <w:p w14:paraId="6D47AF21">
      <w:pPr>
        <w:keepNext/>
        <w:keepLines/>
        <w:ind w:firstLine="643" w:firstLineChars="200"/>
        <w:outlineLvl w:val="2"/>
      </w:pPr>
      <w:bookmarkStart w:id="86" w:name="_Toc20364_ai"/>
      <w:r>
        <w:rPr>
          <w:rFonts w:hint="eastAsia" w:ascii="仿宋_GB2312" w:hAnsi="仿宋_GB2312" w:eastAsia="仿宋_GB2312" w:cs="仿宋_GB2312"/>
          <w:b/>
          <w:bCs/>
          <w:sz w:val="32"/>
          <w:szCs w:val="32"/>
          <w:lang w:val="en-US" w:eastAsia="zh-CN" w:bidi="ar-SA"/>
        </w:rPr>
        <w:t>4.4.1规划</w:t>
      </w:r>
      <w:bookmarkEnd w:id="86"/>
      <w:r>
        <w:rPr>
          <w:rFonts w:hint="eastAsia" w:ascii="仿宋_GB2312" w:hAnsi="仿宋_GB2312" w:eastAsia="仿宋_GB2312" w:cs="仿宋_GB2312"/>
          <w:b/>
          <w:bCs/>
          <w:sz w:val="32"/>
          <w:szCs w:val="32"/>
          <w:lang w:val="en-US" w:eastAsia="zh-CN" w:bidi="ar-SA"/>
        </w:rPr>
        <w:t>要求</w:t>
      </w:r>
    </w:p>
    <w:p w14:paraId="737D1904">
      <w:pPr>
        <w:ind w:firstLine="640"/>
        <w:rPr>
          <w:rFonts w:hint="eastAsia" w:ascii="仿宋_GB2312" w:hAnsi="仿宋_GB2312" w:cs="仿宋_GB2312"/>
          <w:szCs w:val="32"/>
          <w:lang w:eastAsia="zh-CN"/>
        </w:rPr>
      </w:pPr>
      <w:r>
        <w:rPr>
          <w:rFonts w:hint="eastAsia" w:ascii="仿宋_GB2312" w:hAnsi="仿宋_GB2312" w:cs="仿宋_GB2312"/>
          <w:szCs w:val="32"/>
          <w:lang w:eastAsia="zh-CN"/>
        </w:rPr>
        <w:t>数字空间无障碍规划是构建包容性数字环境的基础工作，其目的是确保所有人，特别是老年人、残障人士等特殊群体，能够平等、便捷地获取和使用数字信息与服务。数字空间无障碍规划应坚持“精细化、智慧化、通用化”的基本</w:t>
      </w:r>
      <w:r>
        <w:rPr>
          <w:rFonts w:hint="eastAsia" w:ascii="仿宋_GB2312" w:hAnsi="仿宋_GB2312" w:cs="仿宋_GB2312"/>
          <w:szCs w:val="32"/>
          <w:lang w:val="en-US" w:eastAsia="zh-CN"/>
        </w:rPr>
        <w:t>要求</w:t>
      </w:r>
      <w:r>
        <w:rPr>
          <w:rFonts w:hint="eastAsia" w:ascii="仿宋_GB2312" w:hAnsi="仿宋_GB2312" w:cs="仿宋_GB2312"/>
          <w:szCs w:val="32"/>
          <w:lang w:eastAsia="zh-CN"/>
        </w:rPr>
        <w:t>，分别对数字信息获取、数字服务使用、数字交互体验等方面提出精细化、智慧化、通用化无障碍指引，逐步建立无障碍数字空间体系。同时，数字空间无障碍规划应注重系统性和连续性，确保各类数字无障碍设施的有机衔接，为特殊群体提供平等、便利的数字空间使用条件。</w:t>
      </w:r>
    </w:p>
    <w:p w14:paraId="2B852BCF">
      <w:pPr>
        <w:keepNext/>
        <w:keepLines/>
        <w:ind w:firstLine="643" w:firstLineChars="200"/>
        <w:outlineLvl w:val="2"/>
      </w:pPr>
      <w:bookmarkStart w:id="87" w:name="_Toc18546_ai"/>
      <w:r>
        <w:rPr>
          <w:rFonts w:hint="eastAsia" w:ascii="仿宋_GB2312" w:hAnsi="仿宋_GB2312" w:eastAsia="仿宋_GB2312" w:cs="仿宋_GB2312"/>
          <w:b/>
          <w:bCs/>
          <w:sz w:val="32"/>
          <w:szCs w:val="32"/>
          <w:lang w:val="en-US" w:eastAsia="zh-CN" w:bidi="ar-SA"/>
        </w:rPr>
        <w:t>4.4.2政务服务无障碍发展指引</w:t>
      </w:r>
      <w:bookmarkEnd w:id="87"/>
    </w:p>
    <w:p w14:paraId="2929A0A8">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（1）政务服务平台无障碍建设指引</w:t>
      </w:r>
    </w:p>
    <w:p w14:paraId="19BDCA71">
      <w:pPr>
        <w:ind w:firstLine="616"/>
        <w:rPr>
          <w:rFonts w:ascii="Times New Roman" w:hAnsi="Times New Roman" w:cs="仿宋_GB2312"/>
          <w:spacing w:val="-6"/>
          <w:szCs w:val="32"/>
          <w:lang w:eastAsia="zh-CN"/>
        </w:rPr>
      </w:pPr>
      <w:r>
        <w:rPr>
          <w:rFonts w:ascii="Times New Roman" w:hAnsi="Times New Roman" w:cs="仿宋_GB2312"/>
          <w:spacing w:val="-6"/>
          <w:szCs w:val="32"/>
          <w:lang w:eastAsia="zh-CN"/>
        </w:rPr>
        <w:t>政务服务平台是特殊群体获取政府服务的核心渠道，需覆盖网站、移动应用、自助终端等多元载体，全面满足各类特殊群体的使用需求。</w:t>
      </w:r>
    </w:p>
    <w:p w14:paraId="3CC47730">
      <w:pPr>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表16 政务服务平台无障碍建设指引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1"/>
        <w:gridCol w:w="6377"/>
        <w:gridCol w:w="1488"/>
      </w:tblGrid>
      <w:tr w14:paraId="0E21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D7D7D7"/>
            <w:noWrap w:val="0"/>
            <w:tcMar>
              <w:left w:w="108" w:type="dxa"/>
              <w:right w:w="108" w:type="dxa"/>
            </w:tcMar>
            <w:vAlign w:val="center"/>
          </w:tcPr>
          <w:p w14:paraId="2E589227">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平台类型</w:t>
            </w:r>
          </w:p>
        </w:tc>
        <w:tc>
          <w:tcPr>
            <w:tcW w:w="0" w:type="auto"/>
            <w:shd w:val="clear" w:color="auto" w:fill="D7D7D7"/>
            <w:noWrap w:val="0"/>
            <w:tcMar>
              <w:left w:w="108" w:type="dxa"/>
              <w:right w:w="108" w:type="dxa"/>
            </w:tcMar>
            <w:vAlign w:val="center"/>
          </w:tcPr>
          <w:p w14:paraId="1ABA8BF0">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无障碍版本建设要求</w:t>
            </w:r>
          </w:p>
        </w:tc>
        <w:tc>
          <w:tcPr>
            <w:tcW w:w="0" w:type="auto"/>
            <w:shd w:val="clear" w:color="auto" w:fill="D7D7D7"/>
            <w:noWrap w:val="0"/>
            <w:tcMar>
              <w:left w:w="108" w:type="dxa"/>
              <w:right w:w="108" w:type="dxa"/>
            </w:tcMar>
            <w:vAlign w:val="center"/>
          </w:tcPr>
          <w:p w14:paraId="33415E74">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5A69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7E913B7C">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政务网站</w:t>
            </w:r>
          </w:p>
        </w:tc>
        <w:tc>
          <w:tcPr>
            <w:tcW w:w="0" w:type="auto"/>
            <w:noWrap w:val="0"/>
            <w:tcMar>
              <w:left w:w="108" w:type="dxa"/>
              <w:right w:w="108" w:type="dxa"/>
            </w:tcMar>
            <w:vAlign w:val="center"/>
          </w:tcPr>
          <w:p w14:paraId="1EAE2AF0">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 内容规范：提供图片文字替代、视频字幕及音频描述、多色彩对比度选项；</w:t>
            </w:r>
            <w:r>
              <w:rPr>
                <w:rFonts w:hint="eastAsia"/>
                <w:lang w:eastAsia="zh-CN"/>
              </w:rPr>
              <w:br w:type="textWrapping"/>
            </w:r>
            <w:r>
              <w:rPr>
                <w:rFonts w:hint="eastAsia" w:ascii="仿宋_GB2312" w:hAnsi="仿宋_GB2312" w:cs="仿宋_GB2312"/>
                <w:bCs/>
                <w:sz w:val="28"/>
                <w:szCs w:val="28"/>
                <w:lang w:eastAsia="zh-CN"/>
              </w:rPr>
              <w:t>2. 结构优化：采用语义化HTML标签，提供网站地图、智能搜索功能；</w:t>
            </w:r>
            <w:r>
              <w:rPr>
                <w:rFonts w:hint="eastAsia"/>
                <w:lang w:eastAsia="zh-CN"/>
              </w:rPr>
              <w:br w:type="textWrapping"/>
            </w:r>
            <w:r>
              <w:rPr>
                <w:rFonts w:hint="eastAsia" w:ascii="仿宋_GB2312" w:hAnsi="仿宋_GB2312" w:cs="仿宋_GB2312"/>
                <w:bCs/>
                <w:sz w:val="28"/>
                <w:szCs w:val="28"/>
                <w:lang w:eastAsia="zh-CN"/>
              </w:rPr>
              <w:t>3. 操作适配：支持全键盘操作，表单提供验证提示与错误说明；</w:t>
            </w:r>
            <w:r>
              <w:rPr>
                <w:rFonts w:hint="eastAsia"/>
                <w:lang w:eastAsia="zh-CN"/>
              </w:rPr>
              <w:br w:type="textWrapping"/>
            </w:r>
            <w:r>
              <w:rPr>
                <w:rFonts w:hint="eastAsia" w:ascii="仿宋_GB2312" w:hAnsi="仿宋_GB2312" w:cs="仿宋_GB2312"/>
                <w:bCs/>
                <w:sz w:val="28"/>
                <w:szCs w:val="28"/>
                <w:lang w:eastAsia="zh-CN"/>
              </w:rPr>
              <w:t>4. 展示控制：支持字体缩放（120%-200%）、页面放大，禁止单一色彩传讯；</w:t>
            </w:r>
            <w:r>
              <w:rPr>
                <w:rFonts w:hint="eastAsia"/>
                <w:lang w:eastAsia="zh-CN"/>
              </w:rPr>
              <w:br w:type="textWrapping"/>
            </w:r>
            <w:r>
              <w:rPr>
                <w:rFonts w:hint="eastAsia" w:ascii="仿宋_GB2312" w:hAnsi="仿宋_GB2312" w:cs="仿宋_GB2312"/>
                <w:bCs/>
                <w:sz w:val="28"/>
                <w:szCs w:val="28"/>
                <w:lang w:eastAsia="zh-CN"/>
              </w:rPr>
              <w:t>5. 技术兼容：适配主流浏览器及辅助技术（屏幕阅读器、语音识别等）</w:t>
            </w:r>
          </w:p>
        </w:tc>
        <w:tc>
          <w:tcPr>
            <w:tcW w:w="0" w:type="auto"/>
            <w:noWrap w:val="0"/>
            <w:tcMar>
              <w:left w:w="108" w:type="dxa"/>
              <w:right w:w="108" w:type="dxa"/>
            </w:tcMar>
            <w:vAlign w:val="center"/>
          </w:tcPr>
          <w:p w14:paraId="1C62F056">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优化完善</w:t>
            </w:r>
          </w:p>
        </w:tc>
      </w:tr>
      <w:tr w14:paraId="2191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5FFF76BA">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移动应用</w:t>
            </w:r>
          </w:p>
        </w:tc>
        <w:tc>
          <w:tcPr>
            <w:tcW w:w="0" w:type="auto"/>
            <w:noWrap w:val="0"/>
            <w:tcMar>
              <w:left w:w="108" w:type="dxa"/>
              <w:right w:w="108" w:type="dxa"/>
            </w:tcMar>
            <w:vAlign w:val="center"/>
          </w:tcPr>
          <w:p w14:paraId="35ED5ED5">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 界面设计：简洁布局，支持屏幕阅读器操作，提供语音导航与输入；</w:t>
            </w:r>
            <w:r>
              <w:rPr>
                <w:rFonts w:hint="eastAsia"/>
                <w:lang w:eastAsia="zh-CN"/>
              </w:rPr>
              <w:br w:type="textWrapping"/>
            </w:r>
            <w:r>
              <w:rPr>
                <w:rFonts w:hint="eastAsia" w:ascii="仿宋_GB2312" w:hAnsi="仿宋_GB2312" w:cs="仿宋_GB2312"/>
                <w:bCs/>
                <w:sz w:val="28"/>
                <w:szCs w:val="28"/>
                <w:lang w:eastAsia="zh-CN"/>
              </w:rPr>
              <w:t>2. 功能适配：交互元素可触摸操作，非文本内容配文字替代说明；</w:t>
            </w:r>
            <w:r>
              <w:rPr>
                <w:rFonts w:hint="eastAsia"/>
                <w:lang w:eastAsia="zh-CN"/>
              </w:rPr>
              <w:br w:type="textWrapping"/>
            </w:r>
            <w:r>
              <w:rPr>
                <w:rFonts w:hint="eastAsia" w:ascii="仿宋_GB2312" w:hAnsi="仿宋_GB2312" w:cs="仿宋_GB2312"/>
                <w:bCs/>
                <w:sz w:val="28"/>
                <w:szCs w:val="28"/>
                <w:lang w:eastAsia="zh-CN"/>
              </w:rPr>
              <w:t>3. 技术兼容：适配主流移动设备与操作系统，支持深色模式与字体调整</w:t>
            </w:r>
          </w:p>
        </w:tc>
        <w:tc>
          <w:tcPr>
            <w:tcW w:w="0" w:type="auto"/>
            <w:noWrap w:val="0"/>
            <w:tcMar>
              <w:left w:w="108" w:type="dxa"/>
              <w:right w:w="108" w:type="dxa"/>
            </w:tcMar>
            <w:vAlign w:val="center"/>
          </w:tcPr>
          <w:p w14:paraId="19824397">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优化完善</w:t>
            </w:r>
          </w:p>
        </w:tc>
      </w:tr>
      <w:tr w14:paraId="0BC4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1268D4D4">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自助终端</w:t>
            </w:r>
          </w:p>
        </w:tc>
        <w:tc>
          <w:tcPr>
            <w:tcW w:w="0" w:type="auto"/>
            <w:noWrap w:val="0"/>
            <w:tcMar>
              <w:left w:w="108" w:type="dxa"/>
              <w:right w:w="108" w:type="dxa"/>
            </w:tcMar>
            <w:vAlign w:val="center"/>
          </w:tcPr>
          <w:p w14:paraId="3F625D06">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 设备布局：低位操作面板，提供触摸屏、物理按键及语音输入；</w:t>
            </w:r>
            <w:r>
              <w:rPr>
                <w:rFonts w:hint="eastAsia"/>
                <w:lang w:eastAsia="zh-CN"/>
              </w:rPr>
              <w:br w:type="textWrapping"/>
            </w:r>
            <w:r>
              <w:rPr>
                <w:rFonts w:hint="eastAsia" w:ascii="仿宋_GB2312" w:hAnsi="仿宋_GB2312" w:cs="仿宋_GB2312"/>
                <w:bCs/>
                <w:sz w:val="28"/>
                <w:szCs w:val="28"/>
                <w:lang w:eastAsia="zh-CN"/>
              </w:rPr>
              <w:t>2. 界面显示：高对比度配色、大字体，支持手语视频服务；</w:t>
            </w:r>
            <w:r>
              <w:rPr>
                <w:rFonts w:hint="eastAsia"/>
                <w:lang w:eastAsia="zh-CN"/>
              </w:rPr>
              <w:br w:type="textWrapping"/>
            </w:r>
            <w:r>
              <w:rPr>
                <w:rFonts w:hint="eastAsia" w:ascii="仿宋_GB2312" w:hAnsi="仿宋_GB2312" w:cs="仿宋_GB2312"/>
                <w:bCs/>
                <w:sz w:val="28"/>
                <w:szCs w:val="28"/>
                <w:lang w:eastAsia="zh-CN"/>
              </w:rPr>
              <w:t>3. 辅助设施：设置无障碍通道、耳机接口及盲文标识；</w:t>
            </w:r>
            <w:r>
              <w:rPr>
                <w:rFonts w:hint="eastAsia"/>
                <w:lang w:eastAsia="zh-CN"/>
              </w:rPr>
              <w:br w:type="textWrapping"/>
            </w:r>
            <w:r>
              <w:rPr>
                <w:rFonts w:hint="eastAsia" w:ascii="仿宋_GB2312" w:hAnsi="仿宋_GB2312" w:cs="仿宋_GB2312"/>
                <w:bCs/>
                <w:sz w:val="28"/>
                <w:szCs w:val="28"/>
                <w:lang w:eastAsia="zh-CN"/>
              </w:rPr>
              <w:t>4. 服务保障：提供远程人工协助，简化操作流程，支持多语言服务</w:t>
            </w:r>
          </w:p>
        </w:tc>
        <w:tc>
          <w:tcPr>
            <w:tcW w:w="0" w:type="auto"/>
            <w:noWrap w:val="0"/>
            <w:tcMar>
              <w:left w:w="108" w:type="dxa"/>
              <w:right w:w="108" w:type="dxa"/>
            </w:tcMar>
            <w:vAlign w:val="center"/>
          </w:tcPr>
          <w:p w14:paraId="207E072A">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新建或优化完善</w:t>
            </w:r>
          </w:p>
        </w:tc>
      </w:tr>
    </w:tbl>
    <w:p w14:paraId="1B2F1CD7">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注：引用文件为《无障碍环境建设条例》（国务院令第622号）、《信息无障碍身体机能差异人群网站设计无障碍技术要求》（GB/T 37668-2019）、《Web内容无障碍指南》（WCAG 2.1）、《建筑与市政工程无障碍通用规范》（GB 55019-2021）、《公共信息终端无障碍技术要求》（GB/T 35272-2017）、《无障碍设计规范》（GB 50763-2012）。</w:t>
      </w:r>
    </w:p>
    <w:p w14:paraId="5BA8A821">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（2）政务服务内容无障碍优化指引</w:t>
      </w:r>
    </w:p>
    <w:p w14:paraId="1F64A0D3">
      <w:pPr>
        <w:ind w:firstLine="616"/>
        <w:rPr>
          <w:rFonts w:ascii="Times New Roman" w:hAnsi="Times New Roman" w:cs="仿宋_GB2312"/>
          <w:spacing w:val="-6"/>
          <w:szCs w:val="32"/>
          <w:lang w:eastAsia="zh-CN"/>
        </w:rPr>
      </w:pPr>
      <w:r>
        <w:rPr>
          <w:rFonts w:ascii="Times New Roman" w:hAnsi="Times New Roman" w:cs="仿宋_GB2312"/>
          <w:spacing w:val="-6"/>
          <w:szCs w:val="32"/>
          <w:lang w:eastAsia="zh-CN"/>
        </w:rPr>
        <w:t>通过多格式发布、流程简化、个性化服务等方式，确保政务服务内容对特殊群体可理解、可获取、可使用。</w:t>
      </w:r>
    </w:p>
    <w:p w14:paraId="5F7899C6">
      <w:pPr>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表17 政务服务内容无障碍优化指引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2"/>
        <w:gridCol w:w="5990"/>
        <w:gridCol w:w="1444"/>
      </w:tblGrid>
      <w:tr w14:paraId="2A4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Header/>
        </w:trPr>
        <w:tc>
          <w:tcPr>
            <w:tcW w:w="0" w:type="auto"/>
            <w:shd w:val="clear" w:color="auto" w:fill="D7D7D7"/>
            <w:noWrap w:val="0"/>
            <w:tcMar>
              <w:left w:w="108" w:type="dxa"/>
              <w:right w:w="108" w:type="dxa"/>
            </w:tcMar>
            <w:vAlign w:val="center"/>
          </w:tcPr>
          <w:p w14:paraId="48E2B319">
            <w:pPr>
              <w:spacing w:line="240" w:lineRule="auto"/>
              <w:ind w:firstLine="0" w:firstLineChars="0"/>
              <w:jc w:val="center"/>
              <w:rPr>
                <w:rFonts w:hint="eastAsia" w:ascii="黑体" w:hAnsi="黑体" w:eastAsia="黑体" w:cs="黑体"/>
                <w:bCs/>
                <w:sz w:val="28"/>
                <w:szCs w:val="28"/>
              </w:rPr>
            </w:pPr>
            <w:bookmarkStart w:id="88" w:name="_Toc8670"/>
            <w:r>
              <w:rPr>
                <w:rFonts w:hint="eastAsia" w:ascii="黑体" w:hAnsi="黑体" w:eastAsia="黑体" w:cs="黑体"/>
                <w:bCs/>
                <w:sz w:val="28"/>
                <w:szCs w:val="28"/>
              </w:rPr>
              <w:t>优化维度</w:t>
            </w:r>
          </w:p>
        </w:tc>
        <w:tc>
          <w:tcPr>
            <w:tcW w:w="5990" w:type="dxa"/>
            <w:shd w:val="clear" w:color="auto" w:fill="D7D7D7"/>
            <w:noWrap w:val="0"/>
            <w:tcMar>
              <w:left w:w="108" w:type="dxa"/>
              <w:right w:w="108" w:type="dxa"/>
            </w:tcMar>
            <w:vAlign w:val="center"/>
          </w:tcPr>
          <w:p w14:paraId="25A2D228">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具体措施</w:t>
            </w:r>
          </w:p>
        </w:tc>
        <w:tc>
          <w:tcPr>
            <w:tcW w:w="1444" w:type="dxa"/>
            <w:shd w:val="clear" w:color="auto" w:fill="D7D7D7"/>
            <w:noWrap w:val="0"/>
            <w:tcMar>
              <w:left w:w="108" w:type="dxa"/>
              <w:right w:w="108" w:type="dxa"/>
            </w:tcMar>
            <w:vAlign w:val="center"/>
          </w:tcPr>
          <w:p w14:paraId="6CD13D2D">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0283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trPr>
        <w:tc>
          <w:tcPr>
            <w:tcW w:w="0" w:type="auto"/>
            <w:noWrap w:val="0"/>
            <w:tcMar>
              <w:left w:w="108" w:type="dxa"/>
              <w:right w:w="108" w:type="dxa"/>
            </w:tcMar>
            <w:vAlign w:val="center"/>
          </w:tcPr>
          <w:p w14:paraId="7E7DB259">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政务信息发布</w:t>
            </w:r>
          </w:p>
        </w:tc>
        <w:tc>
          <w:tcPr>
            <w:tcW w:w="5990" w:type="dxa"/>
            <w:noWrap w:val="0"/>
            <w:tcMar>
              <w:left w:w="108" w:type="dxa"/>
              <w:right w:w="108" w:type="dxa"/>
            </w:tcMar>
            <w:vAlign w:val="center"/>
          </w:tcPr>
          <w:p w14:paraId="3283666D">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1.多格式：提供盲文、大字版、语音版、手语视频版；</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2.多渠道：覆盖网站、APP、短信、电视、社区公告栏；</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3.可理解性：通俗语言表达，专业术语附解释，复杂政策配解读案例；</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4.及时性：紧急信息多渠道快速推送</w:t>
            </w:r>
          </w:p>
        </w:tc>
        <w:tc>
          <w:tcPr>
            <w:tcW w:w="1444" w:type="dxa"/>
            <w:noWrap w:val="0"/>
            <w:tcMar>
              <w:left w:w="108" w:type="dxa"/>
              <w:right w:w="108" w:type="dxa"/>
            </w:tcMar>
            <w:vAlign w:val="center"/>
          </w:tcPr>
          <w:p w14:paraId="01A1918E">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常态化发布</w:t>
            </w:r>
          </w:p>
        </w:tc>
      </w:tr>
      <w:tr w14:paraId="246B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9" w:hRule="atLeast"/>
        </w:trPr>
        <w:tc>
          <w:tcPr>
            <w:tcW w:w="0" w:type="auto"/>
            <w:noWrap w:val="0"/>
            <w:tcMar>
              <w:left w:w="108" w:type="dxa"/>
              <w:right w:w="108" w:type="dxa"/>
            </w:tcMar>
            <w:vAlign w:val="center"/>
          </w:tcPr>
          <w:p w14:paraId="490AA269">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服务流程优化</w:t>
            </w:r>
          </w:p>
        </w:tc>
        <w:tc>
          <w:tcPr>
            <w:tcW w:w="5990" w:type="dxa"/>
            <w:noWrap w:val="0"/>
            <w:tcMar>
              <w:left w:w="108" w:type="dxa"/>
              <w:right w:w="108" w:type="dxa"/>
            </w:tcMar>
            <w:vAlign w:val="center"/>
          </w:tcPr>
          <w:p w14:paraId="4D73AC37">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1.简化流程：减少环节与材料，设置特殊群体绿色通道；</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2.多元服务：线上线下结合，保留窗口、上门服务等传统方式；</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3.辅助功能：提供语音导航、远程视频协助；</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4.个性化：记录用户偏好，自动适配服务模式</w:t>
            </w:r>
          </w:p>
        </w:tc>
        <w:tc>
          <w:tcPr>
            <w:tcW w:w="1444" w:type="dxa"/>
            <w:noWrap w:val="0"/>
            <w:tcMar>
              <w:left w:w="108" w:type="dxa"/>
              <w:right w:w="108" w:type="dxa"/>
            </w:tcMar>
            <w:vAlign w:val="center"/>
          </w:tcPr>
          <w:p w14:paraId="3B2E8B9E">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持续优化</w:t>
            </w:r>
          </w:p>
        </w:tc>
      </w:tr>
      <w:tr w14:paraId="4C8C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0" w:type="auto"/>
            <w:noWrap w:val="0"/>
            <w:tcMar>
              <w:left w:w="108" w:type="dxa"/>
              <w:right w:w="108" w:type="dxa"/>
            </w:tcMar>
            <w:vAlign w:val="center"/>
          </w:tcPr>
          <w:p w14:paraId="2EC13CDC">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服务评价优化</w:t>
            </w:r>
          </w:p>
        </w:tc>
        <w:tc>
          <w:tcPr>
            <w:tcW w:w="5990" w:type="dxa"/>
            <w:noWrap w:val="0"/>
            <w:tcMar>
              <w:left w:w="108" w:type="dxa"/>
              <w:right w:w="108" w:type="dxa"/>
            </w:tcMar>
            <w:vAlign w:val="center"/>
          </w:tcPr>
          <w:p w14:paraId="1D2F9F39">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1.多渠道：网站、APP、短信、现场评价；</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2.无障碍方式：支持文字、语音、选择式评价；</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3.反馈机制：及时回应特殊群体意见，优先处理相关诉求</w:t>
            </w:r>
          </w:p>
        </w:tc>
        <w:tc>
          <w:tcPr>
            <w:tcW w:w="1444" w:type="dxa"/>
            <w:noWrap w:val="0"/>
            <w:tcMar>
              <w:left w:w="108" w:type="dxa"/>
              <w:right w:w="108" w:type="dxa"/>
            </w:tcMar>
            <w:vAlign w:val="center"/>
          </w:tcPr>
          <w:p w14:paraId="31400E52">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闭环管理</w:t>
            </w:r>
          </w:p>
        </w:tc>
      </w:tr>
      <w:bookmarkEnd w:id="88"/>
    </w:tbl>
    <w:p w14:paraId="5F3DEEC1">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注：引用文件为《无障碍环境建设条例》（国务院令第622号）、《信息无障碍身体机能差异人群网站设计无障碍技术要求》（GB/T 37668-2019）、《公共信息图形符号》（GB/T 10001.9-2021）、《信息无障碍移动应用技术要求》、《国务院办公厅关于制定和实施老年人照顾服务项目的意见》（国办发〔2017〕52号）、《政务服务评价工作指南》（GB/T 39038-2020）、《信息无障碍公共服务平台技术要求》（GB/T 37678-2019）、《国务院办公厅关于建立政务服务“好差评”制度 提高政务服务水平的意见》（国办发〔2019〕51号），并参考《政务服务中心无障碍服务规范》（DB44033/T 212-2021）（深圳市）。</w:t>
      </w:r>
      <w:bookmarkStart w:id="89" w:name="_Toc8670_ai"/>
      <w:bookmarkEnd w:id="89"/>
    </w:p>
    <w:p w14:paraId="536A39C8">
      <w:pPr>
        <w:keepNext/>
        <w:keepLines/>
        <w:ind w:firstLine="643" w:firstLineChars="200"/>
        <w:outlineLvl w:val="2"/>
        <w:rPr>
          <w:rFonts w:hint="eastAsia" w:ascii="仿宋_GB2312" w:hAnsi="仿宋_GB2312" w:eastAsia="仿宋_GB2312" w:cs="仿宋_GB2312"/>
          <w:b/>
          <w:sz w:val="32"/>
          <w:szCs w:val="32"/>
          <w:lang w:val="en-US" w:eastAsia="zh-CN" w:bidi="ar-SA"/>
        </w:rPr>
      </w:pPr>
      <w:r>
        <w:rPr>
          <w:rFonts w:hint="eastAsia" w:ascii="仿宋_GB2312" w:hAnsi="仿宋_GB2312" w:eastAsia="仿宋_GB2312" w:cs="仿宋_GB2312"/>
          <w:b/>
          <w:bCs/>
          <w:sz w:val="32"/>
          <w:szCs w:val="32"/>
          <w:lang w:val="en-US" w:eastAsia="zh-CN" w:bidi="ar-SA"/>
        </w:rPr>
        <w:t>4.4.3数字基础设施无障碍发展指引</w:t>
      </w:r>
    </w:p>
    <w:p w14:paraId="6029D736">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（1）公共数字终端无障碍建设指引</w:t>
      </w:r>
    </w:p>
    <w:p w14:paraId="770C0279">
      <w:pPr>
        <w:ind w:firstLine="616"/>
        <w:rPr>
          <w:rFonts w:ascii="Times New Roman" w:hAnsi="Times New Roman" w:cs="仿宋_GB2312"/>
          <w:spacing w:val="-6"/>
          <w:szCs w:val="32"/>
          <w:lang w:eastAsia="zh-CN"/>
        </w:rPr>
      </w:pPr>
      <w:r>
        <w:rPr>
          <w:rFonts w:ascii="Times New Roman" w:hAnsi="Times New Roman" w:cs="仿宋_GB2312"/>
          <w:spacing w:val="-6"/>
          <w:szCs w:val="32"/>
          <w:lang w:eastAsia="zh-CN"/>
        </w:rPr>
        <w:t>聚焦政务、交通、文化三类核心终端，打造覆盖全市的无障碍数字终端网络。</w:t>
      </w:r>
    </w:p>
    <w:p w14:paraId="0338FCD5">
      <w:pPr>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表18 公共数字终端无障碍建设指引</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5"/>
        <w:gridCol w:w="5738"/>
        <w:gridCol w:w="1549"/>
      </w:tblGrid>
      <w:tr w14:paraId="0B1D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582" w:type="pct"/>
            <w:shd w:val="clear" w:color="auto" w:fill="D7D7D7"/>
            <w:noWrap w:val="0"/>
            <w:tcMar>
              <w:left w:w="108" w:type="dxa"/>
              <w:right w:w="108" w:type="dxa"/>
            </w:tcMar>
            <w:vAlign w:val="center"/>
          </w:tcPr>
          <w:p w14:paraId="1E159AA9">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终端类型</w:t>
            </w:r>
          </w:p>
        </w:tc>
        <w:tc>
          <w:tcPr>
            <w:tcW w:w="2134" w:type="pct"/>
            <w:shd w:val="clear" w:color="auto" w:fill="D7D7D7"/>
            <w:noWrap w:val="0"/>
            <w:tcMar>
              <w:left w:w="108" w:type="dxa"/>
              <w:right w:w="108" w:type="dxa"/>
            </w:tcMar>
            <w:vAlign w:val="center"/>
          </w:tcPr>
          <w:p w14:paraId="50D9B759">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无障碍建设要求</w:t>
            </w:r>
          </w:p>
        </w:tc>
        <w:tc>
          <w:tcPr>
            <w:tcW w:w="576" w:type="pct"/>
            <w:shd w:val="clear" w:color="auto" w:fill="D7D7D7"/>
            <w:noWrap w:val="0"/>
            <w:tcMar>
              <w:left w:w="108" w:type="dxa"/>
              <w:right w:w="108" w:type="dxa"/>
            </w:tcMar>
            <w:vAlign w:val="center"/>
          </w:tcPr>
          <w:p w14:paraId="1DA4B7BA">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4CE2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2" w:type="pct"/>
            <w:noWrap w:val="0"/>
            <w:tcMar>
              <w:left w:w="108" w:type="dxa"/>
              <w:right w:w="108" w:type="dxa"/>
            </w:tcMar>
            <w:vAlign w:val="center"/>
          </w:tcPr>
          <w:p w14:paraId="7DB550CB">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政务服务终端</w:t>
            </w:r>
          </w:p>
        </w:tc>
        <w:tc>
          <w:tcPr>
            <w:tcW w:w="2134" w:type="pct"/>
            <w:noWrap w:val="0"/>
            <w:tcMar>
              <w:left w:w="108" w:type="dxa"/>
              <w:right w:w="108" w:type="dxa"/>
            </w:tcMar>
            <w:vAlign w:val="center"/>
          </w:tcPr>
          <w:p w14:paraId="7D71DD63">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同</w:t>
            </w:r>
            <w:r>
              <w:rPr>
                <w:rFonts w:hint="eastAsia" w:ascii="仿宋_GB2312" w:hAnsi="仿宋_GB2312" w:cs="仿宋_GB2312"/>
                <w:bCs/>
                <w:sz w:val="28"/>
                <w:szCs w:val="28"/>
                <w:lang w:val="en-US" w:eastAsia="zh-CN"/>
              </w:rPr>
              <w:t>4</w:t>
            </w:r>
            <w:r>
              <w:rPr>
                <w:rFonts w:hint="eastAsia" w:ascii="仿宋_GB2312" w:hAnsi="仿宋_GB2312" w:cs="仿宋_GB2312"/>
                <w:bCs/>
                <w:sz w:val="28"/>
                <w:szCs w:val="28"/>
                <w:lang w:eastAsia="zh-CN"/>
              </w:rPr>
              <w:t>.4.2.1中自助终端建设要求，重点强化远程协助与多语言服务</w:t>
            </w:r>
          </w:p>
        </w:tc>
        <w:tc>
          <w:tcPr>
            <w:tcW w:w="576" w:type="pct"/>
            <w:noWrap w:val="0"/>
            <w:tcMar>
              <w:left w:w="108" w:type="dxa"/>
              <w:right w:w="108" w:type="dxa"/>
            </w:tcMar>
            <w:vAlign w:val="center"/>
          </w:tcPr>
          <w:p w14:paraId="3FF5A346">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新建或优化完善</w:t>
            </w:r>
          </w:p>
        </w:tc>
      </w:tr>
      <w:tr w14:paraId="59FC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2" w:type="pct"/>
            <w:noWrap w:val="0"/>
            <w:tcMar>
              <w:left w:w="108" w:type="dxa"/>
              <w:right w:w="108" w:type="dxa"/>
            </w:tcMar>
            <w:vAlign w:val="center"/>
          </w:tcPr>
          <w:p w14:paraId="227B7674">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公共交通终端</w:t>
            </w:r>
          </w:p>
        </w:tc>
        <w:tc>
          <w:tcPr>
            <w:tcW w:w="2134" w:type="pct"/>
            <w:noWrap w:val="0"/>
            <w:tcMar>
              <w:left w:w="108" w:type="dxa"/>
              <w:right w:w="108" w:type="dxa"/>
            </w:tcMar>
            <w:vAlign w:val="center"/>
          </w:tcPr>
          <w:p w14:paraId="55F73B35">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 轨道站点：提供盲文指引、语音地图、坐姿视读装置，低位布局；</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 公交站台：设置触摸／语音公交信息地图，实时到站提示；</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 街道慢行：布置声音／灯光过街提示、智慧灯杆、低位按钮</w:t>
            </w:r>
          </w:p>
        </w:tc>
        <w:tc>
          <w:tcPr>
            <w:tcW w:w="576" w:type="pct"/>
            <w:noWrap w:val="0"/>
            <w:tcMar>
              <w:left w:w="108" w:type="dxa"/>
              <w:right w:w="108" w:type="dxa"/>
            </w:tcMar>
            <w:vAlign w:val="center"/>
          </w:tcPr>
          <w:p w14:paraId="249C6800">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新建或改造</w:t>
            </w:r>
          </w:p>
        </w:tc>
      </w:tr>
      <w:tr w14:paraId="5375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2" w:type="pct"/>
            <w:noWrap w:val="0"/>
            <w:tcMar>
              <w:left w:w="108" w:type="dxa"/>
              <w:right w:w="108" w:type="dxa"/>
            </w:tcMar>
            <w:vAlign w:val="center"/>
          </w:tcPr>
          <w:p w14:paraId="2167F066">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公共文化终端</w:t>
            </w:r>
          </w:p>
        </w:tc>
        <w:tc>
          <w:tcPr>
            <w:tcW w:w="2134" w:type="pct"/>
            <w:noWrap w:val="0"/>
            <w:tcMar>
              <w:left w:w="108" w:type="dxa"/>
              <w:right w:w="108" w:type="dxa"/>
            </w:tcMar>
            <w:vAlign w:val="center"/>
          </w:tcPr>
          <w:p w14:paraId="64E20172">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 图书馆：配置盲文电脑、语音阅读器；</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 场馆：提供语音讲解、触摸展品、无障碍参观路线指引终端；</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 文化中心：设置无障碍活动／培训空间终端</w:t>
            </w:r>
          </w:p>
        </w:tc>
        <w:tc>
          <w:tcPr>
            <w:tcW w:w="576" w:type="pct"/>
            <w:noWrap w:val="0"/>
            <w:tcMar>
              <w:left w:w="108" w:type="dxa"/>
              <w:right w:w="108" w:type="dxa"/>
            </w:tcMar>
            <w:vAlign w:val="center"/>
          </w:tcPr>
          <w:p w14:paraId="3549AECF">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新建或改造</w:t>
            </w:r>
          </w:p>
        </w:tc>
      </w:tr>
    </w:tbl>
    <w:p w14:paraId="7B8B3F48">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注：引用文件为《无障碍设计规范》（GB 50763-2012）、《城市道路公共交通站、场、厂工程设计规范》（CJJ/T 15-2011）、《无障碍设施施工验收及维护规范》（GB50642-2011）、《图书馆建筑设计规范》（JGJ 38-2015）、《博物馆建筑设计规范》（JGJ 66-2015）、《无障碍环境建设条例》（国务院令第622号）。</w:t>
      </w:r>
    </w:p>
    <w:p w14:paraId="3A1F9F3C">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（2）智慧城市无障碍技术应用指引</w:t>
      </w:r>
    </w:p>
    <w:p w14:paraId="5E09844D">
      <w:pPr>
        <w:ind w:firstLine="616"/>
        <w:rPr>
          <w:rFonts w:ascii="Times New Roman" w:hAnsi="Times New Roman" w:cs="仿宋_GB2312"/>
          <w:spacing w:val="-6"/>
          <w:szCs w:val="32"/>
          <w:lang w:eastAsia="zh-CN"/>
        </w:rPr>
      </w:pPr>
      <w:r>
        <w:rPr>
          <w:rFonts w:ascii="Times New Roman" w:hAnsi="Times New Roman" w:cs="仿宋_GB2312"/>
          <w:spacing w:val="-6"/>
          <w:szCs w:val="32"/>
          <w:lang w:eastAsia="zh-CN"/>
        </w:rPr>
        <w:t>通过智能技术赋能，提升特殊群体在交通、社区、公共服务场景的数字体验。</w:t>
      </w:r>
    </w:p>
    <w:p w14:paraId="3FF92DBA">
      <w:pPr>
        <w:keepNext/>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表19 智慧城市无障碍技术应用指引</w:t>
      </w:r>
    </w:p>
    <w:tbl>
      <w:tblPr>
        <w:tblStyle w:val="5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3"/>
        <w:gridCol w:w="5571"/>
        <w:gridCol w:w="1937"/>
      </w:tblGrid>
      <w:tr w14:paraId="4421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473" w:type="pct"/>
            <w:shd w:val="clear" w:color="auto" w:fill="D7D7D7"/>
            <w:noWrap w:val="0"/>
            <w:tcMar>
              <w:left w:w="108" w:type="dxa"/>
              <w:right w:w="108" w:type="dxa"/>
            </w:tcMar>
            <w:vAlign w:val="center"/>
          </w:tcPr>
          <w:p w14:paraId="6CFB4E9D">
            <w:pPr>
              <w:spacing w:line="240" w:lineRule="auto"/>
              <w:ind w:firstLine="0" w:firstLineChars="0"/>
              <w:jc w:val="center"/>
              <w:rPr>
                <w:rFonts w:hint="eastAsia" w:ascii="黑体" w:hAnsi="黑体" w:eastAsia="黑体" w:cs="黑体"/>
                <w:bCs/>
                <w:sz w:val="28"/>
                <w:szCs w:val="28"/>
              </w:rPr>
            </w:pPr>
            <w:bookmarkStart w:id="90" w:name="_Toc28081"/>
            <w:r>
              <w:rPr>
                <w:rFonts w:hint="eastAsia" w:ascii="黑体" w:hAnsi="黑体" w:eastAsia="黑体" w:cs="黑体"/>
                <w:bCs/>
                <w:sz w:val="28"/>
                <w:szCs w:val="28"/>
              </w:rPr>
              <w:t>应用场景</w:t>
            </w:r>
          </w:p>
        </w:tc>
        <w:tc>
          <w:tcPr>
            <w:tcW w:w="1962" w:type="pct"/>
            <w:shd w:val="clear" w:color="auto" w:fill="D7D7D7"/>
            <w:noWrap w:val="0"/>
            <w:tcMar>
              <w:left w:w="108" w:type="dxa"/>
              <w:right w:w="108" w:type="dxa"/>
            </w:tcMar>
            <w:vAlign w:val="center"/>
          </w:tcPr>
          <w:p w14:paraId="3DD26F7C">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具体服务内容</w:t>
            </w:r>
          </w:p>
        </w:tc>
        <w:tc>
          <w:tcPr>
            <w:tcW w:w="682" w:type="pct"/>
            <w:shd w:val="clear" w:color="auto" w:fill="D7D7D7"/>
            <w:noWrap w:val="0"/>
            <w:tcMar>
              <w:left w:w="108" w:type="dxa"/>
              <w:right w:w="108" w:type="dxa"/>
            </w:tcMar>
            <w:vAlign w:val="center"/>
          </w:tcPr>
          <w:p w14:paraId="11CF1A1E">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1B68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 w:type="pct"/>
            <w:noWrap w:val="0"/>
            <w:tcMar>
              <w:left w:w="108" w:type="dxa"/>
              <w:right w:w="108" w:type="dxa"/>
            </w:tcMar>
            <w:vAlign w:val="center"/>
          </w:tcPr>
          <w:p w14:paraId="65DC7A79">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智慧交通</w:t>
            </w:r>
          </w:p>
        </w:tc>
        <w:tc>
          <w:tcPr>
            <w:tcW w:w="1962" w:type="pct"/>
            <w:noWrap w:val="0"/>
            <w:tcMar>
              <w:left w:w="108" w:type="dxa"/>
              <w:right w:w="108" w:type="dxa"/>
            </w:tcMar>
            <w:vAlign w:val="center"/>
          </w:tcPr>
          <w:p w14:paraId="55316EBE">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1.智能导航：无障碍路径规划、障碍物提醒、多模式导航（语音／震动）；</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2.智能公交：实时车辆定位、无障碍站台信息推送；</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3.智能信号：分时调控红绿灯、声音／灯光过街提示</w:t>
            </w:r>
          </w:p>
        </w:tc>
        <w:tc>
          <w:tcPr>
            <w:tcW w:w="682" w:type="pct"/>
            <w:noWrap w:val="0"/>
            <w:tcMar>
              <w:left w:w="108" w:type="dxa"/>
              <w:right w:w="108" w:type="dxa"/>
            </w:tcMar>
            <w:vAlign w:val="center"/>
          </w:tcPr>
          <w:p w14:paraId="75BDABAA">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系统开发与集成</w:t>
            </w:r>
          </w:p>
        </w:tc>
      </w:tr>
      <w:tr w14:paraId="095D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 w:type="pct"/>
            <w:noWrap w:val="0"/>
            <w:tcMar>
              <w:left w:w="108" w:type="dxa"/>
              <w:right w:w="108" w:type="dxa"/>
            </w:tcMar>
            <w:vAlign w:val="center"/>
          </w:tcPr>
          <w:p w14:paraId="40BF2E8F">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智慧社区</w:t>
            </w:r>
          </w:p>
        </w:tc>
        <w:tc>
          <w:tcPr>
            <w:tcW w:w="1962" w:type="pct"/>
            <w:noWrap w:val="0"/>
            <w:tcMar>
              <w:left w:w="108" w:type="dxa"/>
              <w:right w:w="108" w:type="dxa"/>
            </w:tcMar>
            <w:vAlign w:val="center"/>
          </w:tcPr>
          <w:p w14:paraId="361F7F40">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1.数字盲道：场地感应标签＋手机APP导航；</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2.信息服务：社区公告、活动的多格式推送；</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3.安全监控：一键求助、自动报警、远程协助</w:t>
            </w:r>
          </w:p>
        </w:tc>
        <w:tc>
          <w:tcPr>
            <w:tcW w:w="682" w:type="pct"/>
            <w:noWrap w:val="0"/>
            <w:tcMar>
              <w:left w:w="108" w:type="dxa"/>
              <w:right w:w="108" w:type="dxa"/>
            </w:tcMar>
            <w:vAlign w:val="center"/>
          </w:tcPr>
          <w:p w14:paraId="1B1E9A73">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场景化落地</w:t>
            </w:r>
          </w:p>
        </w:tc>
      </w:tr>
      <w:tr w14:paraId="2A1E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 w:type="pct"/>
            <w:noWrap w:val="0"/>
            <w:tcMar>
              <w:left w:w="108" w:type="dxa"/>
              <w:right w:w="108" w:type="dxa"/>
            </w:tcMar>
            <w:vAlign w:val="center"/>
          </w:tcPr>
          <w:p w14:paraId="0E13668E">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智慧公共服务</w:t>
            </w:r>
          </w:p>
        </w:tc>
        <w:tc>
          <w:tcPr>
            <w:tcW w:w="1962" w:type="pct"/>
            <w:noWrap w:val="0"/>
            <w:tcMar>
              <w:left w:w="108" w:type="dxa"/>
              <w:right w:w="108" w:type="dxa"/>
            </w:tcMar>
            <w:vAlign w:val="center"/>
          </w:tcPr>
          <w:p w14:paraId="545D115E">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1.智慧教育：个性化在线课程、语音／字幕支持；</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2.智慧医疗：远程诊疗、预约挂号的无障碍通道；</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3.智慧就业：职业培训、岗位推荐的精准推送</w:t>
            </w:r>
          </w:p>
        </w:tc>
        <w:tc>
          <w:tcPr>
            <w:tcW w:w="682" w:type="pct"/>
            <w:noWrap w:val="0"/>
            <w:tcMar>
              <w:left w:w="108" w:type="dxa"/>
              <w:right w:w="108" w:type="dxa"/>
            </w:tcMar>
            <w:vAlign w:val="center"/>
          </w:tcPr>
          <w:p w14:paraId="58202AB3">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平台化建设</w:t>
            </w:r>
          </w:p>
        </w:tc>
      </w:tr>
      <w:bookmarkEnd w:id="90"/>
    </w:tbl>
    <w:p w14:paraId="160F8140">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注：引用文件为《无障碍设计规范》（GB 50763-2012）、《城市道路公共交通站、场、厂工程设计规范》（CJJ/T 15-2011）、《无障碍环境建设条例》（国务院令第622号）、《信息无障碍公共服务平台技术要求》（GB/T 37678-2019）、《社区老年人日间照料中心服务基本要求》（GB/T 33168-2016）、《信息无障碍身体机能差异人群网站设计无障碍技术要求》（GB/T 37668-2019）、《远程医疗信息系统技术规范》（WS/T 803-2022）、《残疾人就业服务与就业援助》（GB/T 29158-2012）。</w:t>
      </w:r>
    </w:p>
    <w:p w14:paraId="730CB466">
      <w:pPr>
        <w:keepNext/>
        <w:keepLines/>
        <w:ind w:firstLine="643" w:firstLineChars="200"/>
        <w:outlineLvl w:val="2"/>
        <w:rPr>
          <w:rFonts w:hint="eastAsia" w:ascii="仿宋_GB2312" w:hAnsi="仿宋_GB2312" w:eastAsia="仿宋_GB2312" w:cs="仿宋_GB2312"/>
          <w:b/>
          <w:sz w:val="32"/>
          <w:szCs w:val="32"/>
          <w:lang w:val="en-US" w:eastAsia="zh-CN" w:bidi="ar-SA"/>
        </w:rPr>
      </w:pPr>
      <w:r>
        <w:rPr>
          <w:rFonts w:hint="eastAsia" w:ascii="仿宋_GB2312" w:hAnsi="仿宋_GB2312" w:eastAsia="仿宋_GB2312" w:cs="仿宋_GB2312"/>
          <w:b/>
          <w:bCs/>
          <w:sz w:val="32"/>
          <w:szCs w:val="32"/>
          <w:lang w:val="en-US" w:eastAsia="zh-CN" w:bidi="ar-SA"/>
        </w:rPr>
        <w:t>4.4.</w:t>
      </w:r>
      <w:r>
        <w:rPr>
          <w:rFonts w:hint="eastAsia" w:ascii="仿宋_GB2312" w:hAnsi="仿宋_GB2312" w:cs="仿宋_GB2312"/>
          <w:b/>
          <w:bCs/>
          <w:sz w:val="32"/>
          <w:szCs w:val="32"/>
          <w:lang w:val="en-US" w:eastAsia="zh-CN" w:bidi="ar-SA"/>
        </w:rPr>
        <w:t>4</w:t>
      </w:r>
      <w:r>
        <w:rPr>
          <w:rFonts w:hint="eastAsia" w:ascii="仿宋_GB2312" w:hAnsi="仿宋_GB2312" w:eastAsia="仿宋_GB2312" w:cs="仿宋_GB2312"/>
          <w:b/>
          <w:bCs/>
          <w:sz w:val="32"/>
          <w:szCs w:val="32"/>
          <w:lang w:val="en-US" w:eastAsia="zh-CN" w:bidi="ar-SA"/>
        </w:rPr>
        <w:t>信息传播无障碍发展指引</w:t>
      </w:r>
      <w:bookmarkStart w:id="91" w:name="_Toc28081_ai"/>
      <w:bookmarkEnd w:id="91"/>
    </w:p>
    <w:p w14:paraId="53B9B184">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（1）公共信息无障碍发布指引</w:t>
      </w:r>
    </w:p>
    <w:p w14:paraId="694AD088">
      <w:pPr>
        <w:ind w:firstLine="616"/>
        <w:rPr>
          <w:rFonts w:ascii="Times New Roman" w:hAnsi="Times New Roman" w:cs="仿宋_GB2312"/>
          <w:spacing w:val="-6"/>
          <w:szCs w:val="32"/>
          <w:lang w:eastAsia="zh-CN"/>
        </w:rPr>
      </w:pPr>
      <w:r>
        <w:rPr>
          <w:rFonts w:ascii="Times New Roman" w:hAnsi="Times New Roman" w:cs="仿宋_GB2312"/>
          <w:spacing w:val="-6"/>
          <w:szCs w:val="32"/>
          <w:lang w:eastAsia="zh-CN"/>
        </w:rPr>
        <w:t>确保</w:t>
      </w:r>
      <w:r>
        <w:rPr>
          <w:rFonts w:hint="eastAsia" w:ascii="Times New Roman" w:hAnsi="Times New Roman" w:cs="仿宋_GB2312"/>
          <w:spacing w:val="-6"/>
          <w:szCs w:val="32"/>
          <w:lang w:eastAsia="zh-CN"/>
        </w:rPr>
        <w:t>政务</w:t>
      </w:r>
      <w:r>
        <w:rPr>
          <w:rFonts w:ascii="Times New Roman" w:hAnsi="Times New Roman" w:cs="仿宋_GB2312"/>
          <w:spacing w:val="-6"/>
          <w:szCs w:val="32"/>
          <w:lang w:eastAsia="zh-CN"/>
        </w:rPr>
        <w:t>信息、公共服务信息、应急信息以多格式、多渠道触达特殊群体。</w:t>
      </w:r>
    </w:p>
    <w:p w14:paraId="7C0754CA">
      <w:pPr>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表20 公共信息无障碍发布指引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6"/>
        <w:gridCol w:w="5604"/>
        <w:gridCol w:w="1626"/>
      </w:tblGrid>
      <w:tr w14:paraId="61EC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D7D7D7"/>
            <w:noWrap w:val="0"/>
            <w:tcMar>
              <w:left w:w="108" w:type="dxa"/>
              <w:right w:w="108" w:type="dxa"/>
            </w:tcMar>
            <w:vAlign w:val="center"/>
          </w:tcPr>
          <w:p w14:paraId="268728B3">
            <w:pPr>
              <w:spacing w:line="240" w:lineRule="auto"/>
              <w:ind w:firstLine="0" w:firstLineChars="0"/>
              <w:jc w:val="center"/>
              <w:rPr>
                <w:rFonts w:hint="eastAsia" w:ascii="黑体" w:hAnsi="黑体" w:eastAsia="黑体" w:cs="黑体"/>
                <w:bCs/>
                <w:sz w:val="28"/>
                <w:szCs w:val="28"/>
                <w:lang w:val="en-US" w:eastAsia="en-US" w:bidi="ar-SA"/>
              </w:rPr>
            </w:pPr>
            <w:r>
              <w:rPr>
                <w:rFonts w:hint="eastAsia" w:ascii="黑体" w:hAnsi="黑体" w:eastAsia="黑体" w:cs="黑体"/>
                <w:bCs/>
                <w:sz w:val="28"/>
                <w:szCs w:val="28"/>
                <w:lang w:val="en-US" w:eastAsia="en-US" w:bidi="ar-SA"/>
              </w:rPr>
              <w:t>信息类型</w:t>
            </w:r>
          </w:p>
        </w:tc>
        <w:tc>
          <w:tcPr>
            <w:tcW w:w="0" w:type="auto"/>
            <w:shd w:val="clear" w:color="auto" w:fill="D7D7D7"/>
            <w:noWrap w:val="0"/>
            <w:tcMar>
              <w:left w:w="108" w:type="dxa"/>
              <w:right w:w="108" w:type="dxa"/>
            </w:tcMar>
            <w:vAlign w:val="center"/>
          </w:tcPr>
          <w:p w14:paraId="2110FDA4">
            <w:pPr>
              <w:spacing w:line="240" w:lineRule="auto"/>
              <w:ind w:firstLine="0" w:firstLineChars="0"/>
              <w:jc w:val="center"/>
              <w:rPr>
                <w:rFonts w:hint="eastAsia" w:ascii="黑体" w:hAnsi="黑体" w:eastAsia="黑体" w:cs="黑体"/>
                <w:bCs/>
                <w:sz w:val="28"/>
                <w:szCs w:val="28"/>
                <w:lang w:val="en-US" w:eastAsia="en-US" w:bidi="ar-SA"/>
              </w:rPr>
            </w:pPr>
            <w:r>
              <w:rPr>
                <w:rFonts w:hint="eastAsia" w:ascii="黑体" w:hAnsi="黑体" w:eastAsia="黑体" w:cs="黑体"/>
                <w:bCs/>
                <w:sz w:val="28"/>
                <w:szCs w:val="28"/>
                <w:lang w:val="en-US" w:eastAsia="en-US" w:bidi="ar-SA"/>
              </w:rPr>
              <w:t>无障碍发布要求</w:t>
            </w:r>
          </w:p>
        </w:tc>
        <w:tc>
          <w:tcPr>
            <w:tcW w:w="0" w:type="auto"/>
            <w:shd w:val="clear" w:color="auto" w:fill="D7D7D7"/>
            <w:noWrap w:val="0"/>
            <w:tcMar>
              <w:left w:w="108" w:type="dxa"/>
              <w:right w:w="108" w:type="dxa"/>
            </w:tcMar>
            <w:vAlign w:val="center"/>
          </w:tcPr>
          <w:p w14:paraId="4D0CFED1">
            <w:pPr>
              <w:spacing w:line="240" w:lineRule="auto"/>
              <w:ind w:firstLine="0" w:firstLineChars="0"/>
              <w:jc w:val="center"/>
              <w:rPr>
                <w:rFonts w:hint="eastAsia" w:ascii="黑体" w:hAnsi="黑体" w:eastAsia="黑体" w:cs="黑体"/>
                <w:bCs/>
                <w:sz w:val="28"/>
                <w:szCs w:val="28"/>
                <w:lang w:val="en-US" w:eastAsia="en-US" w:bidi="ar-SA"/>
              </w:rPr>
            </w:pPr>
            <w:r>
              <w:rPr>
                <w:rFonts w:hint="eastAsia" w:ascii="黑体" w:hAnsi="黑体" w:eastAsia="黑体" w:cs="黑体"/>
                <w:bCs/>
                <w:sz w:val="28"/>
                <w:szCs w:val="28"/>
                <w:lang w:val="en-US" w:eastAsia="en-US" w:bidi="ar-SA"/>
              </w:rPr>
              <w:t>实施方式</w:t>
            </w:r>
          </w:p>
        </w:tc>
      </w:tr>
      <w:tr w14:paraId="7523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181257B0">
            <w:pPr>
              <w:spacing w:line="240" w:lineRule="auto"/>
              <w:ind w:firstLine="0" w:firstLineChars="0"/>
              <w:jc w:val="center"/>
              <w:rPr>
                <w:rFonts w:hint="eastAsia" w:ascii="仿宋_GB2312" w:hAnsi="仿宋_GB2312" w:eastAsia="仿宋_GB2312" w:cs="仿宋_GB2312"/>
                <w:bCs/>
                <w:sz w:val="28"/>
                <w:szCs w:val="28"/>
                <w:lang w:val="en-US" w:eastAsia="en-US" w:bidi="ar-SA"/>
              </w:rPr>
            </w:pPr>
            <w:r>
              <w:rPr>
                <w:rFonts w:hint="eastAsia" w:ascii="仿宋_GB2312" w:hAnsi="仿宋_GB2312" w:eastAsia="仿宋_GB2312" w:cs="仿宋_GB2312"/>
                <w:bCs/>
                <w:sz w:val="28"/>
                <w:szCs w:val="28"/>
                <w:lang w:val="en-US" w:eastAsia="zh-CN" w:bidi="ar-SA"/>
              </w:rPr>
              <w:t>政务信息</w:t>
            </w:r>
          </w:p>
        </w:tc>
        <w:tc>
          <w:tcPr>
            <w:tcW w:w="0" w:type="auto"/>
            <w:noWrap w:val="0"/>
            <w:tcMar>
              <w:left w:w="108" w:type="dxa"/>
              <w:right w:w="108" w:type="dxa"/>
            </w:tcMar>
            <w:vAlign w:val="center"/>
          </w:tcPr>
          <w:p w14:paraId="4A0DF3A4">
            <w:pPr>
              <w:spacing w:line="240" w:lineRule="auto"/>
              <w:ind w:firstLine="0" w:firstLineChars="0"/>
              <w:rPr>
                <w:rFonts w:hint="eastAsia" w:ascii="仿宋_GB2312" w:hAnsi="仿宋_GB2312" w:eastAsia="仿宋_GB2312" w:cs="仿宋_GB2312"/>
                <w:bCs/>
                <w:sz w:val="28"/>
                <w:szCs w:val="28"/>
                <w:lang w:val="en-US" w:eastAsia="zh-CN" w:bidi="ar-SA"/>
              </w:rPr>
            </w:pPr>
            <w:r>
              <w:rPr>
                <w:rFonts w:hint="eastAsia" w:ascii="仿宋_GB2312" w:hAnsi="仿宋_GB2312" w:eastAsia="仿宋_GB2312" w:cs="仿宋_GB2312"/>
                <w:bCs/>
                <w:sz w:val="28"/>
                <w:szCs w:val="28"/>
                <w:lang w:val="en-US" w:eastAsia="zh-CN" w:bidi="ar-SA"/>
              </w:rPr>
              <w:t>同4.4.2.2政务信息发布具体措施</w:t>
            </w:r>
          </w:p>
        </w:tc>
        <w:tc>
          <w:tcPr>
            <w:tcW w:w="0" w:type="auto"/>
            <w:noWrap w:val="0"/>
            <w:tcMar>
              <w:left w:w="108" w:type="dxa"/>
              <w:right w:w="108" w:type="dxa"/>
            </w:tcMar>
            <w:vAlign w:val="center"/>
          </w:tcPr>
          <w:p w14:paraId="19C23A88">
            <w:pPr>
              <w:spacing w:line="240" w:lineRule="auto"/>
              <w:ind w:firstLine="0" w:firstLineChars="0"/>
              <w:jc w:val="center"/>
              <w:rPr>
                <w:rFonts w:hint="eastAsia" w:ascii="仿宋_GB2312" w:hAnsi="仿宋_GB2312" w:eastAsia="仿宋_GB2312" w:cs="仿宋_GB2312"/>
                <w:bCs/>
                <w:sz w:val="28"/>
                <w:szCs w:val="28"/>
                <w:lang w:val="en-US" w:eastAsia="en-US" w:bidi="ar-SA"/>
              </w:rPr>
            </w:pPr>
            <w:r>
              <w:rPr>
                <w:rFonts w:hint="eastAsia" w:ascii="仿宋_GB2312" w:hAnsi="仿宋_GB2312" w:eastAsia="仿宋_GB2312" w:cs="仿宋_GB2312"/>
                <w:bCs/>
                <w:sz w:val="28"/>
                <w:szCs w:val="28"/>
                <w:lang w:val="en-US" w:eastAsia="zh-CN" w:bidi="ar-SA"/>
              </w:rPr>
              <w:t>常态化发布</w:t>
            </w:r>
          </w:p>
        </w:tc>
      </w:tr>
      <w:tr w14:paraId="6613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20890FD6">
            <w:pPr>
              <w:spacing w:line="240" w:lineRule="auto"/>
              <w:ind w:firstLine="0" w:firstLineChars="0"/>
              <w:jc w:val="center"/>
              <w:rPr>
                <w:rFonts w:hint="eastAsia" w:ascii="仿宋_GB2312" w:hAnsi="仿宋_GB2312" w:eastAsia="仿宋_GB2312" w:cs="仿宋_GB2312"/>
                <w:bCs/>
                <w:sz w:val="28"/>
                <w:szCs w:val="28"/>
                <w:lang w:val="en-US" w:eastAsia="en-US" w:bidi="ar-SA"/>
              </w:rPr>
            </w:pPr>
            <w:r>
              <w:rPr>
                <w:rFonts w:hint="eastAsia" w:ascii="仿宋_GB2312" w:hAnsi="仿宋_GB2312" w:eastAsia="仿宋_GB2312" w:cs="仿宋_GB2312"/>
                <w:bCs/>
                <w:sz w:val="28"/>
                <w:szCs w:val="28"/>
                <w:lang w:val="en-US" w:eastAsia="zh-CN" w:bidi="ar-SA"/>
              </w:rPr>
              <w:t>公共服务信息</w:t>
            </w:r>
          </w:p>
        </w:tc>
        <w:tc>
          <w:tcPr>
            <w:tcW w:w="0" w:type="auto"/>
            <w:noWrap w:val="0"/>
            <w:tcMar>
              <w:left w:w="108" w:type="dxa"/>
              <w:right w:w="108" w:type="dxa"/>
            </w:tcMar>
            <w:vAlign w:val="center"/>
          </w:tcPr>
          <w:p w14:paraId="08656939">
            <w:pPr>
              <w:spacing w:line="240" w:lineRule="auto"/>
              <w:ind w:firstLine="0" w:firstLineChars="0"/>
              <w:rPr>
                <w:rFonts w:hint="eastAsia" w:ascii="仿宋_GB2312" w:hAnsi="仿宋_GB2312" w:eastAsia="仿宋_GB2312" w:cs="仿宋_GB2312"/>
                <w:bCs/>
                <w:sz w:val="28"/>
                <w:szCs w:val="28"/>
                <w:lang w:val="en-US" w:eastAsia="zh-CN" w:bidi="ar-SA"/>
              </w:rPr>
            </w:pPr>
            <w:r>
              <w:rPr>
                <w:rFonts w:hint="eastAsia" w:ascii="仿宋_GB2312" w:hAnsi="仿宋_GB2312" w:eastAsia="仿宋_GB2312" w:cs="仿宋_GB2312"/>
                <w:bCs/>
                <w:sz w:val="28"/>
                <w:szCs w:val="28"/>
                <w:lang w:val="en-US" w:eastAsia="zh-CN" w:bidi="ar-SA"/>
              </w:rPr>
              <w:t>1.全面覆盖：教育、医疗、就业、文化等领域；</w:t>
            </w:r>
            <w:r>
              <w:rPr>
                <w:rFonts w:hint="eastAsia" w:ascii="仿宋_GB2312" w:hAnsi="仿宋_GB2312" w:eastAsia="仿宋_GB2312" w:cs="仿宋_GB2312"/>
                <w:bCs/>
                <w:sz w:val="28"/>
                <w:szCs w:val="28"/>
                <w:lang w:val="en-US" w:eastAsia="zh-CN" w:bidi="ar-SA"/>
              </w:rPr>
              <w:br w:type="textWrapping"/>
            </w:r>
            <w:r>
              <w:rPr>
                <w:rFonts w:hint="eastAsia" w:ascii="仿宋_GB2312" w:hAnsi="仿宋_GB2312" w:eastAsia="仿宋_GB2312" w:cs="仿宋_GB2312"/>
                <w:bCs/>
                <w:sz w:val="28"/>
                <w:szCs w:val="28"/>
                <w:lang w:val="en-US" w:eastAsia="zh-CN" w:bidi="ar-SA"/>
              </w:rPr>
              <w:t>2.多形式：文字、图片、音频、手语；</w:t>
            </w:r>
            <w:r>
              <w:rPr>
                <w:rFonts w:hint="eastAsia" w:ascii="仿宋_GB2312" w:hAnsi="仿宋_GB2312" w:eastAsia="仿宋_GB2312" w:cs="仿宋_GB2312"/>
                <w:bCs/>
                <w:sz w:val="28"/>
                <w:szCs w:val="28"/>
                <w:lang w:val="en-US" w:eastAsia="zh-CN" w:bidi="ar-SA"/>
              </w:rPr>
              <w:br w:type="textWrapping"/>
            </w:r>
            <w:r>
              <w:rPr>
                <w:rFonts w:hint="eastAsia" w:ascii="仿宋_GB2312" w:hAnsi="仿宋_GB2312" w:eastAsia="仿宋_GB2312" w:cs="仿宋_GB2312"/>
                <w:bCs/>
                <w:sz w:val="28"/>
                <w:szCs w:val="28"/>
                <w:lang w:val="en-US" w:eastAsia="zh-CN" w:bidi="ar-SA"/>
              </w:rPr>
              <w:t>3.个性化：根据群体特点精准推送</w:t>
            </w:r>
          </w:p>
        </w:tc>
        <w:tc>
          <w:tcPr>
            <w:tcW w:w="0" w:type="auto"/>
            <w:noWrap w:val="0"/>
            <w:tcMar>
              <w:left w:w="108" w:type="dxa"/>
              <w:right w:w="108" w:type="dxa"/>
            </w:tcMar>
            <w:vAlign w:val="center"/>
          </w:tcPr>
          <w:p w14:paraId="6C1AE4D6">
            <w:pPr>
              <w:spacing w:line="240" w:lineRule="auto"/>
              <w:ind w:firstLine="0" w:firstLineChars="0"/>
              <w:jc w:val="center"/>
              <w:rPr>
                <w:rFonts w:hint="eastAsia" w:ascii="仿宋_GB2312" w:hAnsi="仿宋_GB2312" w:eastAsia="仿宋_GB2312" w:cs="仿宋_GB2312"/>
                <w:bCs/>
                <w:sz w:val="28"/>
                <w:szCs w:val="28"/>
                <w:lang w:val="en-US" w:eastAsia="en-US" w:bidi="ar-SA"/>
              </w:rPr>
            </w:pPr>
            <w:r>
              <w:rPr>
                <w:rFonts w:hint="eastAsia" w:ascii="仿宋_GB2312" w:hAnsi="仿宋_GB2312" w:eastAsia="仿宋_GB2312" w:cs="仿宋_GB2312"/>
                <w:bCs/>
                <w:sz w:val="28"/>
                <w:szCs w:val="28"/>
                <w:lang w:val="en-US" w:eastAsia="zh-CN" w:bidi="ar-SA"/>
              </w:rPr>
              <w:t>多渠道发布</w:t>
            </w:r>
          </w:p>
        </w:tc>
      </w:tr>
      <w:tr w14:paraId="7EFC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67C9A568">
            <w:pPr>
              <w:spacing w:line="240" w:lineRule="auto"/>
              <w:ind w:firstLine="0" w:firstLineChars="0"/>
              <w:jc w:val="center"/>
              <w:rPr>
                <w:rFonts w:hint="eastAsia" w:ascii="仿宋_GB2312" w:hAnsi="仿宋_GB2312" w:eastAsia="仿宋_GB2312" w:cs="仿宋_GB2312"/>
                <w:bCs/>
                <w:sz w:val="28"/>
                <w:szCs w:val="28"/>
                <w:lang w:val="en-US" w:eastAsia="en-US" w:bidi="ar-SA"/>
              </w:rPr>
            </w:pPr>
            <w:r>
              <w:rPr>
                <w:rFonts w:hint="eastAsia" w:ascii="仿宋_GB2312" w:hAnsi="仿宋_GB2312" w:eastAsia="仿宋_GB2312" w:cs="仿宋_GB2312"/>
                <w:bCs/>
                <w:sz w:val="28"/>
                <w:szCs w:val="28"/>
                <w:lang w:val="en-US" w:eastAsia="zh-CN" w:bidi="ar-SA"/>
              </w:rPr>
              <w:t>应急信息</w:t>
            </w:r>
          </w:p>
        </w:tc>
        <w:tc>
          <w:tcPr>
            <w:tcW w:w="0" w:type="auto"/>
            <w:noWrap w:val="0"/>
            <w:tcMar>
              <w:left w:w="108" w:type="dxa"/>
              <w:right w:w="108" w:type="dxa"/>
            </w:tcMar>
            <w:vAlign w:val="center"/>
          </w:tcPr>
          <w:p w14:paraId="21FFDF31">
            <w:pPr>
              <w:spacing w:line="240" w:lineRule="auto"/>
              <w:ind w:firstLine="0" w:firstLineChars="0"/>
              <w:rPr>
                <w:rFonts w:hint="eastAsia" w:ascii="仿宋_GB2312" w:hAnsi="仿宋_GB2312" w:eastAsia="仿宋_GB2312" w:cs="仿宋_GB2312"/>
                <w:bCs/>
                <w:sz w:val="28"/>
                <w:szCs w:val="28"/>
                <w:lang w:val="en-US" w:eastAsia="zh-CN" w:bidi="ar-SA"/>
              </w:rPr>
            </w:pPr>
            <w:r>
              <w:rPr>
                <w:rFonts w:hint="eastAsia" w:ascii="仿宋_GB2312" w:hAnsi="仿宋_GB2312" w:eastAsia="仿宋_GB2312" w:cs="仿宋_GB2312"/>
                <w:bCs/>
                <w:sz w:val="28"/>
                <w:szCs w:val="28"/>
                <w:lang w:val="en-US" w:eastAsia="zh-CN" w:bidi="ar-SA"/>
              </w:rPr>
              <w:t>1.快速发布：多渠道同步推送；</w:t>
            </w:r>
            <w:r>
              <w:rPr>
                <w:rFonts w:hint="eastAsia" w:ascii="仿宋_GB2312" w:hAnsi="仿宋_GB2312" w:eastAsia="仿宋_GB2312" w:cs="仿宋_GB2312"/>
                <w:bCs/>
                <w:sz w:val="28"/>
                <w:szCs w:val="28"/>
                <w:lang w:val="en-US" w:eastAsia="zh-CN" w:bidi="ar-SA"/>
              </w:rPr>
              <w:br w:type="textWrapping"/>
            </w:r>
            <w:r>
              <w:rPr>
                <w:rFonts w:hint="eastAsia" w:ascii="仿宋_GB2312" w:hAnsi="仿宋_GB2312" w:eastAsia="仿宋_GB2312" w:cs="仿宋_GB2312"/>
                <w:bCs/>
                <w:sz w:val="28"/>
                <w:szCs w:val="28"/>
                <w:lang w:val="en-US" w:eastAsia="zh-CN" w:bidi="ar-SA"/>
              </w:rPr>
              <w:t>2.多形式：语音、文字、手语视频；</w:t>
            </w:r>
            <w:r>
              <w:rPr>
                <w:rFonts w:hint="eastAsia" w:ascii="仿宋_GB2312" w:hAnsi="仿宋_GB2312" w:eastAsia="仿宋_GB2312" w:cs="仿宋_GB2312"/>
                <w:bCs/>
                <w:sz w:val="28"/>
                <w:szCs w:val="28"/>
                <w:lang w:val="en-US" w:eastAsia="zh-CN" w:bidi="ar-SA"/>
              </w:rPr>
              <w:br w:type="textWrapping"/>
            </w:r>
            <w:r>
              <w:rPr>
                <w:rFonts w:hint="eastAsia" w:ascii="仿宋_GB2312" w:hAnsi="仿宋_GB2312" w:eastAsia="仿宋_GB2312" w:cs="仿宋_GB2312"/>
                <w:bCs/>
                <w:sz w:val="28"/>
                <w:szCs w:val="28"/>
                <w:lang w:val="en-US" w:eastAsia="zh-CN" w:bidi="ar-SA"/>
              </w:rPr>
              <w:t>3.辅助服务：电话咨询、上门通知（行动不便群体）</w:t>
            </w:r>
          </w:p>
        </w:tc>
        <w:tc>
          <w:tcPr>
            <w:tcW w:w="0" w:type="auto"/>
            <w:noWrap w:val="0"/>
            <w:tcMar>
              <w:left w:w="108" w:type="dxa"/>
              <w:right w:w="108" w:type="dxa"/>
            </w:tcMar>
            <w:vAlign w:val="center"/>
          </w:tcPr>
          <w:p w14:paraId="6775AEB8">
            <w:pPr>
              <w:spacing w:line="240" w:lineRule="auto"/>
              <w:ind w:firstLine="0" w:firstLineChars="0"/>
              <w:jc w:val="center"/>
              <w:rPr>
                <w:rFonts w:hint="eastAsia" w:ascii="仿宋_GB2312" w:hAnsi="仿宋_GB2312" w:eastAsia="仿宋_GB2312" w:cs="仿宋_GB2312"/>
                <w:bCs/>
                <w:sz w:val="28"/>
                <w:szCs w:val="28"/>
                <w:lang w:val="en-US" w:eastAsia="en-US" w:bidi="ar-SA"/>
              </w:rPr>
            </w:pPr>
            <w:r>
              <w:rPr>
                <w:rFonts w:hint="eastAsia" w:ascii="仿宋_GB2312" w:hAnsi="仿宋_GB2312" w:eastAsia="仿宋_GB2312" w:cs="仿宋_GB2312"/>
                <w:bCs/>
                <w:sz w:val="28"/>
                <w:szCs w:val="28"/>
                <w:lang w:val="en-US" w:eastAsia="zh-CN" w:bidi="ar-SA"/>
              </w:rPr>
              <w:t>应急响应机制</w:t>
            </w:r>
          </w:p>
        </w:tc>
      </w:tr>
    </w:tbl>
    <w:p w14:paraId="77A5C002">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注：引用文件为《无障碍环境建设条例》（国务院令第622号）、《信息无障碍身体机能差异人群网站设计无障碍技术要求》（GB/T 37668-2019）、《公共信息图形符号》（GB/T 10001.9-2021）、《突发事件应对法》、《信息无障碍公共服务平台技术要求》（GB/T 37678-2019）。</w:t>
      </w:r>
    </w:p>
    <w:p w14:paraId="5A63934D">
      <w:pPr>
        <w:overflowPunct w:val="0"/>
        <w:topLinePunct/>
        <w:ind w:firstLine="643"/>
        <w:outlineLvl w:val="3"/>
        <w:rPr>
          <w:rFonts w:ascii="仿宋_GB2312" w:hAnsi="仿宋_GB2312" w:cs="仿宋_GB2312"/>
          <w:b/>
          <w:bCs/>
          <w:szCs w:val="32"/>
          <w:lang w:eastAsia="zh-CN"/>
        </w:rPr>
      </w:pPr>
      <w:r>
        <w:rPr>
          <w:rFonts w:hint="eastAsia" w:ascii="仿宋_GB2312" w:hAnsi="仿宋_GB2312" w:cs="仿宋_GB2312"/>
          <w:b/>
          <w:bCs/>
          <w:szCs w:val="32"/>
          <w:lang w:eastAsia="zh-CN"/>
        </w:rPr>
        <w:t>（2）媒体传播无障碍建设指引</w:t>
      </w:r>
    </w:p>
    <w:p w14:paraId="2EF6638F">
      <w:pPr>
        <w:ind w:firstLine="616"/>
        <w:rPr>
          <w:rFonts w:ascii="Times New Roman" w:hAnsi="Times New Roman" w:cs="仿宋_GB2312"/>
          <w:spacing w:val="-6"/>
          <w:szCs w:val="32"/>
          <w:lang w:eastAsia="zh-CN"/>
        </w:rPr>
      </w:pPr>
      <w:r>
        <w:rPr>
          <w:rFonts w:ascii="Times New Roman" w:hAnsi="Times New Roman" w:cs="仿宋_GB2312"/>
          <w:spacing w:val="-6"/>
          <w:szCs w:val="32"/>
          <w:lang w:eastAsia="zh-CN"/>
        </w:rPr>
        <w:t>推动传统媒体与新媒体的无障碍改造，为特殊群体提供多元媒体服务。</w:t>
      </w:r>
    </w:p>
    <w:p w14:paraId="6D8E27FD">
      <w:pPr>
        <w:ind w:firstLine="0" w:firstLineChars="0"/>
        <w:jc w:val="center"/>
        <w:rPr>
          <w:rFonts w:hint="eastAsia" w:ascii="仿宋_GB2312" w:hAnsi="仿宋_GB2312" w:cs="仿宋_GB2312"/>
          <w:szCs w:val="32"/>
          <w:lang w:eastAsia="zh-CN"/>
        </w:rPr>
      </w:pPr>
      <w:r>
        <w:rPr>
          <w:rFonts w:hint="eastAsia" w:ascii="黑体" w:hAnsi="黑体" w:eastAsia="黑体" w:cs="黑体"/>
          <w:sz w:val="28"/>
          <w:szCs w:val="28"/>
          <w:lang w:eastAsia="zh-CN"/>
        </w:rPr>
        <w:t>表21 媒体传播无障碍建设指引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6"/>
        <w:gridCol w:w="6029"/>
        <w:gridCol w:w="1831"/>
      </w:tblGrid>
      <w:tr w14:paraId="54FC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D7D7D7"/>
            <w:noWrap w:val="0"/>
            <w:tcMar>
              <w:left w:w="108" w:type="dxa"/>
              <w:right w:w="108" w:type="dxa"/>
            </w:tcMar>
            <w:vAlign w:val="center"/>
          </w:tcPr>
          <w:p w14:paraId="3E6465AE">
            <w:pPr>
              <w:spacing w:line="240" w:lineRule="auto"/>
              <w:ind w:firstLine="0" w:firstLineChars="0"/>
              <w:jc w:val="center"/>
              <w:rPr>
                <w:rFonts w:hint="eastAsia" w:ascii="黑体" w:hAnsi="黑体" w:eastAsia="黑体" w:cs="黑体"/>
                <w:bCs/>
                <w:sz w:val="28"/>
                <w:szCs w:val="28"/>
              </w:rPr>
            </w:pPr>
            <w:bookmarkStart w:id="92" w:name="_Toc30619"/>
            <w:bookmarkStart w:id="93" w:name="_Toc21673"/>
            <w:r>
              <w:rPr>
                <w:rFonts w:hint="eastAsia" w:ascii="黑体" w:hAnsi="黑体" w:eastAsia="黑体" w:cs="黑体"/>
                <w:bCs/>
                <w:sz w:val="28"/>
                <w:szCs w:val="28"/>
              </w:rPr>
              <w:t>媒体类型</w:t>
            </w:r>
          </w:p>
        </w:tc>
        <w:tc>
          <w:tcPr>
            <w:tcW w:w="0" w:type="auto"/>
            <w:shd w:val="clear" w:color="auto" w:fill="D7D7D7"/>
            <w:noWrap w:val="0"/>
            <w:tcMar>
              <w:left w:w="108" w:type="dxa"/>
              <w:right w:w="108" w:type="dxa"/>
            </w:tcMar>
            <w:vAlign w:val="center"/>
          </w:tcPr>
          <w:p w14:paraId="32728DD9">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无障碍建设要求</w:t>
            </w:r>
          </w:p>
        </w:tc>
        <w:tc>
          <w:tcPr>
            <w:tcW w:w="0" w:type="auto"/>
            <w:shd w:val="clear" w:color="auto" w:fill="D7D7D7"/>
            <w:noWrap w:val="0"/>
            <w:tcMar>
              <w:left w:w="108" w:type="dxa"/>
              <w:right w:w="108" w:type="dxa"/>
            </w:tcMar>
            <w:vAlign w:val="center"/>
          </w:tcPr>
          <w:p w14:paraId="33845041">
            <w:pPr>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实施方式</w:t>
            </w:r>
          </w:p>
        </w:tc>
      </w:tr>
      <w:tr w14:paraId="5396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31003B72">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传统媒体</w:t>
            </w:r>
          </w:p>
        </w:tc>
        <w:tc>
          <w:tcPr>
            <w:tcW w:w="0" w:type="auto"/>
            <w:noWrap w:val="0"/>
            <w:tcMar>
              <w:left w:w="108" w:type="dxa"/>
              <w:right w:w="108" w:type="dxa"/>
            </w:tcMar>
            <w:vAlign w:val="center"/>
          </w:tcPr>
          <w:p w14:paraId="4DB39D03">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 电视：新闻／公共节目配手语翻译、字幕，视障内容配音频描述；</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 广播：节目提供文字版，视障内容配详细声音描述；</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 报刊／图书：提供大字版、语音版、盲文版</w:t>
            </w:r>
          </w:p>
        </w:tc>
        <w:tc>
          <w:tcPr>
            <w:tcW w:w="0" w:type="auto"/>
            <w:noWrap w:val="0"/>
            <w:tcMar>
              <w:left w:w="108" w:type="dxa"/>
              <w:right w:w="108" w:type="dxa"/>
            </w:tcMar>
            <w:vAlign w:val="center"/>
          </w:tcPr>
          <w:p w14:paraId="1E94AFCA">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内容改造与新增</w:t>
            </w:r>
          </w:p>
        </w:tc>
      </w:tr>
      <w:tr w14:paraId="1CAA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noWrap w:val="0"/>
            <w:tcMar>
              <w:left w:w="108" w:type="dxa"/>
              <w:right w:w="108" w:type="dxa"/>
            </w:tcMar>
            <w:vAlign w:val="center"/>
          </w:tcPr>
          <w:p w14:paraId="15B367C6">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新媒体</w:t>
            </w:r>
          </w:p>
        </w:tc>
        <w:tc>
          <w:tcPr>
            <w:tcW w:w="0" w:type="auto"/>
            <w:noWrap w:val="0"/>
            <w:tcMar>
              <w:left w:w="108" w:type="dxa"/>
              <w:right w:w="108" w:type="dxa"/>
            </w:tcMar>
            <w:vAlign w:val="center"/>
          </w:tcPr>
          <w:p w14:paraId="26319013">
            <w:pPr>
              <w:spacing w:line="240" w:lineRule="auto"/>
              <w:ind w:firstLine="0" w:firstLineChars="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1. 网站：支持无障碍浏览模式，色彩对比度可调，视频配字幕／音频描述；</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2. 移动应用：支持屏幕阅读器，提供语音导航；</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3. 社交媒体：图片配描述，视频配字幕；</w:t>
            </w:r>
            <w:r>
              <w:rPr>
                <w:rFonts w:hint="eastAsia" w:ascii="仿宋_GB2312" w:hAnsi="仿宋_GB2312" w:cs="仿宋_GB2312"/>
                <w:bCs/>
                <w:sz w:val="28"/>
                <w:szCs w:val="28"/>
                <w:lang w:eastAsia="zh-CN"/>
              </w:rPr>
              <w:br w:type="textWrapping"/>
            </w:r>
            <w:r>
              <w:rPr>
                <w:rFonts w:hint="eastAsia" w:ascii="仿宋_GB2312" w:hAnsi="仿宋_GB2312" w:cs="仿宋_GB2312"/>
                <w:bCs/>
                <w:sz w:val="28"/>
                <w:szCs w:val="28"/>
                <w:lang w:eastAsia="zh-CN"/>
              </w:rPr>
              <w:t>4. 网络视频：多播放速度、清晰度选择，支持字幕／音频描述</w:t>
            </w:r>
          </w:p>
        </w:tc>
        <w:tc>
          <w:tcPr>
            <w:tcW w:w="0" w:type="auto"/>
            <w:noWrap w:val="0"/>
            <w:tcMar>
              <w:left w:w="108" w:type="dxa"/>
              <w:right w:w="108" w:type="dxa"/>
            </w:tcMar>
            <w:vAlign w:val="center"/>
          </w:tcPr>
          <w:p w14:paraId="342D20BF">
            <w:pPr>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eastAsia="zh-CN"/>
              </w:rPr>
              <w:t>平台优化与内容适配</w:t>
            </w:r>
          </w:p>
        </w:tc>
      </w:tr>
    </w:tbl>
    <w:p w14:paraId="45458EFB">
      <w:pPr>
        <w:keepNext w:val="0"/>
        <w:keepLines w:val="0"/>
        <w:pageBreakBefore w:val="0"/>
        <w:widowControl/>
        <w:kinsoku/>
        <w:wordWrap/>
        <w:overflowPunct/>
        <w:topLinePunct w:val="0"/>
        <w:autoSpaceDE/>
        <w:autoSpaceDN/>
        <w:bidi w:val="0"/>
        <w:adjustRightInd/>
        <w:snapToGrid/>
        <w:spacing w:before="0" w:beforeLines="50" w:after="0" w:line="240" w:lineRule="auto"/>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注：引用文件为《无障碍环境建设条例》（国务院令第622号）、《信息无障碍身体机能差异人群网站设计无障碍技术要求》（GB/T 37668-2019）、《公共图书馆服务规范》（GB/T 28220-2011）、《无障碍设计规范》（GB 50763-2012）、《信息无障碍公共服务平台技术要求》（GB/T 37678-2019）。</w:t>
      </w:r>
    </w:p>
    <w:p w14:paraId="6B1FB060">
      <w:pPr>
        <w:keepNext/>
        <w:keepLines/>
        <w:spacing w:before="120" w:beforeLines="50" w:line="574" w:lineRule="exact"/>
        <w:ind w:firstLine="0" w:firstLineChars="0"/>
        <w:jc w:val="both"/>
        <w:outlineLvl w:val="1"/>
        <w:rPr>
          <w:rFonts w:hint="default" w:ascii="楷体_GB2312" w:hAnsi="楷体_GB2312" w:eastAsia="楷体_GB2312" w:cs="楷体_GB2312"/>
          <w:b/>
          <w:color w:val="000000"/>
          <w:sz w:val="32"/>
          <w:szCs w:val="32"/>
          <w:lang w:val="en-US" w:eastAsia="zh-CN" w:bidi="ar-SA"/>
        </w:rPr>
      </w:pPr>
      <w:r>
        <w:rPr>
          <w:rFonts w:hint="eastAsia" w:ascii="楷体_GB2312" w:hAnsi="楷体_GB2312" w:eastAsia="楷体_GB2312" w:cs="楷体_GB2312"/>
          <w:b/>
          <w:bCs/>
          <w:color w:val="000000"/>
          <w:sz w:val="32"/>
          <w:lang w:val="en-US" w:eastAsia="zh-CN" w:bidi="ar-SA"/>
        </w:rPr>
        <w:t>4.5近期重点实施项目</w:t>
      </w:r>
    </w:p>
    <w:p w14:paraId="38E9D75A">
      <w:pPr>
        <w:ind w:firstLine="640"/>
        <w:rPr>
          <w:rFonts w:hint="eastAsia" w:ascii="仿宋_GB2312" w:hAnsi="仿宋_GB2312" w:cs="仿宋_GB2312"/>
          <w:szCs w:val="32"/>
          <w:lang w:eastAsia="zh-CN"/>
        </w:rPr>
      </w:pPr>
      <w:r>
        <w:rPr>
          <w:rFonts w:hint="eastAsia" w:ascii="仿宋_GB2312" w:hAnsi="仿宋_GB2312" w:eastAsia="仿宋_GB2312" w:cs="仿宋_GB2312"/>
          <w:sz w:val="32"/>
          <w:szCs w:val="32"/>
          <w:lang w:val="en-US" w:eastAsia="zh-CN" w:bidi="ar-SA"/>
        </w:rPr>
        <w:t>近期重点实施项目是确保本规划有效落实的重要保障，以构建</w:t>
      </w:r>
      <w:r>
        <w:rPr>
          <w:rFonts w:hint="eastAsia" w:ascii="仿宋_GB2312" w:hAnsi="仿宋_GB2312" w:cs="仿宋_GB2312"/>
          <w:sz w:val="32"/>
          <w:szCs w:val="32"/>
          <w:lang w:val="en-US" w:eastAsia="zh-CN" w:bidi="ar-SA"/>
        </w:rPr>
        <w:t>全民</w:t>
      </w:r>
      <w:r>
        <w:rPr>
          <w:rFonts w:hint="eastAsia" w:ascii="仿宋_GB2312" w:hAnsi="仿宋_GB2312" w:eastAsia="仿宋_GB2312" w:cs="仿宋_GB2312"/>
          <w:sz w:val="32"/>
          <w:szCs w:val="32"/>
          <w:lang w:val="en-US" w:eastAsia="zh-CN" w:bidi="ar-SA"/>
        </w:rPr>
        <w:t>全龄友好型社会为核心愿景，</w:t>
      </w:r>
      <w:r>
        <w:rPr>
          <w:rFonts w:hint="eastAsia" w:ascii="仿宋_GB2312" w:hAnsi="仿宋_GB2312" w:cs="仿宋_GB2312"/>
          <w:sz w:val="32"/>
          <w:szCs w:val="32"/>
          <w:lang w:val="en-US" w:eastAsia="zh-CN" w:bidi="ar-SA"/>
        </w:rPr>
        <w:t>将无障碍理念融入项目建设之中</w:t>
      </w:r>
      <w:r>
        <w:rPr>
          <w:rFonts w:hint="eastAsia" w:ascii="仿宋_GB2312" w:hAnsi="仿宋_GB2312" w:eastAsia="仿宋_GB2312" w:cs="仿宋_GB2312"/>
          <w:sz w:val="32"/>
          <w:szCs w:val="32"/>
          <w:lang w:val="en-US" w:eastAsia="zh-CN" w:bidi="ar-SA"/>
        </w:rPr>
        <w:t>。</w:t>
      </w:r>
    </w:p>
    <w:p w14:paraId="6FCD4A22">
      <w:pPr>
        <w:ind w:firstLine="0" w:firstLineChars="0"/>
        <w:jc w:val="center"/>
        <w:rPr>
          <w:rFonts w:hint="default" w:ascii="仿宋_GB2312" w:hAnsi="仿宋_GB2312" w:cs="仿宋_GB2312"/>
          <w:szCs w:val="32"/>
          <w:lang w:val="en-US"/>
        </w:rPr>
      </w:pPr>
      <w:r>
        <w:rPr>
          <w:rFonts w:hint="eastAsia" w:ascii="黑体" w:hAnsi="黑体" w:eastAsia="黑体" w:cs="黑体"/>
          <w:sz w:val="28"/>
          <w:szCs w:val="28"/>
          <w:lang w:eastAsia="zh-CN"/>
        </w:rPr>
        <w:t>表22 近期</w:t>
      </w:r>
      <w:r>
        <w:rPr>
          <w:rFonts w:hint="eastAsia" w:ascii="黑体" w:hAnsi="黑体" w:eastAsia="黑体" w:cs="黑体"/>
          <w:sz w:val="28"/>
          <w:szCs w:val="28"/>
          <w:lang w:val="en-US" w:eastAsia="zh-CN"/>
        </w:rPr>
        <w:t>重点实施项目</w:t>
      </w:r>
    </w:p>
    <w:tbl>
      <w:tblPr>
        <w:tblStyle w:val="53"/>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0"/>
        <w:gridCol w:w="2283"/>
        <w:gridCol w:w="3230"/>
        <w:gridCol w:w="1517"/>
      </w:tblGrid>
      <w:tr w14:paraId="5D38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0" w:type="auto"/>
            <w:shd w:val="clear" w:color="auto" w:fill="D7D7D7"/>
            <w:noWrap w:val="0"/>
            <w:vAlign w:val="center"/>
          </w:tcPr>
          <w:p w14:paraId="4D9F04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黑体" w:hAnsi="黑体" w:eastAsia="黑体" w:cs="黑体"/>
                <w:bCs/>
                <w:sz w:val="28"/>
                <w:szCs w:val="28"/>
                <w:lang w:eastAsia="zh-CN"/>
              </w:rPr>
            </w:pPr>
            <w:r>
              <w:rPr>
                <w:rFonts w:hint="eastAsia" w:ascii="黑体" w:hAnsi="黑体" w:eastAsia="黑体" w:cs="黑体"/>
                <w:bCs/>
                <w:sz w:val="28"/>
                <w:szCs w:val="28"/>
                <w:lang w:eastAsia="zh-CN"/>
              </w:rPr>
              <w:t>实施时间</w:t>
            </w:r>
          </w:p>
        </w:tc>
        <w:tc>
          <w:tcPr>
            <w:tcW w:w="2283" w:type="dxa"/>
            <w:shd w:val="clear" w:color="auto" w:fill="D7D7D7"/>
            <w:noWrap w:val="0"/>
            <w:vAlign w:val="center"/>
          </w:tcPr>
          <w:p w14:paraId="5401C7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项目名称</w:t>
            </w:r>
          </w:p>
        </w:tc>
        <w:tc>
          <w:tcPr>
            <w:tcW w:w="3230" w:type="dxa"/>
            <w:shd w:val="clear" w:color="auto" w:fill="D7D7D7"/>
            <w:noWrap w:val="0"/>
            <w:vAlign w:val="center"/>
          </w:tcPr>
          <w:p w14:paraId="52FEE5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无障碍建设、维护内容</w:t>
            </w:r>
          </w:p>
        </w:tc>
        <w:tc>
          <w:tcPr>
            <w:tcW w:w="1517" w:type="dxa"/>
            <w:shd w:val="clear" w:color="auto" w:fill="D7D7D7"/>
            <w:noWrap w:val="0"/>
            <w:vAlign w:val="center"/>
          </w:tcPr>
          <w:p w14:paraId="71C6BC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责任单位</w:t>
            </w:r>
          </w:p>
        </w:tc>
      </w:tr>
      <w:tr w14:paraId="415D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noWrap w:val="0"/>
            <w:vAlign w:val="center"/>
          </w:tcPr>
          <w:p w14:paraId="1F3321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r>
              <w:rPr>
                <w:rFonts w:hint="eastAsia" w:ascii="仿宋_GB2312" w:hAnsi="仿宋_GB2312" w:cs="仿宋_GB2312"/>
                <w:bCs/>
                <w:sz w:val="28"/>
                <w:szCs w:val="28"/>
                <w:lang w:eastAsia="zh-CN"/>
              </w:rPr>
              <w:t>2026-2027年</w:t>
            </w:r>
          </w:p>
        </w:tc>
        <w:tc>
          <w:tcPr>
            <w:tcW w:w="2283" w:type="dxa"/>
            <w:noWrap w:val="0"/>
            <w:vAlign w:val="center"/>
          </w:tcPr>
          <w:p w14:paraId="4F9A69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中山市东区中学学生宿舍改扩建工程</w:t>
            </w:r>
          </w:p>
        </w:tc>
        <w:tc>
          <w:tcPr>
            <w:tcW w:w="3230" w:type="dxa"/>
            <w:noWrap w:val="0"/>
            <w:vAlign w:val="center"/>
          </w:tcPr>
          <w:p w14:paraId="106D85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cs="仿宋_GB2312"/>
                <w:bCs/>
                <w:sz w:val="28"/>
                <w:szCs w:val="28"/>
                <w:lang w:val="en-US" w:eastAsia="zh-CN"/>
              </w:rPr>
            </w:pPr>
            <w:r>
              <w:rPr>
                <w:rFonts w:hint="eastAsia" w:ascii="仿宋_GB2312" w:hAnsi="仿宋_GB2312" w:cs="仿宋_GB2312"/>
                <w:bCs/>
                <w:sz w:val="28"/>
                <w:szCs w:val="28"/>
                <w:lang w:val="en-US" w:eastAsia="zh-CN"/>
              </w:rPr>
              <w:t>依据《无障碍设计规范》（GB 50763-2012）等国标建设的无障碍配套设施</w:t>
            </w:r>
          </w:p>
        </w:tc>
        <w:tc>
          <w:tcPr>
            <w:tcW w:w="1517" w:type="dxa"/>
            <w:vMerge w:val="restart"/>
            <w:noWrap w:val="0"/>
            <w:vAlign w:val="center"/>
          </w:tcPr>
          <w:p w14:paraId="1C4EB0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r>
              <w:rPr>
                <w:rFonts w:hint="eastAsia" w:ascii="仿宋_GB2312" w:hAnsi="仿宋_GB2312" w:cs="仿宋_GB2312"/>
                <w:bCs/>
                <w:sz w:val="28"/>
                <w:szCs w:val="28"/>
                <w:lang w:eastAsia="zh-CN"/>
              </w:rPr>
              <w:t>市住房城乡建设局</w:t>
            </w:r>
          </w:p>
        </w:tc>
      </w:tr>
      <w:tr w14:paraId="68A0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noWrap w:val="0"/>
            <w:vAlign w:val="center"/>
          </w:tcPr>
          <w:p w14:paraId="325635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r>
              <w:rPr>
                <w:rFonts w:hint="eastAsia" w:ascii="仿宋_GB2312" w:hAnsi="仿宋_GB2312" w:cs="仿宋_GB2312"/>
                <w:bCs/>
                <w:sz w:val="28"/>
                <w:szCs w:val="28"/>
                <w:highlight w:val="none"/>
                <w:lang w:eastAsia="zh-CN"/>
              </w:rPr>
              <w:t>2025-202</w:t>
            </w:r>
            <w:r>
              <w:rPr>
                <w:rFonts w:hint="eastAsia" w:ascii="仿宋_GB2312" w:hAnsi="仿宋_GB2312" w:cs="仿宋_GB2312"/>
                <w:bCs/>
                <w:sz w:val="28"/>
                <w:szCs w:val="28"/>
                <w:lang w:eastAsia="zh-CN"/>
              </w:rPr>
              <w:t>8年</w:t>
            </w:r>
          </w:p>
        </w:tc>
        <w:tc>
          <w:tcPr>
            <w:tcW w:w="2283" w:type="dxa"/>
            <w:noWrap w:val="0"/>
            <w:vAlign w:val="center"/>
          </w:tcPr>
          <w:p w14:paraId="08A62B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濠江西路（起湾道至濠泗路）改造及公共配套工程</w:t>
            </w:r>
          </w:p>
        </w:tc>
        <w:tc>
          <w:tcPr>
            <w:tcW w:w="3230" w:type="dxa"/>
            <w:noWrap w:val="0"/>
            <w:vAlign w:val="center"/>
          </w:tcPr>
          <w:p w14:paraId="4F960C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依据《无障碍设计规范》（GB 50763-2012）等国标建设的无障碍配套设施</w:t>
            </w:r>
          </w:p>
        </w:tc>
        <w:tc>
          <w:tcPr>
            <w:tcW w:w="1517" w:type="dxa"/>
            <w:vMerge w:val="continue"/>
            <w:noWrap w:val="0"/>
            <w:vAlign w:val="center"/>
          </w:tcPr>
          <w:p w14:paraId="7D073C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p>
        </w:tc>
      </w:tr>
      <w:tr w14:paraId="65E9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noWrap w:val="0"/>
            <w:vAlign w:val="center"/>
          </w:tcPr>
          <w:p w14:paraId="1C226E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2026-2027年</w:t>
            </w:r>
          </w:p>
        </w:tc>
        <w:tc>
          <w:tcPr>
            <w:tcW w:w="2283" w:type="dxa"/>
            <w:noWrap w:val="0"/>
            <w:vAlign w:val="center"/>
          </w:tcPr>
          <w:p w14:paraId="6CBBCF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白石涌一河两岸生态修复及绿美提升工程</w:t>
            </w:r>
          </w:p>
        </w:tc>
        <w:tc>
          <w:tcPr>
            <w:tcW w:w="3230" w:type="dxa"/>
            <w:noWrap w:val="0"/>
            <w:vAlign w:val="center"/>
          </w:tcPr>
          <w:p w14:paraId="425765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依据《无障碍设计规范》（GB 50763-2012）等国标建设的无障碍配套设施</w:t>
            </w:r>
          </w:p>
        </w:tc>
        <w:tc>
          <w:tcPr>
            <w:tcW w:w="1517" w:type="dxa"/>
            <w:vMerge w:val="continue"/>
            <w:noWrap w:val="0"/>
            <w:vAlign w:val="center"/>
          </w:tcPr>
          <w:p w14:paraId="07DC59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p>
        </w:tc>
      </w:tr>
      <w:tr w14:paraId="231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noWrap w:val="0"/>
            <w:vAlign w:val="center"/>
          </w:tcPr>
          <w:p w14:paraId="55ECF5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r>
              <w:rPr>
                <w:rFonts w:hint="eastAsia" w:ascii="仿宋_GB2312" w:hAnsi="仿宋_GB2312" w:cs="仿宋_GB2312"/>
                <w:bCs/>
                <w:sz w:val="28"/>
                <w:szCs w:val="28"/>
                <w:lang w:eastAsia="zh-CN"/>
              </w:rPr>
              <w:t>2026-2027年</w:t>
            </w:r>
          </w:p>
        </w:tc>
        <w:tc>
          <w:tcPr>
            <w:tcW w:w="2283" w:type="dxa"/>
            <w:noWrap w:val="0"/>
            <w:vAlign w:val="center"/>
          </w:tcPr>
          <w:p w14:paraId="45DD6D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岐江新城全民健身中心（一期）工程</w:t>
            </w:r>
          </w:p>
        </w:tc>
        <w:tc>
          <w:tcPr>
            <w:tcW w:w="3230" w:type="dxa"/>
            <w:noWrap w:val="0"/>
            <w:vAlign w:val="center"/>
          </w:tcPr>
          <w:p w14:paraId="6A94DB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依据《无障碍设计规范》（GB 50763-2012）等国标建设的无障碍配套设施</w:t>
            </w:r>
          </w:p>
        </w:tc>
        <w:tc>
          <w:tcPr>
            <w:tcW w:w="1517" w:type="dxa"/>
            <w:vMerge w:val="continue"/>
            <w:noWrap w:val="0"/>
            <w:vAlign w:val="center"/>
          </w:tcPr>
          <w:p w14:paraId="287C69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p>
        </w:tc>
      </w:tr>
      <w:tr w14:paraId="0BFD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noWrap w:val="0"/>
            <w:vAlign w:val="center"/>
          </w:tcPr>
          <w:p w14:paraId="2CB69B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r>
              <w:rPr>
                <w:rFonts w:hint="eastAsia" w:ascii="仿宋_GB2312" w:hAnsi="仿宋_GB2312" w:cs="仿宋_GB2312"/>
                <w:bCs/>
                <w:sz w:val="28"/>
                <w:szCs w:val="28"/>
                <w:lang w:eastAsia="zh-CN"/>
              </w:rPr>
              <w:t>2026-2027年</w:t>
            </w:r>
          </w:p>
        </w:tc>
        <w:tc>
          <w:tcPr>
            <w:tcW w:w="2283" w:type="dxa"/>
            <w:noWrap w:val="0"/>
            <w:vAlign w:val="center"/>
          </w:tcPr>
          <w:p w14:paraId="1878E0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红光二路工程</w:t>
            </w:r>
          </w:p>
        </w:tc>
        <w:tc>
          <w:tcPr>
            <w:tcW w:w="3230" w:type="dxa"/>
            <w:noWrap w:val="0"/>
            <w:vAlign w:val="center"/>
          </w:tcPr>
          <w:p w14:paraId="76F4F0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依据《无障碍设计规范》（GB 50763-2012）等国标建设的无障碍配套设施</w:t>
            </w:r>
          </w:p>
        </w:tc>
        <w:tc>
          <w:tcPr>
            <w:tcW w:w="1517" w:type="dxa"/>
            <w:vMerge w:val="continue"/>
            <w:noWrap w:val="0"/>
            <w:vAlign w:val="center"/>
          </w:tcPr>
          <w:p w14:paraId="6F587C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p>
        </w:tc>
      </w:tr>
      <w:tr w14:paraId="3992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shd w:val="clear" w:color="auto" w:fill="auto"/>
            <w:noWrap w:val="0"/>
            <w:vAlign w:val="center"/>
          </w:tcPr>
          <w:p w14:paraId="33FAA5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2026-</w:t>
            </w:r>
            <w:r>
              <w:rPr>
                <w:rFonts w:hint="eastAsia" w:ascii="仿宋_GB2312" w:hAnsi="仿宋_GB2312" w:cs="仿宋_GB2312"/>
                <w:bCs/>
                <w:sz w:val="28"/>
                <w:szCs w:val="28"/>
              </w:rPr>
              <w:t>202</w:t>
            </w:r>
            <w:r>
              <w:rPr>
                <w:rFonts w:hint="eastAsia" w:ascii="仿宋_GB2312" w:hAnsi="仿宋_GB2312" w:cs="仿宋_GB2312"/>
                <w:bCs/>
                <w:sz w:val="28"/>
                <w:szCs w:val="28"/>
                <w:lang w:eastAsia="zh-CN"/>
              </w:rPr>
              <w:t>7</w:t>
            </w:r>
            <w:r>
              <w:rPr>
                <w:rFonts w:hint="eastAsia" w:ascii="仿宋_GB2312" w:hAnsi="仿宋_GB2312" w:cs="仿宋_GB2312"/>
                <w:bCs/>
                <w:sz w:val="28"/>
                <w:szCs w:val="28"/>
              </w:rPr>
              <w:t>年</w:t>
            </w:r>
          </w:p>
        </w:tc>
        <w:tc>
          <w:tcPr>
            <w:tcW w:w="2283" w:type="dxa"/>
            <w:shd w:val="clear" w:color="auto" w:fill="auto"/>
            <w:noWrap w:val="0"/>
            <w:vAlign w:val="center"/>
          </w:tcPr>
          <w:p w14:paraId="04F4DD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rPr>
              <w:t>家庭无障碍改造</w:t>
            </w:r>
          </w:p>
        </w:tc>
        <w:tc>
          <w:tcPr>
            <w:tcW w:w="3230" w:type="dxa"/>
            <w:shd w:val="clear" w:color="auto" w:fill="auto"/>
            <w:noWrap w:val="0"/>
            <w:vAlign w:val="center"/>
          </w:tcPr>
          <w:p w14:paraId="39865A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为60户残疾人家庭实施改造，优先照顾困难重度、一户多残、以老养残家庭</w:t>
            </w:r>
          </w:p>
        </w:tc>
        <w:tc>
          <w:tcPr>
            <w:tcW w:w="1517" w:type="dxa"/>
            <w:shd w:val="clear" w:color="auto" w:fill="auto"/>
            <w:noWrap w:val="0"/>
            <w:vAlign w:val="center"/>
          </w:tcPr>
          <w:p w14:paraId="02BF43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市残联</w:t>
            </w:r>
          </w:p>
        </w:tc>
      </w:tr>
      <w:tr w14:paraId="720D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shd w:val="clear" w:color="auto" w:fill="auto"/>
            <w:noWrap w:val="0"/>
            <w:vAlign w:val="center"/>
          </w:tcPr>
          <w:p w14:paraId="3A6AC5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常态化实施</w:t>
            </w:r>
          </w:p>
        </w:tc>
        <w:tc>
          <w:tcPr>
            <w:tcW w:w="2283" w:type="dxa"/>
            <w:shd w:val="clear" w:color="auto" w:fill="auto"/>
            <w:noWrap w:val="0"/>
            <w:vAlign w:val="center"/>
          </w:tcPr>
          <w:p w14:paraId="719149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既有公共交通</w:t>
            </w:r>
            <w:r>
              <w:rPr>
                <w:rFonts w:hint="eastAsia" w:ascii="仿宋_GB2312" w:hAnsi="仿宋_GB2312" w:cs="仿宋_GB2312"/>
                <w:bCs/>
                <w:sz w:val="28"/>
                <w:szCs w:val="28"/>
                <w:lang w:val="en-US" w:eastAsia="zh-CN"/>
              </w:rPr>
              <w:t>设施</w:t>
            </w:r>
          </w:p>
        </w:tc>
        <w:tc>
          <w:tcPr>
            <w:tcW w:w="3230" w:type="dxa"/>
            <w:shd w:val="clear" w:color="auto" w:fill="auto"/>
            <w:noWrap w:val="0"/>
            <w:vAlign w:val="center"/>
          </w:tcPr>
          <w:p w14:paraId="1CCF2D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对既有公共交通无障碍设施开展常态化检查，实现即坏即修</w:t>
            </w:r>
          </w:p>
        </w:tc>
        <w:tc>
          <w:tcPr>
            <w:tcW w:w="1517" w:type="dxa"/>
            <w:vMerge w:val="restart"/>
            <w:shd w:val="clear" w:color="auto" w:fill="auto"/>
            <w:noWrap w:val="0"/>
            <w:vAlign w:val="center"/>
          </w:tcPr>
          <w:p w14:paraId="1F5ADB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市交通运输局</w:t>
            </w:r>
          </w:p>
        </w:tc>
      </w:tr>
      <w:tr w14:paraId="33A2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shd w:val="clear" w:color="auto" w:fill="auto"/>
            <w:noWrap w:val="0"/>
            <w:vAlign w:val="center"/>
          </w:tcPr>
          <w:p w14:paraId="66A3BC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常态化实施</w:t>
            </w:r>
          </w:p>
        </w:tc>
        <w:tc>
          <w:tcPr>
            <w:tcW w:w="2283" w:type="dxa"/>
            <w:shd w:val="clear" w:color="auto" w:fill="auto"/>
            <w:noWrap w:val="0"/>
            <w:vAlign w:val="center"/>
          </w:tcPr>
          <w:p w14:paraId="27B82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正在实施的交通工程项目</w:t>
            </w:r>
          </w:p>
        </w:tc>
        <w:tc>
          <w:tcPr>
            <w:tcW w:w="3230" w:type="dxa"/>
            <w:shd w:val="clear" w:color="auto" w:fill="auto"/>
            <w:noWrap w:val="0"/>
            <w:vAlign w:val="center"/>
          </w:tcPr>
          <w:p w14:paraId="3FA777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对无障碍配套设施，强化过程管控，实行逐段盯紧、逐项验收，确保各项工程建成即达标、验收即合格</w:t>
            </w:r>
          </w:p>
        </w:tc>
        <w:tc>
          <w:tcPr>
            <w:tcW w:w="1517" w:type="dxa"/>
            <w:vMerge w:val="continue"/>
            <w:noWrap w:val="0"/>
            <w:vAlign w:val="center"/>
          </w:tcPr>
          <w:p w14:paraId="50A6C9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仿宋_GB2312" w:cs="仿宋_GB2312"/>
                <w:bCs/>
                <w:sz w:val="28"/>
                <w:szCs w:val="28"/>
                <w:lang w:eastAsia="zh-CN"/>
              </w:rPr>
            </w:pPr>
          </w:p>
        </w:tc>
      </w:tr>
      <w:tr w14:paraId="2F95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0" w:type="auto"/>
            <w:shd w:val="clear" w:color="auto" w:fill="auto"/>
            <w:noWrap w:val="0"/>
            <w:vAlign w:val="center"/>
          </w:tcPr>
          <w:p w14:paraId="0B9F8D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常态化实施</w:t>
            </w:r>
          </w:p>
        </w:tc>
        <w:tc>
          <w:tcPr>
            <w:tcW w:w="2283" w:type="dxa"/>
            <w:shd w:val="clear" w:color="auto" w:fill="auto"/>
            <w:noWrap w:val="0"/>
            <w:vAlign w:val="center"/>
          </w:tcPr>
          <w:p w14:paraId="561CFA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eastAsia="zh-CN"/>
              </w:rPr>
              <w:t>城区</w:t>
            </w:r>
            <w:r>
              <w:rPr>
                <w:rFonts w:hint="eastAsia" w:ascii="仿宋_GB2312" w:hAnsi="仿宋_GB2312" w:cs="仿宋_GB2312"/>
                <w:bCs/>
                <w:sz w:val="28"/>
                <w:szCs w:val="28"/>
                <w:lang w:val="en-US" w:eastAsia="zh-CN"/>
              </w:rPr>
              <w:t>市政、环卫、公园等设施</w:t>
            </w:r>
          </w:p>
        </w:tc>
        <w:tc>
          <w:tcPr>
            <w:tcW w:w="3230" w:type="dxa"/>
            <w:shd w:val="clear" w:color="auto" w:fill="auto"/>
            <w:noWrap w:val="0"/>
            <w:vAlign w:val="center"/>
          </w:tcPr>
          <w:p w14:paraId="68DB29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lang w:val="en-US" w:eastAsia="zh-CN"/>
              </w:rPr>
              <w:t>对市城管和执法局管养的城区市政、环卫、公园的</w:t>
            </w:r>
            <w:r>
              <w:rPr>
                <w:rFonts w:hint="eastAsia" w:ascii="仿宋_GB2312" w:hAnsi="仿宋_GB2312" w:cs="仿宋_GB2312"/>
                <w:bCs/>
                <w:sz w:val="28"/>
                <w:szCs w:val="28"/>
                <w:lang w:eastAsia="zh-CN"/>
              </w:rPr>
              <w:t>无障碍设施的</w:t>
            </w:r>
            <w:r>
              <w:rPr>
                <w:rFonts w:hint="eastAsia" w:ascii="仿宋_GB2312" w:hAnsi="仿宋_GB2312" w:cs="仿宋_GB2312"/>
                <w:bCs/>
                <w:sz w:val="28"/>
                <w:szCs w:val="28"/>
                <w:lang w:val="en-US" w:eastAsia="zh-CN"/>
              </w:rPr>
              <w:t>做好</w:t>
            </w:r>
            <w:r>
              <w:rPr>
                <w:rFonts w:hint="eastAsia" w:ascii="仿宋_GB2312" w:hAnsi="仿宋_GB2312" w:cs="仿宋_GB2312"/>
                <w:bCs/>
                <w:sz w:val="28"/>
                <w:szCs w:val="28"/>
                <w:lang w:eastAsia="zh-CN"/>
              </w:rPr>
              <w:t>日常维护与应急处置</w:t>
            </w:r>
          </w:p>
        </w:tc>
        <w:tc>
          <w:tcPr>
            <w:tcW w:w="1517" w:type="dxa"/>
            <w:shd w:val="clear" w:color="auto" w:fill="auto"/>
            <w:noWrap w:val="0"/>
            <w:vAlign w:val="center"/>
          </w:tcPr>
          <w:p w14:paraId="326549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Cs/>
                <w:sz w:val="28"/>
                <w:szCs w:val="28"/>
                <w:lang w:val="en-US" w:eastAsia="zh-CN" w:bidi="ar-SA"/>
              </w:rPr>
            </w:pPr>
            <w:r>
              <w:rPr>
                <w:rFonts w:hint="eastAsia" w:ascii="仿宋_GB2312" w:hAnsi="仿宋_GB2312" w:cs="仿宋_GB2312"/>
                <w:bCs/>
                <w:sz w:val="28"/>
                <w:szCs w:val="28"/>
              </w:rPr>
              <w:t>市</w:t>
            </w:r>
            <w:r>
              <w:rPr>
                <w:rFonts w:hint="eastAsia" w:ascii="仿宋_GB2312" w:hAnsi="仿宋_GB2312" w:cs="仿宋_GB2312"/>
                <w:bCs/>
                <w:sz w:val="28"/>
                <w:szCs w:val="28"/>
                <w:lang w:eastAsia="zh-CN"/>
              </w:rPr>
              <w:t>城管和执法局</w:t>
            </w:r>
          </w:p>
        </w:tc>
      </w:tr>
      <w:tr w14:paraId="2669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shd w:val="clear" w:color="auto" w:fill="auto"/>
            <w:noWrap w:val="0"/>
            <w:vAlign w:val="center"/>
          </w:tcPr>
          <w:p w14:paraId="2584E7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eastAsia" w:ascii="仿宋_GB2312" w:hAnsi="仿宋_GB2312" w:cs="仿宋_GB2312"/>
                <w:bCs/>
                <w:sz w:val="28"/>
                <w:szCs w:val="28"/>
                <w:lang w:val="en-US" w:eastAsia="zh-CN"/>
              </w:rPr>
              <w:t>2026-2027年</w:t>
            </w:r>
          </w:p>
        </w:tc>
        <w:tc>
          <w:tcPr>
            <w:tcW w:w="2283" w:type="dxa"/>
            <w:shd w:val="clear" w:color="auto" w:fill="auto"/>
            <w:noWrap w:val="0"/>
            <w:vAlign w:val="center"/>
          </w:tcPr>
          <w:p w14:paraId="1C88E1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eastAsia="zh-CN"/>
              </w:rPr>
            </w:pPr>
            <w:r>
              <w:rPr>
                <w:rFonts w:hint="default" w:ascii="仿宋_GB2312" w:hAnsi="仿宋_GB2312" w:cs="仿宋_GB2312"/>
                <w:bCs/>
                <w:sz w:val="28"/>
                <w:szCs w:val="28"/>
                <w:lang w:eastAsia="zh-CN"/>
              </w:rPr>
              <w:t>坦洲镇合胜片区老旧街区更新改造项目（一期）</w:t>
            </w:r>
          </w:p>
        </w:tc>
        <w:tc>
          <w:tcPr>
            <w:tcW w:w="3230" w:type="dxa"/>
            <w:shd w:val="clear" w:color="auto" w:fill="auto"/>
            <w:noWrap w:val="0"/>
            <w:vAlign w:val="center"/>
          </w:tcPr>
          <w:p w14:paraId="138E23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r>
              <w:rPr>
                <w:rFonts w:hint="eastAsia" w:ascii="仿宋_GB2312" w:hAnsi="仿宋_GB2312" w:cs="仿宋_GB2312"/>
                <w:bCs/>
                <w:sz w:val="28"/>
                <w:szCs w:val="28"/>
                <w:lang w:eastAsia="zh-CN"/>
              </w:rPr>
              <w:t>同步建设适老化设施、无障碍设施等街区配套公共服务基础设施</w:t>
            </w:r>
          </w:p>
        </w:tc>
        <w:tc>
          <w:tcPr>
            <w:tcW w:w="1517" w:type="dxa"/>
            <w:shd w:val="clear" w:color="auto" w:fill="auto"/>
            <w:noWrap w:val="0"/>
            <w:vAlign w:val="center"/>
          </w:tcPr>
          <w:p w14:paraId="59E38D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rPr>
            </w:pPr>
            <w:r>
              <w:rPr>
                <w:rFonts w:hint="eastAsia" w:ascii="仿宋_GB2312" w:hAnsi="仿宋_GB2312" w:cs="仿宋_GB2312"/>
                <w:bCs/>
                <w:sz w:val="28"/>
                <w:szCs w:val="28"/>
                <w:lang w:val="en-US" w:eastAsia="zh-CN"/>
              </w:rPr>
              <w:t>坦洲镇</w:t>
            </w:r>
          </w:p>
        </w:tc>
      </w:tr>
      <w:tr w14:paraId="0696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391FFB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2024-2026年</w:t>
            </w:r>
          </w:p>
        </w:tc>
        <w:tc>
          <w:tcPr>
            <w:tcW w:w="2283" w:type="dxa"/>
            <w:noWrap w:val="0"/>
            <w:vAlign w:val="center"/>
          </w:tcPr>
          <w:p w14:paraId="6FBB31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中山市石岐街道老安山村城中村微改造项目</w:t>
            </w:r>
          </w:p>
        </w:tc>
        <w:tc>
          <w:tcPr>
            <w:tcW w:w="3230" w:type="dxa"/>
            <w:noWrap w:val="0"/>
            <w:vAlign w:val="center"/>
          </w:tcPr>
          <w:p w14:paraId="478EE1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restart"/>
            <w:noWrap w:val="0"/>
            <w:vAlign w:val="center"/>
          </w:tcPr>
          <w:p w14:paraId="0A1214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石岐街道</w:t>
            </w:r>
          </w:p>
        </w:tc>
      </w:tr>
      <w:tr w14:paraId="1E4E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29B9B3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2025-2026年</w:t>
            </w:r>
          </w:p>
        </w:tc>
        <w:tc>
          <w:tcPr>
            <w:tcW w:w="2283" w:type="dxa"/>
            <w:noWrap w:val="0"/>
            <w:vAlign w:val="center"/>
          </w:tcPr>
          <w:p w14:paraId="7F8722C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中山市石岐街道湖滨路片区老旧小区改造工程项目</w:t>
            </w:r>
          </w:p>
        </w:tc>
        <w:tc>
          <w:tcPr>
            <w:tcW w:w="3230" w:type="dxa"/>
            <w:noWrap w:val="0"/>
            <w:vAlign w:val="center"/>
          </w:tcPr>
          <w:p w14:paraId="391E0E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004081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52E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2B580A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2025-2026年</w:t>
            </w:r>
          </w:p>
        </w:tc>
        <w:tc>
          <w:tcPr>
            <w:tcW w:w="2283" w:type="dxa"/>
            <w:noWrap w:val="0"/>
            <w:vAlign w:val="center"/>
          </w:tcPr>
          <w:p w14:paraId="44E54B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中山市石岐街道悦来路片区老旧小区改造工程项目</w:t>
            </w:r>
          </w:p>
        </w:tc>
        <w:tc>
          <w:tcPr>
            <w:tcW w:w="3230" w:type="dxa"/>
            <w:noWrap w:val="0"/>
            <w:vAlign w:val="center"/>
          </w:tcPr>
          <w:p w14:paraId="6BB9FB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4DE1B5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5A91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621EA2D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2025-2026年</w:t>
            </w:r>
          </w:p>
        </w:tc>
        <w:tc>
          <w:tcPr>
            <w:tcW w:w="2283" w:type="dxa"/>
            <w:noWrap w:val="0"/>
            <w:vAlign w:val="center"/>
          </w:tcPr>
          <w:p w14:paraId="0D37BF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中山市石岐街道富兴新村片区老旧小区改造工程项目</w:t>
            </w:r>
          </w:p>
        </w:tc>
        <w:tc>
          <w:tcPr>
            <w:tcW w:w="3230" w:type="dxa"/>
            <w:noWrap w:val="0"/>
            <w:vAlign w:val="center"/>
          </w:tcPr>
          <w:p w14:paraId="45D95B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1723B5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0F5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195CD7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2025-2026年</w:t>
            </w:r>
          </w:p>
        </w:tc>
        <w:tc>
          <w:tcPr>
            <w:tcW w:w="2283" w:type="dxa"/>
            <w:noWrap w:val="0"/>
            <w:vAlign w:val="center"/>
          </w:tcPr>
          <w:p w14:paraId="7B8650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中山市石岐街道宏基路片区</w:t>
            </w:r>
            <w:bookmarkStart w:id="110" w:name="_GoBack"/>
            <w:bookmarkEnd w:id="110"/>
            <w:r>
              <w:rPr>
                <w:rFonts w:hint="eastAsia" w:ascii="仿宋_GB2312" w:hAnsi="宋体" w:eastAsia="仿宋_GB2312" w:cs="仿宋_GB2312"/>
                <w:i w:val="0"/>
                <w:iCs w:val="0"/>
                <w:color w:val="000000"/>
                <w:kern w:val="0"/>
                <w:sz w:val="28"/>
                <w:szCs w:val="28"/>
                <w:u w:val="none"/>
                <w:lang w:val="en-US" w:eastAsia="zh-CN" w:bidi="ar"/>
              </w:rPr>
              <w:t>老旧小区改造工程项目</w:t>
            </w:r>
          </w:p>
        </w:tc>
        <w:tc>
          <w:tcPr>
            <w:tcW w:w="3230" w:type="dxa"/>
            <w:noWrap w:val="0"/>
            <w:vAlign w:val="center"/>
          </w:tcPr>
          <w:p w14:paraId="44CDA5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1D44EF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1609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058956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2025-2028年</w:t>
            </w:r>
          </w:p>
        </w:tc>
        <w:tc>
          <w:tcPr>
            <w:tcW w:w="2283" w:type="dxa"/>
            <w:noWrap w:val="0"/>
            <w:vAlign w:val="center"/>
          </w:tcPr>
          <w:p w14:paraId="23BF0D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中山市石岐街道孙文东路片区老旧小区改造工程项目</w:t>
            </w:r>
          </w:p>
        </w:tc>
        <w:tc>
          <w:tcPr>
            <w:tcW w:w="3230" w:type="dxa"/>
            <w:noWrap w:val="0"/>
            <w:vAlign w:val="center"/>
          </w:tcPr>
          <w:p w14:paraId="29AFFA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6B3AE0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3E94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21C071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2026-2027年</w:t>
            </w:r>
          </w:p>
        </w:tc>
        <w:tc>
          <w:tcPr>
            <w:tcW w:w="2283" w:type="dxa"/>
            <w:noWrap w:val="0"/>
            <w:vAlign w:val="center"/>
          </w:tcPr>
          <w:p w14:paraId="33F68F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中山市石岐街道岐头城中村微改造项目</w:t>
            </w:r>
          </w:p>
        </w:tc>
        <w:tc>
          <w:tcPr>
            <w:tcW w:w="3230" w:type="dxa"/>
            <w:noWrap w:val="0"/>
            <w:vAlign w:val="center"/>
          </w:tcPr>
          <w:p w14:paraId="59401D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2D8274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7550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385CC5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2026-2027年</w:t>
            </w:r>
          </w:p>
        </w:tc>
        <w:tc>
          <w:tcPr>
            <w:tcW w:w="2283" w:type="dxa"/>
            <w:noWrap w:val="0"/>
            <w:vAlign w:val="center"/>
          </w:tcPr>
          <w:p w14:paraId="3C4B11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中山市石岐街道团结城中村微改造项目</w:t>
            </w:r>
          </w:p>
        </w:tc>
        <w:tc>
          <w:tcPr>
            <w:tcW w:w="3230" w:type="dxa"/>
            <w:noWrap w:val="0"/>
            <w:vAlign w:val="center"/>
          </w:tcPr>
          <w:p w14:paraId="7EDDB70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0C7BD1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4643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6116AC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2026-2027年</w:t>
            </w:r>
          </w:p>
        </w:tc>
        <w:tc>
          <w:tcPr>
            <w:tcW w:w="2283" w:type="dxa"/>
            <w:noWrap w:val="0"/>
            <w:vAlign w:val="center"/>
          </w:tcPr>
          <w:p w14:paraId="5FF939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中山市石岐街道员峰村城中村微改造项目</w:t>
            </w:r>
          </w:p>
        </w:tc>
        <w:tc>
          <w:tcPr>
            <w:tcW w:w="3230" w:type="dxa"/>
            <w:noWrap w:val="0"/>
            <w:vAlign w:val="center"/>
          </w:tcPr>
          <w:p w14:paraId="7E9DAF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4882C7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34E0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38B46F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2026-2027年</w:t>
            </w:r>
          </w:p>
        </w:tc>
        <w:tc>
          <w:tcPr>
            <w:tcW w:w="2283" w:type="dxa"/>
            <w:noWrap w:val="0"/>
            <w:vAlign w:val="center"/>
          </w:tcPr>
          <w:p w14:paraId="6AD6BB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中山市石岐街道天门村、柏桠村城中村微改造项目</w:t>
            </w:r>
          </w:p>
        </w:tc>
        <w:tc>
          <w:tcPr>
            <w:tcW w:w="3230" w:type="dxa"/>
            <w:noWrap w:val="0"/>
            <w:vAlign w:val="center"/>
          </w:tcPr>
          <w:p w14:paraId="452C86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49C650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3704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302F7F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2026-2027年</w:t>
            </w:r>
          </w:p>
        </w:tc>
        <w:tc>
          <w:tcPr>
            <w:tcW w:w="2283" w:type="dxa"/>
            <w:noWrap w:val="0"/>
            <w:vAlign w:val="center"/>
          </w:tcPr>
          <w:p w14:paraId="3DCD1A3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中山市石岐街道基边村城中村微改造项目</w:t>
            </w:r>
          </w:p>
        </w:tc>
        <w:tc>
          <w:tcPr>
            <w:tcW w:w="3230" w:type="dxa"/>
            <w:noWrap w:val="0"/>
            <w:vAlign w:val="center"/>
          </w:tcPr>
          <w:p w14:paraId="2BA921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1207F9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21B2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3C1787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2027-2028年</w:t>
            </w:r>
          </w:p>
        </w:tc>
        <w:tc>
          <w:tcPr>
            <w:tcW w:w="2283" w:type="dxa"/>
            <w:noWrap w:val="0"/>
            <w:vAlign w:val="center"/>
          </w:tcPr>
          <w:p w14:paraId="1BA32B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中山市石岐街道张溪城中村（二期）微改造项目</w:t>
            </w:r>
          </w:p>
        </w:tc>
        <w:tc>
          <w:tcPr>
            <w:tcW w:w="3230" w:type="dxa"/>
            <w:noWrap w:val="0"/>
            <w:vAlign w:val="center"/>
          </w:tcPr>
          <w:p w14:paraId="3B2395B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5FB01B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34D7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7F53DA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2027-2028年</w:t>
            </w:r>
          </w:p>
        </w:tc>
        <w:tc>
          <w:tcPr>
            <w:tcW w:w="2283" w:type="dxa"/>
            <w:noWrap w:val="0"/>
            <w:vAlign w:val="center"/>
          </w:tcPr>
          <w:p w14:paraId="78F8CC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中山市石岐街道南下村城中村微改造项目</w:t>
            </w:r>
          </w:p>
        </w:tc>
        <w:tc>
          <w:tcPr>
            <w:tcW w:w="3230" w:type="dxa"/>
            <w:noWrap w:val="0"/>
            <w:vAlign w:val="center"/>
          </w:tcPr>
          <w:p w14:paraId="60E630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vMerge w:val="continue"/>
            <w:noWrap w:val="0"/>
            <w:vAlign w:val="center"/>
          </w:tcPr>
          <w:p w14:paraId="511B0A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cs="仿宋_GB2312"/>
                <w:bCs/>
                <w:sz w:val="28"/>
                <w:szCs w:val="28"/>
                <w:lang w:val="en-US" w:eastAsia="zh-CN"/>
              </w:rPr>
            </w:pPr>
          </w:p>
        </w:tc>
      </w:tr>
      <w:tr w14:paraId="5332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shd w:val="clear" w:color="auto" w:fill="auto"/>
            <w:noWrap w:val="0"/>
            <w:vAlign w:val="center"/>
          </w:tcPr>
          <w:p w14:paraId="0BE8C0D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Cs/>
                <w:sz w:val="28"/>
                <w:szCs w:val="28"/>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2024-2026年</w:t>
            </w:r>
          </w:p>
        </w:tc>
        <w:tc>
          <w:tcPr>
            <w:tcW w:w="2283" w:type="dxa"/>
            <w:shd w:val="clear" w:color="auto" w:fill="auto"/>
            <w:noWrap w:val="0"/>
            <w:vAlign w:val="center"/>
          </w:tcPr>
          <w:p w14:paraId="183EB44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仿宋_GB2312" w:hAnsi="仿宋_GB2312" w:eastAsia="仿宋_GB2312" w:cs="仿宋_GB2312"/>
                <w:bCs/>
                <w:sz w:val="28"/>
                <w:szCs w:val="28"/>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南区街道恒海花园老旧小区改造项目</w:t>
            </w:r>
          </w:p>
        </w:tc>
        <w:tc>
          <w:tcPr>
            <w:tcW w:w="3230" w:type="dxa"/>
            <w:shd w:val="clear" w:color="auto" w:fill="auto"/>
            <w:noWrap w:val="0"/>
            <w:vAlign w:val="center"/>
          </w:tcPr>
          <w:p w14:paraId="04B6057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Cs/>
                <w:sz w:val="28"/>
                <w:szCs w:val="28"/>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shd w:val="clear" w:color="auto" w:fill="auto"/>
            <w:noWrap w:val="0"/>
            <w:vAlign w:val="center"/>
          </w:tcPr>
          <w:p w14:paraId="15F5649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Cs/>
                <w:sz w:val="28"/>
                <w:szCs w:val="28"/>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南区街道</w:t>
            </w:r>
          </w:p>
        </w:tc>
      </w:tr>
      <w:tr w14:paraId="7BA7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4661BE8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2026-2027年</w:t>
            </w:r>
          </w:p>
        </w:tc>
        <w:tc>
          <w:tcPr>
            <w:tcW w:w="2283" w:type="dxa"/>
            <w:noWrap w:val="0"/>
            <w:vAlign w:val="center"/>
          </w:tcPr>
          <w:p w14:paraId="3C12D15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沙溪镇老旧小区改造二期工程</w:t>
            </w:r>
          </w:p>
        </w:tc>
        <w:tc>
          <w:tcPr>
            <w:tcW w:w="3230" w:type="dxa"/>
            <w:noWrap w:val="0"/>
            <w:vAlign w:val="center"/>
          </w:tcPr>
          <w:p w14:paraId="658B8A3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noWrap w:val="0"/>
            <w:vAlign w:val="center"/>
          </w:tcPr>
          <w:p w14:paraId="3903137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沙溪镇</w:t>
            </w:r>
          </w:p>
        </w:tc>
      </w:tr>
      <w:tr w14:paraId="4261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0" w:type="dxa"/>
            <w:noWrap w:val="0"/>
            <w:vAlign w:val="center"/>
          </w:tcPr>
          <w:p w14:paraId="3AE48CA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2026-2028年</w:t>
            </w:r>
          </w:p>
        </w:tc>
        <w:tc>
          <w:tcPr>
            <w:tcW w:w="2283" w:type="dxa"/>
            <w:noWrap w:val="0"/>
            <w:vAlign w:val="center"/>
          </w:tcPr>
          <w:p w14:paraId="5EB2DC1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小榄镇老旧小区改造工程（一期）项目</w:t>
            </w:r>
          </w:p>
        </w:tc>
        <w:tc>
          <w:tcPr>
            <w:tcW w:w="3230" w:type="dxa"/>
            <w:noWrap w:val="0"/>
            <w:vAlign w:val="center"/>
          </w:tcPr>
          <w:p w14:paraId="36FE417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无障碍及适老化设施改造</w:t>
            </w:r>
          </w:p>
        </w:tc>
        <w:tc>
          <w:tcPr>
            <w:tcW w:w="1517" w:type="dxa"/>
            <w:noWrap w:val="0"/>
            <w:vAlign w:val="center"/>
          </w:tcPr>
          <w:p w14:paraId="1708EE3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仿宋_GB2312" w:hAnsi="仿宋_GB2312" w:cs="仿宋_GB2312"/>
                <w:bCs/>
                <w:sz w:val="28"/>
                <w:szCs w:val="28"/>
                <w:lang w:eastAsia="zh-CN"/>
              </w:rPr>
            </w:pPr>
            <w:r>
              <w:rPr>
                <w:rFonts w:hint="eastAsia" w:ascii="仿宋_GB2312" w:hAnsi="宋体" w:eastAsia="仿宋_GB2312" w:cs="仿宋_GB2312"/>
                <w:i w:val="0"/>
                <w:iCs w:val="0"/>
                <w:color w:val="000000"/>
                <w:kern w:val="0"/>
                <w:sz w:val="28"/>
                <w:szCs w:val="28"/>
                <w:u w:val="none"/>
                <w:lang w:val="en-US" w:eastAsia="zh-CN" w:bidi="ar"/>
              </w:rPr>
              <w:t>小榄镇</w:t>
            </w:r>
          </w:p>
        </w:tc>
      </w:tr>
      <w:bookmarkEnd w:id="92"/>
      <w:bookmarkEnd w:id="93"/>
    </w:tbl>
    <w:p w14:paraId="4D103016">
      <w:pPr>
        <w:ind w:firstLine="640"/>
        <w:rPr>
          <w:rFonts w:ascii="Times New Roman" w:hAnsi="Times New Roman"/>
          <w:szCs w:val="32"/>
        </w:rPr>
      </w:pPr>
      <w:r>
        <w:rPr>
          <w:rFonts w:ascii="Times New Roman" w:hAnsi="Times New Roman"/>
          <w:szCs w:val="32"/>
        </w:rPr>
        <w:br w:type="page"/>
      </w:r>
    </w:p>
    <w:p w14:paraId="7B68EF47">
      <w:pPr>
        <w:pStyle w:val="2"/>
        <w:spacing w:before="240"/>
      </w:pPr>
      <w:bookmarkStart w:id="94" w:name="_Toc8821_ai"/>
      <w:bookmarkStart w:id="95" w:name="_Toc19146"/>
      <w:bookmarkStart w:id="96" w:name="_Toc28542_ai"/>
      <w:bookmarkStart w:id="97" w:name="_Toc20956"/>
      <w:bookmarkStart w:id="98" w:name="_Toc4312"/>
      <w:bookmarkStart w:id="99" w:name="_Toc2141"/>
      <w:r>
        <w:rPr>
          <w:rFonts w:hint="eastAsia"/>
        </w:rPr>
        <w:t>第</w:t>
      </w:r>
      <w:r>
        <w:rPr>
          <w:rFonts w:hint="eastAsia"/>
          <w:lang w:val="en-US" w:eastAsia="zh-CN"/>
        </w:rPr>
        <w:t>五</w:t>
      </w:r>
      <w:r>
        <w:rPr>
          <w:rFonts w:hint="eastAsia"/>
        </w:rPr>
        <w:t>章 保障措施</w:t>
      </w:r>
      <w:bookmarkEnd w:id="94"/>
      <w:bookmarkEnd w:id="95"/>
      <w:bookmarkEnd w:id="96"/>
      <w:bookmarkEnd w:id="97"/>
      <w:bookmarkEnd w:id="98"/>
      <w:bookmarkEnd w:id="99"/>
    </w:p>
    <w:p w14:paraId="336B7749">
      <w:pPr>
        <w:ind w:firstLine="640"/>
      </w:pPr>
    </w:p>
    <w:p w14:paraId="00E6B1AC">
      <w:pPr>
        <w:pStyle w:val="3"/>
        <w:spacing w:before="120"/>
        <w:ind w:firstLine="0" w:firstLineChars="0"/>
        <w:rPr>
          <w:rFonts w:hint="eastAsia" w:ascii="楷体_GB2312" w:hAnsi="楷体_GB2312" w:eastAsia="楷体_GB2312" w:cs="楷体_GB2312"/>
          <w:bCs/>
        </w:rPr>
      </w:pPr>
      <w:bookmarkStart w:id="100" w:name="_Toc7067"/>
      <w:bookmarkStart w:id="101" w:name="_Toc24230"/>
      <w:r>
        <w:rPr>
          <w:rFonts w:hint="eastAsia" w:ascii="楷体_GB2312" w:hAnsi="楷体_GB2312" w:eastAsia="楷体_GB2312" w:cs="楷体_GB2312"/>
          <w:bCs/>
          <w:lang w:val="en-US" w:eastAsia="zh-CN"/>
        </w:rPr>
        <w:t>5</w:t>
      </w:r>
      <w:r>
        <w:rPr>
          <w:rFonts w:hint="eastAsia" w:ascii="楷体_GB2312" w:hAnsi="楷体_GB2312" w:eastAsia="楷体_GB2312" w:cs="楷体_GB2312"/>
          <w:bCs/>
        </w:rPr>
        <w:t>.1组织保障</w:t>
      </w:r>
      <w:bookmarkEnd w:id="100"/>
      <w:bookmarkEnd w:id="101"/>
    </w:p>
    <w:p w14:paraId="6492E272">
      <w:pPr>
        <w:ind w:firstLine="640"/>
        <w:rPr>
          <w:rFonts w:hint="eastAsia"/>
          <w:lang w:eastAsia="zh-CN"/>
        </w:rPr>
      </w:pPr>
      <w:r>
        <w:rPr>
          <w:rFonts w:hint="eastAsia" w:ascii="Times New Roman" w:hAnsi="Times New Roman"/>
          <w:szCs w:val="32"/>
          <w:lang w:eastAsia="zh-CN"/>
        </w:rPr>
        <w:t>建立健全组织保障体系，强化统筹协调，压实主体责任，明确任务分工。</w:t>
      </w:r>
    </w:p>
    <w:p w14:paraId="37207FE5">
      <w:pPr>
        <w:ind w:firstLine="643"/>
        <w:rPr>
          <w:rFonts w:hint="eastAsia"/>
          <w:lang w:eastAsia="zh-CN"/>
        </w:rPr>
      </w:pPr>
      <w:r>
        <w:rPr>
          <w:rFonts w:hint="eastAsia" w:ascii="Times New Roman" w:hAnsi="Times New Roman"/>
          <w:b/>
          <w:bCs/>
          <w:szCs w:val="32"/>
          <w:lang w:eastAsia="zh-CN"/>
        </w:rPr>
        <w:t>健全高位统筹机制</w:t>
      </w:r>
      <w:r>
        <w:rPr>
          <w:rFonts w:hint="eastAsia" w:ascii="Times New Roman" w:hAnsi="Times New Roman"/>
          <w:szCs w:val="32"/>
          <w:lang w:eastAsia="zh-CN"/>
        </w:rPr>
        <w:t>，积极推进中山市无障碍建设领导小组组建工作，由市住房城乡建设局牵头负责，市残联、市妇联、市民政局、市城管和执法局、市交通运输局、</w:t>
      </w:r>
      <w:r>
        <w:rPr>
          <w:rFonts w:hint="default" w:ascii="Times New Roman"/>
          <w:lang w:eastAsia="zh-CN"/>
        </w:rPr>
        <w:t>市政务和数据局</w:t>
      </w:r>
      <w:r>
        <w:rPr>
          <w:rFonts w:hint="eastAsia"/>
          <w:lang w:eastAsia="zh-CN"/>
        </w:rPr>
        <w:t>、</w:t>
      </w:r>
      <w:r>
        <w:rPr>
          <w:rFonts w:hint="eastAsia" w:ascii="Times New Roman" w:hAnsi="Times New Roman"/>
          <w:szCs w:val="32"/>
          <w:lang w:eastAsia="zh-CN"/>
        </w:rPr>
        <w:t>市教育体育局、市卫生健康局、市文化广电旅游局及各镇街共同参与，全面统筹推进无障碍城市建设工作。领导小组负责审定无障碍建设重大政策，协调解决重点难点问题，监督评估规划实施成效，确保各项工作有序推进落实。</w:t>
      </w:r>
    </w:p>
    <w:p w14:paraId="49CD8BE6">
      <w:pPr>
        <w:ind w:firstLine="643"/>
        <w:rPr>
          <w:rFonts w:hint="eastAsia"/>
          <w:lang w:eastAsia="zh-CN"/>
        </w:rPr>
      </w:pPr>
      <w:r>
        <w:rPr>
          <w:rFonts w:hint="eastAsia" w:ascii="Times New Roman" w:hAnsi="Times New Roman"/>
          <w:b/>
          <w:bCs/>
          <w:szCs w:val="32"/>
          <w:lang w:eastAsia="zh-CN"/>
        </w:rPr>
        <w:t>建立部门协同机制</w:t>
      </w:r>
      <w:r>
        <w:rPr>
          <w:rFonts w:hint="eastAsia" w:ascii="Times New Roman" w:hAnsi="Times New Roman"/>
          <w:szCs w:val="32"/>
          <w:lang w:eastAsia="zh-CN"/>
        </w:rPr>
        <w:t>，细化各部门职责分工。市住房城乡建设局负责无障碍建设的统筹协调与监督管理工作；市残联、市妇联、市民政局负责特殊群体（残疾人、妇女儿童、老年人等）需求的征集与反馈工作；市城管和执法局负责市政、环卫、园林设施的无障碍功能管理维护；市交通运输局负责交通设施的无障碍功能建设与维护；</w:t>
      </w:r>
      <w:r>
        <w:rPr>
          <w:rFonts w:hint="default" w:ascii="Times New Roman"/>
          <w:lang w:eastAsia="zh-CN"/>
        </w:rPr>
        <w:t>市政务和数据局</w:t>
      </w:r>
      <w:r>
        <w:rPr>
          <w:rFonts w:hint="eastAsia"/>
          <w:lang w:eastAsia="zh-CN"/>
        </w:rPr>
        <w:t>负责政务服务设施和线上平台的无障碍功能建设与维护；</w:t>
      </w:r>
      <w:r>
        <w:rPr>
          <w:rFonts w:hint="eastAsia" w:ascii="Times New Roman" w:hAnsi="Times New Roman"/>
          <w:szCs w:val="32"/>
          <w:lang w:eastAsia="zh-CN"/>
        </w:rPr>
        <w:t>市教育体育局、市卫生健康局、市文化广电旅游局分别负责教育体育、医疗卫生、文化广电旅游等领域设施的无障碍改造提升和运营维护；各镇街政府负责本辖区无障碍建设的具体组织实施工作。</w:t>
      </w:r>
    </w:p>
    <w:p w14:paraId="4C1824AD">
      <w:pPr>
        <w:ind w:firstLine="643"/>
        <w:rPr>
          <w:rFonts w:hint="eastAsia"/>
          <w:lang w:eastAsia="zh-CN"/>
        </w:rPr>
      </w:pPr>
      <w:r>
        <w:rPr>
          <w:rFonts w:hint="eastAsia" w:ascii="Times New Roman" w:hAnsi="Times New Roman"/>
          <w:b/>
          <w:bCs/>
          <w:szCs w:val="32"/>
          <w:lang w:eastAsia="zh-CN"/>
        </w:rPr>
        <w:t>建立专家咨询机制</w:t>
      </w:r>
      <w:r>
        <w:rPr>
          <w:rFonts w:hint="eastAsia" w:ascii="Times New Roman" w:hAnsi="Times New Roman"/>
          <w:szCs w:val="32"/>
          <w:lang w:eastAsia="zh-CN"/>
        </w:rPr>
        <w:t>，聘请无障碍建设领域专家学者组成专家咨询委员会，为无障碍城市建设提供专业技术支持和决策咨询服务。专家咨询委员会定期召开会议，研判无障碍建设过程中的技术难题，提出科学解决方案，切实提升无障碍建设工作的专业性与科学性。</w:t>
      </w:r>
    </w:p>
    <w:p w14:paraId="450B6EB8">
      <w:pPr>
        <w:ind w:firstLine="643"/>
        <w:rPr>
          <w:rFonts w:hint="eastAsia"/>
          <w:lang w:eastAsia="zh-CN"/>
        </w:rPr>
      </w:pPr>
      <w:r>
        <w:rPr>
          <w:rFonts w:hint="eastAsia" w:ascii="Times New Roman" w:hAnsi="Times New Roman"/>
          <w:b/>
          <w:bCs/>
          <w:szCs w:val="32"/>
          <w:lang w:eastAsia="zh-CN"/>
        </w:rPr>
        <w:t>建立社会参与机制</w:t>
      </w:r>
      <w:r>
        <w:rPr>
          <w:rFonts w:hint="eastAsia" w:ascii="Times New Roman" w:hAnsi="Times New Roman"/>
          <w:szCs w:val="32"/>
          <w:lang w:eastAsia="zh-CN"/>
        </w:rPr>
        <w:t>，广泛动员社会组织、企业和公众参与无障碍城市建设。通过听证会、座谈会等形式，主动听取社会各界对无障碍建设的意见建议；通过志愿服务、公益捐赠等途径，积极引导社会力量支持无障碍建设；加强媒体宣传，提高全社会对无障碍建设的认知度和支持度，营造共建共享良好氛围。</w:t>
      </w:r>
    </w:p>
    <w:p w14:paraId="38AF9CB4">
      <w:pPr>
        <w:pStyle w:val="3"/>
        <w:spacing w:before="120"/>
        <w:ind w:firstLine="0" w:firstLineChars="0"/>
        <w:rPr>
          <w:rFonts w:hint="eastAsia" w:ascii="楷体_GB2312" w:hAnsi="楷体_GB2312" w:eastAsia="楷体_GB2312" w:cs="楷体_GB2312"/>
          <w:bCs/>
        </w:rPr>
      </w:pPr>
      <w:bookmarkStart w:id="102" w:name="_Toc11868"/>
      <w:bookmarkStart w:id="103" w:name="_Toc24127"/>
      <w:r>
        <w:rPr>
          <w:rFonts w:hint="eastAsia" w:ascii="楷体_GB2312" w:hAnsi="楷体_GB2312" w:eastAsia="楷体_GB2312" w:cs="楷体_GB2312"/>
          <w:bCs/>
          <w:lang w:val="en-US" w:eastAsia="zh-CN"/>
        </w:rPr>
        <w:t>5</w:t>
      </w:r>
      <w:r>
        <w:rPr>
          <w:rFonts w:hint="eastAsia" w:ascii="楷体_GB2312" w:hAnsi="楷体_GB2312" w:eastAsia="楷体_GB2312" w:cs="楷体_GB2312"/>
          <w:bCs/>
        </w:rPr>
        <w:t>.2资金保障</w:t>
      </w:r>
      <w:bookmarkEnd w:id="102"/>
      <w:bookmarkEnd w:id="103"/>
    </w:p>
    <w:p w14:paraId="51BFC594">
      <w:pPr>
        <w:ind w:firstLine="640"/>
        <w:rPr>
          <w:rFonts w:hint="eastAsia"/>
          <w:lang w:eastAsia="zh-CN"/>
        </w:rPr>
      </w:pPr>
      <w:r>
        <w:rPr>
          <w:rFonts w:hint="eastAsia" w:ascii="Times New Roman" w:hAnsi="Times New Roman"/>
          <w:szCs w:val="32"/>
          <w:lang w:eastAsia="zh-CN"/>
        </w:rPr>
        <w:t>建立多元化资金保障机制，加大资金投入力度，提高资金使用效益。</w:t>
      </w:r>
    </w:p>
    <w:p w14:paraId="584EBE4D">
      <w:pPr>
        <w:ind w:firstLine="643"/>
        <w:rPr>
          <w:rFonts w:hint="eastAsia"/>
          <w:lang w:eastAsia="zh-CN"/>
        </w:rPr>
      </w:pPr>
      <w:r>
        <w:rPr>
          <w:rFonts w:hint="eastAsia" w:ascii="Times New Roman" w:hAnsi="Times New Roman"/>
          <w:b/>
          <w:bCs/>
          <w:szCs w:val="32"/>
          <w:lang w:eastAsia="zh-CN"/>
        </w:rPr>
        <w:t>在政府投入方面</w:t>
      </w:r>
      <w:r>
        <w:rPr>
          <w:rFonts w:hint="eastAsia" w:ascii="Times New Roman" w:hAnsi="Times New Roman"/>
          <w:szCs w:val="32"/>
          <w:lang w:eastAsia="zh-CN"/>
        </w:rPr>
        <w:t>，将无障碍建设工作纳入财政预算管理，设立专项扶持资金，切实保障无障碍环境建设的资金需求。专项资金应重点用于支持老旧小区无障碍改造、公共设施无障碍升级、交通无障碍设施建设等重点项目，确保各项重点任务顺利推进。</w:t>
      </w:r>
    </w:p>
    <w:p w14:paraId="581BD347">
      <w:pPr>
        <w:ind w:firstLine="643"/>
        <w:rPr>
          <w:rFonts w:hint="eastAsia"/>
          <w:lang w:eastAsia="zh-CN"/>
        </w:rPr>
      </w:pPr>
      <w:r>
        <w:rPr>
          <w:rFonts w:hint="eastAsia" w:ascii="Times New Roman" w:hAnsi="Times New Roman"/>
          <w:b/>
          <w:bCs/>
          <w:szCs w:val="32"/>
          <w:lang w:eastAsia="zh-CN"/>
        </w:rPr>
        <w:t>在社会参与方面</w:t>
      </w:r>
      <w:r>
        <w:rPr>
          <w:rFonts w:hint="eastAsia" w:ascii="Times New Roman" w:hAnsi="Times New Roman"/>
          <w:szCs w:val="32"/>
          <w:lang w:eastAsia="zh-CN"/>
        </w:rPr>
        <w:t>，积极引导企业履行社会责任，鼓励通过捐赠等方式参与无障碍建设，对符合条件的企业依法落实税收优惠政策，推动形成以政府为主导、社会各方积极参与的资金保障格局。</w:t>
      </w:r>
    </w:p>
    <w:p w14:paraId="03F79FF1">
      <w:pPr>
        <w:ind w:firstLine="643"/>
        <w:rPr>
          <w:rFonts w:hint="eastAsia"/>
          <w:lang w:eastAsia="zh-CN"/>
        </w:rPr>
      </w:pPr>
      <w:r>
        <w:rPr>
          <w:rFonts w:hint="eastAsia" w:ascii="Times New Roman" w:hAnsi="Times New Roman"/>
          <w:b/>
          <w:bCs/>
          <w:szCs w:val="32"/>
          <w:lang w:eastAsia="zh-CN"/>
        </w:rPr>
        <w:t>在金融支持方面</w:t>
      </w:r>
      <w:r>
        <w:rPr>
          <w:rFonts w:hint="eastAsia" w:ascii="Times New Roman" w:hAnsi="Times New Roman"/>
          <w:szCs w:val="32"/>
          <w:lang w:eastAsia="zh-CN"/>
        </w:rPr>
        <w:t>，协调引导商业银行创新推出“无障碍建设专项贷款”，提供优惠利率和灵活还款方式，有效降低企业及个人参与无障碍建设的融资成本，进一步提升社会主体参与无障碍建设的积极性。</w:t>
      </w:r>
    </w:p>
    <w:p w14:paraId="4495255D">
      <w:pPr>
        <w:ind w:firstLine="643"/>
        <w:rPr>
          <w:rFonts w:hint="eastAsia" w:ascii="Times New Roman" w:hAnsi="Times New Roman"/>
          <w:szCs w:val="32"/>
          <w:lang w:eastAsia="zh-CN"/>
        </w:rPr>
      </w:pPr>
      <w:r>
        <w:rPr>
          <w:rFonts w:hint="eastAsia" w:ascii="Times New Roman" w:hAnsi="Times New Roman"/>
          <w:b/>
          <w:bCs/>
          <w:szCs w:val="32"/>
          <w:lang w:eastAsia="zh-CN"/>
        </w:rPr>
        <w:t>在资金使用管理方面</w:t>
      </w:r>
      <w:r>
        <w:rPr>
          <w:rFonts w:hint="eastAsia" w:ascii="Times New Roman" w:hAnsi="Times New Roman"/>
          <w:szCs w:val="32"/>
          <w:lang w:eastAsia="zh-CN"/>
        </w:rPr>
        <w:t>，建立健全严格的资金管理制度，确保资金使用规范、安全、高效。严格执行专项资金专款专用、封闭运行的管理模式，依据项目进度及时拨付资金；建立资金使用全程监督机制，定期开展专项审计；完善资金绩效评价体系，强化结果运用，不断提升资金使用效益。</w:t>
      </w:r>
    </w:p>
    <w:p w14:paraId="504F28FF">
      <w:pPr>
        <w:pStyle w:val="3"/>
        <w:spacing w:before="120"/>
        <w:ind w:firstLine="0" w:firstLineChars="0"/>
        <w:rPr>
          <w:rFonts w:hint="eastAsia" w:ascii="楷体_GB2312" w:hAnsi="楷体_GB2312" w:eastAsia="楷体_GB2312" w:cs="楷体_GB2312"/>
          <w:bCs/>
        </w:rPr>
      </w:pPr>
      <w:bookmarkStart w:id="104" w:name="_Toc17099"/>
      <w:bookmarkStart w:id="105" w:name="_Toc19176"/>
      <w:r>
        <w:rPr>
          <w:rFonts w:hint="eastAsia" w:ascii="楷体_GB2312" w:hAnsi="楷体_GB2312" w:eastAsia="楷体_GB2312" w:cs="楷体_GB2312"/>
          <w:bCs/>
          <w:lang w:val="en-US" w:eastAsia="zh-CN"/>
        </w:rPr>
        <w:t>5</w:t>
      </w:r>
      <w:r>
        <w:rPr>
          <w:rFonts w:hint="eastAsia" w:ascii="楷体_GB2312" w:hAnsi="楷体_GB2312" w:eastAsia="楷体_GB2312" w:cs="楷体_GB2312"/>
          <w:bCs/>
        </w:rPr>
        <w:t>.3技术保障</w:t>
      </w:r>
      <w:bookmarkEnd w:id="104"/>
      <w:bookmarkEnd w:id="105"/>
    </w:p>
    <w:p w14:paraId="728BD611">
      <w:pPr>
        <w:ind w:firstLine="640"/>
        <w:rPr>
          <w:rFonts w:hint="eastAsia"/>
          <w:lang w:eastAsia="zh-CN"/>
        </w:rPr>
      </w:pPr>
      <w:r>
        <w:rPr>
          <w:rFonts w:hint="eastAsia" w:ascii="Times New Roman" w:hAnsi="Times New Roman"/>
          <w:szCs w:val="32"/>
          <w:lang w:eastAsia="zh-CN"/>
        </w:rPr>
        <w:t>建立健全技术保障体系，持续提升无障碍建设的科技含量与专业化水平。</w:t>
      </w:r>
    </w:p>
    <w:p w14:paraId="4FAEFD0B">
      <w:pPr>
        <w:ind w:firstLine="643"/>
        <w:rPr>
          <w:rFonts w:hint="eastAsia"/>
          <w:lang w:eastAsia="zh-CN"/>
        </w:rPr>
      </w:pPr>
      <w:r>
        <w:rPr>
          <w:rFonts w:hint="eastAsia" w:ascii="Times New Roman" w:hAnsi="Times New Roman"/>
          <w:b/>
          <w:bCs/>
          <w:szCs w:val="32"/>
          <w:lang w:eastAsia="zh-CN"/>
        </w:rPr>
        <w:t>在智慧应用方面</w:t>
      </w:r>
      <w:r>
        <w:rPr>
          <w:rFonts w:hint="eastAsia" w:ascii="Times New Roman" w:hAnsi="Times New Roman"/>
          <w:szCs w:val="32"/>
          <w:lang w:eastAsia="zh-CN"/>
        </w:rPr>
        <w:t>，对接中山市城市信息模型（CIM）平台，建立无障碍设施信息数据库，实现设施位置与状态的动态更新。依托CIM平台，推动无障碍设施的可视化管理和智能化运维，显著提升管理效率与服务品质。</w:t>
      </w:r>
    </w:p>
    <w:p w14:paraId="0BDE4813">
      <w:pPr>
        <w:ind w:firstLine="643"/>
        <w:rPr>
          <w:rFonts w:hint="eastAsia"/>
          <w:lang w:eastAsia="zh-CN"/>
        </w:rPr>
      </w:pPr>
      <w:r>
        <w:rPr>
          <w:rFonts w:hint="eastAsia" w:ascii="Times New Roman" w:hAnsi="Times New Roman"/>
          <w:b/>
          <w:bCs/>
          <w:szCs w:val="32"/>
          <w:lang w:eastAsia="zh-CN"/>
        </w:rPr>
        <w:t>在信息服务方面</w:t>
      </w:r>
      <w:r>
        <w:rPr>
          <w:rFonts w:hint="eastAsia" w:ascii="Times New Roman" w:hAnsi="Times New Roman"/>
          <w:szCs w:val="32"/>
          <w:lang w:eastAsia="zh-CN"/>
        </w:rPr>
        <w:t>，开发并推广“中山无障碍地图”小程序，提供无障碍导航及设施查询服务（参考深圳CIM+无障碍应用模式）。该小程序将整合全市无障碍设施信息资源，为有需要群体提供精准、便捷的导航与查询服务，切实提高无障碍设施使用的便利性。</w:t>
      </w:r>
    </w:p>
    <w:p w14:paraId="2E12E6E9">
      <w:pPr>
        <w:ind w:firstLine="643"/>
        <w:rPr>
          <w:rFonts w:hint="eastAsia"/>
          <w:lang w:eastAsia="zh-CN"/>
        </w:rPr>
      </w:pPr>
      <w:r>
        <w:rPr>
          <w:rFonts w:hint="eastAsia" w:ascii="Times New Roman" w:hAnsi="Times New Roman"/>
          <w:b/>
          <w:bCs/>
          <w:szCs w:val="32"/>
          <w:lang w:eastAsia="zh-CN"/>
        </w:rPr>
        <w:t>在人才培养方面</w:t>
      </w:r>
      <w:r>
        <w:rPr>
          <w:rFonts w:hint="eastAsia" w:ascii="Times New Roman" w:hAnsi="Times New Roman"/>
          <w:szCs w:val="32"/>
          <w:lang w:eastAsia="zh-CN"/>
        </w:rPr>
        <w:t>，组织开展无障碍设计专项培训，着力提升设计师专业能力。通过定期举办培训班、研讨会等多种形式，增强设计人员的无障碍设计意识与实操水平，打造一支熟悉中山本地实际的专业化无障碍设计队伍，为无障碍城市建设提供坚实人才支撑。</w:t>
      </w:r>
    </w:p>
    <w:p w14:paraId="21923EEB">
      <w:pPr>
        <w:ind w:firstLine="643"/>
        <w:rPr>
          <w:rFonts w:hint="eastAsia"/>
          <w:lang w:eastAsia="zh-CN"/>
        </w:rPr>
      </w:pPr>
      <w:r>
        <w:rPr>
          <w:rFonts w:hint="eastAsia" w:ascii="Times New Roman" w:hAnsi="Times New Roman"/>
          <w:b/>
          <w:bCs/>
          <w:szCs w:val="32"/>
          <w:lang w:eastAsia="zh-CN"/>
        </w:rPr>
        <w:t>在技术研发方面</w:t>
      </w:r>
      <w:r>
        <w:rPr>
          <w:rFonts w:hint="eastAsia" w:ascii="Times New Roman" w:hAnsi="Times New Roman"/>
          <w:szCs w:val="32"/>
          <w:lang w:eastAsia="zh-CN"/>
        </w:rPr>
        <w:t>，鼓励和支持高校、科研院所及相关企业开展无障碍技术研发工作，推动无障碍技术不断创新。通过深化产学研合作，研发契合中山本地特色的无障碍技术及产品，全面提升无障碍建设的科技内涵与创新水平。</w:t>
      </w:r>
    </w:p>
    <w:p w14:paraId="1D70C3AE">
      <w:pPr>
        <w:pStyle w:val="3"/>
        <w:spacing w:before="120"/>
        <w:ind w:firstLine="0" w:firstLineChars="0"/>
        <w:rPr>
          <w:rFonts w:hint="eastAsia" w:ascii="楷体_GB2312" w:hAnsi="楷体_GB2312" w:eastAsia="楷体_GB2312" w:cs="楷体_GB2312"/>
          <w:bCs/>
        </w:rPr>
      </w:pPr>
      <w:bookmarkStart w:id="106" w:name="_Toc10786"/>
      <w:bookmarkStart w:id="107" w:name="_Toc11766"/>
      <w:r>
        <w:rPr>
          <w:rFonts w:hint="eastAsia" w:ascii="楷体_GB2312" w:hAnsi="楷体_GB2312" w:eastAsia="楷体_GB2312" w:cs="楷体_GB2312"/>
          <w:bCs/>
          <w:lang w:val="en-US" w:eastAsia="zh-CN"/>
        </w:rPr>
        <w:t>5</w:t>
      </w:r>
      <w:r>
        <w:rPr>
          <w:rFonts w:hint="eastAsia" w:ascii="楷体_GB2312" w:hAnsi="楷体_GB2312" w:eastAsia="楷体_GB2312" w:cs="楷体_GB2312"/>
          <w:bCs/>
        </w:rPr>
        <w:t>.4监督评估</w:t>
      </w:r>
      <w:bookmarkEnd w:id="106"/>
      <w:bookmarkEnd w:id="107"/>
    </w:p>
    <w:p w14:paraId="322CD987">
      <w:pPr>
        <w:ind w:firstLine="640"/>
        <w:rPr>
          <w:rFonts w:ascii="Times New Roman" w:hAnsi="Times New Roman"/>
          <w:szCs w:val="32"/>
          <w:lang w:eastAsia="zh-CN"/>
        </w:rPr>
      </w:pPr>
      <w:r>
        <w:rPr>
          <w:rFonts w:ascii="Times New Roman" w:hAnsi="Times New Roman"/>
          <w:szCs w:val="32"/>
          <w:lang w:eastAsia="zh-CN"/>
        </w:rPr>
        <w:t>建立健全监督评估机制，强化过程监管，确保建设质量。</w:t>
      </w:r>
    </w:p>
    <w:p w14:paraId="04A39B37">
      <w:pPr>
        <w:ind w:firstLine="643"/>
        <w:rPr>
          <w:rFonts w:ascii="Times New Roman" w:hAnsi="Times New Roman"/>
          <w:szCs w:val="32"/>
          <w:lang w:eastAsia="zh-CN"/>
        </w:rPr>
      </w:pPr>
      <w:r>
        <w:rPr>
          <w:rFonts w:ascii="Times New Roman" w:hAnsi="Times New Roman"/>
          <w:b/>
          <w:bCs/>
          <w:szCs w:val="32"/>
          <w:lang w:eastAsia="zh-CN"/>
        </w:rPr>
        <w:t>全周期管理方面</w:t>
      </w:r>
      <w:r>
        <w:rPr>
          <w:rFonts w:ascii="Times New Roman" w:hAnsi="Times New Roman"/>
          <w:szCs w:val="32"/>
          <w:lang w:eastAsia="zh-CN"/>
        </w:rPr>
        <w:t>，落实</w:t>
      </w:r>
      <w:r>
        <w:rPr>
          <w:rFonts w:hint="eastAsia" w:ascii="Times New Roman" w:hAnsi="Times New Roman"/>
          <w:szCs w:val="32"/>
          <w:lang w:eastAsia="zh-CN"/>
        </w:rPr>
        <w:t>“</w:t>
      </w:r>
      <w:r>
        <w:rPr>
          <w:rFonts w:ascii="Times New Roman" w:hAnsi="Times New Roman"/>
          <w:szCs w:val="32"/>
          <w:lang w:eastAsia="zh-CN"/>
        </w:rPr>
        <w:t>五同步</w:t>
      </w:r>
      <w:r>
        <w:rPr>
          <w:rFonts w:hint="eastAsia" w:ascii="Times New Roman" w:hAnsi="Times New Roman"/>
          <w:szCs w:val="32"/>
          <w:lang w:eastAsia="zh-CN"/>
        </w:rPr>
        <w:t>”</w:t>
      </w:r>
      <w:r>
        <w:rPr>
          <w:rFonts w:ascii="Times New Roman" w:hAnsi="Times New Roman"/>
          <w:szCs w:val="32"/>
          <w:lang w:eastAsia="zh-CN"/>
        </w:rPr>
        <w:t>原则（同步规划、设计、施工、验收、交付），加强竣工验收（邀请</w:t>
      </w:r>
      <w:r>
        <w:rPr>
          <w:rFonts w:hint="eastAsia" w:ascii="Times New Roman" w:hAnsi="Times New Roman"/>
          <w:szCs w:val="32"/>
          <w:lang w:eastAsia="zh-CN"/>
        </w:rPr>
        <w:t>特殊群体</w:t>
      </w:r>
      <w:r>
        <w:rPr>
          <w:rFonts w:ascii="Times New Roman" w:hAnsi="Times New Roman"/>
          <w:szCs w:val="32"/>
          <w:lang w:eastAsia="zh-CN"/>
        </w:rPr>
        <w:t>代表参与）。通过全周期管理，确保无障碍设施从规划到交付的各个环节都符合标准要求，提升无障碍设施的质量和水平。</w:t>
      </w:r>
    </w:p>
    <w:p w14:paraId="3033A912">
      <w:pPr>
        <w:ind w:firstLine="643"/>
        <w:rPr>
          <w:rFonts w:ascii="Times New Roman" w:hAnsi="Times New Roman"/>
          <w:szCs w:val="32"/>
          <w:lang w:eastAsia="zh-CN"/>
        </w:rPr>
      </w:pPr>
      <w:r>
        <w:rPr>
          <w:rFonts w:ascii="Times New Roman" w:hAnsi="Times New Roman"/>
          <w:b/>
          <w:bCs/>
          <w:szCs w:val="32"/>
          <w:lang w:eastAsia="zh-CN"/>
        </w:rPr>
        <w:t>社会督导方面</w:t>
      </w:r>
      <w:r>
        <w:rPr>
          <w:rFonts w:ascii="Times New Roman" w:hAnsi="Times New Roman"/>
          <w:szCs w:val="32"/>
          <w:lang w:eastAsia="zh-CN"/>
        </w:rPr>
        <w:t>，组建无障碍督导队（含残疾人代表、专家）定期检查设施状况。督导队将定期对全市无障碍设施进行检查评估，发现问题及时反馈，督促整改，提高无障碍设施的完好率和使用率。</w:t>
      </w:r>
    </w:p>
    <w:p w14:paraId="0E61A36A">
      <w:pPr>
        <w:ind w:firstLine="643"/>
        <w:rPr>
          <w:rFonts w:ascii="Times New Roman" w:hAnsi="Times New Roman"/>
          <w:szCs w:val="32"/>
          <w:lang w:eastAsia="zh-CN"/>
        </w:rPr>
      </w:pPr>
      <w:r>
        <w:rPr>
          <w:rFonts w:ascii="Times New Roman" w:hAnsi="Times New Roman"/>
          <w:b/>
          <w:bCs/>
          <w:szCs w:val="32"/>
          <w:lang w:eastAsia="zh-CN"/>
        </w:rPr>
        <w:t>考核机制方面</w:t>
      </w:r>
      <w:r>
        <w:rPr>
          <w:rFonts w:ascii="Times New Roman" w:hAnsi="Times New Roman"/>
          <w:szCs w:val="32"/>
          <w:lang w:eastAsia="zh-CN"/>
        </w:rPr>
        <w:t>，将无障碍建设纳入各部门</w:t>
      </w:r>
      <w:r>
        <w:rPr>
          <w:rFonts w:hint="eastAsia" w:ascii="Times New Roman" w:hAnsi="Times New Roman"/>
          <w:szCs w:val="32"/>
          <w:lang w:eastAsia="zh-CN"/>
        </w:rPr>
        <w:t>、各镇街</w:t>
      </w:r>
      <w:r>
        <w:rPr>
          <w:rFonts w:ascii="Times New Roman" w:hAnsi="Times New Roman"/>
          <w:szCs w:val="32"/>
          <w:lang w:eastAsia="zh-CN"/>
        </w:rPr>
        <w:t>绩效考核。通过绩效考核，强化各部门</w:t>
      </w:r>
      <w:r>
        <w:rPr>
          <w:rFonts w:hint="eastAsia" w:ascii="Times New Roman" w:hAnsi="Times New Roman"/>
          <w:szCs w:val="32"/>
          <w:lang w:eastAsia="zh-CN"/>
        </w:rPr>
        <w:t>、各镇街</w:t>
      </w:r>
      <w:r>
        <w:rPr>
          <w:rFonts w:ascii="Times New Roman" w:hAnsi="Times New Roman"/>
          <w:szCs w:val="32"/>
          <w:lang w:eastAsia="zh-CN"/>
        </w:rPr>
        <w:t>的责任意识，推动无障碍建设工作的落实，确保规划目标的实现。</w:t>
      </w:r>
    </w:p>
    <w:p w14:paraId="0C00F2A3">
      <w:pPr>
        <w:ind w:firstLine="643"/>
        <w:rPr>
          <w:rFonts w:ascii="Times New Roman" w:hAnsi="Times New Roman"/>
          <w:szCs w:val="32"/>
          <w:lang w:eastAsia="zh-CN"/>
        </w:rPr>
      </w:pPr>
      <w:r>
        <w:rPr>
          <w:rFonts w:ascii="Times New Roman" w:hAnsi="Times New Roman"/>
          <w:b/>
          <w:bCs/>
          <w:szCs w:val="32"/>
          <w:lang w:eastAsia="zh-CN"/>
        </w:rPr>
        <w:t>公众参与方面</w:t>
      </w:r>
      <w:r>
        <w:rPr>
          <w:rFonts w:ascii="Times New Roman" w:hAnsi="Times New Roman"/>
          <w:szCs w:val="32"/>
          <w:lang w:eastAsia="zh-CN"/>
        </w:rPr>
        <w:t>，建立公众监督机制，鼓励公众参与无障碍设施监督。通过设立举报电话、网络平台等渠道，方便公众反映无障碍设施问题；定期组织公众参与无障碍设施评估，提高公众的参与度和满意度。</w:t>
      </w:r>
    </w:p>
    <w:p w14:paraId="6315496D">
      <w:pPr>
        <w:ind w:firstLine="643"/>
        <w:rPr>
          <w:rFonts w:ascii="Times New Roman" w:hAnsi="Times New Roman"/>
          <w:szCs w:val="32"/>
          <w:lang w:eastAsia="zh-CN"/>
        </w:rPr>
      </w:pPr>
      <w:r>
        <w:rPr>
          <w:rFonts w:ascii="Times New Roman" w:hAnsi="Times New Roman"/>
          <w:b/>
          <w:bCs/>
          <w:szCs w:val="32"/>
          <w:lang w:eastAsia="zh-CN"/>
        </w:rPr>
        <w:t>动态评估方面</w:t>
      </w:r>
      <w:r>
        <w:rPr>
          <w:rFonts w:ascii="Times New Roman" w:hAnsi="Times New Roman"/>
          <w:szCs w:val="32"/>
          <w:lang w:eastAsia="zh-CN"/>
        </w:rPr>
        <w:t>，建立无障碍城市建设动态评估机制，定期发布评估报告。通过动态评估，及时掌握无障碍城市建设的进展情况，发现问题，调整策略，确保规划目标的实现。</w:t>
      </w:r>
    </w:p>
    <w:p w14:paraId="5502099A">
      <w:pPr>
        <w:pStyle w:val="3"/>
        <w:spacing w:before="120"/>
        <w:ind w:firstLine="0" w:firstLineChars="0"/>
        <w:rPr>
          <w:rFonts w:hint="eastAsia" w:ascii="楷体_GB2312" w:hAnsi="楷体_GB2312" w:eastAsia="楷体_GB2312" w:cs="楷体_GB2312"/>
          <w:bCs/>
        </w:rPr>
      </w:pPr>
      <w:bookmarkStart w:id="108" w:name="_Toc5128"/>
      <w:bookmarkStart w:id="109" w:name="_Toc6528"/>
      <w:r>
        <w:rPr>
          <w:rFonts w:hint="eastAsia" w:ascii="楷体_GB2312" w:hAnsi="楷体_GB2312" w:eastAsia="楷体_GB2312" w:cs="楷体_GB2312"/>
          <w:bCs/>
          <w:lang w:val="en-US" w:eastAsia="zh-CN"/>
        </w:rPr>
        <w:t>5</w:t>
      </w:r>
      <w:r>
        <w:rPr>
          <w:rFonts w:hint="eastAsia" w:ascii="楷体_GB2312" w:hAnsi="楷体_GB2312" w:eastAsia="楷体_GB2312" w:cs="楷体_GB2312"/>
          <w:bCs/>
        </w:rPr>
        <w:t>.5产业扶持</w:t>
      </w:r>
      <w:bookmarkEnd w:id="108"/>
      <w:bookmarkEnd w:id="109"/>
    </w:p>
    <w:p w14:paraId="374DC030">
      <w:pPr>
        <w:ind w:firstLine="640"/>
        <w:rPr>
          <w:rFonts w:ascii="Times New Roman" w:hAnsi="Times New Roman"/>
          <w:szCs w:val="32"/>
          <w:lang w:eastAsia="zh-CN"/>
        </w:rPr>
      </w:pPr>
      <w:r>
        <w:rPr>
          <w:rFonts w:ascii="Times New Roman" w:hAnsi="Times New Roman"/>
          <w:szCs w:val="32"/>
          <w:lang w:eastAsia="zh-CN"/>
        </w:rPr>
        <w:t>建立健全产业扶持机制，支持无障碍产品研发和产业化，推动无障碍产业与城市建设的良性互动。</w:t>
      </w:r>
    </w:p>
    <w:p w14:paraId="4167B800">
      <w:pPr>
        <w:ind w:firstLine="643"/>
        <w:rPr>
          <w:rFonts w:ascii="Times New Roman" w:hAnsi="Times New Roman"/>
          <w:szCs w:val="32"/>
          <w:lang w:eastAsia="zh-CN"/>
        </w:rPr>
      </w:pPr>
      <w:r>
        <w:rPr>
          <w:rFonts w:ascii="Times New Roman" w:hAnsi="Times New Roman"/>
          <w:b/>
          <w:bCs/>
          <w:szCs w:val="32"/>
          <w:lang w:eastAsia="zh-CN"/>
        </w:rPr>
        <w:t>研发补贴方面</w:t>
      </w:r>
      <w:r>
        <w:rPr>
          <w:rFonts w:ascii="Times New Roman" w:hAnsi="Times New Roman"/>
          <w:szCs w:val="32"/>
          <w:lang w:eastAsia="zh-CN"/>
        </w:rPr>
        <w:t>，对中山企业研发无障碍产品（如适老化家电、智能辅具）给予</w:t>
      </w:r>
      <w:r>
        <w:rPr>
          <w:rFonts w:hint="eastAsia" w:ascii="Times New Roman" w:hAnsi="Times New Roman"/>
          <w:szCs w:val="32"/>
          <w:lang w:eastAsia="zh-CN"/>
        </w:rPr>
        <w:t>一定</w:t>
      </w:r>
      <w:r>
        <w:rPr>
          <w:rFonts w:ascii="Times New Roman" w:hAnsi="Times New Roman"/>
          <w:szCs w:val="32"/>
          <w:lang w:eastAsia="zh-CN"/>
        </w:rPr>
        <w:t>的研发补贴。通过研发补贴，鼓励企业加大无障碍产品研发投入，提升无障碍产品的技术含量和市场竞争力。</w:t>
      </w:r>
    </w:p>
    <w:p w14:paraId="7F2C3372">
      <w:pPr>
        <w:ind w:firstLine="643"/>
        <w:rPr>
          <w:rFonts w:ascii="Times New Roman" w:hAnsi="Times New Roman"/>
          <w:szCs w:val="32"/>
          <w:lang w:eastAsia="zh-CN"/>
        </w:rPr>
      </w:pPr>
      <w:r>
        <w:rPr>
          <w:rFonts w:ascii="Times New Roman" w:hAnsi="Times New Roman"/>
          <w:b/>
          <w:bCs/>
          <w:szCs w:val="32"/>
          <w:lang w:eastAsia="zh-CN"/>
        </w:rPr>
        <w:t>产业展示方面</w:t>
      </w:r>
      <w:r>
        <w:rPr>
          <w:rFonts w:ascii="Times New Roman" w:hAnsi="Times New Roman"/>
          <w:szCs w:val="32"/>
          <w:lang w:eastAsia="zh-CN"/>
        </w:rPr>
        <w:t>，</w:t>
      </w:r>
      <w:r>
        <w:rPr>
          <w:rFonts w:hint="eastAsia" w:ascii="Times New Roman" w:hAnsi="Times New Roman"/>
          <w:szCs w:val="32"/>
          <w:lang w:eastAsia="zh-CN"/>
        </w:rPr>
        <w:t>定期</w:t>
      </w:r>
      <w:r>
        <w:rPr>
          <w:rFonts w:ascii="Times New Roman" w:hAnsi="Times New Roman"/>
          <w:szCs w:val="32"/>
          <w:lang w:eastAsia="zh-CN"/>
        </w:rPr>
        <w:t>举办</w:t>
      </w:r>
      <w:r>
        <w:rPr>
          <w:rFonts w:hint="eastAsia" w:ascii="Times New Roman" w:hAnsi="Times New Roman"/>
          <w:szCs w:val="32"/>
          <w:lang w:eastAsia="zh-CN"/>
        </w:rPr>
        <w:t>“</w:t>
      </w:r>
      <w:r>
        <w:rPr>
          <w:rFonts w:ascii="Times New Roman" w:hAnsi="Times New Roman"/>
          <w:szCs w:val="32"/>
          <w:lang w:eastAsia="zh-CN"/>
        </w:rPr>
        <w:t>中山无障碍产业博览会</w:t>
      </w:r>
      <w:r>
        <w:rPr>
          <w:rFonts w:hint="eastAsia" w:ascii="Times New Roman" w:hAnsi="Times New Roman"/>
          <w:szCs w:val="32"/>
          <w:lang w:eastAsia="zh-CN"/>
        </w:rPr>
        <w:t>”</w:t>
      </w:r>
      <w:r>
        <w:rPr>
          <w:rFonts w:ascii="Times New Roman" w:hAnsi="Times New Roman"/>
          <w:szCs w:val="32"/>
          <w:lang w:eastAsia="zh-CN"/>
        </w:rPr>
        <w:t>，推广本地特色无障碍产品。通过博览会，搭建无障碍产品展示和交流平台，促进无障碍产品的推广和应用，提升中山无障碍产业的知名度和影响力。</w:t>
      </w:r>
    </w:p>
    <w:p w14:paraId="3F6F81C1">
      <w:pPr>
        <w:ind w:firstLine="643"/>
        <w:rPr>
          <w:rFonts w:ascii="Times New Roman" w:hAnsi="Times New Roman"/>
          <w:szCs w:val="32"/>
          <w:lang w:eastAsia="zh-CN"/>
        </w:rPr>
      </w:pPr>
      <w:r>
        <w:rPr>
          <w:rFonts w:ascii="Times New Roman" w:hAnsi="Times New Roman"/>
          <w:b/>
          <w:bCs/>
          <w:szCs w:val="32"/>
          <w:lang w:eastAsia="zh-CN"/>
        </w:rPr>
        <w:t>园区建设方面</w:t>
      </w:r>
      <w:r>
        <w:rPr>
          <w:rFonts w:ascii="Times New Roman" w:hAnsi="Times New Roman"/>
          <w:szCs w:val="32"/>
          <w:lang w:eastAsia="zh-CN"/>
        </w:rPr>
        <w:t>，</w:t>
      </w:r>
      <w:r>
        <w:rPr>
          <w:rFonts w:hint="eastAsia" w:ascii="Times New Roman" w:hAnsi="Times New Roman"/>
          <w:szCs w:val="32"/>
          <w:lang w:eastAsia="zh-CN"/>
        </w:rPr>
        <w:t>规划</w:t>
      </w:r>
      <w:r>
        <w:rPr>
          <w:rFonts w:ascii="Times New Roman" w:hAnsi="Times New Roman"/>
          <w:szCs w:val="32"/>
          <w:lang w:eastAsia="zh-CN"/>
        </w:rPr>
        <w:t>打造</w:t>
      </w:r>
      <w:r>
        <w:rPr>
          <w:rFonts w:hint="eastAsia" w:ascii="Times New Roman" w:hAnsi="Times New Roman"/>
          <w:szCs w:val="32"/>
          <w:lang w:eastAsia="zh-CN"/>
        </w:rPr>
        <w:t>“</w:t>
      </w:r>
      <w:r>
        <w:rPr>
          <w:rFonts w:ascii="Times New Roman" w:hAnsi="Times New Roman"/>
          <w:szCs w:val="32"/>
          <w:lang w:eastAsia="zh-CN"/>
        </w:rPr>
        <w:t>无障碍产业示范园</w:t>
      </w:r>
      <w:r>
        <w:rPr>
          <w:rFonts w:hint="eastAsia" w:ascii="Times New Roman" w:hAnsi="Times New Roman"/>
          <w:szCs w:val="32"/>
          <w:lang w:eastAsia="zh-CN"/>
        </w:rPr>
        <w:t>”</w:t>
      </w:r>
      <w:r>
        <w:rPr>
          <w:rFonts w:ascii="Times New Roman" w:hAnsi="Times New Roman"/>
          <w:szCs w:val="32"/>
          <w:lang w:eastAsia="zh-CN"/>
        </w:rPr>
        <w:t>，吸引相关企业入驻。通过示范园建设，形成无障碍产业集聚效应，促进无障碍产业的规模化、集约化发展，提升无障碍产业的整体竞争力。</w:t>
      </w:r>
    </w:p>
    <w:p w14:paraId="0E64F702">
      <w:pPr>
        <w:ind w:firstLine="643"/>
        <w:rPr>
          <w:rFonts w:ascii="Times New Roman" w:hAnsi="Times New Roman"/>
          <w:szCs w:val="32"/>
          <w:lang w:eastAsia="zh-CN"/>
        </w:rPr>
      </w:pPr>
      <w:r>
        <w:rPr>
          <w:rFonts w:ascii="Times New Roman" w:hAnsi="Times New Roman"/>
          <w:b/>
          <w:bCs/>
          <w:szCs w:val="32"/>
          <w:lang w:eastAsia="zh-CN"/>
        </w:rPr>
        <w:t>市场拓展方面</w:t>
      </w:r>
      <w:r>
        <w:rPr>
          <w:rFonts w:ascii="Times New Roman" w:hAnsi="Times New Roman"/>
          <w:szCs w:val="32"/>
          <w:lang w:eastAsia="zh-CN"/>
        </w:rPr>
        <w:t>，支持无障碍产品进入政府采购目录，优先采购本地无障碍产品。通过政府采购支持，扩大无障碍产品的市场需求，促进无障碍产业的健康发展。</w:t>
      </w:r>
    </w:p>
    <w:p w14:paraId="3207862D">
      <w:pPr>
        <w:ind w:firstLine="643"/>
        <w:rPr>
          <w:rFonts w:ascii="Times New Roman" w:hAnsi="Times New Roman"/>
          <w:szCs w:val="32"/>
          <w:lang w:eastAsia="zh-CN"/>
        </w:rPr>
      </w:pPr>
      <w:r>
        <w:rPr>
          <w:rFonts w:ascii="Times New Roman" w:hAnsi="Times New Roman"/>
          <w:b/>
          <w:bCs/>
          <w:szCs w:val="32"/>
          <w:lang w:eastAsia="zh-CN"/>
        </w:rPr>
        <w:t>人才培养方面</w:t>
      </w:r>
      <w:r>
        <w:rPr>
          <w:rFonts w:ascii="Times New Roman" w:hAnsi="Times New Roman"/>
          <w:szCs w:val="32"/>
          <w:lang w:eastAsia="zh-CN"/>
        </w:rPr>
        <w:t>，支持高校、职业院校开设无障碍相关专业，培养无障碍产业专业人才。通过人才培养，为无障碍产业发展提供人才支撑，提升无障碍产业的创新能力和可持续发展能力。</w:t>
      </w:r>
    </w:p>
    <w:p w14:paraId="3E458B21">
      <w:pPr>
        <w:ind w:firstLine="640"/>
        <w:rPr>
          <w:rFonts w:ascii="Times New Roman" w:hAnsi="Times New Roman"/>
          <w:szCs w:val="32"/>
          <w:lang w:eastAsia="zh-CN"/>
        </w:rPr>
      </w:pPr>
      <w:r>
        <w:rPr>
          <w:rFonts w:ascii="Times New Roman" w:hAnsi="Times New Roman"/>
          <w:szCs w:val="32"/>
          <w:lang w:eastAsia="zh-CN"/>
        </w:rPr>
        <w:t>产业扶持政策将重点支持灯饰、五金等中山优势产业的无障碍产品研发和生产，促进无障碍产业与特色产业的融合发展，形成具有中山特色的无障碍产业体系。</w:t>
      </w:r>
    </w:p>
    <w:p w14:paraId="623E937C">
      <w:pPr>
        <w:pStyle w:val="33"/>
        <w:rPr>
          <w:rFonts w:hint="eastAsia" w:ascii="Times New Roman" w:hAnsi="Times New Roman"/>
          <w:lang w:eastAsia="zh-CN"/>
        </w:rPr>
      </w:pPr>
    </w:p>
    <w:sectPr>
      <w:footerReference r:id="rId12" w:type="default"/>
      <w:pgSz w:w="12240" w:h="15840"/>
      <w:pgMar w:top="1440" w:right="1800" w:bottom="1440" w:left="180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F3561D-E6AD-49B4-A755-93784CAE923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13C1F8D-0A97-4B47-9136-4DD60CE2B7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D2048460-8839-487A-A8D4-BF0A754901B5}"/>
  </w:font>
  <w:font w:name="仿宋_GB2312">
    <w:panose1 w:val="02010609030101010101"/>
    <w:charset w:val="86"/>
    <w:family w:val="auto"/>
    <w:pitch w:val="default"/>
    <w:sig w:usb0="00000001" w:usb1="080E0000" w:usb2="00000000" w:usb3="00000000" w:csb0="00040000" w:csb1="00000000"/>
    <w:embedRegular r:id="rId4" w:fontKey="{6D3C3F98-1AB3-4C5D-B22A-7B9CFEA6D922}"/>
  </w:font>
  <w:font w:name="方正小标宋简体">
    <w:panose1 w:val="02000000000000000000"/>
    <w:charset w:val="86"/>
    <w:family w:val="auto"/>
    <w:pitch w:val="default"/>
    <w:sig w:usb0="00000001" w:usb1="080E0000" w:usb2="00000000" w:usb3="00000000" w:csb0="00040000" w:csb1="00000000"/>
    <w:embedRegular r:id="rId5" w:fontKey="{85C336F3-AD98-4A4D-B51C-47830CA06E08}"/>
  </w:font>
  <w:font w:name="Cambria">
    <w:panose1 w:val="02040503050406030204"/>
    <w:charset w:val="00"/>
    <w:family w:val="roman"/>
    <w:pitch w:val="default"/>
    <w:sig w:usb0="E00006FF" w:usb1="420024FF" w:usb2="02000000" w:usb3="00000000" w:csb0="2000019F" w:csb1="00000000"/>
  </w:font>
  <w:font w:name="Copperplate">
    <w:altName w:val="Yu Gothic UI"/>
    <w:panose1 w:val="02000504000000020004"/>
    <w:charset w:val="00"/>
    <w:family w:val="auto"/>
    <w:pitch w:val="default"/>
    <w:sig w:usb0="00000000" w:usb1="00000000" w:usb2="00000000" w:usb3="00000000" w:csb0="20000111" w:csb1="40000000"/>
  </w:font>
  <w:font w:name="Abyssinica SIL">
    <w:altName w:val="Trebuchet MS"/>
    <w:panose1 w:val="02000603020000020004"/>
    <w:charset w:val="00"/>
    <w:family w:val="auto"/>
    <w:pitch w:val="default"/>
    <w:sig w:usb0="00000000" w:usb1="00000000" w:usb2="00000828" w:usb3="00000000" w:csb0="20000001" w:csb1="00000000"/>
  </w:font>
  <w:font w:name="楷体_GB2312">
    <w:panose1 w:val="02010609030101010101"/>
    <w:charset w:val="86"/>
    <w:family w:val="auto"/>
    <w:pitch w:val="default"/>
    <w:sig w:usb0="00000001" w:usb1="080E0000" w:usb2="00000000" w:usb3="00000000" w:csb0="00040000" w:csb1="00000000"/>
    <w:embedRegular r:id="rId6" w:fontKey="{F0F206ED-0B96-4083-9DA2-188BB308EE90}"/>
  </w:font>
  <w:font w:name="Yu Gothic UI">
    <w:panose1 w:val="020B0500000000000000"/>
    <w:charset w:val="80"/>
    <w:family w:val="auto"/>
    <w:pitch w:val="default"/>
    <w:sig w:usb0="E00002FF" w:usb1="2AC7FDFF" w:usb2="00000016" w:usb3="00000000" w:csb0="2002009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FAF1">
    <w:pPr>
      <w:pStyle w:val="3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A726">
    <w:pPr>
      <w:pStyle w:val="3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D458">
    <w:pPr>
      <w:pStyle w:val="3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7E6D">
    <w:pPr>
      <w:pStyle w:val="34"/>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1423">
    <w:pPr>
      <w:pStyle w:val="34"/>
      <w:ind w:firstLine="0" w:firstLineChars="0"/>
    </w:pPr>
    <w:r>
      <w:pict>
        <v:shape id="文本框 3"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6C1C343C">
                <w:pPr>
                  <w:pStyle w:val="34"/>
                  <w:ind w:firstLine="0" w:firstLineChars="0"/>
                  <w:jc w:val="center"/>
                  <w:rPr>
                    <w:rFonts w:hint="eastAsia" w:ascii="Times New Roman" w:hAnsi="Times New Roman"/>
                    <w:sz w:val="32"/>
                    <w:szCs w:val="32"/>
                    <w:lang w:eastAsia="zh-CN"/>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Fonts w:hint="eastAsia" w:ascii="Times New Roman" w:hAnsi="Times New Roman"/>
                    <w:sz w:val="32"/>
                    <w:szCs w:val="32"/>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240" w:lineRule="auto"/>
        <w:ind w:firstLine="640"/>
      </w:pPr>
      <w:r>
        <w:separator/>
      </w:r>
    </w:p>
  </w:footnote>
  <w:footnote w:type="continuationSeparator" w:id="9">
    <w:p>
      <w:pPr>
        <w:spacing w:line="240" w:lineRule="auto"/>
        <w:ind w:firstLine="640"/>
      </w:pPr>
      <w:r>
        <w:continuationSeparator/>
      </w:r>
    </w:p>
  </w:footnote>
  <w:footnote w:id="0">
    <w:p w14:paraId="44DA0CB3">
      <w:pPr>
        <w:snapToGrid w:val="0"/>
        <w:spacing w:line="240" w:lineRule="auto"/>
        <w:ind w:firstLine="640"/>
        <w:rPr>
          <w:rFonts w:hint="eastAsia" w:ascii="仿宋_GB2312" w:hAnsi="仿宋_GB2312" w:cs="仿宋_GB2312"/>
          <w:sz w:val="28"/>
          <w:szCs w:val="22"/>
          <w:lang w:eastAsia="zh-CN"/>
        </w:rPr>
      </w:pPr>
      <w:r>
        <w:rPr>
          <w:rFonts w:hint="eastAsia" w:ascii="仿宋_GB2312" w:hAnsi="仿宋_GB2312" w:cs="仿宋_GB2312"/>
          <w:vertAlign w:val="superscript"/>
        </w:rPr>
        <w:footnoteRef/>
      </w:r>
      <w:r>
        <w:rPr>
          <w:rFonts w:hint="eastAsia" w:ascii="仿宋_GB2312" w:hAnsi="仿宋_GB2312" w:cs="仿宋_GB2312"/>
          <w:lang w:eastAsia="zh-CN"/>
        </w:rPr>
        <w:t xml:space="preserve"> </w:t>
      </w:r>
      <w:r>
        <w:rPr>
          <w:rFonts w:hint="eastAsia" w:ascii="仿宋_GB2312" w:hAnsi="仿宋_GB2312" w:cs="仿宋_GB2312"/>
          <w:lang w:val="en-US" w:eastAsia="zh-CN"/>
        </w:rPr>
        <w:t>本规划文本所指“公共设施”不含交通类设施</w:t>
      </w:r>
      <w:r>
        <w:rPr>
          <w:rFonts w:hint="eastAsia" w:ascii="仿宋_GB2312" w:hAnsi="仿宋_GB2312" w:cs="仿宋_GB2312"/>
          <w:sz w:val="28"/>
          <w:szCs w:val="22"/>
          <w:lang w:eastAsia="zh-CN"/>
        </w:rPr>
        <w:t>。</w:t>
      </w:r>
    </w:p>
  </w:footnote>
  <w:footnote w:id="1">
    <w:p w14:paraId="7D9CB8AF">
      <w:pPr>
        <w:snapToGrid w:val="0"/>
        <w:spacing w:line="240" w:lineRule="auto"/>
        <w:ind w:firstLine="640"/>
        <w:rPr>
          <w:rFonts w:hint="eastAsia" w:ascii="仿宋_GB2312" w:hAnsi="仿宋_GB2312" w:cs="仿宋_GB2312"/>
          <w:sz w:val="28"/>
          <w:szCs w:val="22"/>
          <w:lang w:eastAsia="zh-CN"/>
        </w:rPr>
      </w:pPr>
      <w:r>
        <w:rPr>
          <w:rFonts w:hint="eastAsia" w:ascii="仿宋_GB2312" w:hAnsi="仿宋_GB2312" w:cs="仿宋_GB2312"/>
          <w:vertAlign w:val="superscript"/>
        </w:rPr>
        <w:footnoteRef/>
      </w:r>
      <w:r>
        <w:rPr>
          <w:rFonts w:hint="eastAsia" w:ascii="仿宋_GB2312" w:hAnsi="仿宋_GB2312" w:cs="仿宋_GB2312"/>
          <w:lang w:eastAsia="zh-CN"/>
        </w:rPr>
        <w:t xml:space="preserve"> </w:t>
      </w:r>
      <w:r>
        <w:rPr>
          <w:rFonts w:hint="eastAsia" w:ascii="仿宋_GB2312" w:hAnsi="仿宋_GB2312" w:cs="仿宋_GB2312"/>
          <w:sz w:val="28"/>
          <w:szCs w:val="22"/>
          <w:lang w:eastAsia="zh-CN"/>
        </w:rPr>
        <w:t>实施公交化运营的南中城际（中山段）预计</w:t>
      </w:r>
      <w:r>
        <w:rPr>
          <w:rFonts w:hint="eastAsia" w:ascii="仿宋_GB2312" w:hAnsi="仿宋_GB2312" w:cs="仿宋_GB2312"/>
          <w:sz w:val="28"/>
          <w:szCs w:val="22"/>
          <w:lang w:val="en-US" w:eastAsia="zh-CN"/>
        </w:rPr>
        <w:t>将</w:t>
      </w:r>
      <w:r>
        <w:rPr>
          <w:rFonts w:hint="eastAsia" w:ascii="仿宋_GB2312" w:hAnsi="仿宋_GB2312" w:cs="仿宋_GB2312"/>
          <w:sz w:val="28"/>
          <w:szCs w:val="22"/>
          <w:lang w:eastAsia="zh-CN"/>
        </w:rPr>
        <w:t>在本规划年限内（2027年）通车。</w:t>
      </w:r>
    </w:p>
  </w:footnote>
  <w:footnote w:id="2">
    <w:p w14:paraId="16212D27">
      <w:pPr>
        <w:snapToGrid w:val="0"/>
        <w:spacing w:line="240" w:lineRule="auto"/>
        <w:ind w:firstLine="640"/>
        <w:rPr>
          <w:rFonts w:hint="eastAsia" w:ascii="仿宋_GB2312" w:hAnsi="仿宋_GB2312" w:cs="仿宋_GB2312"/>
          <w:sz w:val="28"/>
          <w:szCs w:val="22"/>
          <w:lang w:eastAsia="zh-CN"/>
        </w:rPr>
      </w:pPr>
      <w:r>
        <w:rPr>
          <w:rFonts w:hint="eastAsia" w:ascii="仿宋_GB2312" w:hAnsi="仿宋_GB2312" w:cs="仿宋_GB2312"/>
          <w:vertAlign w:val="superscript"/>
        </w:rPr>
        <w:footnoteRef/>
      </w:r>
      <w:r>
        <w:rPr>
          <w:rFonts w:hint="eastAsia" w:ascii="仿宋_GB2312" w:hAnsi="仿宋_GB2312" w:cs="仿宋_GB2312"/>
          <w:lang w:eastAsia="zh-CN"/>
        </w:rPr>
        <w:t xml:space="preserve"> </w:t>
      </w:r>
      <w:r>
        <w:rPr>
          <w:rFonts w:hint="eastAsia" w:ascii="仿宋_GB2312" w:hAnsi="仿宋_GB2312" w:cs="仿宋_GB2312"/>
          <w:sz w:val="28"/>
          <w:szCs w:val="22"/>
          <w:lang w:val="en-US" w:eastAsia="zh-CN"/>
        </w:rPr>
        <w:t>快速公交系统</w:t>
      </w:r>
      <w:r>
        <w:rPr>
          <w:rFonts w:hint="eastAsia" w:ascii="仿宋_GB2312" w:hAnsi="仿宋_GB2312" w:cs="仿宋_GB2312"/>
          <w:sz w:val="28"/>
          <w:szCs w:val="22"/>
          <w:lang w:eastAsia="zh-CN"/>
        </w:rPr>
        <w:t>。</w:t>
      </w:r>
    </w:p>
  </w:footnote>
  <w:footnote w:id="3">
    <w:p w14:paraId="35E183B1">
      <w:pPr>
        <w:snapToGrid w:val="0"/>
        <w:spacing w:line="240" w:lineRule="auto"/>
        <w:ind w:firstLine="640"/>
        <w:rPr>
          <w:rFonts w:eastAsia="微软雅黑"/>
          <w:lang w:eastAsia="zh-CN"/>
        </w:rPr>
      </w:pPr>
      <w:r>
        <w:rPr>
          <w:rFonts w:hint="eastAsia" w:ascii="仿宋_GB2312" w:hAnsi="仿宋_GB2312" w:cs="仿宋_GB2312"/>
          <w:vertAlign w:val="superscript"/>
        </w:rPr>
        <w:footnoteRef/>
      </w:r>
      <w:r>
        <w:rPr>
          <w:rFonts w:hint="eastAsia" w:ascii="仿宋_GB2312" w:hAnsi="仿宋_GB2312" w:cs="仿宋_GB2312"/>
          <w:vertAlign w:val="superscript"/>
          <w:lang w:eastAsia="zh-CN"/>
        </w:rPr>
        <w:t xml:space="preserve"> </w:t>
      </w:r>
      <w:r>
        <w:rPr>
          <w:rFonts w:hint="eastAsia" w:ascii="仿宋_GB2312" w:hAnsi="仿宋_GB2312" w:cs="仿宋_GB2312"/>
          <w:lang w:eastAsia="zh-CN"/>
        </w:rPr>
        <w:t xml:space="preserve"> </w:t>
      </w:r>
      <w:r>
        <w:rPr>
          <w:rFonts w:hint="eastAsia" w:ascii="仿宋_GB2312" w:hAnsi="仿宋_GB2312" w:cs="仿宋_GB2312"/>
          <w:sz w:val="28"/>
          <w:szCs w:val="22"/>
          <w:lang w:eastAsia="zh-CN"/>
        </w:rPr>
        <w:t>轨道站包括城际轨道交通站点和城市轨道交通站点。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D429">
    <w:pPr>
      <w:pStyle w:val="3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07B4">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F0AF">
    <w:pPr>
      <w:pStyle w:val="3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10B2A"/>
    <w:multiLevelType w:val="singleLevel"/>
    <w:tmpl w:val="8D410B2A"/>
    <w:lvl w:ilvl="0" w:tentative="0">
      <w:start w:val="1"/>
      <w:numFmt w:val="decimal"/>
      <w:suff w:val="nothing"/>
      <w:lvlText w:val="%1."/>
      <w:lvlJc w:val="left"/>
      <w:pPr>
        <w:ind w:left="0" w:firstLine="0"/>
      </w:pPr>
      <w:rPr>
        <w:rFonts w:hint="default"/>
      </w:rPr>
    </w:lvl>
  </w:abstractNum>
  <w:abstractNum w:abstractNumId="1">
    <w:nsid w:val="A7E456F9"/>
    <w:multiLevelType w:val="singleLevel"/>
    <w:tmpl w:val="A7E456F9"/>
    <w:lvl w:ilvl="0" w:tentative="0">
      <w:start w:val="1"/>
      <w:numFmt w:val="decimal"/>
      <w:pStyle w:val="39"/>
      <w:lvlText w:val="%1."/>
      <w:lvlJc w:val="left"/>
      <w:pPr>
        <w:tabs>
          <w:tab w:val="left" w:pos="2040"/>
        </w:tabs>
        <w:ind w:left="2040" w:hanging="360"/>
      </w:pPr>
    </w:lvl>
  </w:abstractNum>
  <w:abstractNum w:abstractNumId="2">
    <w:nsid w:val="B1B9B92F"/>
    <w:multiLevelType w:val="singleLevel"/>
    <w:tmpl w:val="B1B9B92F"/>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B7BA28C9"/>
    <w:multiLevelType w:val="singleLevel"/>
    <w:tmpl w:val="B7BA28C9"/>
    <w:lvl w:ilvl="0" w:tentative="0">
      <w:start w:val="1"/>
      <w:numFmt w:val="decimal"/>
      <w:pStyle w:val="30"/>
      <w:lvlText w:val="%1."/>
      <w:lvlJc w:val="left"/>
      <w:pPr>
        <w:tabs>
          <w:tab w:val="left" w:pos="1620"/>
        </w:tabs>
        <w:ind w:left="1620" w:hanging="360"/>
      </w:pPr>
    </w:lvl>
  </w:abstractNum>
  <w:abstractNum w:abstractNumId="4">
    <w:nsid w:val="F47960A0"/>
    <w:multiLevelType w:val="singleLevel"/>
    <w:tmpl w:val="F47960A0"/>
    <w:lvl w:ilvl="0" w:tentative="0">
      <w:start w:val="1"/>
      <w:numFmt w:val="decimal"/>
      <w:pStyle w:val="23"/>
      <w:lvlText w:val="%1."/>
      <w:lvlJc w:val="left"/>
      <w:pPr>
        <w:tabs>
          <w:tab w:val="left" w:pos="1200"/>
        </w:tabs>
        <w:ind w:left="1200" w:hanging="360"/>
      </w:pPr>
    </w:lvl>
  </w:abstractNum>
  <w:abstractNum w:abstractNumId="5">
    <w:nsid w:val="FEB58EF3"/>
    <w:multiLevelType w:val="singleLevel"/>
    <w:tmpl w:val="FEB58EF3"/>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6">
    <w:nsid w:val="FF9BA098"/>
    <w:multiLevelType w:val="singleLevel"/>
    <w:tmpl w:val="FF9BA098"/>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7">
    <w:nsid w:val="FFA86893"/>
    <w:multiLevelType w:val="singleLevel"/>
    <w:tmpl w:val="FFA86893"/>
    <w:lvl w:ilvl="0" w:tentative="0">
      <w:start w:val="1"/>
      <w:numFmt w:val="bullet"/>
      <w:pStyle w:val="29"/>
      <w:lvlText w:val=""/>
      <w:lvlJc w:val="left"/>
      <w:pPr>
        <w:tabs>
          <w:tab w:val="left" w:pos="2040"/>
        </w:tabs>
        <w:ind w:left="2040" w:hanging="360"/>
      </w:pPr>
      <w:rPr>
        <w:rFonts w:hint="default" w:ascii="Wingdings" w:hAnsi="Wingdings"/>
      </w:rPr>
    </w:lvl>
  </w:abstractNum>
  <w:abstractNum w:abstractNumId="8">
    <w:nsid w:val="052FBF93"/>
    <w:multiLevelType w:val="singleLevel"/>
    <w:tmpl w:val="052FBF93"/>
    <w:lvl w:ilvl="0" w:tentative="0">
      <w:start w:val="1"/>
      <w:numFmt w:val="decimal"/>
      <w:pStyle w:val="16"/>
      <w:lvlText w:val="%1."/>
      <w:lvlJc w:val="left"/>
      <w:pPr>
        <w:tabs>
          <w:tab w:val="left" w:pos="360"/>
        </w:tabs>
        <w:ind w:left="360" w:hanging="360"/>
      </w:pPr>
    </w:lvl>
  </w:abstractNum>
  <w:abstractNum w:abstractNumId="9">
    <w:nsid w:val="1FFE05E1"/>
    <w:multiLevelType w:val="singleLevel"/>
    <w:tmpl w:val="1FFE05E1"/>
    <w:lvl w:ilvl="0" w:tentative="0">
      <w:start w:val="1"/>
      <w:numFmt w:val="bullet"/>
      <w:pStyle w:val="25"/>
      <w:lvlText w:val=""/>
      <w:lvlJc w:val="left"/>
      <w:pPr>
        <w:ind w:left="420" w:hanging="420"/>
      </w:pPr>
      <w:rPr>
        <w:rFonts w:hint="default" w:ascii="Wingdings" w:hAnsi="Wingdings"/>
      </w:rPr>
    </w:lvl>
  </w:abstractNum>
  <w:abstractNum w:abstractNumId="10">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6"/>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1">
    <w:nsid w:val="6FFE7285"/>
    <w:multiLevelType w:val="singleLevel"/>
    <w:tmpl w:val="6FFE7285"/>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2">
    <w:nsid w:val="7EFB0518"/>
    <w:multiLevelType w:val="singleLevel"/>
    <w:tmpl w:val="7EFB0518"/>
    <w:lvl w:ilvl="0" w:tentative="0">
      <w:start w:val="1"/>
      <w:numFmt w:val="decimal"/>
      <w:pStyle w:val="13"/>
      <w:lvlText w:val="%1."/>
      <w:lvlJc w:val="left"/>
      <w:pPr>
        <w:tabs>
          <w:tab w:val="left" w:pos="780"/>
        </w:tabs>
        <w:ind w:left="780" w:hanging="360"/>
      </w:pPr>
    </w:lvl>
  </w:abstractNum>
  <w:num w:numId="1">
    <w:abstractNumId w:val="10"/>
  </w:num>
  <w:num w:numId="2">
    <w:abstractNumId w:val="12"/>
  </w:num>
  <w:num w:numId="3">
    <w:abstractNumId w:val="2"/>
  </w:num>
  <w:num w:numId="4">
    <w:abstractNumId w:val="8"/>
  </w:num>
  <w:num w:numId="5">
    <w:abstractNumId w:val="5"/>
  </w:num>
  <w:num w:numId="6">
    <w:abstractNumId w:val="11"/>
  </w:num>
  <w:num w:numId="7">
    <w:abstractNumId w:val="4"/>
  </w:num>
  <w:num w:numId="8">
    <w:abstractNumId w:val="9"/>
  </w:num>
  <w:num w:numId="9">
    <w:abstractNumId w:val="6"/>
  </w:num>
  <w:num w:numId="10">
    <w:abstractNumId w:val="7"/>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hyphenationZone w:val="360"/>
  <w:drawingGridHorizontalSpacing w:val="360"/>
  <w:drawingGridVerticalSpacing w:val="360"/>
  <w:displayHorizontalDrawingGridEvery w:val="1"/>
  <w:displayVerticalDrawingGridEvery w:val="1"/>
  <w:noPunctuationKerning w:val="1"/>
  <w:characterSpacingControl w:val="doNotCompress"/>
  <w:hdrShapeDefaults>
    <o:shapelayout v:ext="edit">
      <o:idmap v:ext="edit" data="1"/>
    </o:shapelayout>
  </w:hdrShapeDefaults>
  <w:footnotePr>
    <w:footnote w:id="8"/>
    <w:footnote w:id="9"/>
  </w:footnotePr>
  <w:endnotePr>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gxM2RjOGM4NmFhZTkyOTlkMmE4MWQ0Zjg2YjZhY2IifQ=="/>
  </w:docVars>
  <w:rsids>
    <w:rsidRoot w:val="00273779"/>
    <w:rsid w:val="00273779"/>
    <w:rsid w:val="00493C19"/>
    <w:rsid w:val="0060029D"/>
    <w:rsid w:val="00654212"/>
    <w:rsid w:val="00853B65"/>
    <w:rsid w:val="00A058D0"/>
    <w:rsid w:val="00B73039"/>
    <w:rsid w:val="00BE212D"/>
    <w:rsid w:val="00D06161"/>
    <w:rsid w:val="013E2018"/>
    <w:rsid w:val="01503613"/>
    <w:rsid w:val="016C71F3"/>
    <w:rsid w:val="02201997"/>
    <w:rsid w:val="049A6B36"/>
    <w:rsid w:val="063D3F02"/>
    <w:rsid w:val="06530982"/>
    <w:rsid w:val="06B23F7F"/>
    <w:rsid w:val="078057A6"/>
    <w:rsid w:val="07C37441"/>
    <w:rsid w:val="07CA50D5"/>
    <w:rsid w:val="08101A9B"/>
    <w:rsid w:val="088A721D"/>
    <w:rsid w:val="08E35BA2"/>
    <w:rsid w:val="091217DC"/>
    <w:rsid w:val="09122E6E"/>
    <w:rsid w:val="09AD06B1"/>
    <w:rsid w:val="09BC05EC"/>
    <w:rsid w:val="0AE71698"/>
    <w:rsid w:val="0B016BFE"/>
    <w:rsid w:val="0B3909E0"/>
    <w:rsid w:val="0B9B2C44"/>
    <w:rsid w:val="0C000C64"/>
    <w:rsid w:val="0CF40AB8"/>
    <w:rsid w:val="0CFE2CC9"/>
    <w:rsid w:val="0DB25485"/>
    <w:rsid w:val="0E1F38BB"/>
    <w:rsid w:val="0E654555"/>
    <w:rsid w:val="0E925DBF"/>
    <w:rsid w:val="0EBF70A2"/>
    <w:rsid w:val="0F670FFA"/>
    <w:rsid w:val="0FA03886"/>
    <w:rsid w:val="0FA062BA"/>
    <w:rsid w:val="0FE732EF"/>
    <w:rsid w:val="0FF352E8"/>
    <w:rsid w:val="0FFC6B39"/>
    <w:rsid w:val="111B419D"/>
    <w:rsid w:val="113D42B9"/>
    <w:rsid w:val="119500A0"/>
    <w:rsid w:val="11DA32D7"/>
    <w:rsid w:val="12256F37"/>
    <w:rsid w:val="12F02B19"/>
    <w:rsid w:val="1319295F"/>
    <w:rsid w:val="13422C29"/>
    <w:rsid w:val="147541B9"/>
    <w:rsid w:val="147A1DAC"/>
    <w:rsid w:val="14F270EC"/>
    <w:rsid w:val="15200B35"/>
    <w:rsid w:val="15205ED3"/>
    <w:rsid w:val="156B3533"/>
    <w:rsid w:val="158D257A"/>
    <w:rsid w:val="176410EF"/>
    <w:rsid w:val="17872A04"/>
    <w:rsid w:val="17D71404"/>
    <w:rsid w:val="17E63834"/>
    <w:rsid w:val="18A902D0"/>
    <w:rsid w:val="19BC6CC5"/>
    <w:rsid w:val="19C07C84"/>
    <w:rsid w:val="1A442B9B"/>
    <w:rsid w:val="1A5F56EF"/>
    <w:rsid w:val="1A5F5C65"/>
    <w:rsid w:val="1B662AAD"/>
    <w:rsid w:val="1C1726B6"/>
    <w:rsid w:val="1D016AA2"/>
    <w:rsid w:val="1D2C47D6"/>
    <w:rsid w:val="1E6257AE"/>
    <w:rsid w:val="1E7F1B54"/>
    <w:rsid w:val="1E896318"/>
    <w:rsid w:val="1EE2244B"/>
    <w:rsid w:val="1F174D8F"/>
    <w:rsid w:val="1F286A0B"/>
    <w:rsid w:val="1F4965EB"/>
    <w:rsid w:val="1F51312D"/>
    <w:rsid w:val="1FFD0A09"/>
    <w:rsid w:val="20387439"/>
    <w:rsid w:val="20983709"/>
    <w:rsid w:val="20EE157B"/>
    <w:rsid w:val="21902632"/>
    <w:rsid w:val="21AA2560"/>
    <w:rsid w:val="22E826D5"/>
    <w:rsid w:val="233E161A"/>
    <w:rsid w:val="23661F8E"/>
    <w:rsid w:val="23B17175"/>
    <w:rsid w:val="23BF224F"/>
    <w:rsid w:val="24B34E7F"/>
    <w:rsid w:val="250826D0"/>
    <w:rsid w:val="259941BD"/>
    <w:rsid w:val="25A20B86"/>
    <w:rsid w:val="25BF65FB"/>
    <w:rsid w:val="25C83238"/>
    <w:rsid w:val="26245EBF"/>
    <w:rsid w:val="26CA0473"/>
    <w:rsid w:val="27C128C8"/>
    <w:rsid w:val="27DC0EF4"/>
    <w:rsid w:val="282E6D6F"/>
    <w:rsid w:val="284F0074"/>
    <w:rsid w:val="28E54BC4"/>
    <w:rsid w:val="29385A89"/>
    <w:rsid w:val="29BB5580"/>
    <w:rsid w:val="2A047EF2"/>
    <w:rsid w:val="2A4B359A"/>
    <w:rsid w:val="2B127F01"/>
    <w:rsid w:val="2B924E09"/>
    <w:rsid w:val="2BE61D13"/>
    <w:rsid w:val="2C66290D"/>
    <w:rsid w:val="2CE307C7"/>
    <w:rsid w:val="2CF972DD"/>
    <w:rsid w:val="2D144984"/>
    <w:rsid w:val="2D7846A8"/>
    <w:rsid w:val="2E460579"/>
    <w:rsid w:val="2E7E3F56"/>
    <w:rsid w:val="2E8F766D"/>
    <w:rsid w:val="2EBF49BF"/>
    <w:rsid w:val="2F436F36"/>
    <w:rsid w:val="2FDA2B8D"/>
    <w:rsid w:val="2FFC00DB"/>
    <w:rsid w:val="305D1B42"/>
    <w:rsid w:val="310A3922"/>
    <w:rsid w:val="31994BEB"/>
    <w:rsid w:val="31E5776A"/>
    <w:rsid w:val="31E82117"/>
    <w:rsid w:val="32032617"/>
    <w:rsid w:val="32072AB3"/>
    <w:rsid w:val="32317519"/>
    <w:rsid w:val="338D3D38"/>
    <w:rsid w:val="346D1713"/>
    <w:rsid w:val="3492400B"/>
    <w:rsid w:val="34C20147"/>
    <w:rsid w:val="350B4A94"/>
    <w:rsid w:val="351C2BEE"/>
    <w:rsid w:val="351C6FB4"/>
    <w:rsid w:val="35577297"/>
    <w:rsid w:val="369B586E"/>
    <w:rsid w:val="379E73FF"/>
    <w:rsid w:val="3830597B"/>
    <w:rsid w:val="38A64043"/>
    <w:rsid w:val="38C522B1"/>
    <w:rsid w:val="3A82388C"/>
    <w:rsid w:val="3B5E252D"/>
    <w:rsid w:val="3BB0325D"/>
    <w:rsid w:val="3DE0464F"/>
    <w:rsid w:val="3DF022AF"/>
    <w:rsid w:val="3EC84510"/>
    <w:rsid w:val="3EFD56C7"/>
    <w:rsid w:val="3F737DC7"/>
    <w:rsid w:val="3F990ADD"/>
    <w:rsid w:val="3FEA17AB"/>
    <w:rsid w:val="3FF2F4D6"/>
    <w:rsid w:val="40970E8F"/>
    <w:rsid w:val="40F3031D"/>
    <w:rsid w:val="410B542B"/>
    <w:rsid w:val="41932425"/>
    <w:rsid w:val="41A71B16"/>
    <w:rsid w:val="427B35B9"/>
    <w:rsid w:val="42903DE8"/>
    <w:rsid w:val="434D1CD9"/>
    <w:rsid w:val="435B43F6"/>
    <w:rsid w:val="43C7383A"/>
    <w:rsid w:val="43F21DD0"/>
    <w:rsid w:val="445C6F2B"/>
    <w:rsid w:val="448718D0"/>
    <w:rsid w:val="44910D58"/>
    <w:rsid w:val="44E56EC9"/>
    <w:rsid w:val="45857D9C"/>
    <w:rsid w:val="45B00A41"/>
    <w:rsid w:val="45EB49FA"/>
    <w:rsid w:val="4646197C"/>
    <w:rsid w:val="4679192E"/>
    <w:rsid w:val="46A459F6"/>
    <w:rsid w:val="46CE6FD6"/>
    <w:rsid w:val="46F26E20"/>
    <w:rsid w:val="470D43A0"/>
    <w:rsid w:val="480908C5"/>
    <w:rsid w:val="485667D0"/>
    <w:rsid w:val="4AE66C9B"/>
    <w:rsid w:val="4B521B21"/>
    <w:rsid w:val="4BBB4121"/>
    <w:rsid w:val="4C5D676D"/>
    <w:rsid w:val="4C6710B4"/>
    <w:rsid w:val="4D371A30"/>
    <w:rsid w:val="4D426A4E"/>
    <w:rsid w:val="4D4C5FC4"/>
    <w:rsid w:val="4DCE3A17"/>
    <w:rsid w:val="4E0C0A58"/>
    <w:rsid w:val="4E4B32B9"/>
    <w:rsid w:val="4EBD75BF"/>
    <w:rsid w:val="4EC77ECE"/>
    <w:rsid w:val="4F301F03"/>
    <w:rsid w:val="4F354C7F"/>
    <w:rsid w:val="4FA71C3F"/>
    <w:rsid w:val="4FD75668"/>
    <w:rsid w:val="50473C53"/>
    <w:rsid w:val="50D13F4A"/>
    <w:rsid w:val="514324CE"/>
    <w:rsid w:val="51907961"/>
    <w:rsid w:val="51FB1F8F"/>
    <w:rsid w:val="528D14FE"/>
    <w:rsid w:val="52D06FDF"/>
    <w:rsid w:val="53186EE4"/>
    <w:rsid w:val="539B3C3A"/>
    <w:rsid w:val="545863D3"/>
    <w:rsid w:val="54B61E08"/>
    <w:rsid w:val="55163126"/>
    <w:rsid w:val="55426F5C"/>
    <w:rsid w:val="554A791A"/>
    <w:rsid w:val="55853555"/>
    <w:rsid w:val="559C4684"/>
    <w:rsid w:val="561771E7"/>
    <w:rsid w:val="57014562"/>
    <w:rsid w:val="575278AD"/>
    <w:rsid w:val="57DE169E"/>
    <w:rsid w:val="5835523D"/>
    <w:rsid w:val="583A7875"/>
    <w:rsid w:val="586269B7"/>
    <w:rsid w:val="58A12453"/>
    <w:rsid w:val="58DC7930"/>
    <w:rsid w:val="59C63F80"/>
    <w:rsid w:val="5B83014D"/>
    <w:rsid w:val="5C642CAF"/>
    <w:rsid w:val="5D081F0B"/>
    <w:rsid w:val="5DA12EF6"/>
    <w:rsid w:val="5DE3706A"/>
    <w:rsid w:val="5EB05E66"/>
    <w:rsid w:val="5F0E3C81"/>
    <w:rsid w:val="5FA32F55"/>
    <w:rsid w:val="608A7C71"/>
    <w:rsid w:val="6093190F"/>
    <w:rsid w:val="610E7483"/>
    <w:rsid w:val="61396C52"/>
    <w:rsid w:val="613F4DA1"/>
    <w:rsid w:val="61615C49"/>
    <w:rsid w:val="61BF1B9C"/>
    <w:rsid w:val="61F555BE"/>
    <w:rsid w:val="629479C2"/>
    <w:rsid w:val="630930CF"/>
    <w:rsid w:val="6401649C"/>
    <w:rsid w:val="653D4140"/>
    <w:rsid w:val="654E248D"/>
    <w:rsid w:val="65510EC8"/>
    <w:rsid w:val="65681CAA"/>
    <w:rsid w:val="65907A54"/>
    <w:rsid w:val="65A97358"/>
    <w:rsid w:val="665629F7"/>
    <w:rsid w:val="66AC698F"/>
    <w:rsid w:val="66AD290B"/>
    <w:rsid w:val="67053311"/>
    <w:rsid w:val="67717495"/>
    <w:rsid w:val="67860E67"/>
    <w:rsid w:val="67862377"/>
    <w:rsid w:val="68A45648"/>
    <w:rsid w:val="69F47232"/>
    <w:rsid w:val="6A2B7DCF"/>
    <w:rsid w:val="6AB16F13"/>
    <w:rsid w:val="6ABE192F"/>
    <w:rsid w:val="6B090729"/>
    <w:rsid w:val="6B550DD6"/>
    <w:rsid w:val="6C1E27F0"/>
    <w:rsid w:val="6CB829EE"/>
    <w:rsid w:val="6D4F1E2F"/>
    <w:rsid w:val="6D66515D"/>
    <w:rsid w:val="6D8433BC"/>
    <w:rsid w:val="6E502D20"/>
    <w:rsid w:val="6E6726CD"/>
    <w:rsid w:val="6E9A12BD"/>
    <w:rsid w:val="6EB14BEE"/>
    <w:rsid w:val="6FBD596D"/>
    <w:rsid w:val="6FE07705"/>
    <w:rsid w:val="6FFD907A"/>
    <w:rsid w:val="70055DF9"/>
    <w:rsid w:val="702E3904"/>
    <w:rsid w:val="707F2C23"/>
    <w:rsid w:val="719F40F5"/>
    <w:rsid w:val="721A015C"/>
    <w:rsid w:val="72477770"/>
    <w:rsid w:val="72EA10B4"/>
    <w:rsid w:val="739358D2"/>
    <w:rsid w:val="73E26C2E"/>
    <w:rsid w:val="74854373"/>
    <w:rsid w:val="74A83031"/>
    <w:rsid w:val="74EC2851"/>
    <w:rsid w:val="75714DBB"/>
    <w:rsid w:val="757E794D"/>
    <w:rsid w:val="75AE4C20"/>
    <w:rsid w:val="76962A74"/>
    <w:rsid w:val="772B05C1"/>
    <w:rsid w:val="774723A6"/>
    <w:rsid w:val="77AA3761"/>
    <w:rsid w:val="784748E4"/>
    <w:rsid w:val="78A2146F"/>
    <w:rsid w:val="78CB7B66"/>
    <w:rsid w:val="791F52E2"/>
    <w:rsid w:val="792151BF"/>
    <w:rsid w:val="794F3C4A"/>
    <w:rsid w:val="797265CF"/>
    <w:rsid w:val="79802062"/>
    <w:rsid w:val="7A450B26"/>
    <w:rsid w:val="7AB67B89"/>
    <w:rsid w:val="7B77B008"/>
    <w:rsid w:val="7B9B719C"/>
    <w:rsid w:val="7BB5432D"/>
    <w:rsid w:val="7CC36CEE"/>
    <w:rsid w:val="7CC72DC3"/>
    <w:rsid w:val="7D0F532E"/>
    <w:rsid w:val="7D5F203D"/>
    <w:rsid w:val="7E4E7044"/>
    <w:rsid w:val="7E5A5758"/>
    <w:rsid w:val="7E8F55C4"/>
    <w:rsid w:val="7EE06C81"/>
    <w:rsid w:val="7EF70770"/>
    <w:rsid w:val="7F5B485B"/>
    <w:rsid w:val="7FF6C12C"/>
    <w:rsid w:val="BCB98261"/>
    <w:rsid w:val="CFFB702D"/>
    <w:rsid w:val="D4F7C3B1"/>
    <w:rsid w:val="E6D7C07B"/>
    <w:rsid w:val="F3EB132D"/>
    <w:rsid w:val="FEF70171"/>
    <w:rsid w:val="FF15058E"/>
    <w:rsid w:val="FFCF960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601" w:firstLineChars="200"/>
      <w:jc w:val="both"/>
    </w:pPr>
    <w:rPr>
      <w:rFonts w:ascii="微软雅黑" w:hAnsi="微软雅黑" w:eastAsia="仿宋_GB2312" w:cs="Times New Roman"/>
      <w:sz w:val="32"/>
      <w:szCs w:val="24"/>
      <w:lang w:val="en-US" w:eastAsia="en-US" w:bidi="ar-SA"/>
    </w:rPr>
  </w:style>
  <w:style w:type="paragraph" w:styleId="2">
    <w:name w:val="heading 1"/>
    <w:basedOn w:val="1"/>
    <w:next w:val="1"/>
    <w:qFormat/>
    <w:uiPriority w:val="0"/>
    <w:pPr>
      <w:keepNext/>
      <w:keepLines/>
      <w:spacing w:before="100" w:beforeLines="100" w:beforeAutospacing="0" w:afterLines="0" w:afterAutospacing="0" w:line="574" w:lineRule="exact"/>
      <w:ind w:firstLine="0" w:firstLineChars="0"/>
      <w:jc w:val="center"/>
      <w:outlineLvl w:val="0"/>
    </w:pPr>
    <w:rPr>
      <w:rFonts w:ascii="Times New Roman" w:hAnsi="Times New Roman" w:eastAsia="方正小标宋简体"/>
      <w:kern w:val="44"/>
      <w:sz w:val="44"/>
    </w:rPr>
  </w:style>
  <w:style w:type="paragraph" w:styleId="3">
    <w:name w:val="heading 2"/>
    <w:next w:val="1"/>
    <w:qFormat/>
    <w:uiPriority w:val="0"/>
    <w:pPr>
      <w:keepNext/>
      <w:keepLines/>
      <w:spacing w:before="50" w:beforeLines="50" w:line="574" w:lineRule="exact"/>
      <w:ind w:firstLine="880" w:firstLineChars="200"/>
      <w:jc w:val="both"/>
      <w:outlineLvl w:val="1"/>
    </w:pPr>
    <w:rPr>
      <w:rFonts w:ascii="Times New Roman" w:hAnsi="Times New Roman" w:eastAsia="仿宋_GB2312" w:cs="Times New Roman"/>
      <w:b/>
      <w:color w:val="000000"/>
      <w:sz w:val="32"/>
      <w:lang w:val="en-US" w:eastAsia="zh-CN" w:bidi="ar-SA"/>
    </w:rPr>
  </w:style>
  <w:style w:type="paragraph" w:styleId="4">
    <w:name w:val="heading 3"/>
    <w:next w:val="1"/>
    <w:link w:val="63"/>
    <w:qFormat/>
    <w:uiPriority w:val="0"/>
    <w:pPr>
      <w:keepNext/>
      <w:keepLines/>
      <w:spacing w:before="260" w:after="260" w:line="413" w:lineRule="auto"/>
      <w:outlineLvl w:val="2"/>
    </w:pPr>
    <w:rPr>
      <w:rFonts w:ascii="Times New Roman" w:hAnsi="Times New Roman" w:eastAsia="微软雅黑" w:cs="Times New Roman"/>
      <w:b/>
      <w:sz w:val="24"/>
      <w:lang w:val="en-US" w:eastAsia="zh-CN" w:bidi="ar-SA"/>
    </w:rPr>
  </w:style>
  <w:style w:type="paragraph" w:styleId="5">
    <w:name w:val="heading 4"/>
    <w:next w:val="1"/>
    <w:qFormat/>
    <w:uiPriority w:val="0"/>
    <w:pPr>
      <w:keepNext/>
      <w:keepLines/>
      <w:spacing w:before="280" w:after="290" w:line="372" w:lineRule="auto"/>
      <w:outlineLvl w:val="3"/>
    </w:pPr>
    <w:rPr>
      <w:rFonts w:ascii="Arial" w:hAnsi="Arial" w:eastAsia="微软雅黑" w:cs="Times New Roman"/>
      <w:i/>
      <w:sz w:val="24"/>
      <w:lang w:val="en-US" w:eastAsia="zh-CN" w:bidi="ar-SA"/>
    </w:rPr>
  </w:style>
  <w:style w:type="paragraph" w:styleId="6">
    <w:name w:val="heading 5"/>
    <w:basedOn w:val="1"/>
    <w:next w:val="7"/>
    <w:qFormat/>
    <w:uiPriority w:val="9"/>
    <w:pPr>
      <w:keepNext/>
      <w:keepLines/>
      <w:numPr>
        <w:ilvl w:val="4"/>
        <w:numId w:val="1"/>
      </w:numPr>
      <w:spacing w:before="200" w:after="0"/>
      <w:ind w:firstLine="402"/>
      <w:outlineLvl w:val="4"/>
    </w:pPr>
    <w:rPr>
      <w:rFonts w:ascii="微软雅黑" w:hAnsi="微软雅黑" w:eastAsia="微软雅黑" w:cs="Times New Roman"/>
      <w:iCs/>
      <w:color w:val="auto"/>
    </w:rPr>
  </w:style>
  <w:style w:type="paragraph" w:styleId="8">
    <w:name w:val="heading 6"/>
    <w:basedOn w:val="1"/>
    <w:next w:val="7"/>
    <w:qFormat/>
    <w:uiPriority w:val="9"/>
    <w:pPr>
      <w:keepNext/>
      <w:keepLines/>
      <w:numPr>
        <w:ilvl w:val="5"/>
        <w:numId w:val="1"/>
      </w:numPr>
      <w:spacing w:before="200" w:after="0"/>
      <w:ind w:firstLine="402"/>
      <w:outlineLvl w:val="5"/>
    </w:pPr>
    <w:rPr>
      <w:rFonts w:ascii="微软雅黑" w:hAnsi="微软雅黑" w:eastAsia="微软雅黑" w:cs="Times New Roman"/>
      <w:color w:val="auto"/>
    </w:rPr>
  </w:style>
  <w:style w:type="paragraph" w:styleId="9">
    <w:name w:val="heading 7"/>
    <w:basedOn w:val="1"/>
    <w:next w:val="7"/>
    <w:qFormat/>
    <w:uiPriority w:val="9"/>
    <w:pPr>
      <w:keepNext/>
      <w:keepLines/>
      <w:numPr>
        <w:ilvl w:val="6"/>
        <w:numId w:val="1"/>
      </w:numPr>
      <w:spacing w:before="200" w:after="0"/>
      <w:ind w:firstLine="402"/>
      <w:outlineLvl w:val="6"/>
    </w:pPr>
    <w:rPr>
      <w:rFonts w:ascii="微软雅黑" w:hAnsi="微软雅黑" w:eastAsia="微软雅黑" w:cs="Times New Roman"/>
      <w:color w:val="auto"/>
    </w:rPr>
  </w:style>
  <w:style w:type="paragraph" w:styleId="10">
    <w:name w:val="heading 8"/>
    <w:basedOn w:val="1"/>
    <w:next w:val="7"/>
    <w:qFormat/>
    <w:uiPriority w:val="9"/>
    <w:pPr>
      <w:keepNext/>
      <w:keepLines/>
      <w:numPr>
        <w:ilvl w:val="7"/>
        <w:numId w:val="1"/>
      </w:numPr>
      <w:spacing w:before="200" w:after="0"/>
      <w:ind w:firstLine="402"/>
      <w:outlineLvl w:val="7"/>
    </w:pPr>
    <w:rPr>
      <w:rFonts w:ascii="微软雅黑" w:hAnsi="微软雅黑" w:eastAsia="微软雅黑" w:cs="Times New Roman"/>
      <w:color w:val="auto"/>
    </w:rPr>
  </w:style>
  <w:style w:type="paragraph" w:styleId="11">
    <w:name w:val="heading 9"/>
    <w:basedOn w:val="1"/>
    <w:next w:val="7"/>
    <w:qFormat/>
    <w:uiPriority w:val="9"/>
    <w:pPr>
      <w:keepNext/>
      <w:keepLines/>
      <w:numPr>
        <w:ilvl w:val="8"/>
        <w:numId w:val="1"/>
      </w:numPr>
      <w:spacing w:before="200" w:after="0"/>
      <w:ind w:firstLine="402"/>
      <w:outlineLvl w:val="8"/>
    </w:pPr>
    <w:rPr>
      <w:rFonts w:ascii="微软雅黑" w:hAnsi="微软雅黑" w:eastAsia="微软雅黑" w:cs="Times New Roman"/>
      <w:color w:val="auto"/>
    </w:rPr>
  </w:style>
  <w:style w:type="character" w:default="1" w:styleId="54">
    <w:name w:val="Default Paragraph Font"/>
    <w:semiHidden/>
    <w:qFormat/>
    <w:uiPriority w:val="0"/>
  </w:style>
  <w:style w:type="table" w:default="1" w:styleId="53">
    <w:name w:val="Normal Table"/>
    <w:qFormat/>
    <w:uiPriority w:val="0"/>
    <w:tblPr>
      <w:tblCellMar>
        <w:top w:w="0" w:type="dxa"/>
        <w:left w:w="108" w:type="dxa"/>
        <w:bottom w:w="0" w:type="dxa"/>
        <w:right w:w="108" w:type="dxa"/>
      </w:tblCellMar>
    </w:tblPr>
  </w:style>
  <w:style w:type="paragraph" w:styleId="7">
    <w:name w:val="Body Text"/>
    <w:basedOn w:val="1"/>
    <w:link w:val="64"/>
    <w:qFormat/>
    <w:uiPriority w:val="0"/>
    <w:pPr>
      <w:spacing w:before="180" w:after="180"/>
      <w:ind w:firstLine="560" w:firstLineChars="200"/>
      <w:jc w:val="both"/>
    </w:pPr>
  </w:style>
  <w:style w:type="paragraph" w:styleId="12">
    <w:name w:val="List 3"/>
    <w:basedOn w:val="1"/>
    <w:qFormat/>
    <w:uiPriority w:val="0"/>
    <w:pPr>
      <w:ind w:left="100" w:leftChars="400" w:hanging="200" w:hangingChars="200"/>
    </w:pPr>
  </w:style>
  <w:style w:type="paragraph" w:styleId="13">
    <w:name w:val="List Number 2"/>
    <w:basedOn w:val="1"/>
    <w:qFormat/>
    <w:uiPriority w:val="0"/>
    <w:pPr>
      <w:numPr>
        <w:ilvl w:val="0"/>
        <w:numId w:val="2"/>
      </w:numPr>
    </w:pPr>
  </w:style>
  <w:style w:type="paragraph" w:styleId="14">
    <w:name w:val="table of authorities"/>
    <w:basedOn w:val="1"/>
    <w:next w:val="1"/>
    <w:qFormat/>
    <w:uiPriority w:val="0"/>
    <w:pPr>
      <w:ind w:left="420" w:leftChars="200"/>
    </w:pPr>
  </w:style>
  <w:style w:type="paragraph" w:styleId="15">
    <w:name w:val="List Bullet 4"/>
    <w:basedOn w:val="1"/>
    <w:qFormat/>
    <w:uiPriority w:val="0"/>
    <w:pPr>
      <w:numPr>
        <w:ilvl w:val="0"/>
        <w:numId w:val="3"/>
      </w:numPr>
    </w:pPr>
  </w:style>
  <w:style w:type="paragraph" w:styleId="16">
    <w:name w:val="List Number"/>
    <w:basedOn w:val="1"/>
    <w:qFormat/>
    <w:uiPriority w:val="0"/>
    <w:pPr>
      <w:numPr>
        <w:ilvl w:val="0"/>
        <w:numId w:val="4"/>
      </w:numPr>
    </w:pPr>
  </w:style>
  <w:style w:type="paragraph" w:styleId="17">
    <w:name w:val="caption"/>
    <w:basedOn w:val="1"/>
    <w:qFormat/>
    <w:uiPriority w:val="0"/>
    <w:pPr>
      <w:spacing w:before="0" w:after="120"/>
    </w:pPr>
    <w:rPr>
      <w:i/>
    </w:rPr>
  </w:style>
  <w:style w:type="paragraph" w:styleId="18">
    <w:name w:val="List Bullet"/>
    <w:basedOn w:val="1"/>
    <w:qFormat/>
    <w:uiPriority w:val="0"/>
    <w:pPr>
      <w:numPr>
        <w:ilvl w:val="0"/>
        <w:numId w:val="5"/>
      </w:numPr>
      <w:ind w:left="0" w:firstLine="0" w:firstLineChars="0"/>
    </w:p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qFormat/>
    <w:uiPriority w:val="0"/>
    <w:pPr>
      <w:jc w:val="left"/>
    </w:pPr>
  </w:style>
  <w:style w:type="paragraph" w:styleId="22">
    <w:name w:val="List Bullet 3"/>
    <w:basedOn w:val="1"/>
    <w:qFormat/>
    <w:uiPriority w:val="0"/>
    <w:pPr>
      <w:numPr>
        <w:ilvl w:val="0"/>
        <w:numId w:val="6"/>
      </w:numPr>
    </w:pPr>
  </w:style>
  <w:style w:type="paragraph" w:styleId="23">
    <w:name w:val="List Number 3"/>
    <w:basedOn w:val="1"/>
    <w:qFormat/>
    <w:uiPriority w:val="0"/>
    <w:pPr>
      <w:numPr>
        <w:ilvl w:val="0"/>
        <w:numId w:val="7"/>
      </w:numPr>
    </w:pPr>
  </w:style>
  <w:style w:type="paragraph" w:styleId="24">
    <w:name w:val="List 2"/>
    <w:basedOn w:val="1"/>
    <w:qFormat/>
    <w:uiPriority w:val="0"/>
    <w:pPr>
      <w:ind w:left="100" w:leftChars="200" w:hanging="200" w:hangingChars="200"/>
    </w:pPr>
  </w:style>
  <w:style w:type="paragraph" w:styleId="25">
    <w:name w:val="List Continue"/>
    <w:basedOn w:val="1"/>
    <w:qFormat/>
    <w:uiPriority w:val="0"/>
    <w:pPr>
      <w:numPr>
        <w:ilvl w:val="0"/>
        <w:numId w:val="8"/>
      </w:numPr>
      <w:spacing w:after="120" w:afterLines="0" w:afterAutospacing="0"/>
      <w:ind w:left="0" w:leftChars="200" w:firstLine="0" w:firstLineChars="0"/>
    </w:pPr>
  </w:style>
  <w:style w:type="paragraph" w:styleId="26">
    <w:name w:val="Block Text"/>
    <w:basedOn w:val="7"/>
    <w:next w:val="7"/>
    <w:unhideWhenUsed/>
    <w:qFormat/>
    <w:uiPriority w:val="9"/>
    <w:pPr>
      <w:spacing w:before="100" w:after="100"/>
      <w:ind w:left="480" w:right="480" w:firstLine="0"/>
    </w:pPr>
  </w:style>
  <w:style w:type="paragraph" w:styleId="27">
    <w:name w:val="List Bullet 2"/>
    <w:basedOn w:val="1"/>
    <w:qFormat/>
    <w:uiPriority w:val="0"/>
    <w:pPr>
      <w:numPr>
        <w:ilvl w:val="0"/>
        <w:numId w:val="9"/>
      </w:numPr>
    </w:pPr>
  </w:style>
  <w:style w:type="paragraph" w:styleId="28">
    <w:name w:val="toc 3"/>
    <w:basedOn w:val="1"/>
    <w:next w:val="1"/>
    <w:qFormat/>
    <w:uiPriority w:val="0"/>
    <w:pPr>
      <w:ind w:left="840" w:leftChars="400"/>
    </w:pPr>
  </w:style>
  <w:style w:type="paragraph" w:styleId="29">
    <w:name w:val="List Bullet 5"/>
    <w:basedOn w:val="1"/>
    <w:qFormat/>
    <w:uiPriority w:val="0"/>
    <w:pPr>
      <w:numPr>
        <w:ilvl w:val="0"/>
        <w:numId w:val="10"/>
      </w:numPr>
    </w:pPr>
  </w:style>
  <w:style w:type="paragraph" w:styleId="30">
    <w:name w:val="List Number 4"/>
    <w:basedOn w:val="1"/>
    <w:qFormat/>
    <w:uiPriority w:val="0"/>
    <w:pPr>
      <w:numPr>
        <w:ilvl w:val="0"/>
        <w:numId w:val="11"/>
      </w:numPr>
    </w:pPr>
  </w:style>
  <w:style w:type="paragraph" w:styleId="31">
    <w:name w:val="Date"/>
    <w:next w:val="7"/>
    <w:qFormat/>
    <w:uiPriority w:val="0"/>
    <w:pPr>
      <w:keepNext/>
      <w:keepLines/>
      <w:spacing w:after="200"/>
      <w:jc w:val="center"/>
    </w:pPr>
    <w:rPr>
      <w:rFonts w:ascii="微软雅黑" w:hAnsi="微软雅黑" w:eastAsia="微软雅黑" w:cs="Times New Roman"/>
      <w:sz w:val="24"/>
      <w:szCs w:val="24"/>
      <w:lang w:val="en-US" w:eastAsia="en-US" w:bidi="ar-SA"/>
    </w:rPr>
  </w:style>
  <w:style w:type="paragraph" w:styleId="32">
    <w:name w:val="endnote text"/>
    <w:basedOn w:val="1"/>
    <w:qFormat/>
    <w:uiPriority w:val="0"/>
    <w:pPr>
      <w:snapToGrid w:val="0"/>
      <w:jc w:val="left"/>
    </w:pPr>
  </w:style>
  <w:style w:type="paragraph" w:styleId="33">
    <w:name w:val="Balloon Text"/>
    <w:basedOn w:val="1"/>
    <w:qFormat/>
    <w:uiPriority w:val="0"/>
    <w:pPr>
      <w:ind w:firstLine="0" w:firstLineChars="0"/>
    </w:pPr>
    <w:rPr>
      <w:sz w:val="18"/>
    </w:rPr>
  </w:style>
  <w:style w:type="paragraph" w:styleId="34">
    <w:name w:val="footer"/>
    <w:basedOn w:val="1"/>
    <w:qFormat/>
    <w:uiPriority w:val="0"/>
    <w:pPr>
      <w:tabs>
        <w:tab w:val="center" w:pos="4153"/>
        <w:tab w:val="right" w:pos="8306"/>
      </w:tabs>
      <w:snapToGrid w:val="0"/>
      <w:jc w:val="left"/>
    </w:pPr>
    <w:rPr>
      <w:sz w:val="18"/>
    </w:rPr>
  </w:style>
  <w:style w:type="paragraph" w:styleId="3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6">
    <w:name w:val="toc 1"/>
    <w:basedOn w:val="1"/>
    <w:next w:val="1"/>
    <w:qFormat/>
    <w:uiPriority w:val="0"/>
    <w:rPr>
      <w:rFonts w:ascii="Times New Roman" w:hAnsi="Times New Roman"/>
    </w:rPr>
  </w:style>
  <w:style w:type="paragraph" w:styleId="37">
    <w:name w:val="Subtitle"/>
    <w:basedOn w:val="38"/>
    <w:next w:val="7"/>
    <w:qFormat/>
    <w:uiPriority w:val="0"/>
    <w:pPr>
      <w:keepNext/>
      <w:keepLines/>
      <w:spacing w:before="240" w:after="240"/>
      <w:jc w:val="center"/>
    </w:pPr>
    <w:rPr>
      <w:rFonts w:ascii="微软雅黑" w:hAnsi="微软雅黑"/>
      <w:sz w:val="30"/>
      <w:szCs w:val="30"/>
    </w:rPr>
  </w:style>
  <w:style w:type="paragraph" w:styleId="3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9">
    <w:name w:val="List Number 5"/>
    <w:basedOn w:val="1"/>
    <w:qFormat/>
    <w:uiPriority w:val="0"/>
    <w:pPr>
      <w:numPr>
        <w:ilvl w:val="0"/>
        <w:numId w:val="12"/>
      </w:numPr>
    </w:pPr>
  </w:style>
  <w:style w:type="paragraph" w:styleId="40">
    <w:name w:val="List"/>
    <w:basedOn w:val="1"/>
    <w:qFormat/>
    <w:uiPriority w:val="0"/>
    <w:pPr>
      <w:ind w:left="200" w:hanging="200" w:hangingChars="200"/>
    </w:pPr>
  </w:style>
  <w:style w:type="paragraph" w:styleId="41">
    <w:name w:val="footnote text"/>
    <w:basedOn w:val="1"/>
    <w:unhideWhenUsed/>
    <w:qFormat/>
    <w:uiPriority w:val="9"/>
    <w:rPr>
      <w:rFonts w:ascii="微软雅黑" w:hAnsi="微软雅黑" w:eastAsia="微软雅黑"/>
    </w:rPr>
  </w:style>
  <w:style w:type="paragraph" w:styleId="42">
    <w:name w:val="List 5"/>
    <w:basedOn w:val="1"/>
    <w:qFormat/>
    <w:uiPriority w:val="0"/>
    <w:pPr>
      <w:ind w:left="100" w:leftChars="800" w:hanging="200" w:hangingChars="200"/>
    </w:pPr>
  </w:style>
  <w:style w:type="paragraph" w:styleId="43">
    <w:name w:val="table of figures"/>
    <w:basedOn w:val="1"/>
    <w:next w:val="1"/>
    <w:qFormat/>
    <w:uiPriority w:val="0"/>
    <w:pPr>
      <w:ind w:leftChars="0" w:firstLine="0" w:firstLineChars="0"/>
      <w:jc w:val="left"/>
    </w:pPr>
    <w:rPr>
      <w:rFonts w:ascii="微软雅黑" w:hAnsi="微软雅黑" w:eastAsia="微软雅黑"/>
    </w:rPr>
  </w:style>
  <w:style w:type="paragraph" w:styleId="44">
    <w:name w:val="toc 2"/>
    <w:basedOn w:val="1"/>
    <w:next w:val="1"/>
    <w:qFormat/>
    <w:uiPriority w:val="0"/>
    <w:pPr>
      <w:ind w:left="420" w:leftChars="200"/>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afterLines="0" w:afterAutospacing="0"/>
      <w:ind w:left="840" w:leftChars="400"/>
    </w:pPr>
  </w:style>
  <w:style w:type="paragraph" w:styleId="4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8">
    <w:name w:val="Normal (Web)"/>
    <w:basedOn w:val="1"/>
    <w:qFormat/>
    <w:uiPriority w:val="0"/>
    <w:pPr>
      <w:spacing w:before="100" w:beforeAutospacing="1" w:after="100" w:afterAutospacing="1"/>
      <w:ind w:left="0" w:right="0" w:firstLine="560" w:firstLineChars="200"/>
      <w:jc w:val="both"/>
    </w:pPr>
    <w:rPr>
      <w:rFonts w:ascii="微软雅黑" w:hAnsi="微软雅黑" w:eastAsia="微软雅黑"/>
      <w:lang w:eastAsia="zh-CN" w:bidi="ar"/>
    </w:rPr>
  </w:style>
  <w:style w:type="paragraph" w:styleId="49">
    <w:name w:val="List Continue 3"/>
    <w:basedOn w:val="1"/>
    <w:qFormat/>
    <w:uiPriority w:val="0"/>
    <w:pPr>
      <w:spacing w:after="120" w:afterLines="0" w:afterAutospacing="0"/>
      <w:ind w:left="1260" w:leftChars="600"/>
    </w:pPr>
  </w:style>
  <w:style w:type="paragraph" w:styleId="50">
    <w:name w:val="index 1"/>
    <w:basedOn w:val="1"/>
    <w:next w:val="1"/>
    <w:qFormat/>
    <w:uiPriority w:val="0"/>
  </w:style>
  <w:style w:type="paragraph" w:styleId="51">
    <w:name w:val="index 2"/>
    <w:basedOn w:val="1"/>
    <w:next w:val="1"/>
    <w:qFormat/>
    <w:uiPriority w:val="0"/>
    <w:pPr>
      <w:ind w:left="200" w:leftChars="200"/>
    </w:pPr>
  </w:style>
  <w:style w:type="paragraph" w:styleId="52">
    <w:name w:val="annotation subject"/>
    <w:basedOn w:val="21"/>
    <w:next w:val="21"/>
    <w:qFormat/>
    <w:uiPriority w:val="0"/>
    <w:rPr>
      <w:b/>
    </w:rPr>
  </w:style>
  <w:style w:type="character" w:styleId="55">
    <w:name w:val="Strong"/>
    <w:qFormat/>
    <w:uiPriority w:val="0"/>
    <w:rPr>
      <w:b/>
    </w:rPr>
  </w:style>
  <w:style w:type="character" w:styleId="56">
    <w:name w:val="endnote reference"/>
    <w:qFormat/>
    <w:uiPriority w:val="0"/>
    <w:rPr>
      <w:vertAlign w:val="superscript"/>
    </w:rPr>
  </w:style>
  <w:style w:type="character" w:styleId="57">
    <w:name w:val="page number"/>
    <w:qFormat/>
    <w:uiPriority w:val="0"/>
  </w:style>
  <w:style w:type="character" w:styleId="58">
    <w:name w:val="Emphasis"/>
    <w:qFormat/>
    <w:uiPriority w:val="0"/>
    <w:rPr>
      <w:i/>
    </w:rPr>
  </w:style>
  <w:style w:type="character" w:styleId="59">
    <w:name w:val="line number"/>
    <w:qFormat/>
    <w:uiPriority w:val="0"/>
  </w:style>
  <w:style w:type="character" w:styleId="60">
    <w:name w:val="Hyperlink"/>
    <w:qFormat/>
    <w:uiPriority w:val="0"/>
    <w:rPr>
      <w:color w:val="0070C0"/>
      <w:u w:val="single"/>
    </w:rPr>
  </w:style>
  <w:style w:type="character" w:styleId="61">
    <w:name w:val="annotation reference"/>
    <w:qFormat/>
    <w:uiPriority w:val="0"/>
    <w:rPr>
      <w:sz w:val="21"/>
    </w:rPr>
  </w:style>
  <w:style w:type="character" w:styleId="62">
    <w:name w:val="footnote reference"/>
    <w:qFormat/>
    <w:uiPriority w:val="0"/>
    <w:rPr>
      <w:vertAlign w:val="superscript"/>
    </w:rPr>
  </w:style>
  <w:style w:type="character" w:customStyle="1" w:styleId="63">
    <w:name w:val="标题 3 字符"/>
    <w:link w:val="4"/>
    <w:qFormat/>
    <w:uiPriority w:val="0"/>
    <w:rPr>
      <w:rFonts w:ascii="Times New Roman" w:hAnsi="Times New Roman" w:eastAsia="微软雅黑" w:cs="Times New Roman"/>
      <w:b/>
      <w:sz w:val="24"/>
    </w:rPr>
  </w:style>
  <w:style w:type="character" w:customStyle="1" w:styleId="64">
    <w:name w:val="正文文本 字符"/>
    <w:link w:val="7"/>
    <w:qFormat/>
    <w:uiPriority w:val="0"/>
    <w:rPr>
      <w:rFonts w:ascii="微软雅黑" w:hAnsi="微软雅黑" w:eastAsia="微软雅黑"/>
    </w:rPr>
  </w:style>
  <w:style w:type="paragraph" w:customStyle="1" w:styleId="65">
    <w:name w:val="First Paragraph"/>
    <w:basedOn w:val="7"/>
    <w:next w:val="7"/>
    <w:qFormat/>
    <w:uiPriority w:val="0"/>
    <w:pPr>
      <w:ind w:firstLine="720" w:firstLineChars="200"/>
      <w:jc w:val="both"/>
    </w:pPr>
  </w:style>
  <w:style w:type="paragraph" w:customStyle="1" w:styleId="66">
    <w:name w:val="Compact"/>
    <w:basedOn w:val="7"/>
    <w:qFormat/>
    <w:uiPriority w:val="0"/>
    <w:pPr>
      <w:spacing w:before="36" w:after="36"/>
    </w:pPr>
  </w:style>
  <w:style w:type="paragraph" w:customStyle="1" w:styleId="67">
    <w:name w:val="Author"/>
    <w:next w:val="7"/>
    <w:qFormat/>
    <w:uiPriority w:val="0"/>
    <w:pPr>
      <w:keepNext/>
      <w:keepLines/>
      <w:spacing w:after="200"/>
      <w:jc w:val="center"/>
    </w:pPr>
    <w:rPr>
      <w:rFonts w:ascii="微软雅黑" w:hAnsi="微软雅黑" w:eastAsia="微软雅黑" w:cs="Times New Roman"/>
      <w:sz w:val="24"/>
      <w:szCs w:val="24"/>
      <w:lang w:val="en-US" w:eastAsia="en-US" w:bidi="ar-SA"/>
    </w:rPr>
  </w:style>
  <w:style w:type="paragraph" w:customStyle="1" w:styleId="68">
    <w:name w:val="Abstract Title"/>
    <w:basedOn w:val="1"/>
    <w:next w:val="69"/>
    <w:qFormat/>
    <w:uiPriority w:val="0"/>
    <w:pPr>
      <w:keepNext/>
      <w:keepLines/>
      <w:spacing w:before="300" w:after="0"/>
      <w:jc w:val="center"/>
    </w:pPr>
    <w:rPr>
      <w:b/>
      <w:color w:val="345A8A"/>
      <w:sz w:val="20"/>
      <w:szCs w:val="20"/>
    </w:rPr>
  </w:style>
  <w:style w:type="paragraph" w:customStyle="1" w:styleId="69">
    <w:name w:val="Abstract"/>
    <w:basedOn w:val="1"/>
    <w:next w:val="7"/>
    <w:qFormat/>
    <w:uiPriority w:val="0"/>
    <w:pPr>
      <w:keepNext/>
      <w:keepLines/>
      <w:spacing w:before="100" w:after="300"/>
    </w:pPr>
    <w:rPr>
      <w:rFonts w:ascii="微软雅黑" w:hAnsi="微软雅黑" w:eastAsia="微软雅黑"/>
      <w:sz w:val="20"/>
      <w:szCs w:val="20"/>
    </w:rPr>
  </w:style>
  <w:style w:type="paragraph" w:customStyle="1" w:styleId="70">
    <w:name w:val="Bibliography"/>
    <w:basedOn w:val="1"/>
    <w:qFormat/>
    <w:uiPriority w:val="0"/>
  </w:style>
  <w:style w:type="paragraph" w:customStyle="1" w:styleId="71">
    <w:name w:val="Footnote Block Text"/>
    <w:unhideWhenUsed/>
    <w:qFormat/>
    <w:uiPriority w:val="9"/>
    <w:pPr>
      <w:spacing w:before="100" w:after="100"/>
      <w:ind w:left="480" w:right="480"/>
    </w:pPr>
    <w:rPr>
      <w:rFonts w:ascii="Cambria" w:hAnsi="Cambria" w:eastAsia="Cambria" w:cs="Times New Roman"/>
      <w:sz w:val="24"/>
      <w:szCs w:val="24"/>
      <w:lang w:val="en-US" w:eastAsia="en-US" w:bidi="ar-SA"/>
    </w:rPr>
  </w:style>
  <w:style w:type="table" w:customStyle="1" w:styleId="72">
    <w:name w:val="Table"/>
    <w:unhideWhenUsed/>
    <w:qFormat/>
    <w:uiPriority w:val="0"/>
    <w:rPr>
      <w:lang w:val="en-US" w:eastAsia="zh-CN" w:bidi="ar-SA"/>
    </w:rPr>
    <w:tblPr>
      <w:tblCellMar>
        <w:top w:w="0" w:type="dxa"/>
        <w:left w:w="108" w:type="dxa"/>
        <w:bottom w:w="0" w:type="dxa"/>
        <w:right w:w="108" w:type="dxa"/>
      </w:tblCellMar>
    </w:tblPr>
  </w:style>
  <w:style w:type="paragraph" w:customStyle="1" w:styleId="73">
    <w:name w:val="Definition Term"/>
    <w:basedOn w:val="1"/>
    <w:next w:val="74"/>
    <w:qFormat/>
    <w:uiPriority w:val="0"/>
    <w:pPr>
      <w:keepNext/>
      <w:keepLines/>
      <w:spacing w:after="0"/>
    </w:pPr>
    <w:rPr>
      <w:rFonts w:ascii="微软雅黑" w:hAnsi="微软雅黑" w:eastAsia="微软雅黑"/>
      <w:b/>
    </w:rPr>
  </w:style>
  <w:style w:type="paragraph" w:customStyle="1" w:styleId="74">
    <w:name w:val="Definition"/>
    <w:basedOn w:val="1"/>
    <w:qFormat/>
    <w:uiPriority w:val="0"/>
    <w:rPr>
      <w:rFonts w:ascii="微软雅黑" w:hAnsi="微软雅黑" w:eastAsia="微软雅黑"/>
    </w:rPr>
  </w:style>
  <w:style w:type="paragraph" w:customStyle="1" w:styleId="75">
    <w:name w:val="Table Caption"/>
    <w:basedOn w:val="17"/>
    <w:qFormat/>
    <w:uiPriority w:val="0"/>
    <w:pPr>
      <w:keepNext/>
    </w:pPr>
    <w:rPr>
      <w:rFonts w:ascii="微软雅黑" w:hAnsi="微软雅黑" w:eastAsia="微软雅黑"/>
    </w:rPr>
  </w:style>
  <w:style w:type="paragraph" w:customStyle="1" w:styleId="76">
    <w:name w:val="Image Caption"/>
    <w:basedOn w:val="17"/>
    <w:qFormat/>
    <w:uiPriority w:val="0"/>
    <w:rPr>
      <w:rFonts w:ascii="微软雅黑" w:hAnsi="微软雅黑" w:eastAsia="微软雅黑"/>
    </w:rPr>
  </w:style>
  <w:style w:type="paragraph" w:customStyle="1" w:styleId="77">
    <w:name w:val="Figure"/>
    <w:basedOn w:val="1"/>
    <w:qFormat/>
    <w:uiPriority w:val="0"/>
  </w:style>
  <w:style w:type="paragraph" w:customStyle="1" w:styleId="78">
    <w:name w:val="Captioned Figure"/>
    <w:basedOn w:val="77"/>
    <w:qFormat/>
    <w:uiPriority w:val="0"/>
    <w:pPr>
      <w:keepNext/>
    </w:pPr>
  </w:style>
  <w:style w:type="character" w:customStyle="1" w:styleId="79">
    <w:name w:val="Verbatim Char"/>
    <w:qFormat/>
    <w:uiPriority w:val="0"/>
    <w:rPr>
      <w:rFonts w:ascii="Copperplate" w:hAnsi="Copperplate"/>
      <w:sz w:val="22"/>
    </w:rPr>
  </w:style>
  <w:style w:type="character" w:customStyle="1" w:styleId="80">
    <w:name w:val="Section Number"/>
    <w:qFormat/>
    <w:uiPriority w:val="0"/>
  </w:style>
  <w:style w:type="paragraph" w:customStyle="1" w:styleId="81">
    <w:name w:val="TOC Heading"/>
    <w:basedOn w:val="2"/>
    <w:next w:val="7"/>
    <w:unhideWhenUsed/>
    <w:qFormat/>
    <w:uiPriority w:val="39"/>
    <w:pPr>
      <w:tabs>
        <w:tab w:val="left" w:pos="0"/>
      </w:tabs>
      <w:spacing w:before="240" w:line="259" w:lineRule="auto"/>
      <w:outlineLvl w:val="9"/>
    </w:pPr>
    <w:rPr>
      <w:rFonts w:ascii="Calibri" w:hAnsi="Calibri" w:eastAsia="宋体" w:cs="Times New Roman"/>
      <w:color w:val="366091"/>
    </w:rPr>
  </w:style>
  <w:style w:type="paragraph" w:customStyle="1" w:styleId="82">
    <w:name w:val="Source Code"/>
    <w:qFormat/>
    <w:uiPriority w:val="0"/>
    <w:pPr>
      <w:wordWrap w:val="0"/>
    </w:pPr>
    <w:rPr>
      <w:rFonts w:ascii="Cambria" w:hAnsi="Cambria" w:eastAsia="Cambria" w:cs="Times New Roman"/>
      <w:lang w:val="en-US" w:eastAsia="zh-CN" w:bidi="ar-SA"/>
    </w:rPr>
  </w:style>
  <w:style w:type="character" w:customStyle="1" w:styleId="83">
    <w:name w:val="KeywordTok"/>
    <w:qFormat/>
    <w:uiPriority w:val="0"/>
    <w:rPr>
      <w:b/>
      <w:color w:val="007020"/>
    </w:rPr>
  </w:style>
  <w:style w:type="character" w:customStyle="1" w:styleId="84">
    <w:name w:val="DataTypeTok"/>
    <w:qFormat/>
    <w:uiPriority w:val="0"/>
    <w:rPr>
      <w:color w:val="902000"/>
    </w:rPr>
  </w:style>
  <w:style w:type="character" w:customStyle="1" w:styleId="85">
    <w:name w:val="DecValTok"/>
    <w:qFormat/>
    <w:uiPriority w:val="0"/>
    <w:rPr>
      <w:color w:val="40A070"/>
    </w:rPr>
  </w:style>
  <w:style w:type="character" w:customStyle="1" w:styleId="86">
    <w:name w:val="BaseNTok"/>
    <w:qFormat/>
    <w:uiPriority w:val="0"/>
    <w:rPr>
      <w:color w:val="40A070"/>
    </w:rPr>
  </w:style>
  <w:style w:type="character" w:customStyle="1" w:styleId="87">
    <w:name w:val="FloatTok"/>
    <w:qFormat/>
    <w:uiPriority w:val="0"/>
    <w:rPr>
      <w:color w:val="40A070"/>
    </w:rPr>
  </w:style>
  <w:style w:type="character" w:customStyle="1" w:styleId="88">
    <w:name w:val="ConstantTok"/>
    <w:qFormat/>
    <w:uiPriority w:val="0"/>
    <w:rPr>
      <w:color w:val="880000"/>
    </w:rPr>
  </w:style>
  <w:style w:type="character" w:customStyle="1" w:styleId="89">
    <w:name w:val="CharTok"/>
    <w:qFormat/>
    <w:uiPriority w:val="0"/>
    <w:rPr>
      <w:color w:val="4070A0"/>
    </w:rPr>
  </w:style>
  <w:style w:type="character" w:customStyle="1" w:styleId="90">
    <w:name w:val="SpecialCharTok"/>
    <w:qFormat/>
    <w:uiPriority w:val="0"/>
    <w:rPr>
      <w:color w:val="4070A0"/>
    </w:rPr>
  </w:style>
  <w:style w:type="character" w:customStyle="1" w:styleId="91">
    <w:name w:val="StringTok"/>
    <w:qFormat/>
    <w:uiPriority w:val="0"/>
    <w:rPr>
      <w:color w:val="4070A0"/>
    </w:rPr>
  </w:style>
  <w:style w:type="character" w:customStyle="1" w:styleId="92">
    <w:name w:val="VerbatimStringTok"/>
    <w:qFormat/>
    <w:uiPriority w:val="0"/>
    <w:rPr>
      <w:color w:val="4070A0"/>
    </w:rPr>
  </w:style>
  <w:style w:type="character" w:customStyle="1" w:styleId="93">
    <w:name w:val="SpecialStringTok"/>
    <w:qFormat/>
    <w:uiPriority w:val="0"/>
    <w:rPr>
      <w:color w:val="BB6688"/>
    </w:rPr>
  </w:style>
  <w:style w:type="character" w:customStyle="1" w:styleId="94">
    <w:name w:val="ImportTok"/>
    <w:qFormat/>
    <w:uiPriority w:val="0"/>
    <w:rPr>
      <w:b/>
      <w:color w:val="008000"/>
    </w:rPr>
  </w:style>
  <w:style w:type="character" w:customStyle="1" w:styleId="95">
    <w:name w:val="CommentTok"/>
    <w:qFormat/>
    <w:uiPriority w:val="0"/>
    <w:rPr>
      <w:i/>
      <w:color w:val="60A0B0"/>
    </w:rPr>
  </w:style>
  <w:style w:type="character" w:customStyle="1" w:styleId="96">
    <w:name w:val="DocumentationTok"/>
    <w:qFormat/>
    <w:uiPriority w:val="0"/>
    <w:rPr>
      <w:i/>
      <w:color w:val="BA2121"/>
    </w:rPr>
  </w:style>
  <w:style w:type="character" w:customStyle="1" w:styleId="97">
    <w:name w:val="AnnotationTok"/>
    <w:qFormat/>
    <w:uiPriority w:val="0"/>
    <w:rPr>
      <w:b/>
      <w:i/>
      <w:color w:val="60A0B0"/>
    </w:rPr>
  </w:style>
  <w:style w:type="character" w:customStyle="1" w:styleId="98">
    <w:name w:val="CommentVarTok"/>
    <w:qFormat/>
    <w:uiPriority w:val="0"/>
    <w:rPr>
      <w:b/>
      <w:i/>
      <w:color w:val="60A0B0"/>
    </w:rPr>
  </w:style>
  <w:style w:type="character" w:customStyle="1" w:styleId="99">
    <w:name w:val="OtherTok"/>
    <w:qFormat/>
    <w:uiPriority w:val="0"/>
    <w:rPr>
      <w:color w:val="007020"/>
    </w:rPr>
  </w:style>
  <w:style w:type="character" w:customStyle="1" w:styleId="100">
    <w:name w:val="FunctionTok"/>
    <w:qFormat/>
    <w:uiPriority w:val="0"/>
    <w:rPr>
      <w:color w:val="06287E"/>
    </w:rPr>
  </w:style>
  <w:style w:type="character" w:customStyle="1" w:styleId="101">
    <w:name w:val="VariableTok"/>
    <w:qFormat/>
    <w:uiPriority w:val="0"/>
    <w:rPr>
      <w:color w:val="19177C"/>
    </w:rPr>
  </w:style>
  <w:style w:type="character" w:customStyle="1" w:styleId="102">
    <w:name w:val="ControlFlowTok"/>
    <w:qFormat/>
    <w:uiPriority w:val="0"/>
    <w:rPr>
      <w:b/>
      <w:color w:val="007020"/>
    </w:rPr>
  </w:style>
  <w:style w:type="character" w:customStyle="1" w:styleId="103">
    <w:name w:val="OperatorTok"/>
    <w:qFormat/>
    <w:uiPriority w:val="0"/>
    <w:rPr>
      <w:color w:val="666666"/>
    </w:rPr>
  </w:style>
  <w:style w:type="character" w:customStyle="1" w:styleId="104">
    <w:name w:val="BuiltInTok"/>
    <w:qFormat/>
    <w:uiPriority w:val="0"/>
    <w:rPr>
      <w:color w:val="008000"/>
    </w:rPr>
  </w:style>
  <w:style w:type="character" w:customStyle="1" w:styleId="105">
    <w:name w:val="ExtensionTok"/>
    <w:qFormat/>
    <w:uiPriority w:val="0"/>
  </w:style>
  <w:style w:type="character" w:customStyle="1" w:styleId="106">
    <w:name w:val="PreprocessorTok"/>
    <w:qFormat/>
    <w:uiPriority w:val="0"/>
    <w:rPr>
      <w:color w:val="BC7A00"/>
    </w:rPr>
  </w:style>
  <w:style w:type="character" w:customStyle="1" w:styleId="107">
    <w:name w:val="AttributeTok"/>
    <w:qFormat/>
    <w:uiPriority w:val="0"/>
    <w:rPr>
      <w:color w:val="7D9029"/>
    </w:rPr>
  </w:style>
  <w:style w:type="character" w:customStyle="1" w:styleId="108">
    <w:name w:val="RegionMarkerTok"/>
    <w:qFormat/>
    <w:uiPriority w:val="0"/>
  </w:style>
  <w:style w:type="character" w:customStyle="1" w:styleId="109">
    <w:name w:val="InformationTok"/>
    <w:qFormat/>
    <w:uiPriority w:val="0"/>
    <w:rPr>
      <w:b/>
      <w:i/>
      <w:color w:val="60A0B0"/>
    </w:rPr>
  </w:style>
  <w:style w:type="character" w:customStyle="1" w:styleId="110">
    <w:name w:val="WarningTok"/>
    <w:qFormat/>
    <w:uiPriority w:val="0"/>
    <w:rPr>
      <w:b/>
      <w:i/>
      <w:color w:val="60A0B0"/>
    </w:rPr>
  </w:style>
  <w:style w:type="character" w:customStyle="1" w:styleId="111">
    <w:name w:val="AlertTok"/>
    <w:qFormat/>
    <w:uiPriority w:val="0"/>
    <w:rPr>
      <w:b/>
      <w:color w:val="FF0000"/>
    </w:rPr>
  </w:style>
  <w:style w:type="character" w:customStyle="1" w:styleId="112">
    <w:name w:val="ErrorTok"/>
    <w:qFormat/>
    <w:uiPriority w:val="0"/>
    <w:rPr>
      <w:b/>
      <w:color w:val="FF0000"/>
    </w:rPr>
  </w:style>
  <w:style w:type="character" w:customStyle="1" w:styleId="113">
    <w:name w:val="NormalTok"/>
    <w:qFormat/>
    <w:uiPriority w:val="0"/>
  </w:style>
  <w:style w:type="paragraph" w:customStyle="1" w:styleId="114">
    <w:name w:val="表注"/>
    <w:basedOn w:val="20"/>
    <w:qFormat/>
    <w:uiPriority w:val="0"/>
    <w:pPr>
      <w:spacing w:before="50" w:beforeLines="50" w:line="360" w:lineRule="auto"/>
      <w:ind w:firstLine="640"/>
    </w:pPr>
    <w:rPr>
      <w:rFonts w:hint="eastAsia" w:ascii="仿宋_GB2312" w:hAnsi="仿宋_GB2312" w:cs="仿宋_GB2312"/>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7072</Words>
  <Characters>7563</Characters>
  <Lines>185</Lines>
  <Paragraphs>52</Paragraphs>
  <TotalTime>19</TotalTime>
  <ScaleCrop>false</ScaleCrop>
  <LinksUpToDate>false</LinksUpToDate>
  <CharactersWithSpaces>7618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2026-03-28T13:24:00Z</dcterms:created>
  <dc:creator>bowen</dc:creator>
  <cp:lastModifiedBy>付翊苗</cp:lastModifiedBy>
  <cp:lastPrinted>2026-04-03T14:56:00Z</cp:lastPrinted>
  <dcterms:modified xsi:type="dcterms:W3CDTF">2026-04-23T03:10:09Z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EA916C07D33E3465BD05E769EDB07EBE_43</vt:lpwstr>
  </property>
  <property fmtid="{D5CDD505-2E9C-101B-9397-08002B2CF9AE}" pid="4" name="KSOTemplateDocerSaveRecord">
    <vt:lpwstr>eyJoZGlkIjoiMmI1NGRjNjk4OWE0ODFlMjUxNmQwNTgxMDQ0ZTU5ZmUiLCJ1c2VySWQiOiIxNjY4NTY0MTc0In0=</vt:lpwstr>
  </property>
</Properties>
</file>