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B66D9">
      <w:pPr>
        <w:pStyle w:val="4"/>
        <w:keepNext w:val="0"/>
        <w:keepLines w:val="0"/>
        <w:widowControl/>
        <w:suppressLineNumbers w:val="0"/>
        <w:spacing w:before="0" w:beforeAutospacing="0" w:after="0" w:afterAutospacing="0"/>
        <w:ind w:left="0" w:right="0" w:firstLine="0"/>
        <w:jc w:val="center"/>
        <w:rPr>
          <w:rFonts w:hint="eastAsia" w:eastAsiaTheme="minorEastAsia"/>
          <w:sz w:val="32"/>
          <w:szCs w:val="32"/>
          <w:lang w:val="en-US" w:eastAsia="zh-CN"/>
        </w:rPr>
      </w:pPr>
      <w:r>
        <w:rPr>
          <w:rFonts w:hint="eastAsia" w:ascii="方正楷体_GB2312" w:hAnsi="方正楷体_GB2312" w:eastAsia="方正楷体_GB2312" w:cs="方正楷体_GB2312"/>
          <w:b/>
          <w:bCs/>
          <w:sz w:val="32"/>
          <w:szCs w:val="32"/>
        </w:rPr>
        <w:t>表</w:t>
      </w:r>
      <w:r>
        <w:rPr>
          <w:rFonts w:hint="eastAsia" w:ascii="方正楷体_GB2312" w:hAnsi="方正楷体_GB2312" w:eastAsia="方正楷体_GB2312" w:cs="方正楷体_GB2312"/>
          <w:b/>
          <w:bCs/>
          <w:sz w:val="32"/>
          <w:szCs w:val="32"/>
          <w:lang w:val="en-US" w:eastAsia="zh-CN"/>
        </w:rPr>
        <w:t>1</w:t>
      </w:r>
      <w:r>
        <w:rPr>
          <w:rFonts w:hint="eastAsia" w:ascii="方正楷体_GB2312" w:hAnsi="方正楷体_GB2312" w:eastAsia="方正楷体_GB2312" w:cs="方正楷体_GB2312"/>
          <w:b/>
          <w:bCs/>
          <w:sz w:val="32"/>
          <w:szCs w:val="32"/>
        </w:rPr>
        <w:t>-1 中山市好小区好房子自评价表（一）：基本</w:t>
      </w:r>
      <w:r>
        <w:rPr>
          <w:rFonts w:hint="eastAsia" w:ascii="方正楷体_GB2312" w:hAnsi="方正楷体_GB2312" w:eastAsia="方正楷体_GB2312" w:cs="方正楷体_GB2312"/>
          <w:b/>
          <w:bCs/>
          <w:sz w:val="32"/>
          <w:szCs w:val="32"/>
          <w:lang w:val="en-US" w:eastAsia="zh-CN"/>
        </w:rPr>
        <w:t>类</w:t>
      </w:r>
      <w:r>
        <w:rPr>
          <w:rFonts w:hint="eastAsia" w:ascii="方正楷体_GB2312" w:hAnsi="方正楷体_GB2312" w:eastAsia="方正楷体_GB2312" w:cs="方正楷体_GB2312"/>
          <w:b/>
          <w:bCs/>
          <w:sz w:val="32"/>
          <w:szCs w:val="32"/>
        </w:rPr>
        <w:t>及星级技术</w:t>
      </w:r>
      <w:r>
        <w:rPr>
          <w:rFonts w:hint="eastAsia" w:ascii="方正楷体_GB2312" w:hAnsi="方正楷体_GB2312" w:eastAsia="方正楷体_GB2312" w:cs="方正楷体_GB2312"/>
          <w:b/>
          <w:bCs/>
          <w:sz w:val="32"/>
          <w:szCs w:val="32"/>
          <w:lang w:val="en-US" w:eastAsia="zh-CN"/>
        </w:rPr>
        <w:t>要求</w:t>
      </w:r>
    </w:p>
    <w:tbl>
      <w:tblPr>
        <w:tblStyle w:val="5"/>
        <w:tblW w:w="15949"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09"/>
        <w:gridCol w:w="590"/>
        <w:gridCol w:w="465"/>
        <w:gridCol w:w="1015"/>
        <w:gridCol w:w="7712"/>
        <w:gridCol w:w="1088"/>
        <w:gridCol w:w="1722"/>
        <w:gridCol w:w="2748"/>
      </w:tblGrid>
      <w:tr w14:paraId="3FA266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09" w:type="dxa"/>
            <w:tcBorders>
              <w:tl2br w:val="nil"/>
              <w:tr2bl w:val="nil"/>
            </w:tcBorders>
            <w:shd w:val="clear" w:color="auto" w:fill="auto"/>
            <w:vAlign w:val="center"/>
          </w:tcPr>
          <w:p w14:paraId="06B4D65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序号    </w:t>
            </w:r>
          </w:p>
        </w:tc>
        <w:tc>
          <w:tcPr>
            <w:tcW w:w="590" w:type="dxa"/>
            <w:tcBorders>
              <w:tl2br w:val="nil"/>
              <w:tr2bl w:val="nil"/>
            </w:tcBorders>
            <w:shd w:val="clear" w:color="auto" w:fill="auto"/>
            <w:vAlign w:val="center"/>
          </w:tcPr>
          <w:p w14:paraId="0ABF1E5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评价项</w:t>
            </w:r>
          </w:p>
        </w:tc>
        <w:tc>
          <w:tcPr>
            <w:tcW w:w="465" w:type="dxa"/>
            <w:tcBorders>
              <w:tl2br w:val="nil"/>
              <w:tr2bl w:val="nil"/>
            </w:tcBorders>
            <w:shd w:val="clear" w:color="auto" w:fill="auto"/>
            <w:vAlign w:val="center"/>
          </w:tcPr>
          <w:p w14:paraId="0BEEC4C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类别</w:t>
            </w:r>
          </w:p>
        </w:tc>
        <w:tc>
          <w:tcPr>
            <w:tcW w:w="1015" w:type="dxa"/>
            <w:tcBorders>
              <w:tl2br w:val="nil"/>
              <w:tr2bl w:val="nil"/>
            </w:tcBorders>
            <w:shd w:val="clear" w:color="auto" w:fill="auto"/>
            <w:vAlign w:val="center"/>
          </w:tcPr>
          <w:p w14:paraId="210F9CD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编号</w:t>
            </w:r>
          </w:p>
        </w:tc>
        <w:tc>
          <w:tcPr>
            <w:tcW w:w="7712" w:type="dxa"/>
            <w:tcBorders>
              <w:tl2br w:val="nil"/>
              <w:tr2bl w:val="nil"/>
            </w:tcBorders>
            <w:shd w:val="clear" w:color="auto" w:fill="auto"/>
            <w:vAlign w:val="center"/>
          </w:tcPr>
          <w:p w14:paraId="38EA8E3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评价内容</w:t>
            </w:r>
          </w:p>
        </w:tc>
        <w:tc>
          <w:tcPr>
            <w:tcW w:w="1088" w:type="dxa"/>
            <w:tcBorders>
              <w:tl2br w:val="nil"/>
              <w:tr2bl w:val="nil"/>
            </w:tcBorders>
            <w:shd w:val="clear" w:color="auto" w:fill="auto"/>
            <w:noWrap/>
            <w:vAlign w:val="center"/>
          </w:tcPr>
          <w:p w14:paraId="406814E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所属专业</w:t>
            </w:r>
          </w:p>
        </w:tc>
        <w:tc>
          <w:tcPr>
            <w:tcW w:w="1722" w:type="dxa"/>
            <w:tcBorders>
              <w:tl2br w:val="nil"/>
              <w:tr2bl w:val="nil"/>
            </w:tcBorders>
            <w:shd w:val="clear" w:color="auto" w:fill="auto"/>
            <w:noWrap/>
            <w:vAlign w:val="center"/>
          </w:tcPr>
          <w:p w14:paraId="59760EC4">
            <w:pPr>
              <w:keepNext w:val="0"/>
              <w:keepLines w:val="0"/>
              <w:pageBreakBefore w:val="0"/>
              <w:widowControl w:val="0"/>
              <w:suppressLineNumbers w:val="0"/>
              <w:kinsoku/>
              <w:wordWrap/>
              <w:overflowPunct/>
              <w:topLinePunct w:val="0"/>
              <w:autoSpaceDE/>
              <w:autoSpaceDN/>
              <w:bidi w:val="0"/>
              <w:adjustRightInd/>
              <w:snapToGrid/>
              <w:jc w:val="both"/>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自评价（勾选）</w:t>
            </w:r>
          </w:p>
        </w:tc>
        <w:tc>
          <w:tcPr>
            <w:tcW w:w="2748" w:type="dxa"/>
            <w:tcBorders>
              <w:tl2br w:val="nil"/>
              <w:tr2bl w:val="nil"/>
            </w:tcBorders>
            <w:shd w:val="clear" w:color="auto" w:fill="auto"/>
            <w:noWrap/>
            <w:vAlign w:val="center"/>
          </w:tcPr>
          <w:p w14:paraId="2A86EB7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需提交证明材料要求</w:t>
            </w:r>
          </w:p>
        </w:tc>
      </w:tr>
      <w:tr w14:paraId="5925F6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8" w:hRule="atLeast"/>
        </w:trPr>
        <w:tc>
          <w:tcPr>
            <w:tcW w:w="15949" w:type="dxa"/>
            <w:gridSpan w:val="8"/>
            <w:tcBorders>
              <w:tl2br w:val="nil"/>
              <w:tr2bl w:val="nil"/>
            </w:tcBorders>
            <w:shd w:val="clear" w:color="auto" w:fill="auto"/>
            <w:vAlign w:val="center"/>
          </w:tcPr>
          <w:p w14:paraId="76E86CF2">
            <w:pPr>
              <w:keepNext w:val="0"/>
              <w:keepLines w:val="0"/>
              <w:pageBreakBefore w:val="0"/>
              <w:widowControl w:val="0"/>
              <w:numPr>
                <w:ilvl w:val="0"/>
                <w:numId w:val="1"/>
              </w:numPr>
              <w:suppressLineNumbers w:val="0"/>
              <w:kinsoku/>
              <w:wordWrap/>
              <w:overflowPunct/>
              <w:topLinePunct w:val="0"/>
              <w:autoSpaceDE/>
              <w:autoSpaceDN/>
              <w:bidi w:val="0"/>
              <w:adjustRightInd/>
              <w:snapToGrid/>
              <w:jc w:val="center"/>
              <w:textAlignment w:val="center"/>
              <w:rPr>
                <w:rFonts w:hint="default" w:ascii="仿宋" w:hAnsi="仿宋" w:eastAsia="仿宋" w:cs="仿宋"/>
                <w:b/>
                <w:bCs/>
                <w:i w:val="0"/>
                <w:iCs w:val="0"/>
                <w:color w:val="auto"/>
                <w:kern w:val="0"/>
                <w:sz w:val="26"/>
                <w:szCs w:val="26"/>
                <w:highlight w:val="none"/>
                <w:u w:val="none"/>
                <w:lang w:val="en-US" w:eastAsia="zh-CN" w:bidi="ar"/>
              </w:rPr>
            </w:pPr>
            <w:r>
              <w:rPr>
                <w:rFonts w:hint="eastAsia" w:ascii="仿宋" w:hAnsi="仿宋" w:eastAsia="仿宋" w:cs="仿宋"/>
                <w:b/>
                <w:bCs/>
                <w:i w:val="0"/>
                <w:iCs w:val="0"/>
                <w:color w:val="auto"/>
                <w:kern w:val="0"/>
                <w:sz w:val="26"/>
                <w:szCs w:val="26"/>
                <w:highlight w:val="none"/>
                <w:u w:val="none"/>
                <w:lang w:val="en-US" w:eastAsia="zh-CN" w:bidi="ar"/>
              </w:rPr>
              <w:t xml:space="preserve">环境宜居 </w:t>
            </w:r>
          </w:p>
          <w:p w14:paraId="3DE360AD">
            <w:pPr>
              <w:keepNext w:val="0"/>
              <w:keepLines w:val="0"/>
              <w:pageBreakBefore w:val="0"/>
              <w:widowControl w:val="0"/>
              <w:numPr>
                <w:ilvl w:val="-1"/>
                <w:numId w:val="0"/>
              </w:numPr>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（基本类25条，预评价全部参评。</w:t>
            </w:r>
            <w:r>
              <w:rPr>
                <w:rFonts w:hint="eastAsia" w:ascii="仿宋" w:hAnsi="仿宋" w:eastAsia="仿宋" w:cs="仿宋"/>
                <w:i w:val="0"/>
                <w:iCs w:val="0"/>
                <w:color w:val="auto"/>
                <w:kern w:val="0"/>
                <w:sz w:val="16"/>
                <w:szCs w:val="16"/>
                <w:highlight w:val="none"/>
                <w:u w:val="none"/>
                <w:lang w:val="en-US" w:eastAsia="zh-CN" w:bidi="ar"/>
              </w:rPr>
              <w:t>）</w:t>
            </w:r>
          </w:p>
        </w:tc>
      </w:tr>
      <w:tr w14:paraId="3CF00F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2" w:hRule="atLeast"/>
        </w:trPr>
        <w:tc>
          <w:tcPr>
            <w:tcW w:w="609" w:type="dxa"/>
            <w:tcBorders>
              <w:tl2br w:val="nil"/>
              <w:tr2bl w:val="nil"/>
            </w:tcBorders>
            <w:shd w:val="clear" w:color="auto" w:fill="auto"/>
            <w:vAlign w:val="center"/>
          </w:tcPr>
          <w:p w14:paraId="526981F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590" w:type="dxa"/>
            <w:vMerge w:val="restart"/>
            <w:tcBorders>
              <w:tl2br w:val="nil"/>
              <w:tr2bl w:val="nil"/>
            </w:tcBorders>
            <w:shd w:val="clear" w:color="auto" w:fill="auto"/>
            <w:vAlign w:val="center"/>
          </w:tcPr>
          <w:p w14:paraId="18C589D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3.1 空间布局</w:t>
            </w:r>
          </w:p>
        </w:tc>
        <w:tc>
          <w:tcPr>
            <w:tcW w:w="465" w:type="dxa"/>
            <w:vMerge w:val="restart"/>
            <w:tcBorders>
              <w:tl2br w:val="nil"/>
              <w:tr2bl w:val="nil"/>
            </w:tcBorders>
            <w:shd w:val="clear" w:color="auto" w:fill="auto"/>
            <w:vAlign w:val="center"/>
          </w:tcPr>
          <w:p w14:paraId="392E614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5D5B574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3.1.1</w:t>
            </w:r>
          </w:p>
        </w:tc>
        <w:tc>
          <w:tcPr>
            <w:tcW w:w="7712" w:type="dxa"/>
            <w:tcBorders>
              <w:tl2br w:val="nil"/>
              <w:tr2bl w:val="nil"/>
            </w:tcBorders>
            <w:shd w:val="clear" w:color="auto" w:fill="auto"/>
            <w:vAlign w:val="center"/>
          </w:tcPr>
          <w:p w14:paraId="0C47AEA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规划布局符合城市总体规划、控制性详细规划及城市设计的要求，依据中山市气候特点与环境条件、经济社会发展水平和文化习俗，遵循统一规划、合理布局、节约土地、因地制宜、配套建设、综合开发的原则，满足现行国家标准以及《中山市国土空间规划技术标准与准则》的有关要求，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 xml:space="preserve">1  综合考虑周边环境、路网结构、市政设施、建筑布局、绿地景观系统等内在联系，构建一个完善的、相对独立的有机整体； </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合理规划功能分区，不同分区相对独立，注重动静分区，避免相互干扰；</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合理布置小区配套商业，避免商业设施对住户产生异味、噪声污染等影响。</w:t>
            </w:r>
          </w:p>
        </w:tc>
        <w:tc>
          <w:tcPr>
            <w:tcW w:w="1088" w:type="dxa"/>
            <w:tcBorders>
              <w:tl2br w:val="nil"/>
              <w:tr2bl w:val="nil"/>
            </w:tcBorders>
            <w:shd w:val="clear" w:color="auto" w:fill="auto"/>
            <w:noWrap/>
            <w:vAlign w:val="center"/>
          </w:tcPr>
          <w:p w14:paraId="3D0CC84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0D91E1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C39C36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7DA774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相关设计图纸</w:t>
            </w:r>
          </w:p>
        </w:tc>
      </w:tr>
      <w:tr w14:paraId="5D03F7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17A5955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590" w:type="dxa"/>
            <w:vMerge w:val="continue"/>
            <w:tcBorders>
              <w:tl2br w:val="nil"/>
              <w:tr2bl w:val="nil"/>
            </w:tcBorders>
            <w:shd w:val="clear" w:color="auto" w:fill="auto"/>
            <w:vAlign w:val="center"/>
          </w:tcPr>
          <w:p w14:paraId="369129E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9F653F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7DAB04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3.1.2</w:t>
            </w:r>
          </w:p>
        </w:tc>
        <w:tc>
          <w:tcPr>
            <w:tcW w:w="7712" w:type="dxa"/>
            <w:tcBorders>
              <w:tl2br w:val="nil"/>
              <w:tr2bl w:val="nil"/>
            </w:tcBorders>
            <w:shd w:val="clear" w:color="auto" w:fill="auto"/>
            <w:vAlign w:val="center"/>
          </w:tcPr>
          <w:p w14:paraId="5FAED74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小区规划布局充分保护和利用好中山市自然山水格局，延续中山历史文脉、保护历史文化遗产并与传统风貌相协调。</w:t>
            </w:r>
          </w:p>
        </w:tc>
        <w:tc>
          <w:tcPr>
            <w:tcW w:w="1088" w:type="dxa"/>
            <w:tcBorders>
              <w:tl2br w:val="nil"/>
              <w:tr2bl w:val="nil"/>
            </w:tcBorders>
            <w:shd w:val="clear" w:color="auto" w:fill="auto"/>
            <w:noWrap/>
            <w:vAlign w:val="center"/>
          </w:tcPr>
          <w:p w14:paraId="7D79751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6D82CE1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7A836F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54DF1E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3A4017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1" w:hRule="atLeast"/>
        </w:trPr>
        <w:tc>
          <w:tcPr>
            <w:tcW w:w="609" w:type="dxa"/>
            <w:tcBorders>
              <w:tl2br w:val="nil"/>
              <w:tr2bl w:val="nil"/>
            </w:tcBorders>
            <w:shd w:val="clear" w:color="auto" w:fill="auto"/>
            <w:vAlign w:val="center"/>
          </w:tcPr>
          <w:p w14:paraId="65EB953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590" w:type="dxa"/>
            <w:vMerge w:val="continue"/>
            <w:tcBorders>
              <w:tl2br w:val="nil"/>
              <w:tr2bl w:val="nil"/>
            </w:tcBorders>
            <w:shd w:val="clear" w:color="auto" w:fill="auto"/>
            <w:vAlign w:val="center"/>
          </w:tcPr>
          <w:p w14:paraId="4E1DE8D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4FD8EC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E98C13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3.1.3</w:t>
            </w:r>
          </w:p>
        </w:tc>
        <w:tc>
          <w:tcPr>
            <w:tcW w:w="7712" w:type="dxa"/>
            <w:tcBorders>
              <w:tl2br w:val="nil"/>
              <w:tr2bl w:val="nil"/>
            </w:tcBorders>
            <w:shd w:val="clear" w:color="auto" w:fill="auto"/>
            <w:vAlign w:val="center"/>
          </w:tcPr>
          <w:p w14:paraId="1569B8C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小区规划设计结合庭院、道路、公共绿地及小广场等空间形成连续、完整的公共空间系统，并符合下列规定：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通过建筑布局形成层次丰富、尺度适宜的庭院空间；</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结合配套设施的布局塑造连续、宜人、有活力的公共空间；</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构建动静分区合理、边界清晰连续的公共活动场地。</w:t>
            </w:r>
          </w:p>
        </w:tc>
        <w:tc>
          <w:tcPr>
            <w:tcW w:w="1088" w:type="dxa"/>
            <w:tcBorders>
              <w:tl2br w:val="nil"/>
              <w:tr2bl w:val="nil"/>
            </w:tcBorders>
            <w:shd w:val="clear" w:color="auto" w:fill="auto"/>
            <w:noWrap/>
            <w:vAlign w:val="center"/>
          </w:tcPr>
          <w:p w14:paraId="63C6EEF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787B1BD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34A7A5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5FE96F7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3CC01FE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31B406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5" w:hRule="atLeast"/>
        </w:trPr>
        <w:tc>
          <w:tcPr>
            <w:tcW w:w="609" w:type="dxa"/>
            <w:tcBorders>
              <w:tl2br w:val="nil"/>
              <w:tr2bl w:val="nil"/>
            </w:tcBorders>
            <w:shd w:val="clear" w:color="auto" w:fill="auto"/>
            <w:vAlign w:val="center"/>
          </w:tcPr>
          <w:p w14:paraId="7C02E60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590" w:type="dxa"/>
            <w:vMerge w:val="continue"/>
            <w:tcBorders>
              <w:tl2br w:val="nil"/>
              <w:tr2bl w:val="nil"/>
            </w:tcBorders>
            <w:shd w:val="clear" w:color="auto" w:fill="auto"/>
            <w:vAlign w:val="center"/>
          </w:tcPr>
          <w:p w14:paraId="1E76A19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C9CDA5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61992A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3.1.4</w:t>
            </w:r>
          </w:p>
        </w:tc>
        <w:tc>
          <w:tcPr>
            <w:tcW w:w="7712" w:type="dxa"/>
            <w:tcBorders>
              <w:tl2br w:val="nil"/>
              <w:tr2bl w:val="nil"/>
            </w:tcBorders>
            <w:shd w:val="clear" w:color="auto" w:fill="auto"/>
            <w:vAlign w:val="center"/>
          </w:tcPr>
          <w:p w14:paraId="4F922BF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小区结合中山亚热带季风气候特点，建筑布局利于夏季自然通风，减轻热岛效应，同时有利于冬季增加日照、降低冷风对建筑的影响。</w:t>
            </w:r>
          </w:p>
        </w:tc>
        <w:tc>
          <w:tcPr>
            <w:tcW w:w="1088" w:type="dxa"/>
            <w:tcBorders>
              <w:tl2br w:val="nil"/>
              <w:tr2bl w:val="nil"/>
            </w:tcBorders>
            <w:shd w:val="clear" w:color="auto" w:fill="auto"/>
            <w:noWrap/>
            <w:vAlign w:val="center"/>
          </w:tcPr>
          <w:p w14:paraId="40A6413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17813B3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F00F0B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3EDD96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038D4E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72DF254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590" w:type="dxa"/>
            <w:vMerge w:val="continue"/>
            <w:tcBorders>
              <w:tl2br w:val="nil"/>
              <w:tr2bl w:val="nil"/>
            </w:tcBorders>
            <w:shd w:val="clear" w:color="auto" w:fill="auto"/>
            <w:vAlign w:val="center"/>
          </w:tcPr>
          <w:p w14:paraId="6B5AA89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43358C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809AEB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3.1.5</w:t>
            </w:r>
          </w:p>
        </w:tc>
        <w:tc>
          <w:tcPr>
            <w:tcW w:w="7712" w:type="dxa"/>
            <w:tcBorders>
              <w:tl2br w:val="nil"/>
              <w:tr2bl w:val="nil"/>
            </w:tcBorders>
            <w:shd w:val="clear" w:color="auto" w:fill="auto"/>
            <w:vAlign w:val="center"/>
          </w:tcPr>
          <w:p w14:paraId="7FD9595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小区对外交通组织与公共交通、消防、急救、环卫等功能流线衔接顺畅，小区出入口距离公共交通站点500m覆盖率达到100%，合理设置小区停车场所出入口，车行出入口设有安全缓冲距离。</w:t>
            </w:r>
          </w:p>
        </w:tc>
        <w:tc>
          <w:tcPr>
            <w:tcW w:w="1088" w:type="dxa"/>
            <w:tcBorders>
              <w:tl2br w:val="nil"/>
              <w:tr2bl w:val="nil"/>
            </w:tcBorders>
            <w:shd w:val="clear" w:color="auto" w:fill="auto"/>
            <w:noWrap/>
            <w:vAlign w:val="center"/>
          </w:tcPr>
          <w:p w14:paraId="4D3FC7B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839E69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919353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EFED1B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456A65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09" w:type="dxa"/>
            <w:tcBorders>
              <w:tl2br w:val="nil"/>
              <w:tr2bl w:val="nil"/>
            </w:tcBorders>
            <w:shd w:val="clear" w:color="auto" w:fill="auto"/>
            <w:vAlign w:val="center"/>
          </w:tcPr>
          <w:p w14:paraId="7B95D97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w:t>
            </w:r>
          </w:p>
        </w:tc>
        <w:tc>
          <w:tcPr>
            <w:tcW w:w="590" w:type="dxa"/>
            <w:vMerge w:val="continue"/>
            <w:tcBorders>
              <w:tl2br w:val="nil"/>
              <w:tr2bl w:val="nil"/>
            </w:tcBorders>
            <w:shd w:val="clear" w:color="auto" w:fill="auto"/>
            <w:vAlign w:val="center"/>
          </w:tcPr>
          <w:p w14:paraId="5FE9B17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97630F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EC462F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3.1.6</w:t>
            </w:r>
          </w:p>
        </w:tc>
        <w:tc>
          <w:tcPr>
            <w:tcW w:w="7712" w:type="dxa"/>
            <w:tcBorders>
              <w:tl2br w:val="nil"/>
              <w:tr2bl w:val="nil"/>
            </w:tcBorders>
            <w:shd w:val="clear" w:color="auto" w:fill="auto"/>
            <w:vAlign w:val="center"/>
          </w:tcPr>
          <w:p w14:paraId="4B9F2BD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小区进行人车分流设计，合理规划不同的流动路线，避免各动线交叉，满足以下要求： </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实行“人、车、非机动车”分流设计，通过人行流线与车行流线的分层组织，减少不同交通方式的相互干扰；</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小区合理规划住户、访客、出租车、搬家、消防、急救、快递、垃圾清运等不同车辆的动线。急救车辆能到达每个单元主出入口，消防车、救护车、搬家货运车能够通达每栋住宅楼大堂前15m范围处；</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小区形成连续、安全、通达的非机动车交通系统，非机动车停车位设于地下时，设置非机动车专用坡道；</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无障碍机动车停车位设置在通行方便、路线短的停车区域；</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  小区设置完整的慢行系统，连接各类配套设施、公共活动空间、各楼栋大堂及小区出入口。小区主要人行道宽度不小于2.5m，并配备良好的夜间照明设施。</w:t>
            </w:r>
          </w:p>
        </w:tc>
        <w:tc>
          <w:tcPr>
            <w:tcW w:w="1088" w:type="dxa"/>
            <w:tcBorders>
              <w:tl2br w:val="nil"/>
              <w:tr2bl w:val="nil"/>
            </w:tcBorders>
            <w:shd w:val="clear" w:color="auto" w:fill="auto"/>
            <w:noWrap/>
            <w:vAlign w:val="center"/>
          </w:tcPr>
          <w:p w14:paraId="2306752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795B0E5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69F417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5C188D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6B5790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343BBD7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w:t>
            </w:r>
          </w:p>
        </w:tc>
        <w:tc>
          <w:tcPr>
            <w:tcW w:w="590" w:type="dxa"/>
            <w:vMerge w:val="continue"/>
            <w:tcBorders>
              <w:tl2br w:val="nil"/>
              <w:tr2bl w:val="nil"/>
            </w:tcBorders>
            <w:shd w:val="clear" w:color="auto" w:fill="auto"/>
            <w:vAlign w:val="center"/>
          </w:tcPr>
          <w:p w14:paraId="2EB27B4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E2922D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CAEEED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3.1.7</w:t>
            </w:r>
          </w:p>
        </w:tc>
        <w:tc>
          <w:tcPr>
            <w:tcW w:w="7712" w:type="dxa"/>
            <w:tcBorders>
              <w:tl2br w:val="nil"/>
              <w:tr2bl w:val="nil"/>
            </w:tcBorders>
            <w:shd w:val="clear" w:color="auto" w:fill="auto"/>
            <w:vAlign w:val="center"/>
          </w:tcPr>
          <w:p w14:paraId="4ACCEE4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小区满足无障碍和适龄化相关强制性标准要求。</w:t>
            </w:r>
          </w:p>
        </w:tc>
        <w:tc>
          <w:tcPr>
            <w:tcW w:w="1088" w:type="dxa"/>
            <w:tcBorders>
              <w:tl2br w:val="nil"/>
              <w:tr2bl w:val="nil"/>
            </w:tcBorders>
            <w:shd w:val="clear" w:color="auto" w:fill="auto"/>
            <w:noWrap/>
            <w:vAlign w:val="center"/>
          </w:tcPr>
          <w:p w14:paraId="3795198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43A6D80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4F336D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E3F6DE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65B2D1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1666BBE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w:t>
            </w:r>
          </w:p>
        </w:tc>
        <w:tc>
          <w:tcPr>
            <w:tcW w:w="590" w:type="dxa"/>
            <w:vMerge w:val="restart"/>
            <w:tcBorders>
              <w:tl2br w:val="nil"/>
              <w:tr2bl w:val="nil"/>
            </w:tcBorders>
            <w:shd w:val="clear" w:color="auto" w:fill="auto"/>
            <w:vAlign w:val="center"/>
          </w:tcPr>
          <w:p w14:paraId="2906D3C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 配套设施</w:t>
            </w:r>
          </w:p>
        </w:tc>
        <w:tc>
          <w:tcPr>
            <w:tcW w:w="465" w:type="dxa"/>
            <w:vMerge w:val="restart"/>
            <w:tcBorders>
              <w:tl2br w:val="nil"/>
              <w:tr2bl w:val="nil"/>
            </w:tcBorders>
            <w:shd w:val="clear" w:color="auto" w:fill="auto"/>
            <w:vAlign w:val="center"/>
          </w:tcPr>
          <w:p w14:paraId="6D91429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3801715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3.2.1</w:t>
            </w:r>
          </w:p>
        </w:tc>
        <w:tc>
          <w:tcPr>
            <w:tcW w:w="7712" w:type="dxa"/>
            <w:tcBorders>
              <w:tl2br w:val="nil"/>
              <w:tr2bl w:val="nil"/>
            </w:tcBorders>
            <w:shd w:val="clear" w:color="auto" w:fill="auto"/>
            <w:vAlign w:val="center"/>
          </w:tcPr>
          <w:p w14:paraId="117F127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小区的配套设施遵循方便使用、统筹开放、兼顾发展的原则进行配置，其用地及建筑面积与居住人口规模和设施服务半径相匹配，并符合现行《中山市国土空间规划技术标准与准则》的公共服务设施配置标准。</w:t>
            </w:r>
          </w:p>
        </w:tc>
        <w:tc>
          <w:tcPr>
            <w:tcW w:w="1088" w:type="dxa"/>
            <w:tcBorders>
              <w:tl2br w:val="nil"/>
              <w:tr2bl w:val="nil"/>
            </w:tcBorders>
            <w:shd w:val="clear" w:color="auto" w:fill="auto"/>
            <w:noWrap/>
            <w:vAlign w:val="center"/>
          </w:tcPr>
          <w:p w14:paraId="54097B1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4FF9E8A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A6117E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9A051E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252C58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4E5FFE3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w:t>
            </w:r>
          </w:p>
        </w:tc>
        <w:tc>
          <w:tcPr>
            <w:tcW w:w="590" w:type="dxa"/>
            <w:vMerge w:val="continue"/>
            <w:tcBorders>
              <w:tl2br w:val="nil"/>
              <w:tr2bl w:val="nil"/>
            </w:tcBorders>
            <w:shd w:val="clear" w:color="auto" w:fill="auto"/>
            <w:vAlign w:val="center"/>
          </w:tcPr>
          <w:p w14:paraId="38EB03B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8CF66A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1B4AA1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3.2.2</w:t>
            </w:r>
          </w:p>
        </w:tc>
        <w:tc>
          <w:tcPr>
            <w:tcW w:w="7712" w:type="dxa"/>
            <w:tcBorders>
              <w:tl2br w:val="nil"/>
              <w:tr2bl w:val="nil"/>
            </w:tcBorders>
            <w:shd w:val="clear" w:color="auto" w:fill="auto"/>
            <w:vAlign w:val="center"/>
          </w:tcPr>
          <w:p w14:paraId="7E79E59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小区结合人口规模设置“一老一小”养老托育服务设施，按需求配套老年人活动中心、老人日间照料中心、长者饭堂、托儿所等。具体配建指标按相关标准执行。</w:t>
            </w:r>
          </w:p>
        </w:tc>
        <w:tc>
          <w:tcPr>
            <w:tcW w:w="1088" w:type="dxa"/>
            <w:tcBorders>
              <w:tl2br w:val="nil"/>
              <w:tr2bl w:val="nil"/>
            </w:tcBorders>
            <w:shd w:val="clear" w:color="auto" w:fill="auto"/>
            <w:noWrap/>
            <w:vAlign w:val="center"/>
          </w:tcPr>
          <w:p w14:paraId="6F4F7FB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52BDBB6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2301C7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34EA7B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7C537A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22C2D5E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 xml:space="preserve">                                        10</w:t>
            </w:r>
          </w:p>
        </w:tc>
        <w:tc>
          <w:tcPr>
            <w:tcW w:w="590" w:type="dxa"/>
            <w:vMerge w:val="continue"/>
            <w:tcBorders>
              <w:tl2br w:val="nil"/>
              <w:tr2bl w:val="nil"/>
            </w:tcBorders>
            <w:shd w:val="clear" w:color="auto" w:fill="auto"/>
            <w:vAlign w:val="center"/>
          </w:tcPr>
          <w:p w14:paraId="02CAAD6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B31792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60D521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3.2.3</w:t>
            </w:r>
          </w:p>
        </w:tc>
        <w:tc>
          <w:tcPr>
            <w:tcW w:w="7712" w:type="dxa"/>
            <w:tcBorders>
              <w:tl2br w:val="nil"/>
              <w:tr2bl w:val="nil"/>
            </w:tcBorders>
            <w:shd w:val="clear" w:color="auto" w:fill="auto"/>
            <w:vAlign w:val="center"/>
          </w:tcPr>
          <w:p w14:paraId="7297AF8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小区设置适合儿童游乐、老年人休憩的室外活动场地和室内活动空间，并对设施进行适老适幼设计与安装，且符合现行行业标准《老年人照料设施建筑设计标准》JGJ 450的有关规定。</w:t>
            </w:r>
          </w:p>
        </w:tc>
        <w:tc>
          <w:tcPr>
            <w:tcW w:w="1088" w:type="dxa"/>
            <w:tcBorders>
              <w:tl2br w:val="nil"/>
              <w:tr2bl w:val="nil"/>
            </w:tcBorders>
            <w:shd w:val="clear" w:color="auto" w:fill="auto"/>
            <w:noWrap/>
            <w:vAlign w:val="center"/>
          </w:tcPr>
          <w:p w14:paraId="33F4B2E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58AD3D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C86ED1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49408D6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29CDCFB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047502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90" w:hRule="atLeast"/>
        </w:trPr>
        <w:tc>
          <w:tcPr>
            <w:tcW w:w="609" w:type="dxa"/>
            <w:tcBorders>
              <w:tl2br w:val="nil"/>
              <w:tr2bl w:val="nil"/>
            </w:tcBorders>
            <w:shd w:val="clear" w:color="auto" w:fill="auto"/>
            <w:vAlign w:val="center"/>
          </w:tcPr>
          <w:p w14:paraId="0AFAE42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w:t>
            </w:r>
          </w:p>
        </w:tc>
        <w:tc>
          <w:tcPr>
            <w:tcW w:w="590" w:type="dxa"/>
            <w:vMerge w:val="continue"/>
            <w:tcBorders>
              <w:tl2br w:val="nil"/>
              <w:tr2bl w:val="nil"/>
            </w:tcBorders>
            <w:shd w:val="clear" w:color="auto" w:fill="auto"/>
            <w:vAlign w:val="center"/>
          </w:tcPr>
          <w:p w14:paraId="41944CC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8DF291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F1EBDC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3.2.4</w:t>
            </w:r>
          </w:p>
        </w:tc>
        <w:tc>
          <w:tcPr>
            <w:tcW w:w="7712" w:type="dxa"/>
            <w:tcBorders>
              <w:tl2br w:val="nil"/>
              <w:tr2bl w:val="nil"/>
            </w:tcBorders>
            <w:shd w:val="clear" w:color="auto" w:fill="auto"/>
            <w:vAlign w:val="center"/>
          </w:tcPr>
          <w:p w14:paraId="1378AA6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小区公共活动场地设施满足以下要求：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公共空间场地设有休息座椅、垃圾箱、信息栏等服务设施，活动场地配有轮椅停放处、避雨、遮阳等设施；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公共空间场地100m范围内设有位于首层的供小区业主使用的卫生间，并设有无障碍厕位和洗手盆。</w:t>
            </w:r>
          </w:p>
        </w:tc>
        <w:tc>
          <w:tcPr>
            <w:tcW w:w="1088" w:type="dxa"/>
            <w:tcBorders>
              <w:tl2br w:val="nil"/>
              <w:tr2bl w:val="nil"/>
            </w:tcBorders>
            <w:shd w:val="clear" w:color="auto" w:fill="auto"/>
            <w:noWrap/>
            <w:vAlign w:val="center"/>
          </w:tcPr>
          <w:p w14:paraId="5594D44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1017AD6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66A9A4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1F6851D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4D8A67C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r>
              <w:rPr>
                <w:rFonts w:hint="eastAsia" w:ascii="仿宋" w:hAnsi="仿宋" w:eastAsia="仿宋" w:cs="仿宋"/>
                <w:i w:val="0"/>
                <w:color w:val="auto"/>
                <w:kern w:val="0"/>
                <w:sz w:val="22"/>
                <w:szCs w:val="22"/>
                <w:highlight w:val="none"/>
                <w:u w:val="none"/>
                <w:lang w:val="en-US" w:eastAsia="zh-CN" w:bidi="ar"/>
              </w:rPr>
              <w:t>各类设施使用手册</w:t>
            </w:r>
          </w:p>
        </w:tc>
      </w:tr>
      <w:tr w14:paraId="20FAF1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552B5C6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w:t>
            </w:r>
          </w:p>
        </w:tc>
        <w:tc>
          <w:tcPr>
            <w:tcW w:w="590" w:type="dxa"/>
            <w:vMerge w:val="continue"/>
            <w:tcBorders>
              <w:tl2br w:val="nil"/>
              <w:tr2bl w:val="nil"/>
            </w:tcBorders>
            <w:shd w:val="clear" w:color="auto" w:fill="auto"/>
            <w:vAlign w:val="center"/>
          </w:tcPr>
          <w:p w14:paraId="240A51B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5448DA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627BAA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3.2.5</w:t>
            </w:r>
          </w:p>
        </w:tc>
        <w:tc>
          <w:tcPr>
            <w:tcW w:w="7712" w:type="dxa"/>
            <w:tcBorders>
              <w:tl2br w:val="nil"/>
              <w:tr2bl w:val="nil"/>
            </w:tcBorders>
            <w:shd w:val="clear" w:color="auto" w:fill="auto"/>
            <w:vAlign w:val="center"/>
          </w:tcPr>
          <w:p w14:paraId="3E2AC8B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小区规划充分考虑变配电房、发电机房、水泵房、空调机房、环卫设施等设备用房与住宅建筑的关系，减少对住户生活的影响。</w:t>
            </w:r>
          </w:p>
        </w:tc>
        <w:tc>
          <w:tcPr>
            <w:tcW w:w="1088" w:type="dxa"/>
            <w:tcBorders>
              <w:tl2br w:val="nil"/>
              <w:tr2bl w:val="nil"/>
            </w:tcBorders>
            <w:shd w:val="clear" w:color="auto" w:fill="auto"/>
            <w:noWrap/>
            <w:vAlign w:val="center"/>
          </w:tcPr>
          <w:p w14:paraId="697E038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1AB6AA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926EB1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33D3B0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5D1BB3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1025BC7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13</w:t>
            </w:r>
          </w:p>
        </w:tc>
        <w:tc>
          <w:tcPr>
            <w:tcW w:w="590" w:type="dxa"/>
            <w:vMerge w:val="continue"/>
            <w:tcBorders>
              <w:tl2br w:val="nil"/>
              <w:tr2bl w:val="nil"/>
            </w:tcBorders>
            <w:shd w:val="clear" w:color="auto" w:fill="auto"/>
            <w:vAlign w:val="center"/>
          </w:tcPr>
          <w:p w14:paraId="0EC8EBD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D8AC59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BE89E0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3.2.6</w:t>
            </w:r>
          </w:p>
        </w:tc>
        <w:tc>
          <w:tcPr>
            <w:tcW w:w="7712" w:type="dxa"/>
            <w:tcBorders>
              <w:tl2br w:val="nil"/>
              <w:tr2bl w:val="nil"/>
            </w:tcBorders>
            <w:shd w:val="clear" w:color="auto" w:fill="auto"/>
            <w:vAlign w:val="center"/>
          </w:tcPr>
          <w:p w14:paraId="2C9AA69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电动自行车停车库独立设于室外、半地下车库、地下一层或地面一层的独立防火单元内，不设于住宅架空层、地下二层及以下。</w:t>
            </w:r>
          </w:p>
        </w:tc>
        <w:tc>
          <w:tcPr>
            <w:tcW w:w="1088" w:type="dxa"/>
            <w:tcBorders>
              <w:tl2br w:val="nil"/>
              <w:tr2bl w:val="nil"/>
            </w:tcBorders>
            <w:shd w:val="clear" w:color="auto" w:fill="auto"/>
            <w:noWrap/>
            <w:vAlign w:val="center"/>
          </w:tcPr>
          <w:p w14:paraId="14FA22F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64F117D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3FC55A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695A19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505C50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3F02905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14</w:t>
            </w:r>
          </w:p>
        </w:tc>
        <w:tc>
          <w:tcPr>
            <w:tcW w:w="590" w:type="dxa"/>
            <w:vMerge w:val="restart"/>
            <w:tcBorders>
              <w:tl2br w:val="nil"/>
              <w:tr2bl w:val="nil"/>
            </w:tcBorders>
            <w:shd w:val="clear" w:color="auto" w:fill="auto"/>
            <w:vAlign w:val="center"/>
          </w:tcPr>
          <w:p w14:paraId="30B98FC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 场地环境</w:t>
            </w:r>
          </w:p>
        </w:tc>
        <w:tc>
          <w:tcPr>
            <w:tcW w:w="465" w:type="dxa"/>
            <w:vMerge w:val="restart"/>
            <w:tcBorders>
              <w:tl2br w:val="nil"/>
              <w:tr2bl w:val="nil"/>
            </w:tcBorders>
            <w:shd w:val="clear" w:color="auto" w:fill="auto"/>
            <w:vAlign w:val="center"/>
          </w:tcPr>
          <w:p w14:paraId="5695C15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220E9A3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3.3.1</w:t>
            </w:r>
          </w:p>
        </w:tc>
        <w:tc>
          <w:tcPr>
            <w:tcW w:w="7712" w:type="dxa"/>
            <w:tcBorders>
              <w:tl2br w:val="nil"/>
              <w:tr2bl w:val="nil"/>
            </w:tcBorders>
            <w:shd w:val="clear" w:color="auto" w:fill="auto"/>
            <w:vAlign w:val="center"/>
          </w:tcPr>
          <w:p w14:paraId="20F099F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小区场地设计充分利用地形地貌条件，绿化景观设计疏密有致、收放有度，景观元素之间过渡自然，形成连续的景观空间系统。场地竖向设计为交通组织、土方平衡、给水、排水、植物种植创造良好条件。</w:t>
            </w:r>
          </w:p>
        </w:tc>
        <w:tc>
          <w:tcPr>
            <w:tcW w:w="1088" w:type="dxa"/>
            <w:tcBorders>
              <w:tl2br w:val="nil"/>
              <w:tr2bl w:val="nil"/>
            </w:tcBorders>
            <w:shd w:val="clear" w:color="auto" w:fill="auto"/>
            <w:noWrap/>
            <w:vAlign w:val="center"/>
          </w:tcPr>
          <w:p w14:paraId="780FD9D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E29A3F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461B3C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3B1527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1BB671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215098D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w:t>
            </w:r>
          </w:p>
        </w:tc>
        <w:tc>
          <w:tcPr>
            <w:tcW w:w="590" w:type="dxa"/>
            <w:vMerge w:val="continue"/>
            <w:tcBorders>
              <w:tl2br w:val="nil"/>
              <w:tr2bl w:val="nil"/>
            </w:tcBorders>
            <w:shd w:val="clear" w:color="auto" w:fill="auto"/>
            <w:vAlign w:val="center"/>
          </w:tcPr>
          <w:p w14:paraId="4A34631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BFAC66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B08369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3.3.2</w:t>
            </w:r>
          </w:p>
        </w:tc>
        <w:tc>
          <w:tcPr>
            <w:tcW w:w="7712" w:type="dxa"/>
            <w:tcBorders>
              <w:tl2br w:val="nil"/>
              <w:tr2bl w:val="nil"/>
            </w:tcBorders>
            <w:shd w:val="clear" w:color="auto" w:fill="auto"/>
            <w:vAlign w:val="center"/>
          </w:tcPr>
          <w:p w14:paraId="21762F5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小区设置不低于0.5m²/人的集中绿地，最小宽度不小于8m。在标准的建筑日照阴影线范围之外的绿地面积占比不小于1/3。</w:t>
            </w:r>
          </w:p>
        </w:tc>
        <w:tc>
          <w:tcPr>
            <w:tcW w:w="1088" w:type="dxa"/>
            <w:tcBorders>
              <w:tl2br w:val="nil"/>
              <w:tr2bl w:val="nil"/>
            </w:tcBorders>
            <w:shd w:val="clear" w:color="auto" w:fill="auto"/>
            <w:noWrap/>
            <w:vAlign w:val="center"/>
          </w:tcPr>
          <w:p w14:paraId="4753367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9588E6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D6CD3E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DEA596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26A553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0" w:hRule="atLeast"/>
        </w:trPr>
        <w:tc>
          <w:tcPr>
            <w:tcW w:w="609" w:type="dxa"/>
            <w:tcBorders>
              <w:tl2br w:val="nil"/>
              <w:tr2bl w:val="nil"/>
            </w:tcBorders>
            <w:shd w:val="clear" w:color="auto" w:fill="auto"/>
            <w:vAlign w:val="center"/>
          </w:tcPr>
          <w:p w14:paraId="2D65869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16</w:t>
            </w:r>
          </w:p>
        </w:tc>
        <w:tc>
          <w:tcPr>
            <w:tcW w:w="590" w:type="dxa"/>
            <w:vMerge w:val="continue"/>
            <w:tcBorders>
              <w:tl2br w:val="nil"/>
              <w:tr2bl w:val="nil"/>
            </w:tcBorders>
            <w:shd w:val="clear" w:color="auto" w:fill="auto"/>
            <w:vAlign w:val="center"/>
          </w:tcPr>
          <w:p w14:paraId="4C5D1C6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6E5302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59FB23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3.3.3</w:t>
            </w:r>
          </w:p>
        </w:tc>
        <w:tc>
          <w:tcPr>
            <w:tcW w:w="7712" w:type="dxa"/>
            <w:tcBorders>
              <w:tl2br w:val="nil"/>
              <w:tr2bl w:val="nil"/>
            </w:tcBorders>
            <w:shd w:val="clear" w:color="auto" w:fill="auto"/>
            <w:vAlign w:val="center"/>
          </w:tcPr>
          <w:p w14:paraId="4956D3A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小区设有满足居民康体休闲活动需求的公共活动场地，配置相应的设施，合理布局功能场地，建设舒适宜人、功能完善的全龄友好型居住环境。并满足以下要求：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室外健身场地面积不少于总用地面积的0.5%，设置宽度不少于1.25m 的专用健身慢行道，其长度不小于净用地红线周长的1/4且不小于100m；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总建筑面积达到10万m²及以上的居住小区，按室内人均建筑面积不低于0.1m²或室外人均用地面积不低于0.3m²的标准，配建全民健身场地设施。</w:t>
            </w:r>
          </w:p>
        </w:tc>
        <w:tc>
          <w:tcPr>
            <w:tcW w:w="1088" w:type="dxa"/>
            <w:tcBorders>
              <w:tl2br w:val="nil"/>
              <w:tr2bl w:val="nil"/>
            </w:tcBorders>
            <w:shd w:val="clear" w:color="auto" w:fill="auto"/>
            <w:noWrap/>
            <w:vAlign w:val="center"/>
          </w:tcPr>
          <w:p w14:paraId="0E82544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569E88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01CE74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AD35E95">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相关设计图纸、设计说明</w:t>
            </w:r>
          </w:p>
        </w:tc>
      </w:tr>
      <w:tr w14:paraId="1A48AB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5A16DBB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17</w:t>
            </w:r>
          </w:p>
        </w:tc>
        <w:tc>
          <w:tcPr>
            <w:tcW w:w="590" w:type="dxa"/>
            <w:vMerge w:val="continue"/>
            <w:tcBorders>
              <w:tl2br w:val="nil"/>
              <w:tr2bl w:val="nil"/>
            </w:tcBorders>
            <w:shd w:val="clear" w:color="auto" w:fill="auto"/>
            <w:vAlign w:val="center"/>
          </w:tcPr>
          <w:p w14:paraId="17C19C2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73E1BB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FD5D80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3.3.4</w:t>
            </w:r>
          </w:p>
        </w:tc>
        <w:tc>
          <w:tcPr>
            <w:tcW w:w="7712" w:type="dxa"/>
            <w:tcBorders>
              <w:tl2br w:val="nil"/>
              <w:tr2bl w:val="nil"/>
            </w:tcBorders>
            <w:shd w:val="clear" w:color="auto" w:fill="auto"/>
            <w:vAlign w:val="center"/>
          </w:tcPr>
          <w:p w14:paraId="129CB9A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小区设置景观小品美化生活环境。</w:t>
            </w:r>
          </w:p>
        </w:tc>
        <w:tc>
          <w:tcPr>
            <w:tcW w:w="1088" w:type="dxa"/>
            <w:tcBorders>
              <w:tl2br w:val="nil"/>
              <w:tr2bl w:val="nil"/>
            </w:tcBorders>
            <w:shd w:val="clear" w:color="auto" w:fill="auto"/>
            <w:noWrap/>
            <w:vAlign w:val="center"/>
          </w:tcPr>
          <w:p w14:paraId="118760C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7A7D85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C5C37F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FD62FB9">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571665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2F25347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18</w:t>
            </w:r>
          </w:p>
        </w:tc>
        <w:tc>
          <w:tcPr>
            <w:tcW w:w="590" w:type="dxa"/>
            <w:vMerge w:val="continue"/>
            <w:tcBorders>
              <w:tl2br w:val="nil"/>
              <w:tr2bl w:val="nil"/>
            </w:tcBorders>
            <w:shd w:val="clear" w:color="auto" w:fill="auto"/>
            <w:vAlign w:val="center"/>
          </w:tcPr>
          <w:p w14:paraId="518417B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DB54F6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00D833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3.3.5</w:t>
            </w:r>
          </w:p>
        </w:tc>
        <w:tc>
          <w:tcPr>
            <w:tcW w:w="7712" w:type="dxa"/>
            <w:tcBorders>
              <w:tl2br w:val="nil"/>
              <w:tr2bl w:val="nil"/>
            </w:tcBorders>
            <w:shd w:val="clear" w:color="auto" w:fill="auto"/>
            <w:vAlign w:val="center"/>
          </w:tcPr>
          <w:p w14:paraId="1DD0705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小区的围墙结合景观和场地竖向进行设计。</w:t>
            </w:r>
          </w:p>
        </w:tc>
        <w:tc>
          <w:tcPr>
            <w:tcW w:w="1088" w:type="dxa"/>
            <w:tcBorders>
              <w:tl2br w:val="nil"/>
              <w:tr2bl w:val="nil"/>
            </w:tcBorders>
            <w:shd w:val="clear" w:color="auto" w:fill="auto"/>
            <w:noWrap/>
            <w:vAlign w:val="center"/>
          </w:tcPr>
          <w:p w14:paraId="0F66982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54BAD91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71BEBD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34B47C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7B7734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1" w:hRule="atLeast"/>
        </w:trPr>
        <w:tc>
          <w:tcPr>
            <w:tcW w:w="609" w:type="dxa"/>
            <w:tcBorders>
              <w:tl2br w:val="nil"/>
              <w:tr2bl w:val="nil"/>
            </w:tcBorders>
            <w:shd w:val="clear" w:color="auto" w:fill="auto"/>
            <w:vAlign w:val="center"/>
          </w:tcPr>
          <w:p w14:paraId="7BAF482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19</w:t>
            </w:r>
          </w:p>
        </w:tc>
        <w:tc>
          <w:tcPr>
            <w:tcW w:w="590" w:type="dxa"/>
            <w:vMerge w:val="continue"/>
            <w:tcBorders>
              <w:tl2br w:val="nil"/>
              <w:tr2bl w:val="nil"/>
            </w:tcBorders>
            <w:shd w:val="clear" w:color="auto" w:fill="auto"/>
            <w:vAlign w:val="center"/>
          </w:tcPr>
          <w:p w14:paraId="3E76203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5BFD72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AC4426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3.3.6</w:t>
            </w:r>
          </w:p>
        </w:tc>
        <w:tc>
          <w:tcPr>
            <w:tcW w:w="7712" w:type="dxa"/>
            <w:tcBorders>
              <w:tl2br w:val="nil"/>
              <w:tr2bl w:val="nil"/>
            </w:tcBorders>
            <w:shd w:val="clear" w:color="auto" w:fill="auto"/>
            <w:vAlign w:val="center"/>
          </w:tcPr>
          <w:p w14:paraId="78BDC87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小区进行绿化设计与管理，并符合下列规定：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坚持植物造景的设计原则，并选用本土树种和传统花卉，本地植物指数不低于0.7；</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选择适应当地种植条件、易维护、耐淹、耐旱、防虫害、耐高温、蒸腾作用强的植物，不选择易产生飞絮、有异味、有毒、有刺等对人体健康不利的植物；</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小区的行道树具有抗强风能力，避免选择大型落叶落果树种；</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乔灌草花的配置层次清晰，季相分明、密度合理。</w:t>
            </w:r>
          </w:p>
        </w:tc>
        <w:tc>
          <w:tcPr>
            <w:tcW w:w="1088" w:type="dxa"/>
            <w:tcBorders>
              <w:tl2br w:val="nil"/>
              <w:tr2bl w:val="nil"/>
            </w:tcBorders>
            <w:shd w:val="clear" w:color="auto" w:fill="auto"/>
            <w:noWrap/>
            <w:vAlign w:val="center"/>
          </w:tcPr>
          <w:p w14:paraId="2871BE0F">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/物业</w:t>
            </w:r>
          </w:p>
        </w:tc>
        <w:tc>
          <w:tcPr>
            <w:tcW w:w="1722" w:type="dxa"/>
            <w:tcBorders>
              <w:tl2br w:val="nil"/>
              <w:tr2bl w:val="nil"/>
            </w:tcBorders>
            <w:shd w:val="clear" w:color="auto" w:fill="auto"/>
            <w:noWrap/>
            <w:vAlign w:val="center"/>
          </w:tcPr>
          <w:p w14:paraId="3D32A3F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2FD0F5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EBEF1F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r>
              <w:rPr>
                <w:rFonts w:hint="eastAsia" w:ascii="仿宋" w:hAnsi="仿宋" w:eastAsia="仿宋" w:cs="仿宋"/>
                <w:i w:val="0"/>
                <w:color w:val="auto"/>
                <w:kern w:val="0"/>
                <w:sz w:val="22"/>
                <w:szCs w:val="22"/>
                <w:highlight w:val="none"/>
                <w:u w:val="none"/>
                <w:lang w:val="en-US" w:eastAsia="zh-CN" w:bidi="ar"/>
              </w:rPr>
              <w:t>室外景观园林平面图、小区绿化管理手册</w:t>
            </w:r>
          </w:p>
        </w:tc>
      </w:tr>
      <w:tr w14:paraId="383570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41E134F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20</w:t>
            </w:r>
          </w:p>
        </w:tc>
        <w:tc>
          <w:tcPr>
            <w:tcW w:w="590" w:type="dxa"/>
            <w:vMerge w:val="continue"/>
            <w:tcBorders>
              <w:tl2br w:val="nil"/>
              <w:tr2bl w:val="nil"/>
            </w:tcBorders>
            <w:shd w:val="clear" w:color="auto" w:fill="auto"/>
            <w:vAlign w:val="center"/>
          </w:tcPr>
          <w:p w14:paraId="086C85F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3053A2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C0CF54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3.3.7</w:t>
            </w:r>
          </w:p>
        </w:tc>
        <w:tc>
          <w:tcPr>
            <w:tcW w:w="7712" w:type="dxa"/>
            <w:tcBorders>
              <w:tl2br w:val="nil"/>
              <w:tr2bl w:val="nil"/>
            </w:tcBorders>
            <w:shd w:val="clear" w:color="auto" w:fill="auto"/>
            <w:vAlign w:val="center"/>
          </w:tcPr>
          <w:p w14:paraId="3E94DCF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小区采取措施降低热岛强度，道路和广场地面、公共和附属绿地的活动场地采用透水性地面铺装材料的范围和比例满足海绵城市设计要求，小区主要道路两侧和室外活动场地采用乔木、花架等遮阴措施。</w:t>
            </w:r>
          </w:p>
        </w:tc>
        <w:tc>
          <w:tcPr>
            <w:tcW w:w="1088" w:type="dxa"/>
            <w:tcBorders>
              <w:tl2br w:val="nil"/>
              <w:tr2bl w:val="nil"/>
            </w:tcBorders>
            <w:shd w:val="clear" w:color="auto" w:fill="auto"/>
            <w:noWrap/>
            <w:vAlign w:val="center"/>
          </w:tcPr>
          <w:p w14:paraId="27AEF09E">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/给排水/景观</w:t>
            </w:r>
          </w:p>
        </w:tc>
        <w:tc>
          <w:tcPr>
            <w:tcW w:w="1722" w:type="dxa"/>
            <w:tcBorders>
              <w:tl2br w:val="nil"/>
              <w:tr2bl w:val="nil"/>
            </w:tcBorders>
            <w:shd w:val="clear" w:color="auto" w:fill="auto"/>
            <w:noWrap/>
            <w:vAlign w:val="center"/>
          </w:tcPr>
          <w:p w14:paraId="28AAC1F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A99250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A24169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r>
              <w:rPr>
                <w:rFonts w:hint="eastAsia" w:ascii="仿宋" w:hAnsi="仿宋" w:eastAsia="仿宋" w:cs="仿宋"/>
                <w:i w:val="0"/>
                <w:color w:val="auto"/>
                <w:kern w:val="0"/>
                <w:sz w:val="22"/>
                <w:szCs w:val="22"/>
                <w:highlight w:val="none"/>
                <w:u w:val="none"/>
                <w:lang w:val="en-US" w:eastAsia="zh-CN" w:bidi="ar"/>
              </w:rPr>
              <w:t xml:space="preserve"> 室外景观园林平面图、海绵城市设计专篇。</w:t>
            </w:r>
          </w:p>
        </w:tc>
      </w:tr>
      <w:tr w14:paraId="146EDF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4A1DCF7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21</w:t>
            </w:r>
          </w:p>
        </w:tc>
        <w:tc>
          <w:tcPr>
            <w:tcW w:w="590" w:type="dxa"/>
            <w:vMerge w:val="continue"/>
            <w:tcBorders>
              <w:tl2br w:val="nil"/>
              <w:tr2bl w:val="nil"/>
            </w:tcBorders>
            <w:shd w:val="clear" w:color="auto" w:fill="auto"/>
            <w:vAlign w:val="center"/>
          </w:tcPr>
          <w:p w14:paraId="118C68A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34CE21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06D0F4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3.3.8</w:t>
            </w:r>
          </w:p>
        </w:tc>
        <w:tc>
          <w:tcPr>
            <w:tcW w:w="7712" w:type="dxa"/>
            <w:tcBorders>
              <w:tl2br w:val="nil"/>
              <w:tr2bl w:val="nil"/>
            </w:tcBorders>
            <w:shd w:val="clear" w:color="auto" w:fill="auto"/>
            <w:vAlign w:val="center"/>
          </w:tcPr>
          <w:p w14:paraId="2D09747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室外给水、排水、强电、弱电管线、燃气设备、消防设施等符合统一规划、美观实用、维护方便的原则，合理设置相关的设备管线孔井和室外消火栓、消防水泵结合器等设施，各类井盖表面处理符合美观需要。</w:t>
            </w:r>
          </w:p>
        </w:tc>
        <w:tc>
          <w:tcPr>
            <w:tcW w:w="1088" w:type="dxa"/>
            <w:tcBorders>
              <w:tl2br w:val="nil"/>
              <w:tr2bl w:val="nil"/>
            </w:tcBorders>
            <w:shd w:val="clear" w:color="auto" w:fill="auto"/>
            <w:noWrap/>
            <w:vAlign w:val="center"/>
          </w:tcPr>
          <w:p w14:paraId="2A470FB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各专业</w:t>
            </w:r>
          </w:p>
        </w:tc>
        <w:tc>
          <w:tcPr>
            <w:tcW w:w="1722" w:type="dxa"/>
            <w:tcBorders>
              <w:tl2br w:val="nil"/>
              <w:tr2bl w:val="nil"/>
            </w:tcBorders>
            <w:shd w:val="clear" w:color="auto" w:fill="auto"/>
            <w:noWrap/>
            <w:vAlign w:val="center"/>
          </w:tcPr>
          <w:p w14:paraId="04A3071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8B1C0C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6D21F3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相关设计图纸及设计说明、综合管线图。</w:t>
            </w:r>
          </w:p>
        </w:tc>
      </w:tr>
      <w:tr w14:paraId="05E813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3074150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22</w:t>
            </w:r>
          </w:p>
        </w:tc>
        <w:tc>
          <w:tcPr>
            <w:tcW w:w="590" w:type="dxa"/>
            <w:vMerge w:val="continue"/>
            <w:tcBorders>
              <w:tl2br w:val="nil"/>
              <w:tr2bl w:val="nil"/>
            </w:tcBorders>
            <w:shd w:val="clear" w:color="auto" w:fill="auto"/>
            <w:vAlign w:val="center"/>
          </w:tcPr>
          <w:p w14:paraId="415250F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97EEC9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CE8F14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3.3.9</w:t>
            </w:r>
          </w:p>
        </w:tc>
        <w:tc>
          <w:tcPr>
            <w:tcW w:w="7712" w:type="dxa"/>
            <w:tcBorders>
              <w:tl2br w:val="nil"/>
              <w:tr2bl w:val="nil"/>
            </w:tcBorders>
            <w:shd w:val="clear" w:color="auto" w:fill="auto"/>
            <w:vAlign w:val="center"/>
          </w:tcPr>
          <w:p w14:paraId="5AD901F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夜景照明设施避免对行人和非机动车、机动车驾驶员造成眩光。夜景照明不影响卧室、起居室的正常使用。</w:t>
            </w:r>
          </w:p>
        </w:tc>
        <w:tc>
          <w:tcPr>
            <w:tcW w:w="1088" w:type="dxa"/>
            <w:tcBorders>
              <w:tl2br w:val="nil"/>
              <w:tr2bl w:val="nil"/>
            </w:tcBorders>
            <w:shd w:val="clear" w:color="auto" w:fill="auto"/>
            <w:noWrap/>
            <w:vAlign w:val="center"/>
          </w:tcPr>
          <w:p w14:paraId="5B2B64B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6FAD7C6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FD6681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F0498A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682049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68" w:hRule="atLeast"/>
        </w:trPr>
        <w:tc>
          <w:tcPr>
            <w:tcW w:w="609" w:type="dxa"/>
            <w:tcBorders>
              <w:tl2br w:val="nil"/>
              <w:tr2bl w:val="nil"/>
            </w:tcBorders>
            <w:shd w:val="clear" w:color="auto" w:fill="auto"/>
            <w:vAlign w:val="center"/>
          </w:tcPr>
          <w:p w14:paraId="7BD6993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23</w:t>
            </w:r>
          </w:p>
        </w:tc>
        <w:tc>
          <w:tcPr>
            <w:tcW w:w="590" w:type="dxa"/>
            <w:vMerge w:val="continue"/>
            <w:tcBorders>
              <w:tl2br w:val="nil"/>
              <w:tr2bl w:val="nil"/>
            </w:tcBorders>
            <w:shd w:val="clear" w:color="auto" w:fill="auto"/>
            <w:vAlign w:val="center"/>
          </w:tcPr>
          <w:p w14:paraId="7DDBDB9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00D6BE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11D10A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3.3.10</w:t>
            </w:r>
          </w:p>
        </w:tc>
        <w:tc>
          <w:tcPr>
            <w:tcW w:w="7712" w:type="dxa"/>
            <w:tcBorders>
              <w:tl2br w:val="nil"/>
              <w:tr2bl w:val="nil"/>
            </w:tcBorders>
            <w:shd w:val="clear" w:color="auto" w:fill="auto"/>
            <w:vAlign w:val="center"/>
          </w:tcPr>
          <w:p w14:paraId="42D2BAE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小区进行声功能规划及管理，小区环境噪声小于现行国家标准《声环境质量标准》GB 3096的2类声环境功能区标准值，并满足以下要求：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在小区规划阶段，合理规划，可能产生高噪声的设备或区域远离住宅；</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采用低噪声设备和技术；</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通过设置声屏障、绿化带等障碍物，减少外部噪声对小区住宅楼的干扰和影响。</w:t>
            </w:r>
          </w:p>
        </w:tc>
        <w:tc>
          <w:tcPr>
            <w:tcW w:w="1088" w:type="dxa"/>
            <w:tcBorders>
              <w:tl2br w:val="nil"/>
              <w:tr2bl w:val="nil"/>
            </w:tcBorders>
            <w:shd w:val="clear" w:color="auto" w:fill="auto"/>
            <w:noWrap/>
            <w:vAlign w:val="center"/>
          </w:tcPr>
          <w:p w14:paraId="0FC24A80">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/机电</w:t>
            </w:r>
          </w:p>
        </w:tc>
        <w:tc>
          <w:tcPr>
            <w:tcW w:w="1722" w:type="dxa"/>
            <w:tcBorders>
              <w:tl2br w:val="nil"/>
              <w:tr2bl w:val="nil"/>
            </w:tcBorders>
            <w:shd w:val="clear" w:color="auto" w:fill="auto"/>
            <w:noWrap/>
            <w:vAlign w:val="center"/>
          </w:tcPr>
          <w:p w14:paraId="0AD92BA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336800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7091E20">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相关设计图纸、环境噪声检测报告。</w:t>
            </w:r>
          </w:p>
        </w:tc>
      </w:tr>
      <w:tr w14:paraId="5D4047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3434A5D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24</w:t>
            </w:r>
          </w:p>
        </w:tc>
        <w:tc>
          <w:tcPr>
            <w:tcW w:w="590" w:type="dxa"/>
            <w:vMerge w:val="continue"/>
            <w:tcBorders>
              <w:tl2br w:val="nil"/>
              <w:tr2bl w:val="nil"/>
            </w:tcBorders>
            <w:shd w:val="clear" w:color="auto" w:fill="auto"/>
            <w:vAlign w:val="center"/>
          </w:tcPr>
          <w:p w14:paraId="3C97872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C65F2E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45BBFE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3.3.11</w:t>
            </w:r>
          </w:p>
        </w:tc>
        <w:tc>
          <w:tcPr>
            <w:tcW w:w="7712" w:type="dxa"/>
            <w:tcBorders>
              <w:tl2br w:val="nil"/>
              <w:tr2bl w:val="nil"/>
            </w:tcBorders>
            <w:shd w:val="clear" w:color="auto" w:fill="auto"/>
            <w:vAlign w:val="center"/>
          </w:tcPr>
          <w:p w14:paraId="44D482F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小区内无排放性局部污染源、开放性局部污染源和溢出性局部污染源。</w:t>
            </w:r>
          </w:p>
        </w:tc>
        <w:tc>
          <w:tcPr>
            <w:tcW w:w="1088" w:type="dxa"/>
            <w:tcBorders>
              <w:tl2br w:val="nil"/>
              <w:tr2bl w:val="nil"/>
            </w:tcBorders>
            <w:shd w:val="clear" w:color="auto" w:fill="auto"/>
            <w:noWrap/>
            <w:vAlign w:val="center"/>
          </w:tcPr>
          <w:p w14:paraId="0F9A535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/暖通/</w:t>
            </w:r>
            <w:r>
              <w:rPr>
                <w:rFonts w:hint="eastAsia" w:ascii="仿宋" w:hAnsi="仿宋" w:eastAsia="仿宋" w:cs="仿宋"/>
                <w:i w:val="0"/>
                <w:iCs w:val="0"/>
                <w:color w:val="auto"/>
                <w:sz w:val="22"/>
                <w:szCs w:val="22"/>
                <w:highlight w:val="none"/>
                <w:u w:val="none"/>
                <w:lang w:eastAsia="zh-CN"/>
              </w:rPr>
              <w:t>给排水</w:t>
            </w:r>
          </w:p>
        </w:tc>
        <w:tc>
          <w:tcPr>
            <w:tcW w:w="1722" w:type="dxa"/>
            <w:tcBorders>
              <w:tl2br w:val="nil"/>
              <w:tr2bl w:val="nil"/>
            </w:tcBorders>
            <w:shd w:val="clear" w:color="auto" w:fill="auto"/>
            <w:noWrap/>
            <w:vAlign w:val="center"/>
          </w:tcPr>
          <w:p w14:paraId="794D3B6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CE6573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9E3248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007948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1" w:hRule="atLeast"/>
        </w:trPr>
        <w:tc>
          <w:tcPr>
            <w:tcW w:w="609" w:type="dxa"/>
            <w:tcBorders>
              <w:tl2br w:val="nil"/>
              <w:tr2bl w:val="nil"/>
            </w:tcBorders>
            <w:shd w:val="clear" w:color="auto" w:fill="auto"/>
            <w:vAlign w:val="center"/>
          </w:tcPr>
          <w:p w14:paraId="5BA2ECB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25</w:t>
            </w:r>
          </w:p>
        </w:tc>
        <w:tc>
          <w:tcPr>
            <w:tcW w:w="590" w:type="dxa"/>
            <w:vMerge w:val="continue"/>
            <w:tcBorders>
              <w:tl2br w:val="nil"/>
              <w:tr2bl w:val="nil"/>
            </w:tcBorders>
            <w:shd w:val="clear" w:color="auto" w:fill="auto"/>
            <w:vAlign w:val="center"/>
          </w:tcPr>
          <w:p w14:paraId="5EDB4A0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EE7493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8D6A61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3.3.12</w:t>
            </w:r>
          </w:p>
        </w:tc>
        <w:tc>
          <w:tcPr>
            <w:tcW w:w="7712" w:type="dxa"/>
            <w:tcBorders>
              <w:tl2br w:val="nil"/>
              <w:tr2bl w:val="nil"/>
            </w:tcBorders>
            <w:shd w:val="clear" w:color="auto" w:fill="auto"/>
            <w:vAlign w:val="center"/>
          </w:tcPr>
          <w:p w14:paraId="2E37957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小区按照雨污分流的原则设计排水系统，除楼顶公共天面设置雨水排放系统外，阳台、露台的排水设施接入公共污水管网。小区排水管与市政排水管的接驳不错混接，并预留水量、水质检查井。</w:t>
            </w:r>
          </w:p>
        </w:tc>
        <w:tc>
          <w:tcPr>
            <w:tcW w:w="1088" w:type="dxa"/>
            <w:tcBorders>
              <w:tl2br w:val="nil"/>
              <w:tr2bl w:val="nil"/>
            </w:tcBorders>
            <w:shd w:val="clear" w:color="auto" w:fill="auto"/>
            <w:noWrap/>
            <w:vAlign w:val="center"/>
          </w:tcPr>
          <w:p w14:paraId="3825660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给排水</w:t>
            </w:r>
          </w:p>
        </w:tc>
        <w:tc>
          <w:tcPr>
            <w:tcW w:w="1722" w:type="dxa"/>
            <w:tcBorders>
              <w:tl2br w:val="nil"/>
              <w:tr2bl w:val="nil"/>
            </w:tcBorders>
            <w:shd w:val="clear" w:color="auto" w:fill="auto"/>
            <w:noWrap/>
            <w:vAlign w:val="center"/>
          </w:tcPr>
          <w:p w14:paraId="7422EEC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2DD964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D16B5E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7DF40B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5949" w:type="dxa"/>
            <w:gridSpan w:val="8"/>
            <w:tcBorders>
              <w:tl2br w:val="nil"/>
              <w:tr2bl w:val="nil"/>
            </w:tcBorders>
            <w:shd w:val="clear" w:color="auto" w:fill="auto"/>
            <w:vAlign w:val="center"/>
          </w:tcPr>
          <w:p w14:paraId="55A8D53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6"/>
                <w:szCs w:val="26"/>
                <w:highlight w:val="none"/>
                <w:u w:val="none"/>
                <w:lang w:val="en-US" w:eastAsia="zh-CN" w:bidi="ar"/>
              </w:rPr>
              <w:t>第四章 健康舒适</w:t>
            </w:r>
          </w:p>
          <w:p w14:paraId="638FD33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（基本类25条，预评价2条中各有1款有条件不参评。）</w:t>
            </w:r>
          </w:p>
        </w:tc>
      </w:tr>
      <w:tr w14:paraId="585320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6E149B8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26</w:t>
            </w:r>
          </w:p>
        </w:tc>
        <w:tc>
          <w:tcPr>
            <w:tcW w:w="590" w:type="dxa"/>
            <w:vMerge w:val="restart"/>
            <w:tcBorders>
              <w:tl2br w:val="nil"/>
              <w:tr2bl w:val="nil"/>
            </w:tcBorders>
            <w:shd w:val="clear" w:color="auto" w:fill="auto"/>
            <w:vAlign w:val="center"/>
          </w:tcPr>
          <w:p w14:paraId="294CA68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 公共空间</w:t>
            </w:r>
          </w:p>
        </w:tc>
        <w:tc>
          <w:tcPr>
            <w:tcW w:w="465" w:type="dxa"/>
            <w:vMerge w:val="restart"/>
            <w:tcBorders>
              <w:tl2br w:val="nil"/>
              <w:tr2bl w:val="nil"/>
            </w:tcBorders>
            <w:shd w:val="clear" w:color="auto" w:fill="auto"/>
            <w:vAlign w:val="center"/>
          </w:tcPr>
          <w:p w14:paraId="1D009FC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106236F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4.1.1</w:t>
            </w:r>
          </w:p>
        </w:tc>
        <w:tc>
          <w:tcPr>
            <w:tcW w:w="7712" w:type="dxa"/>
            <w:tcBorders>
              <w:tl2br w:val="nil"/>
              <w:tr2bl w:val="nil"/>
            </w:tcBorders>
            <w:shd w:val="clear" w:color="auto" w:fill="auto"/>
            <w:vAlign w:val="center"/>
          </w:tcPr>
          <w:p w14:paraId="1A32932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住宅公共空间设计满足住户便利性和安全性的需求，符合无障碍、适老化的标准要求及全龄友好的设计要求。</w:t>
            </w:r>
          </w:p>
        </w:tc>
        <w:tc>
          <w:tcPr>
            <w:tcW w:w="1088" w:type="dxa"/>
            <w:tcBorders>
              <w:tl2br w:val="nil"/>
              <w:tr2bl w:val="nil"/>
            </w:tcBorders>
            <w:shd w:val="clear" w:color="auto" w:fill="auto"/>
            <w:noWrap/>
            <w:vAlign w:val="center"/>
          </w:tcPr>
          <w:p w14:paraId="775EE85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82BFE9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5148B7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9A0127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w:t>
            </w:r>
          </w:p>
        </w:tc>
      </w:tr>
      <w:tr w14:paraId="755884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1" w:hRule="atLeast"/>
        </w:trPr>
        <w:tc>
          <w:tcPr>
            <w:tcW w:w="609" w:type="dxa"/>
            <w:tcBorders>
              <w:tl2br w:val="nil"/>
              <w:tr2bl w:val="nil"/>
            </w:tcBorders>
            <w:shd w:val="clear" w:color="auto" w:fill="auto"/>
            <w:vAlign w:val="center"/>
          </w:tcPr>
          <w:p w14:paraId="02C7383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27</w:t>
            </w:r>
          </w:p>
        </w:tc>
        <w:tc>
          <w:tcPr>
            <w:tcW w:w="590" w:type="dxa"/>
            <w:vMerge w:val="continue"/>
            <w:tcBorders>
              <w:tl2br w:val="nil"/>
              <w:tr2bl w:val="nil"/>
            </w:tcBorders>
            <w:shd w:val="clear" w:color="auto" w:fill="auto"/>
            <w:vAlign w:val="center"/>
          </w:tcPr>
          <w:p w14:paraId="595736B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385144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29FEEC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4.1.2</w:t>
            </w:r>
          </w:p>
        </w:tc>
        <w:tc>
          <w:tcPr>
            <w:tcW w:w="7712" w:type="dxa"/>
            <w:tcBorders>
              <w:tl2br w:val="nil"/>
              <w:tr2bl w:val="nil"/>
            </w:tcBorders>
            <w:shd w:val="clear" w:color="auto" w:fill="auto"/>
            <w:vAlign w:val="center"/>
          </w:tcPr>
          <w:p w14:paraId="7717203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住宅主要公共出入口处设置尺度适宜的门厅。可视对讲主机、大堂内开门开关距离大门不超过2m。</w:t>
            </w:r>
          </w:p>
        </w:tc>
        <w:tc>
          <w:tcPr>
            <w:tcW w:w="1088" w:type="dxa"/>
            <w:tcBorders>
              <w:tl2br w:val="nil"/>
              <w:tr2bl w:val="nil"/>
            </w:tcBorders>
            <w:shd w:val="clear" w:color="auto" w:fill="auto"/>
            <w:noWrap/>
            <w:vAlign w:val="center"/>
          </w:tcPr>
          <w:p w14:paraId="6E9D8EC9">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/电气</w:t>
            </w:r>
          </w:p>
        </w:tc>
        <w:tc>
          <w:tcPr>
            <w:tcW w:w="1722" w:type="dxa"/>
            <w:tcBorders>
              <w:tl2br w:val="nil"/>
              <w:tr2bl w:val="nil"/>
            </w:tcBorders>
            <w:shd w:val="clear" w:color="auto" w:fill="auto"/>
            <w:noWrap/>
            <w:vAlign w:val="center"/>
          </w:tcPr>
          <w:p w14:paraId="0EC3788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D3B195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DD0BA39">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相关设计图纸、设计说明。终评价尚需提交现场实测数据。</w:t>
            </w:r>
          </w:p>
        </w:tc>
      </w:tr>
      <w:tr w14:paraId="09AD11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5" w:hRule="atLeast"/>
        </w:trPr>
        <w:tc>
          <w:tcPr>
            <w:tcW w:w="609" w:type="dxa"/>
            <w:tcBorders>
              <w:tl2br w:val="nil"/>
              <w:tr2bl w:val="nil"/>
            </w:tcBorders>
            <w:shd w:val="clear" w:color="auto" w:fill="auto"/>
            <w:vAlign w:val="center"/>
          </w:tcPr>
          <w:p w14:paraId="22C6BAF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28</w:t>
            </w:r>
          </w:p>
        </w:tc>
        <w:tc>
          <w:tcPr>
            <w:tcW w:w="590" w:type="dxa"/>
            <w:vMerge w:val="continue"/>
            <w:tcBorders>
              <w:tl2br w:val="nil"/>
              <w:tr2bl w:val="nil"/>
            </w:tcBorders>
            <w:shd w:val="clear" w:color="auto" w:fill="auto"/>
            <w:vAlign w:val="center"/>
          </w:tcPr>
          <w:p w14:paraId="52B4CF6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6A04E3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032657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4.1.3</w:t>
            </w:r>
          </w:p>
        </w:tc>
        <w:tc>
          <w:tcPr>
            <w:tcW w:w="7712" w:type="dxa"/>
            <w:tcBorders>
              <w:tl2br w:val="nil"/>
              <w:tr2bl w:val="nil"/>
            </w:tcBorders>
            <w:shd w:val="clear" w:color="auto" w:fill="auto"/>
            <w:vAlign w:val="center"/>
          </w:tcPr>
          <w:p w14:paraId="1624A48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门厅、电梯厅、过道等公共部位全装修交付。首层门厅层高不小于3.6m，门厅外留有的缓冲空间进深不小于1.5m。</w:t>
            </w:r>
          </w:p>
        </w:tc>
        <w:tc>
          <w:tcPr>
            <w:tcW w:w="1088" w:type="dxa"/>
            <w:tcBorders>
              <w:tl2br w:val="nil"/>
              <w:tr2bl w:val="nil"/>
            </w:tcBorders>
            <w:shd w:val="clear" w:color="auto" w:fill="auto"/>
            <w:noWrap/>
            <w:vAlign w:val="center"/>
          </w:tcPr>
          <w:p w14:paraId="68C459F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7E17875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9DCFE4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C66036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相关设计图纸、设计说明及计算书。终评价尚需提交现场实测数据。</w:t>
            </w:r>
          </w:p>
        </w:tc>
      </w:tr>
      <w:tr w14:paraId="29EECF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trPr>
        <w:tc>
          <w:tcPr>
            <w:tcW w:w="609" w:type="dxa"/>
            <w:tcBorders>
              <w:tl2br w:val="nil"/>
              <w:tr2bl w:val="nil"/>
            </w:tcBorders>
            <w:shd w:val="clear" w:color="auto" w:fill="auto"/>
            <w:vAlign w:val="center"/>
          </w:tcPr>
          <w:p w14:paraId="7F154A0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29</w:t>
            </w:r>
          </w:p>
        </w:tc>
        <w:tc>
          <w:tcPr>
            <w:tcW w:w="590" w:type="dxa"/>
            <w:vMerge w:val="continue"/>
            <w:tcBorders>
              <w:tl2br w:val="nil"/>
              <w:tr2bl w:val="nil"/>
            </w:tcBorders>
            <w:shd w:val="clear" w:color="auto" w:fill="auto"/>
            <w:vAlign w:val="center"/>
          </w:tcPr>
          <w:p w14:paraId="7EAA78D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6E2477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8D1400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4.1.4</w:t>
            </w:r>
          </w:p>
        </w:tc>
        <w:tc>
          <w:tcPr>
            <w:tcW w:w="7712" w:type="dxa"/>
            <w:tcBorders>
              <w:tl2br w:val="nil"/>
              <w:tr2bl w:val="nil"/>
            </w:tcBorders>
            <w:shd w:val="clear" w:color="auto" w:fill="auto"/>
            <w:vAlign w:val="center"/>
          </w:tcPr>
          <w:p w14:paraId="0A7FA94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门厅、电梯厅、过道等主要公共空间内的消火栓暗装处理，当走道侧墙上设有设备管井时，确保管井门开启后不影响走廊正常通行。门厅、电梯厅、过道等公共部位满足担架梯进出及无障碍设计要求。</w:t>
            </w:r>
          </w:p>
        </w:tc>
        <w:tc>
          <w:tcPr>
            <w:tcW w:w="1088" w:type="dxa"/>
            <w:tcBorders>
              <w:tl2br w:val="nil"/>
              <w:tr2bl w:val="nil"/>
            </w:tcBorders>
            <w:shd w:val="clear" w:color="auto" w:fill="auto"/>
            <w:noWrap/>
            <w:vAlign w:val="center"/>
          </w:tcPr>
          <w:p w14:paraId="0883750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508F770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B09EB8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8605DD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相关设计图纸、设计说明及计算书。</w:t>
            </w:r>
          </w:p>
        </w:tc>
      </w:tr>
      <w:tr w14:paraId="173DF0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2AFC632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30</w:t>
            </w:r>
          </w:p>
        </w:tc>
        <w:tc>
          <w:tcPr>
            <w:tcW w:w="590" w:type="dxa"/>
            <w:vMerge w:val="continue"/>
            <w:tcBorders>
              <w:tl2br w:val="nil"/>
              <w:tr2bl w:val="nil"/>
            </w:tcBorders>
            <w:shd w:val="clear" w:color="auto" w:fill="auto"/>
            <w:vAlign w:val="center"/>
          </w:tcPr>
          <w:p w14:paraId="2CDC138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0E84CC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3ED4B1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4.1.5</w:t>
            </w:r>
          </w:p>
        </w:tc>
        <w:tc>
          <w:tcPr>
            <w:tcW w:w="7712" w:type="dxa"/>
            <w:tcBorders>
              <w:tl2br w:val="nil"/>
              <w:tr2bl w:val="nil"/>
            </w:tcBorders>
            <w:shd w:val="clear" w:color="auto" w:fill="auto"/>
            <w:vAlign w:val="center"/>
          </w:tcPr>
          <w:p w14:paraId="5B29F1C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首层门厅、底部商业的外部装饰性构件不影响上层住户的采光和视线。</w:t>
            </w:r>
          </w:p>
        </w:tc>
        <w:tc>
          <w:tcPr>
            <w:tcW w:w="1088" w:type="dxa"/>
            <w:tcBorders>
              <w:tl2br w:val="nil"/>
              <w:tr2bl w:val="nil"/>
            </w:tcBorders>
            <w:shd w:val="clear" w:color="auto" w:fill="auto"/>
            <w:noWrap/>
            <w:vAlign w:val="center"/>
          </w:tcPr>
          <w:p w14:paraId="5F2849B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7A5715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BFAF83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61F396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相关设计图纸、设计说明及计算书。</w:t>
            </w:r>
          </w:p>
        </w:tc>
      </w:tr>
      <w:tr w14:paraId="1B9AD2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3C34C91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31</w:t>
            </w:r>
          </w:p>
        </w:tc>
        <w:tc>
          <w:tcPr>
            <w:tcW w:w="590" w:type="dxa"/>
            <w:vMerge w:val="continue"/>
            <w:tcBorders>
              <w:tl2br w:val="nil"/>
              <w:tr2bl w:val="nil"/>
            </w:tcBorders>
            <w:shd w:val="clear" w:color="auto" w:fill="auto"/>
            <w:vAlign w:val="center"/>
          </w:tcPr>
          <w:p w14:paraId="11ECF5F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B861DC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070AC4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4.1.6</w:t>
            </w:r>
          </w:p>
        </w:tc>
        <w:tc>
          <w:tcPr>
            <w:tcW w:w="7712" w:type="dxa"/>
            <w:tcBorders>
              <w:tl2br w:val="nil"/>
              <w:tr2bl w:val="nil"/>
            </w:tcBorders>
            <w:shd w:val="clear" w:color="auto" w:fill="auto"/>
            <w:vAlign w:val="center"/>
          </w:tcPr>
          <w:p w14:paraId="66B97E1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敞开式连廊采取防雨措施，地面铺贴防滑地砖并设置排水措施。</w:t>
            </w:r>
          </w:p>
        </w:tc>
        <w:tc>
          <w:tcPr>
            <w:tcW w:w="1088" w:type="dxa"/>
            <w:tcBorders>
              <w:tl2br w:val="nil"/>
              <w:tr2bl w:val="nil"/>
            </w:tcBorders>
            <w:shd w:val="clear" w:color="auto" w:fill="auto"/>
            <w:noWrap/>
            <w:vAlign w:val="center"/>
          </w:tcPr>
          <w:p w14:paraId="5786B8D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39A9801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C42720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98A17A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0E60B1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1" w:hRule="atLeast"/>
        </w:trPr>
        <w:tc>
          <w:tcPr>
            <w:tcW w:w="609" w:type="dxa"/>
            <w:tcBorders>
              <w:tl2br w:val="nil"/>
              <w:tr2bl w:val="nil"/>
            </w:tcBorders>
            <w:shd w:val="clear" w:color="auto" w:fill="auto"/>
            <w:vAlign w:val="center"/>
          </w:tcPr>
          <w:p w14:paraId="551F69D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32</w:t>
            </w:r>
          </w:p>
        </w:tc>
        <w:tc>
          <w:tcPr>
            <w:tcW w:w="590" w:type="dxa"/>
            <w:vMerge w:val="continue"/>
            <w:tcBorders>
              <w:tl2br w:val="nil"/>
              <w:tr2bl w:val="nil"/>
            </w:tcBorders>
            <w:shd w:val="clear" w:color="auto" w:fill="auto"/>
            <w:vAlign w:val="center"/>
          </w:tcPr>
          <w:p w14:paraId="3F0FD5F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595565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DF1934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4.1.7</w:t>
            </w:r>
          </w:p>
        </w:tc>
        <w:tc>
          <w:tcPr>
            <w:tcW w:w="7712" w:type="dxa"/>
            <w:tcBorders>
              <w:tl2br w:val="nil"/>
              <w:tr2bl w:val="nil"/>
            </w:tcBorders>
            <w:shd w:val="clear" w:color="auto" w:fill="auto"/>
            <w:vAlign w:val="center"/>
          </w:tcPr>
          <w:p w14:paraId="6325E62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住宅电梯的设置符合下列规定：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候梯厅深度不小于多台电梯中最大轿厢深度且不小于1.8m；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所有电梯均直达地上全部楼层和地下车库各层；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每台电梯服务户数不超过60户；</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电梯轿厢内设置空调；</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  安装不影响通行宽度的扶手。</w:t>
            </w:r>
          </w:p>
          <w:p w14:paraId="6C63FCD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注：第3款保障性住房调整至不超过80户/梯</w:t>
            </w:r>
          </w:p>
        </w:tc>
        <w:tc>
          <w:tcPr>
            <w:tcW w:w="1088" w:type="dxa"/>
            <w:tcBorders>
              <w:tl2br w:val="nil"/>
              <w:tr2bl w:val="nil"/>
            </w:tcBorders>
            <w:shd w:val="clear" w:color="auto" w:fill="auto"/>
            <w:noWrap/>
            <w:vAlign w:val="center"/>
          </w:tcPr>
          <w:p w14:paraId="61C3E12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079456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9B93DB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3D2B12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相关设计图纸、设计说明。终评价尚需提交现场实测数据。</w:t>
            </w:r>
          </w:p>
        </w:tc>
      </w:tr>
      <w:tr w14:paraId="51CF54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4" w:hRule="atLeast"/>
        </w:trPr>
        <w:tc>
          <w:tcPr>
            <w:tcW w:w="609" w:type="dxa"/>
            <w:tcBorders>
              <w:tl2br w:val="nil"/>
              <w:tr2bl w:val="nil"/>
            </w:tcBorders>
            <w:shd w:val="clear" w:color="auto" w:fill="auto"/>
            <w:vAlign w:val="center"/>
          </w:tcPr>
          <w:p w14:paraId="739C9F0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33</w:t>
            </w:r>
          </w:p>
        </w:tc>
        <w:tc>
          <w:tcPr>
            <w:tcW w:w="590" w:type="dxa"/>
            <w:vMerge w:val="continue"/>
            <w:tcBorders>
              <w:tl2br w:val="nil"/>
              <w:tr2bl w:val="nil"/>
            </w:tcBorders>
            <w:shd w:val="clear" w:color="auto" w:fill="auto"/>
            <w:vAlign w:val="center"/>
          </w:tcPr>
          <w:p w14:paraId="1B714C0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0B7D85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D709CE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4.1.8</w:t>
            </w:r>
          </w:p>
        </w:tc>
        <w:tc>
          <w:tcPr>
            <w:tcW w:w="7712" w:type="dxa"/>
            <w:tcBorders>
              <w:tl2br w:val="nil"/>
              <w:tr2bl w:val="nil"/>
            </w:tcBorders>
            <w:shd w:val="clear" w:color="auto" w:fill="auto"/>
            <w:vAlign w:val="center"/>
          </w:tcPr>
          <w:p w14:paraId="0DDDD0EF">
            <w:pPr>
              <w:keepNext w:val="0"/>
              <w:keepLines w:val="0"/>
              <w:widowControl/>
              <w:suppressLineNumbers w:val="0"/>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地下车库设计符合下列规定：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设置有地下车库的住宅，设置地下单元门厅，门厅入口按无障碍入口设计，入口处设置尺度适宜的落客区；</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地下单元门厅、电梯厅、过道等公共部位全装修交付，地下室门厅及电梯厅负一层净高不低于2.8m，负二及以下层净高不低于2.6m；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地下停车库出入口不垂直正对住户外窗，地下停车库出入口和坡道上方设置雨</w:t>
            </w:r>
            <w:r>
              <w:rPr>
                <w:rFonts w:ascii="仿宋" w:hAnsi="仿宋" w:eastAsia="仿宋" w:cs="仿宋"/>
                <w:color w:val="auto"/>
                <w:kern w:val="0"/>
                <w:sz w:val="22"/>
                <w:szCs w:val="22"/>
                <w:highlight w:val="none"/>
                <w:lang w:val="en-US" w:eastAsia="zh-CN" w:bidi="ar"/>
              </w:rPr>
              <w:t>篷</w:t>
            </w:r>
            <w:r>
              <w:rPr>
                <w:rFonts w:hint="eastAsia" w:ascii="仿宋" w:hAnsi="仿宋" w:eastAsia="仿宋" w:cs="仿宋"/>
                <w:i w:val="0"/>
                <w:iCs w:val="0"/>
                <w:color w:val="auto"/>
                <w:kern w:val="0"/>
                <w:sz w:val="22"/>
                <w:szCs w:val="22"/>
                <w:highlight w:val="none"/>
                <w:u w:val="none"/>
                <w:lang w:val="en-US" w:eastAsia="zh-CN" w:bidi="ar"/>
              </w:rPr>
              <w:t>；</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地下车库交通流线组织顺畅，车位布局合理高效，车位布置便于使用和出入。地下车库设置清晰、明确的标识系统；</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  无障碍停车位在地下车库入户大堂出入口就近设置；</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6  地下车库出入口、坡道以及主车道净高不低于2.4m，车位净高不低于2.2m。单向直线式坡道净宽度不小于4m，曲线式坡道不小于5m；双向直线式坡道净宽度不小于7m，曲线式坡道不小于7.5m；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7  地下车库地坪采用具有防尘、减噪、防滑、耐磨损、易清理、耐腐蚀的材料，地坪面层采取防止地面开裂的措施；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8  地下车库优先采取自然通风，当不具备自然通风条件时：</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1）设置机械排风系统，并设置与排风设备联动的一氧化碳浓度监测装置；</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2）送风系统直接从室外引入空气；</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9  地下车库的排风出口布置在主导风的下风向，远离人员活动区，且设置消声措施，噪声值满足环保要求；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10  集水坑井盖采用轻质钢构载重型密闭井盖，排水沟采用降噪盖板，地下车库非出入口处排水沟不穿越主要车行道；</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11  地下车库集水坑、潜污泵出水管、管线阀门、人防密闭门、人防排气活门及消火栓不影响车行及车位使用。</w:t>
            </w:r>
          </w:p>
        </w:tc>
        <w:tc>
          <w:tcPr>
            <w:tcW w:w="1088" w:type="dxa"/>
            <w:tcBorders>
              <w:tl2br w:val="nil"/>
              <w:tr2bl w:val="nil"/>
            </w:tcBorders>
            <w:shd w:val="clear" w:color="auto" w:fill="auto"/>
            <w:noWrap/>
            <w:vAlign w:val="center"/>
          </w:tcPr>
          <w:p w14:paraId="7D96D36A">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/机电</w:t>
            </w:r>
          </w:p>
        </w:tc>
        <w:tc>
          <w:tcPr>
            <w:tcW w:w="1722" w:type="dxa"/>
            <w:tcBorders>
              <w:tl2br w:val="nil"/>
              <w:tr2bl w:val="nil"/>
            </w:tcBorders>
            <w:shd w:val="clear" w:color="auto" w:fill="auto"/>
            <w:noWrap/>
            <w:vAlign w:val="center"/>
          </w:tcPr>
          <w:p w14:paraId="62F278B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D108A8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C0F41E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相关设计图纸、设计说明。终评价尚需提交现场实测数据、管线综合图。</w:t>
            </w:r>
          </w:p>
        </w:tc>
      </w:tr>
      <w:tr w14:paraId="59B095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26CEDE9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34</w:t>
            </w:r>
          </w:p>
        </w:tc>
        <w:tc>
          <w:tcPr>
            <w:tcW w:w="590" w:type="dxa"/>
            <w:vMerge w:val="continue"/>
            <w:tcBorders>
              <w:tl2br w:val="nil"/>
              <w:tr2bl w:val="nil"/>
            </w:tcBorders>
            <w:shd w:val="clear" w:color="auto" w:fill="auto"/>
            <w:vAlign w:val="center"/>
          </w:tcPr>
          <w:p w14:paraId="28CA2FE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445A12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2D73B6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4.1.9</w:t>
            </w:r>
          </w:p>
        </w:tc>
        <w:tc>
          <w:tcPr>
            <w:tcW w:w="7712" w:type="dxa"/>
            <w:tcBorders>
              <w:tl2br w:val="nil"/>
              <w:tr2bl w:val="nil"/>
            </w:tcBorders>
            <w:shd w:val="clear" w:color="auto" w:fill="auto"/>
            <w:vAlign w:val="center"/>
          </w:tcPr>
          <w:p w14:paraId="34D83BA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住宅楼栋、单元、电梯厅、住户设置明显标识标牌，标识标牌夜间清晰可见。</w:t>
            </w:r>
          </w:p>
        </w:tc>
        <w:tc>
          <w:tcPr>
            <w:tcW w:w="1088" w:type="dxa"/>
            <w:tcBorders>
              <w:tl2br w:val="nil"/>
              <w:tr2bl w:val="nil"/>
            </w:tcBorders>
            <w:shd w:val="clear" w:color="auto" w:fill="auto"/>
            <w:noWrap/>
            <w:vAlign w:val="center"/>
          </w:tcPr>
          <w:p w14:paraId="56DEBD6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7744C0B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534FA5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AD7621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相关设计图纸及设计说明。终评价尚需提交现场图片。</w:t>
            </w:r>
          </w:p>
        </w:tc>
      </w:tr>
      <w:tr w14:paraId="5A018E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1" w:hRule="atLeast"/>
        </w:trPr>
        <w:tc>
          <w:tcPr>
            <w:tcW w:w="609" w:type="dxa"/>
            <w:tcBorders>
              <w:tl2br w:val="nil"/>
              <w:tr2bl w:val="nil"/>
            </w:tcBorders>
            <w:shd w:val="clear" w:color="auto" w:fill="auto"/>
            <w:vAlign w:val="center"/>
          </w:tcPr>
          <w:p w14:paraId="2882B66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35</w:t>
            </w:r>
          </w:p>
        </w:tc>
        <w:tc>
          <w:tcPr>
            <w:tcW w:w="590" w:type="dxa"/>
            <w:vMerge w:val="restart"/>
            <w:tcBorders>
              <w:tl2br w:val="nil"/>
              <w:tr2bl w:val="nil"/>
            </w:tcBorders>
            <w:shd w:val="clear" w:color="auto" w:fill="auto"/>
            <w:vAlign w:val="center"/>
          </w:tcPr>
          <w:p w14:paraId="0BF247F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 套内空间</w:t>
            </w:r>
          </w:p>
        </w:tc>
        <w:tc>
          <w:tcPr>
            <w:tcW w:w="465" w:type="dxa"/>
            <w:vMerge w:val="restart"/>
            <w:tcBorders>
              <w:tl2br w:val="nil"/>
              <w:tr2bl w:val="nil"/>
            </w:tcBorders>
            <w:shd w:val="clear" w:color="auto" w:fill="auto"/>
            <w:vAlign w:val="center"/>
          </w:tcPr>
          <w:p w14:paraId="516A86A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4D504F6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4.2.1</w:t>
            </w:r>
          </w:p>
        </w:tc>
        <w:tc>
          <w:tcPr>
            <w:tcW w:w="7712" w:type="dxa"/>
            <w:tcBorders>
              <w:tl2br w:val="nil"/>
              <w:tr2bl w:val="nil"/>
            </w:tcBorders>
            <w:shd w:val="clear" w:color="auto" w:fill="auto"/>
            <w:vAlign w:val="center"/>
          </w:tcPr>
          <w:p w14:paraId="075CD84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住宅套型确保住户的健康、舒适、安全、适用，基本功能空间和设备设施齐备，并符合下列规定：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套型与功能空间数量、面积相匹配，包括卧室、起居室、厨房、卫生间和阳台等基本功能空间；</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套内空间合理布局、方正实用、尺度适宜、流线合理，套内注重动静分区、干湿分离、洁污分区；</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住宅采用与建筑功能和空间相适应的设备设施布置方式和结构形式；</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套内的主要生活空间具有隐私性，起居室和卧室具有良好视野。</w:t>
            </w:r>
          </w:p>
        </w:tc>
        <w:tc>
          <w:tcPr>
            <w:tcW w:w="1088" w:type="dxa"/>
            <w:tcBorders>
              <w:tl2br w:val="nil"/>
              <w:tr2bl w:val="nil"/>
            </w:tcBorders>
            <w:shd w:val="clear" w:color="auto" w:fill="auto"/>
            <w:noWrap/>
            <w:vAlign w:val="center"/>
          </w:tcPr>
          <w:p w14:paraId="4534AAB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EC0A5E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17D070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034CAC6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3486555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72EAE8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810" w:hRule="atLeast"/>
        </w:trPr>
        <w:tc>
          <w:tcPr>
            <w:tcW w:w="609" w:type="dxa"/>
            <w:tcBorders>
              <w:tl2br w:val="nil"/>
              <w:tr2bl w:val="nil"/>
            </w:tcBorders>
            <w:shd w:val="clear" w:color="auto" w:fill="auto"/>
            <w:vAlign w:val="center"/>
          </w:tcPr>
          <w:p w14:paraId="569B610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36</w:t>
            </w:r>
          </w:p>
        </w:tc>
        <w:tc>
          <w:tcPr>
            <w:tcW w:w="590" w:type="dxa"/>
            <w:vMerge w:val="continue"/>
            <w:tcBorders>
              <w:tl2br w:val="nil"/>
              <w:tr2bl w:val="nil"/>
            </w:tcBorders>
            <w:shd w:val="clear" w:color="auto" w:fill="auto"/>
            <w:vAlign w:val="center"/>
          </w:tcPr>
          <w:p w14:paraId="4A51E5B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2DD628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760074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4.2.2</w:t>
            </w:r>
          </w:p>
        </w:tc>
        <w:tc>
          <w:tcPr>
            <w:tcW w:w="7712" w:type="dxa"/>
            <w:tcBorders>
              <w:tl2br w:val="nil"/>
              <w:tr2bl w:val="nil"/>
            </w:tcBorders>
            <w:shd w:val="clear" w:color="auto" w:fill="auto"/>
            <w:vAlign w:val="center"/>
          </w:tcPr>
          <w:p w14:paraId="1D210B1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住宅层高设置合理，标准层层高不低于3m。建筑面积140㎡及以上设有户式中央空调和集中新风系统的套型，标准层层高不低于3.15m。</w:t>
            </w:r>
          </w:p>
        </w:tc>
        <w:tc>
          <w:tcPr>
            <w:tcW w:w="1088" w:type="dxa"/>
            <w:tcBorders>
              <w:tl2br w:val="nil"/>
              <w:tr2bl w:val="nil"/>
            </w:tcBorders>
            <w:shd w:val="clear" w:color="auto" w:fill="auto"/>
            <w:noWrap/>
            <w:vAlign w:val="center"/>
          </w:tcPr>
          <w:p w14:paraId="5419DAA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132D338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06E9AA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8775B6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相关设计图纸及设计说明。终评价尚需提交现场实测数据。</w:t>
            </w:r>
          </w:p>
        </w:tc>
      </w:tr>
      <w:tr w14:paraId="3CED6B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1" w:hRule="atLeast"/>
        </w:trPr>
        <w:tc>
          <w:tcPr>
            <w:tcW w:w="609" w:type="dxa"/>
            <w:tcBorders>
              <w:tl2br w:val="nil"/>
              <w:tr2bl w:val="nil"/>
            </w:tcBorders>
            <w:shd w:val="clear" w:color="auto" w:fill="auto"/>
            <w:vAlign w:val="center"/>
          </w:tcPr>
          <w:p w14:paraId="5BCE3E5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37</w:t>
            </w:r>
          </w:p>
        </w:tc>
        <w:tc>
          <w:tcPr>
            <w:tcW w:w="590" w:type="dxa"/>
            <w:vMerge w:val="continue"/>
            <w:tcBorders>
              <w:tl2br w:val="nil"/>
              <w:tr2bl w:val="nil"/>
            </w:tcBorders>
            <w:shd w:val="clear" w:color="auto" w:fill="auto"/>
            <w:vAlign w:val="center"/>
          </w:tcPr>
          <w:p w14:paraId="44F85AC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9519DC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B2B6AC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4.2.3</w:t>
            </w:r>
          </w:p>
        </w:tc>
        <w:tc>
          <w:tcPr>
            <w:tcW w:w="7712" w:type="dxa"/>
            <w:tcBorders>
              <w:tl2br w:val="nil"/>
              <w:tr2bl w:val="nil"/>
            </w:tcBorders>
            <w:shd w:val="clear" w:color="auto" w:fill="auto"/>
            <w:vAlign w:val="center"/>
          </w:tcPr>
          <w:p w14:paraId="283F095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每套住宅设阳台，并符合下列规定：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主要生活阳台进深不小于1.5m；服务阳台进深不小于1.2m；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在有阳光直射的阳台设置晾晒空间，当无直射阳光晾晒条件时，设置有杀菌功能的衣物烘干设备或预留设置条件。</w:t>
            </w:r>
          </w:p>
          <w:p w14:paraId="182D47E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注：保障性住房设阳台时进深不少于1.2m；不设阳台时，本条不参评。</w:t>
            </w:r>
          </w:p>
        </w:tc>
        <w:tc>
          <w:tcPr>
            <w:tcW w:w="1088" w:type="dxa"/>
            <w:tcBorders>
              <w:tl2br w:val="nil"/>
              <w:tr2bl w:val="nil"/>
            </w:tcBorders>
            <w:shd w:val="clear" w:color="auto" w:fill="auto"/>
            <w:noWrap/>
            <w:vAlign w:val="center"/>
          </w:tcPr>
          <w:p w14:paraId="7AF7E6D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E07540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FA1408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89D240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相关设计图纸及设计说明。终评价尚需提交现场实测数据。</w:t>
            </w:r>
          </w:p>
        </w:tc>
      </w:tr>
      <w:tr w14:paraId="30AD06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99" w:hRule="atLeast"/>
        </w:trPr>
        <w:tc>
          <w:tcPr>
            <w:tcW w:w="609" w:type="dxa"/>
            <w:tcBorders>
              <w:tl2br w:val="nil"/>
              <w:tr2bl w:val="nil"/>
            </w:tcBorders>
            <w:shd w:val="clear" w:color="auto" w:fill="auto"/>
            <w:vAlign w:val="center"/>
          </w:tcPr>
          <w:p w14:paraId="34BAF5D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38</w:t>
            </w:r>
          </w:p>
        </w:tc>
        <w:tc>
          <w:tcPr>
            <w:tcW w:w="590" w:type="dxa"/>
            <w:vMerge w:val="continue"/>
            <w:tcBorders>
              <w:tl2br w:val="nil"/>
              <w:tr2bl w:val="nil"/>
            </w:tcBorders>
            <w:shd w:val="clear" w:color="auto" w:fill="auto"/>
            <w:vAlign w:val="center"/>
          </w:tcPr>
          <w:p w14:paraId="011735B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1D011E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D080B4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4.2.4</w:t>
            </w:r>
          </w:p>
        </w:tc>
        <w:tc>
          <w:tcPr>
            <w:tcW w:w="7712" w:type="dxa"/>
            <w:tcBorders>
              <w:tl2br w:val="nil"/>
              <w:tr2bl w:val="nil"/>
            </w:tcBorders>
            <w:shd w:val="clear" w:color="auto" w:fill="auto"/>
            <w:vAlign w:val="center"/>
          </w:tcPr>
          <w:p w14:paraId="433C97E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住宅户门开启符合下列规定：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户门开启不影响电梯厅、楼梯、走廊、相邻住户的通行及消火栓的使用；</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相邻户门并列布置时，门扇间最小净距离不小于0.4m；相邻户门为L型布置时，门扇开启过程中最小净距离不小于0.6m。户门外两侧预留不小于0.2m的墙垛；</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公共空间内设备井检修门开启时不影响相邻住户户门的开启。</w:t>
            </w:r>
          </w:p>
          <w:p w14:paraId="310F0AA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注：保障性住房本条第2款不参评。</w:t>
            </w:r>
          </w:p>
        </w:tc>
        <w:tc>
          <w:tcPr>
            <w:tcW w:w="1088" w:type="dxa"/>
            <w:tcBorders>
              <w:tl2br w:val="nil"/>
              <w:tr2bl w:val="nil"/>
            </w:tcBorders>
            <w:shd w:val="clear" w:color="auto" w:fill="auto"/>
            <w:noWrap/>
            <w:vAlign w:val="center"/>
          </w:tcPr>
          <w:p w14:paraId="6F1087A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051158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449FDA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3C7885E">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相关设计图纸及设计说明。终评价尚需提交现场实测数据及图片</w:t>
            </w:r>
          </w:p>
        </w:tc>
      </w:tr>
      <w:tr w14:paraId="007E1C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78" w:hRule="atLeast"/>
        </w:trPr>
        <w:tc>
          <w:tcPr>
            <w:tcW w:w="609" w:type="dxa"/>
            <w:tcBorders>
              <w:tl2br w:val="nil"/>
              <w:tr2bl w:val="nil"/>
            </w:tcBorders>
            <w:shd w:val="clear" w:color="auto" w:fill="auto"/>
            <w:vAlign w:val="center"/>
          </w:tcPr>
          <w:p w14:paraId="668204E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39</w:t>
            </w:r>
          </w:p>
        </w:tc>
        <w:tc>
          <w:tcPr>
            <w:tcW w:w="590" w:type="dxa"/>
            <w:vMerge w:val="continue"/>
            <w:tcBorders>
              <w:tl2br w:val="nil"/>
              <w:tr2bl w:val="nil"/>
            </w:tcBorders>
            <w:shd w:val="clear" w:color="auto" w:fill="auto"/>
            <w:vAlign w:val="center"/>
          </w:tcPr>
          <w:p w14:paraId="1C1EAFB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C90089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6BDE71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4.2.5</w:t>
            </w:r>
          </w:p>
        </w:tc>
        <w:tc>
          <w:tcPr>
            <w:tcW w:w="7712" w:type="dxa"/>
            <w:tcBorders>
              <w:tl2br w:val="nil"/>
              <w:tr2bl w:val="nil"/>
            </w:tcBorders>
            <w:shd w:val="clear" w:color="auto" w:fill="auto"/>
            <w:vAlign w:val="center"/>
          </w:tcPr>
          <w:p w14:paraId="46B69CF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住宅户门通行净宽不小于0.9m，且净高不低于2.1m；厨房、卫生间门的通行净宽不小于0.8m；当卫生间门向内开启时，预留向外开启或推拉开启的空间条件；服务阳台门净宽不少于0.8m。</w:t>
            </w:r>
          </w:p>
          <w:p w14:paraId="1F2442A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注：保障性住房厨卫通行净宽要求按《住宅项目规范》第4.1.14条要求执行。</w:t>
            </w:r>
          </w:p>
        </w:tc>
        <w:tc>
          <w:tcPr>
            <w:tcW w:w="1088" w:type="dxa"/>
            <w:tcBorders>
              <w:tl2br w:val="nil"/>
              <w:tr2bl w:val="nil"/>
            </w:tcBorders>
            <w:shd w:val="clear" w:color="auto" w:fill="auto"/>
            <w:noWrap/>
            <w:vAlign w:val="center"/>
          </w:tcPr>
          <w:p w14:paraId="6F0FF78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1FC92BE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57609E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EBD39F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相关设计图纸及设计说明。终评价尚需提交现场实测数据及图片</w:t>
            </w:r>
          </w:p>
        </w:tc>
      </w:tr>
      <w:tr w14:paraId="45D0DA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trPr>
        <w:tc>
          <w:tcPr>
            <w:tcW w:w="609" w:type="dxa"/>
            <w:tcBorders>
              <w:tl2br w:val="nil"/>
              <w:tr2bl w:val="nil"/>
            </w:tcBorders>
            <w:shd w:val="clear" w:color="auto" w:fill="auto"/>
            <w:vAlign w:val="center"/>
          </w:tcPr>
          <w:p w14:paraId="3149034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40</w:t>
            </w:r>
          </w:p>
        </w:tc>
        <w:tc>
          <w:tcPr>
            <w:tcW w:w="590" w:type="dxa"/>
            <w:vMerge w:val="continue"/>
            <w:tcBorders>
              <w:tl2br w:val="nil"/>
              <w:tr2bl w:val="nil"/>
            </w:tcBorders>
            <w:shd w:val="clear" w:color="auto" w:fill="auto"/>
            <w:vAlign w:val="center"/>
          </w:tcPr>
          <w:p w14:paraId="1735907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2CD41A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016760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4.2.6</w:t>
            </w:r>
          </w:p>
        </w:tc>
        <w:tc>
          <w:tcPr>
            <w:tcW w:w="7712" w:type="dxa"/>
            <w:tcBorders>
              <w:tl2br w:val="nil"/>
              <w:tr2bl w:val="nil"/>
            </w:tcBorders>
            <w:shd w:val="clear" w:color="auto" w:fill="auto"/>
            <w:vAlign w:val="center"/>
          </w:tcPr>
          <w:p w14:paraId="09C860F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卧室门在门套上加装密封条以增加隔声效果，卫生间门框下部采取防潮措施。</w:t>
            </w:r>
          </w:p>
        </w:tc>
        <w:tc>
          <w:tcPr>
            <w:tcW w:w="1088" w:type="dxa"/>
            <w:tcBorders>
              <w:tl2br w:val="nil"/>
              <w:tr2bl w:val="nil"/>
            </w:tcBorders>
            <w:shd w:val="clear" w:color="auto" w:fill="auto"/>
            <w:noWrap/>
            <w:vAlign w:val="center"/>
          </w:tcPr>
          <w:p w14:paraId="78198FF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51E6B79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2ED6FC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0467CF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相关设计图纸及设计说明。终评价尚需提交现场图片</w:t>
            </w:r>
          </w:p>
        </w:tc>
      </w:tr>
      <w:tr w14:paraId="45CA66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5" w:hRule="atLeast"/>
        </w:trPr>
        <w:tc>
          <w:tcPr>
            <w:tcW w:w="609" w:type="dxa"/>
            <w:tcBorders>
              <w:tl2br w:val="nil"/>
              <w:tr2bl w:val="nil"/>
            </w:tcBorders>
            <w:shd w:val="clear" w:color="auto" w:fill="auto"/>
            <w:vAlign w:val="center"/>
          </w:tcPr>
          <w:p w14:paraId="4DF5630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41</w:t>
            </w:r>
          </w:p>
        </w:tc>
        <w:tc>
          <w:tcPr>
            <w:tcW w:w="590" w:type="dxa"/>
            <w:vMerge w:val="continue"/>
            <w:tcBorders>
              <w:tl2br w:val="nil"/>
              <w:tr2bl w:val="nil"/>
            </w:tcBorders>
            <w:shd w:val="clear" w:color="auto" w:fill="auto"/>
            <w:vAlign w:val="center"/>
          </w:tcPr>
          <w:p w14:paraId="621367D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C764C8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CC045E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4.2.7</w:t>
            </w:r>
          </w:p>
        </w:tc>
        <w:tc>
          <w:tcPr>
            <w:tcW w:w="7712" w:type="dxa"/>
            <w:tcBorders>
              <w:tl2br w:val="nil"/>
              <w:tr2bl w:val="nil"/>
            </w:tcBorders>
            <w:shd w:val="clear" w:color="auto" w:fill="auto"/>
            <w:vAlign w:val="center"/>
          </w:tcPr>
          <w:p w14:paraId="641DB67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厨房、卫生间的设备设施合理设置，并符合下列规定：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厨房设置直通屋面的排油烟成品管道，该管道具备防火、导流、防倒灌功能，并符合国家和当地相关标准。连接竖向主管道的各层水平支管上设置150℃防火止回阀；</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厨房天花采用密闭式吊顶时，厨房排油烟管道上的防火止回阀处设置不小于300x300mm 的隐蔽式检修口，且检修口不可被遮挡。</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厨房预留洗碗机、蒸箱、厨余垃圾处理器、水浸报警装置等设备设施的位置及插座等条件。</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无外窗的卫生间设置机械排风系统，通风换气次数不小于10次/h；</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  卫生间地漏具有防反溢、防异味功能；洗衣机处地漏采用具有防反溢、防干涸功能的专用地漏；</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6  存水弯出水管与排水管道连接处使用良好密封材料和构造，便器选用构造内自带水封的产品；</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7  卫生间采用同层排水系统，并做好沉箱底和完成面两道防水措施。</w:t>
            </w:r>
          </w:p>
          <w:p w14:paraId="631DF2D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注：对保障性住房，仅需预留水浸报警装置的位置及插座等条件第3款即达标。</w:t>
            </w:r>
          </w:p>
        </w:tc>
        <w:tc>
          <w:tcPr>
            <w:tcW w:w="1088" w:type="dxa"/>
            <w:tcBorders>
              <w:tl2br w:val="nil"/>
              <w:tr2bl w:val="nil"/>
            </w:tcBorders>
            <w:shd w:val="clear" w:color="auto" w:fill="auto"/>
            <w:noWrap/>
            <w:vAlign w:val="center"/>
          </w:tcPr>
          <w:p w14:paraId="5E036C7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建筑牵头，电气、给排水配合。</w:t>
            </w:r>
          </w:p>
        </w:tc>
        <w:tc>
          <w:tcPr>
            <w:tcW w:w="1722" w:type="dxa"/>
            <w:tcBorders>
              <w:tl2br w:val="nil"/>
              <w:tr2bl w:val="nil"/>
            </w:tcBorders>
            <w:shd w:val="clear" w:color="auto" w:fill="auto"/>
            <w:noWrap/>
            <w:vAlign w:val="center"/>
          </w:tcPr>
          <w:p w14:paraId="016E310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6D89C0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79F08A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相关设计图纸、设计说明及计算书。终评价尚需提交现场图片</w:t>
            </w:r>
          </w:p>
        </w:tc>
      </w:tr>
      <w:tr w14:paraId="040FA0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52" w:hRule="atLeast"/>
        </w:trPr>
        <w:tc>
          <w:tcPr>
            <w:tcW w:w="609" w:type="dxa"/>
            <w:tcBorders>
              <w:tl2br w:val="nil"/>
              <w:tr2bl w:val="nil"/>
            </w:tcBorders>
            <w:shd w:val="clear" w:color="auto" w:fill="auto"/>
            <w:vAlign w:val="center"/>
          </w:tcPr>
          <w:p w14:paraId="0440A2A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w:t>
            </w:r>
          </w:p>
        </w:tc>
        <w:tc>
          <w:tcPr>
            <w:tcW w:w="590" w:type="dxa"/>
            <w:vMerge w:val="continue"/>
            <w:tcBorders>
              <w:tl2br w:val="nil"/>
              <w:tr2bl w:val="nil"/>
            </w:tcBorders>
            <w:shd w:val="clear" w:color="auto" w:fill="auto"/>
            <w:vAlign w:val="center"/>
          </w:tcPr>
          <w:p w14:paraId="6FD137C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662261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CCBAB5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4.2.8</w:t>
            </w:r>
          </w:p>
        </w:tc>
        <w:tc>
          <w:tcPr>
            <w:tcW w:w="7712" w:type="dxa"/>
            <w:tcBorders>
              <w:tl2br w:val="nil"/>
              <w:tr2bl w:val="nil"/>
            </w:tcBorders>
            <w:shd w:val="clear" w:color="auto" w:fill="auto"/>
            <w:vAlign w:val="center"/>
          </w:tcPr>
          <w:p w14:paraId="782FE73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住宅的电源插座布置满足《住宅项目规范》GB 55038中7.4.5条规定的要求，并符合下列规定：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卫生间内坐便器侧预留电源插座，厨房台盆下方预留净水器等设备电源插座，电源插座防护符合《外壳防护等级（IP代码）》GB/T 4208规定的IP54防护等级的要求；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起居室电视墙设置不少于2个单相五孔插座，居中布置的床头两侧设置床头插座，靠墙布置的床头不靠墙侧设置床头插座；</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厨房除设置特定功能插座外，设置不少于3处操作台面插座（每处设2个单相五孔插座）；</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起居室、卧室除设置特定功能插座外，保证房间各墙角均有设置，连续墙上的插座间距不超过3m。</w:t>
            </w:r>
          </w:p>
        </w:tc>
        <w:tc>
          <w:tcPr>
            <w:tcW w:w="1088" w:type="dxa"/>
            <w:tcBorders>
              <w:tl2br w:val="nil"/>
              <w:tr2bl w:val="nil"/>
            </w:tcBorders>
            <w:shd w:val="clear" w:color="auto" w:fill="auto"/>
            <w:noWrap/>
            <w:vAlign w:val="center"/>
          </w:tcPr>
          <w:p w14:paraId="4D18076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电气、建筑</w:t>
            </w:r>
          </w:p>
        </w:tc>
        <w:tc>
          <w:tcPr>
            <w:tcW w:w="1722" w:type="dxa"/>
            <w:tcBorders>
              <w:tl2br w:val="nil"/>
              <w:tr2bl w:val="nil"/>
            </w:tcBorders>
            <w:shd w:val="clear" w:color="auto" w:fill="auto"/>
            <w:noWrap/>
            <w:vAlign w:val="center"/>
          </w:tcPr>
          <w:p w14:paraId="7235443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EB9CC1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0072D2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相关设计图纸及设计说明。终评价尚需提交现场实测数据及图片</w:t>
            </w:r>
          </w:p>
        </w:tc>
      </w:tr>
      <w:tr w14:paraId="5345DF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9" w:hRule="atLeast"/>
        </w:trPr>
        <w:tc>
          <w:tcPr>
            <w:tcW w:w="609" w:type="dxa"/>
            <w:tcBorders>
              <w:tl2br w:val="nil"/>
              <w:tr2bl w:val="nil"/>
            </w:tcBorders>
            <w:shd w:val="clear" w:color="auto" w:fill="auto"/>
            <w:vAlign w:val="center"/>
          </w:tcPr>
          <w:p w14:paraId="13DA2E1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w:t>
            </w:r>
          </w:p>
        </w:tc>
        <w:tc>
          <w:tcPr>
            <w:tcW w:w="590" w:type="dxa"/>
            <w:vMerge w:val="continue"/>
            <w:tcBorders>
              <w:tl2br w:val="nil"/>
              <w:tr2bl w:val="nil"/>
            </w:tcBorders>
            <w:shd w:val="clear" w:color="auto" w:fill="auto"/>
            <w:vAlign w:val="center"/>
          </w:tcPr>
          <w:p w14:paraId="7BAE908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AE0D05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85FE81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4.2.9</w:t>
            </w:r>
          </w:p>
        </w:tc>
        <w:tc>
          <w:tcPr>
            <w:tcW w:w="7712" w:type="dxa"/>
            <w:tcBorders>
              <w:tl2br w:val="nil"/>
              <w:tr2bl w:val="nil"/>
            </w:tcBorders>
            <w:shd w:val="clear" w:color="auto" w:fill="auto"/>
            <w:vAlign w:val="center"/>
          </w:tcPr>
          <w:p w14:paraId="25B223C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住宅套内空间加强气流组织及自然通风路径设计，提高通风效率。</w:t>
            </w:r>
          </w:p>
        </w:tc>
        <w:tc>
          <w:tcPr>
            <w:tcW w:w="1088" w:type="dxa"/>
            <w:tcBorders>
              <w:tl2br w:val="nil"/>
              <w:tr2bl w:val="nil"/>
            </w:tcBorders>
            <w:shd w:val="clear" w:color="auto" w:fill="auto"/>
            <w:noWrap/>
            <w:vAlign w:val="center"/>
          </w:tcPr>
          <w:p w14:paraId="368A881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3F38AE9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48E9A6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B011FC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47818C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539" w:hRule="atLeast"/>
        </w:trPr>
        <w:tc>
          <w:tcPr>
            <w:tcW w:w="609" w:type="dxa"/>
            <w:tcBorders>
              <w:tl2br w:val="nil"/>
              <w:tr2bl w:val="nil"/>
            </w:tcBorders>
            <w:shd w:val="clear" w:color="auto" w:fill="auto"/>
            <w:vAlign w:val="center"/>
          </w:tcPr>
          <w:p w14:paraId="471B146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44</w:t>
            </w:r>
          </w:p>
        </w:tc>
        <w:tc>
          <w:tcPr>
            <w:tcW w:w="590" w:type="dxa"/>
            <w:vMerge w:val="continue"/>
            <w:tcBorders>
              <w:tl2br w:val="nil"/>
              <w:tr2bl w:val="nil"/>
            </w:tcBorders>
            <w:shd w:val="clear" w:color="auto" w:fill="auto"/>
            <w:vAlign w:val="center"/>
          </w:tcPr>
          <w:p w14:paraId="745FCDE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94BDCC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1CF5DB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4.2.10</w:t>
            </w:r>
          </w:p>
        </w:tc>
        <w:tc>
          <w:tcPr>
            <w:tcW w:w="7712" w:type="dxa"/>
            <w:tcBorders>
              <w:tl2br w:val="nil"/>
              <w:tr2bl w:val="nil"/>
            </w:tcBorders>
            <w:shd w:val="clear" w:color="auto" w:fill="auto"/>
            <w:vAlign w:val="center"/>
          </w:tcPr>
          <w:p w14:paraId="2EC6F34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空调及新风系统的室外机位置不对人员和相邻居室窗口形成热污染、噪声及振动干扰等不利影响。</w:t>
            </w:r>
          </w:p>
        </w:tc>
        <w:tc>
          <w:tcPr>
            <w:tcW w:w="1088" w:type="dxa"/>
            <w:tcBorders>
              <w:tl2br w:val="nil"/>
              <w:tr2bl w:val="nil"/>
            </w:tcBorders>
            <w:shd w:val="clear" w:color="auto" w:fill="auto"/>
            <w:noWrap/>
            <w:vAlign w:val="center"/>
          </w:tcPr>
          <w:p w14:paraId="35F614A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暖通</w:t>
            </w:r>
          </w:p>
        </w:tc>
        <w:tc>
          <w:tcPr>
            <w:tcW w:w="1722" w:type="dxa"/>
            <w:tcBorders>
              <w:tl2br w:val="nil"/>
              <w:tr2bl w:val="nil"/>
            </w:tcBorders>
            <w:shd w:val="clear" w:color="auto" w:fill="auto"/>
            <w:noWrap/>
            <w:vAlign w:val="center"/>
          </w:tcPr>
          <w:p w14:paraId="7B8D7B6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09B297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B96303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相关设计图纸及设计说明。终评价尚需提交现场必要的检测数据及图片。</w:t>
            </w:r>
          </w:p>
        </w:tc>
      </w:tr>
      <w:tr w14:paraId="1F01E4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83" w:hRule="atLeast"/>
        </w:trPr>
        <w:tc>
          <w:tcPr>
            <w:tcW w:w="609" w:type="dxa"/>
            <w:tcBorders>
              <w:tl2br w:val="nil"/>
              <w:tr2bl w:val="nil"/>
            </w:tcBorders>
            <w:shd w:val="clear" w:color="auto" w:fill="auto"/>
            <w:vAlign w:val="center"/>
          </w:tcPr>
          <w:p w14:paraId="53EA03E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45</w:t>
            </w:r>
          </w:p>
        </w:tc>
        <w:tc>
          <w:tcPr>
            <w:tcW w:w="590" w:type="dxa"/>
            <w:vMerge w:val="restart"/>
            <w:tcBorders>
              <w:tl2br w:val="nil"/>
              <w:tr2bl w:val="nil"/>
            </w:tcBorders>
            <w:shd w:val="clear" w:color="auto" w:fill="auto"/>
            <w:vAlign w:val="center"/>
          </w:tcPr>
          <w:p w14:paraId="15813EE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 室内环境</w:t>
            </w:r>
          </w:p>
        </w:tc>
        <w:tc>
          <w:tcPr>
            <w:tcW w:w="465" w:type="dxa"/>
            <w:vMerge w:val="restart"/>
            <w:tcBorders>
              <w:tl2br w:val="nil"/>
              <w:tr2bl w:val="nil"/>
            </w:tcBorders>
            <w:shd w:val="clear" w:color="auto" w:fill="auto"/>
            <w:vAlign w:val="center"/>
          </w:tcPr>
          <w:p w14:paraId="5E1E05F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1249FBD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4.3.1</w:t>
            </w:r>
          </w:p>
        </w:tc>
        <w:tc>
          <w:tcPr>
            <w:tcW w:w="7712" w:type="dxa"/>
            <w:tcBorders>
              <w:tl2br w:val="nil"/>
              <w:tr2bl w:val="nil"/>
            </w:tcBorders>
            <w:shd w:val="clear" w:color="auto" w:fill="auto"/>
            <w:vAlign w:val="center"/>
          </w:tcPr>
          <w:p w14:paraId="1024DB8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住宅的日照采光通风满足下列规定：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每套住宅至少有1个卧室或起居室能满足日照标准；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起居室、卧室、厨房有直接采光和自然通风；</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每套住宅至少有1个卫生间有直接采光和自然通风。</w:t>
            </w:r>
          </w:p>
        </w:tc>
        <w:tc>
          <w:tcPr>
            <w:tcW w:w="1088" w:type="dxa"/>
            <w:tcBorders>
              <w:tl2br w:val="nil"/>
              <w:tr2bl w:val="nil"/>
            </w:tcBorders>
            <w:shd w:val="clear" w:color="auto" w:fill="auto"/>
            <w:noWrap/>
            <w:vAlign w:val="center"/>
          </w:tcPr>
          <w:p w14:paraId="5F3EBB1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741E418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5530C9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821D7B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相关设计图纸、日照分析报告、自然通风模拟分析报告。</w:t>
            </w:r>
          </w:p>
        </w:tc>
      </w:tr>
      <w:tr w14:paraId="5E50A1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59" w:hRule="atLeast"/>
        </w:trPr>
        <w:tc>
          <w:tcPr>
            <w:tcW w:w="609" w:type="dxa"/>
            <w:tcBorders>
              <w:tl2br w:val="nil"/>
              <w:tr2bl w:val="nil"/>
            </w:tcBorders>
            <w:shd w:val="clear" w:color="auto" w:fill="auto"/>
            <w:vAlign w:val="center"/>
          </w:tcPr>
          <w:p w14:paraId="6010A96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46</w:t>
            </w:r>
          </w:p>
        </w:tc>
        <w:tc>
          <w:tcPr>
            <w:tcW w:w="590" w:type="dxa"/>
            <w:vMerge w:val="continue"/>
            <w:tcBorders>
              <w:tl2br w:val="nil"/>
              <w:tr2bl w:val="nil"/>
            </w:tcBorders>
            <w:shd w:val="clear" w:color="auto" w:fill="auto"/>
            <w:vAlign w:val="center"/>
          </w:tcPr>
          <w:p w14:paraId="430D36B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35C285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663A23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4.3.2</w:t>
            </w:r>
          </w:p>
        </w:tc>
        <w:tc>
          <w:tcPr>
            <w:tcW w:w="7712" w:type="dxa"/>
            <w:tcBorders>
              <w:tl2br w:val="nil"/>
              <w:tr2bl w:val="nil"/>
            </w:tcBorders>
            <w:shd w:val="clear" w:color="auto" w:fill="auto"/>
            <w:vAlign w:val="center"/>
          </w:tcPr>
          <w:p w14:paraId="1A9AD50A">
            <w:pPr>
              <w:keepNext w:val="0"/>
              <w:keepLines w:val="0"/>
              <w:pageBreakBefore w:val="0"/>
              <w:widowControl w:val="0"/>
              <w:suppressLineNumbers w:val="0"/>
              <w:kinsoku/>
              <w:wordWrap/>
              <w:overflowPunct/>
              <w:topLinePunct w:val="0"/>
              <w:autoSpaceDE/>
              <w:autoSpaceDN/>
              <w:bidi w:val="0"/>
              <w:adjustRightInd/>
              <w:snapToGrid/>
              <w:ind w:firstLine="440" w:firstLineChars="200"/>
              <w:jc w:val="left"/>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住宅室内空气质量符合下列规定：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室内空气污染物浓度限值符合表4.3.2的规定；</w:t>
            </w:r>
          </w:p>
          <w:p w14:paraId="00655355">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表4.3.2 室内空气污染物浓度限值</w:t>
            </w:r>
          </w:p>
          <w:tbl>
            <w:tblPr>
              <w:tblStyle w:val="10"/>
              <w:tblW w:w="6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2"/>
              <w:gridCol w:w="2237"/>
              <w:gridCol w:w="1963"/>
            </w:tblGrid>
            <w:tr w14:paraId="47255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1872" w:type="dxa"/>
                  <w:vAlign w:val="center"/>
                </w:tcPr>
                <w:p w14:paraId="7D9693B5">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指标</w:t>
                  </w:r>
                </w:p>
              </w:tc>
              <w:tc>
                <w:tcPr>
                  <w:tcW w:w="2237" w:type="dxa"/>
                  <w:vAlign w:val="center"/>
                </w:tcPr>
                <w:p w14:paraId="2FE273BF">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污染物浓度限值</w:t>
                  </w:r>
                </w:p>
              </w:tc>
              <w:tc>
                <w:tcPr>
                  <w:tcW w:w="1963" w:type="dxa"/>
                  <w:vAlign w:val="center"/>
                </w:tcPr>
                <w:p w14:paraId="3C19FDAD">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平均数时限</w:t>
                  </w:r>
                </w:p>
              </w:tc>
            </w:tr>
            <w:tr w14:paraId="4D174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872" w:type="dxa"/>
                  <w:vAlign w:val="center"/>
                </w:tcPr>
                <w:p w14:paraId="51BF20D7">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二氧化碳（%）</w:t>
                  </w:r>
                </w:p>
              </w:tc>
              <w:tc>
                <w:tcPr>
                  <w:tcW w:w="2237" w:type="dxa"/>
                  <w:vAlign w:val="center"/>
                </w:tcPr>
                <w:p w14:paraId="5FFF33F1">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≤0.01</w:t>
                  </w:r>
                </w:p>
              </w:tc>
              <w:tc>
                <w:tcPr>
                  <w:tcW w:w="1963" w:type="dxa"/>
                  <w:vAlign w:val="center"/>
                </w:tcPr>
                <w:p w14:paraId="6DAB00D2">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24h平均值</w:t>
                  </w:r>
                </w:p>
              </w:tc>
            </w:tr>
            <w:tr w14:paraId="5C5DD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872" w:type="dxa"/>
                  <w:vAlign w:val="center"/>
                </w:tcPr>
                <w:p w14:paraId="7E2565AC">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甲醛（mg/m³）</w:t>
                  </w:r>
                </w:p>
              </w:tc>
              <w:tc>
                <w:tcPr>
                  <w:tcW w:w="2237" w:type="dxa"/>
                  <w:vAlign w:val="center"/>
                </w:tcPr>
                <w:p w14:paraId="32571073">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≤0.07</w:t>
                  </w:r>
                </w:p>
              </w:tc>
              <w:tc>
                <w:tcPr>
                  <w:tcW w:w="1963" w:type="dxa"/>
                  <w:vAlign w:val="center"/>
                </w:tcPr>
                <w:p w14:paraId="11F9AB9E">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1h平均值</w:t>
                  </w:r>
                </w:p>
              </w:tc>
            </w:tr>
            <w:tr w14:paraId="64ABC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872" w:type="dxa"/>
                  <w:vAlign w:val="center"/>
                </w:tcPr>
                <w:p w14:paraId="2EF7A341">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苯（mg/m³）</w:t>
                  </w:r>
                </w:p>
              </w:tc>
              <w:tc>
                <w:tcPr>
                  <w:tcW w:w="2237" w:type="dxa"/>
                  <w:vAlign w:val="center"/>
                </w:tcPr>
                <w:p w14:paraId="7F154377">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≤0.03</w:t>
                  </w:r>
                </w:p>
              </w:tc>
              <w:tc>
                <w:tcPr>
                  <w:tcW w:w="1963" w:type="dxa"/>
                  <w:vAlign w:val="center"/>
                </w:tcPr>
                <w:p w14:paraId="51BD49E6">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1h平均值</w:t>
                  </w:r>
                </w:p>
              </w:tc>
            </w:tr>
            <w:tr w14:paraId="74187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872" w:type="dxa"/>
                  <w:vAlign w:val="center"/>
                </w:tcPr>
                <w:p w14:paraId="3218DA00">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甲苯（mg/m³）</w:t>
                  </w:r>
                </w:p>
              </w:tc>
              <w:tc>
                <w:tcPr>
                  <w:tcW w:w="2237" w:type="dxa"/>
                  <w:vAlign w:val="center"/>
                </w:tcPr>
                <w:p w14:paraId="15408C41">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≤0.15</w:t>
                  </w:r>
                </w:p>
              </w:tc>
              <w:tc>
                <w:tcPr>
                  <w:tcW w:w="1963" w:type="dxa"/>
                  <w:vAlign w:val="center"/>
                </w:tcPr>
                <w:p w14:paraId="63A53136">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1h平均值</w:t>
                  </w:r>
                </w:p>
              </w:tc>
            </w:tr>
            <w:tr w14:paraId="77599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872" w:type="dxa"/>
                  <w:vAlign w:val="center"/>
                </w:tcPr>
                <w:p w14:paraId="0801CF3F">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二甲苯（mg/m³）</w:t>
                  </w:r>
                </w:p>
              </w:tc>
              <w:tc>
                <w:tcPr>
                  <w:tcW w:w="2237" w:type="dxa"/>
                  <w:vAlign w:val="center"/>
                </w:tcPr>
                <w:p w14:paraId="737903F3">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≤0.20</w:t>
                  </w:r>
                </w:p>
              </w:tc>
              <w:tc>
                <w:tcPr>
                  <w:tcW w:w="1963" w:type="dxa"/>
                  <w:vAlign w:val="center"/>
                </w:tcPr>
                <w:p w14:paraId="2FAE48C2">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1h平均值</w:t>
                  </w:r>
                </w:p>
              </w:tc>
            </w:tr>
            <w:tr w14:paraId="1EA98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872" w:type="dxa"/>
                  <w:vAlign w:val="center"/>
                </w:tcPr>
                <w:p w14:paraId="6229C221">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总挥发性有机化合物 TVOC（mg/m³）</w:t>
                  </w:r>
                </w:p>
              </w:tc>
              <w:tc>
                <w:tcPr>
                  <w:tcW w:w="2237" w:type="dxa"/>
                  <w:vAlign w:val="center"/>
                </w:tcPr>
                <w:p w14:paraId="543B5FBB">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≤0.45</w:t>
                  </w:r>
                </w:p>
              </w:tc>
              <w:tc>
                <w:tcPr>
                  <w:tcW w:w="1963" w:type="dxa"/>
                  <w:vAlign w:val="center"/>
                </w:tcPr>
                <w:p w14:paraId="07B5C9D7">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8h平均值</w:t>
                  </w:r>
                </w:p>
              </w:tc>
            </w:tr>
            <w:tr w14:paraId="2BE3A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872" w:type="dxa"/>
                  <w:vAlign w:val="center"/>
                </w:tcPr>
                <w:p w14:paraId="2705888F">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细菌总数（CFU/m³）</w:t>
                  </w:r>
                </w:p>
              </w:tc>
              <w:tc>
                <w:tcPr>
                  <w:tcW w:w="2237" w:type="dxa"/>
                  <w:vAlign w:val="center"/>
                </w:tcPr>
                <w:p w14:paraId="13C67983">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≤1500</w:t>
                  </w:r>
                </w:p>
              </w:tc>
              <w:tc>
                <w:tcPr>
                  <w:tcW w:w="1963" w:type="dxa"/>
                  <w:vAlign w:val="center"/>
                </w:tcPr>
                <w:p w14:paraId="5317F376">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p>
              </w:tc>
            </w:tr>
            <w:tr w14:paraId="4A0BB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1872" w:type="dxa"/>
                  <w:vAlign w:val="center"/>
                </w:tcPr>
                <w:p w14:paraId="11242E82">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氡（Bq/m³）</w:t>
                  </w:r>
                </w:p>
              </w:tc>
              <w:tc>
                <w:tcPr>
                  <w:tcW w:w="2237" w:type="dxa"/>
                  <w:vAlign w:val="center"/>
                </w:tcPr>
                <w:p w14:paraId="22CA135D">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≤150</w:t>
                  </w:r>
                </w:p>
              </w:tc>
              <w:tc>
                <w:tcPr>
                  <w:tcW w:w="1963" w:type="dxa"/>
                  <w:vAlign w:val="center"/>
                </w:tcPr>
                <w:p w14:paraId="779E26EE">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年平均值</w:t>
                  </w:r>
                </w:p>
              </w:tc>
            </w:tr>
            <w:tr w14:paraId="3009F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872" w:type="dxa"/>
                  <w:vAlign w:val="center"/>
                </w:tcPr>
                <w:p w14:paraId="1922A389">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臭氧（mg/m³）</w:t>
                  </w:r>
                </w:p>
              </w:tc>
              <w:tc>
                <w:tcPr>
                  <w:tcW w:w="2237" w:type="dxa"/>
                  <w:vAlign w:val="center"/>
                </w:tcPr>
                <w:p w14:paraId="395BAC0A">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≤0.16</w:t>
                  </w:r>
                </w:p>
              </w:tc>
              <w:tc>
                <w:tcPr>
                  <w:tcW w:w="1963" w:type="dxa"/>
                  <w:vAlign w:val="center"/>
                </w:tcPr>
                <w:p w14:paraId="786DCA4B">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1h平均值</w:t>
                  </w:r>
                </w:p>
              </w:tc>
            </w:tr>
            <w:tr w14:paraId="6DEC4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872" w:type="dxa"/>
                  <w:vAlign w:val="center"/>
                </w:tcPr>
                <w:p w14:paraId="797ACDDC">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氨（mg/m³）</w:t>
                  </w:r>
                </w:p>
              </w:tc>
              <w:tc>
                <w:tcPr>
                  <w:tcW w:w="2237" w:type="dxa"/>
                  <w:vAlign w:val="center"/>
                </w:tcPr>
                <w:p w14:paraId="085D8518">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≤0.15</w:t>
                  </w:r>
                </w:p>
              </w:tc>
              <w:tc>
                <w:tcPr>
                  <w:tcW w:w="1963" w:type="dxa"/>
                  <w:vAlign w:val="center"/>
                </w:tcPr>
                <w:p w14:paraId="7916C299">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1h平均值</w:t>
                  </w:r>
                </w:p>
              </w:tc>
            </w:tr>
          </w:tbl>
          <w:p w14:paraId="40D7BAF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rPr>
              <w:t>2  建筑材料和室内装饰装修材料的有害物质限值满足现行相关国家和行业标准要求，不得使用含有石棉、苯的建筑材料和物品；木器漆、防火涂料及饰面材料等的铅含量不得超过90mg/kg；含有异氰酸盐的聚氨酯产品不得用于室内装饰和现场发泡的保温材料。</w:t>
            </w:r>
          </w:p>
        </w:tc>
        <w:tc>
          <w:tcPr>
            <w:tcW w:w="1088" w:type="dxa"/>
            <w:tcBorders>
              <w:tl2br w:val="nil"/>
              <w:tr2bl w:val="nil"/>
            </w:tcBorders>
            <w:shd w:val="clear" w:color="auto" w:fill="auto"/>
            <w:noWrap/>
            <w:vAlign w:val="center"/>
          </w:tcPr>
          <w:p w14:paraId="2731BDD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483243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7B2661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CB1FCF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相关设计图纸及设计说明。终评价尚需提交进入现场相关材料复验报告以及现场检测报告。</w:t>
            </w:r>
          </w:p>
        </w:tc>
      </w:tr>
      <w:tr w14:paraId="506508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90" w:hRule="atLeast"/>
        </w:trPr>
        <w:tc>
          <w:tcPr>
            <w:tcW w:w="609" w:type="dxa"/>
            <w:tcBorders>
              <w:tl2br w:val="nil"/>
              <w:tr2bl w:val="nil"/>
            </w:tcBorders>
            <w:shd w:val="clear" w:color="auto" w:fill="auto"/>
            <w:vAlign w:val="center"/>
          </w:tcPr>
          <w:p w14:paraId="2993916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47</w:t>
            </w:r>
          </w:p>
        </w:tc>
        <w:tc>
          <w:tcPr>
            <w:tcW w:w="590" w:type="dxa"/>
            <w:vMerge w:val="continue"/>
            <w:tcBorders>
              <w:tl2br w:val="nil"/>
              <w:tr2bl w:val="nil"/>
            </w:tcBorders>
            <w:shd w:val="clear" w:color="auto" w:fill="auto"/>
            <w:vAlign w:val="center"/>
          </w:tcPr>
          <w:p w14:paraId="3AA7074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BEF56F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4D5058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4.3.3</w:t>
            </w:r>
          </w:p>
        </w:tc>
        <w:tc>
          <w:tcPr>
            <w:tcW w:w="7712" w:type="dxa"/>
            <w:tcBorders>
              <w:tl2br w:val="nil"/>
              <w:tr2bl w:val="nil"/>
            </w:tcBorders>
            <w:shd w:val="clear" w:color="auto" w:fill="auto"/>
            <w:vAlign w:val="center"/>
          </w:tcPr>
          <w:p w14:paraId="780CEBF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住宅隔声降噪性能满足现行《住宅项目规范》GB 55038、《建筑环境通用规范》GB 55016以及《民用建筑隔声设计规范》GB 50118中的相关要求，并符合下列规定：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卧室分户墙及分户楼板两侧房间之间的计权标准化声压级差与粉红噪声频谱修正量之和（D</w:t>
            </w:r>
            <w:r>
              <w:rPr>
                <w:rFonts w:hint="eastAsia" w:ascii="仿宋" w:hAnsi="仿宋" w:eastAsia="仿宋" w:cs="仿宋"/>
                <w:i w:val="0"/>
                <w:iCs w:val="0"/>
                <w:color w:val="auto"/>
                <w:kern w:val="0"/>
                <w:sz w:val="22"/>
                <w:szCs w:val="22"/>
                <w:highlight w:val="none"/>
                <w:u w:val="none"/>
                <w:vertAlign w:val="subscript"/>
                <w:lang w:val="en-US" w:eastAsia="zh-CN" w:bidi="ar"/>
              </w:rPr>
              <w:t>nT,W</w:t>
            </w:r>
            <w:r>
              <w:rPr>
                <w:rFonts w:hint="eastAsia" w:ascii="仿宋" w:hAnsi="仿宋" w:eastAsia="仿宋" w:cs="仿宋"/>
                <w:i w:val="0"/>
                <w:iCs w:val="0"/>
                <w:color w:val="auto"/>
                <w:kern w:val="0"/>
                <w:sz w:val="22"/>
                <w:szCs w:val="22"/>
                <w:highlight w:val="none"/>
                <w:u w:val="none"/>
                <w:lang w:val="en-US" w:eastAsia="zh-CN" w:bidi="ar"/>
              </w:rPr>
              <w:t>+C）不小于50dB；其他分户墙及分户楼板两侧房间之间的计权标准化声压级差与粉红噪声频谱修正量之和（D</w:t>
            </w:r>
            <w:r>
              <w:rPr>
                <w:rFonts w:hint="eastAsia" w:ascii="仿宋" w:hAnsi="仿宋" w:eastAsia="仿宋" w:cs="仿宋"/>
                <w:i w:val="0"/>
                <w:iCs w:val="0"/>
                <w:color w:val="auto"/>
                <w:kern w:val="0"/>
                <w:sz w:val="22"/>
                <w:szCs w:val="22"/>
                <w:highlight w:val="none"/>
                <w:u w:val="none"/>
                <w:vertAlign w:val="subscript"/>
                <w:lang w:val="en-US" w:eastAsia="zh-CN" w:bidi="ar"/>
              </w:rPr>
              <w:t>nT,W</w:t>
            </w:r>
            <w:r>
              <w:rPr>
                <w:rFonts w:hint="eastAsia" w:ascii="仿宋" w:hAnsi="仿宋" w:eastAsia="仿宋" w:cs="仿宋"/>
                <w:i w:val="0"/>
                <w:iCs w:val="0"/>
                <w:color w:val="auto"/>
                <w:kern w:val="0"/>
                <w:sz w:val="22"/>
                <w:szCs w:val="22"/>
                <w:highlight w:val="none"/>
                <w:u w:val="none"/>
                <w:lang w:val="en-US" w:eastAsia="zh-CN" w:bidi="ar"/>
              </w:rPr>
              <w:t>+C）不小于48dB。分户楼板计权标准化撞击声压级L′</w:t>
            </w:r>
            <w:r>
              <w:rPr>
                <w:rFonts w:hint="eastAsia" w:ascii="仿宋" w:hAnsi="仿宋" w:eastAsia="仿宋" w:cs="仿宋"/>
                <w:i w:val="0"/>
                <w:iCs w:val="0"/>
                <w:color w:val="auto"/>
                <w:kern w:val="0"/>
                <w:sz w:val="22"/>
                <w:szCs w:val="22"/>
                <w:highlight w:val="none"/>
                <w:u w:val="none"/>
                <w:vertAlign w:val="subscript"/>
                <w:lang w:val="en-US" w:eastAsia="zh-CN" w:bidi="ar"/>
              </w:rPr>
              <w:t>nT,w</w:t>
            </w:r>
            <w:r>
              <w:rPr>
                <w:rFonts w:hint="eastAsia" w:ascii="仿宋" w:hAnsi="仿宋" w:eastAsia="仿宋" w:cs="仿宋"/>
                <w:i w:val="0"/>
                <w:iCs w:val="0"/>
                <w:color w:val="auto"/>
                <w:kern w:val="0"/>
                <w:sz w:val="22"/>
                <w:szCs w:val="22"/>
                <w:highlight w:val="none"/>
                <w:u w:val="none"/>
                <w:lang w:val="en-US" w:eastAsia="zh-CN" w:bidi="ar"/>
              </w:rPr>
              <w:t>不大于65dB；</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分户墙不嵌入设置配电箱、弱电箱，开关、插座错位布置，间距不小于250mm，且设置相应的隔声封堵措施；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分户墙采用混凝土墙体时，墙体厚度不小于200mm。当非承重内隔墙采用轻质砌块（条板）墙体时，分户墙体厚度不小于250mm，户内分室墙厚度不小于120mm；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卧室室内噪声限值昼间不大于40dB（A），夜间不大于30dB（A）；起居室室内噪声限值不大于40dB（A）；</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  紧邻城市交通干线两侧的卧室、起居室的窗计权隔声量与交通噪声频谱修正量之和（R</w:t>
            </w:r>
            <w:r>
              <w:rPr>
                <w:rFonts w:hint="eastAsia" w:ascii="仿宋" w:hAnsi="仿宋" w:eastAsia="仿宋" w:cs="仿宋"/>
                <w:i w:val="0"/>
                <w:iCs w:val="0"/>
                <w:color w:val="auto"/>
                <w:kern w:val="0"/>
                <w:sz w:val="22"/>
                <w:szCs w:val="22"/>
                <w:highlight w:val="none"/>
                <w:u w:val="none"/>
                <w:vertAlign w:val="subscript"/>
                <w:lang w:val="en-US" w:eastAsia="zh-CN" w:bidi="ar"/>
              </w:rPr>
              <w:t>W</w:t>
            </w:r>
            <w:r>
              <w:rPr>
                <w:rFonts w:hint="eastAsia" w:ascii="仿宋" w:hAnsi="仿宋" w:eastAsia="仿宋" w:cs="仿宋"/>
                <w:i w:val="0"/>
                <w:iCs w:val="0"/>
                <w:color w:val="auto"/>
                <w:kern w:val="0"/>
                <w:sz w:val="22"/>
                <w:szCs w:val="22"/>
                <w:highlight w:val="none"/>
                <w:u w:val="none"/>
                <w:lang w:val="en-US" w:eastAsia="zh-CN" w:bidi="ar"/>
              </w:rPr>
              <w:t>+C</w:t>
            </w:r>
            <w:r>
              <w:rPr>
                <w:rFonts w:hint="eastAsia" w:ascii="仿宋" w:hAnsi="仿宋" w:eastAsia="仿宋" w:cs="仿宋"/>
                <w:i w:val="0"/>
                <w:iCs w:val="0"/>
                <w:color w:val="auto"/>
                <w:kern w:val="0"/>
                <w:sz w:val="22"/>
                <w:szCs w:val="22"/>
                <w:highlight w:val="none"/>
                <w:u w:val="none"/>
                <w:vertAlign w:val="subscript"/>
                <w:lang w:val="en-US" w:eastAsia="zh-CN" w:bidi="ar"/>
              </w:rPr>
              <w:t>tr</w:t>
            </w:r>
            <w:r>
              <w:rPr>
                <w:rFonts w:hint="eastAsia" w:ascii="仿宋" w:hAnsi="仿宋" w:eastAsia="仿宋" w:cs="仿宋"/>
                <w:i w:val="0"/>
                <w:iCs w:val="0"/>
                <w:color w:val="auto"/>
                <w:kern w:val="0"/>
                <w:sz w:val="22"/>
                <w:szCs w:val="22"/>
                <w:highlight w:val="none"/>
                <w:u w:val="none"/>
                <w:lang w:val="en-US" w:eastAsia="zh-CN" w:bidi="ar"/>
              </w:rPr>
              <w:t>）不小于35dB。其他外门窗的计权隔声量与交通噪声频谱修正量之和（R</w:t>
            </w:r>
            <w:r>
              <w:rPr>
                <w:rFonts w:hint="eastAsia" w:ascii="仿宋" w:hAnsi="仿宋" w:eastAsia="仿宋" w:cs="仿宋"/>
                <w:i w:val="0"/>
                <w:iCs w:val="0"/>
                <w:color w:val="auto"/>
                <w:kern w:val="0"/>
                <w:sz w:val="22"/>
                <w:szCs w:val="22"/>
                <w:highlight w:val="none"/>
                <w:u w:val="none"/>
                <w:vertAlign w:val="subscript"/>
                <w:lang w:val="en-US" w:eastAsia="zh-CN" w:bidi="ar"/>
              </w:rPr>
              <w:t>W</w:t>
            </w:r>
            <w:r>
              <w:rPr>
                <w:rFonts w:hint="eastAsia" w:ascii="仿宋" w:hAnsi="仿宋" w:eastAsia="仿宋" w:cs="仿宋"/>
                <w:i w:val="0"/>
                <w:iCs w:val="0"/>
                <w:color w:val="auto"/>
                <w:kern w:val="0"/>
                <w:sz w:val="22"/>
                <w:szCs w:val="22"/>
                <w:highlight w:val="none"/>
                <w:u w:val="none"/>
                <w:lang w:val="en-US" w:eastAsia="zh-CN" w:bidi="ar"/>
              </w:rPr>
              <w:t>+C</w:t>
            </w:r>
            <w:r>
              <w:rPr>
                <w:rFonts w:hint="eastAsia" w:ascii="仿宋" w:hAnsi="仿宋" w:eastAsia="仿宋" w:cs="仿宋"/>
                <w:i w:val="0"/>
                <w:iCs w:val="0"/>
                <w:color w:val="auto"/>
                <w:kern w:val="0"/>
                <w:sz w:val="22"/>
                <w:szCs w:val="22"/>
                <w:highlight w:val="none"/>
                <w:u w:val="none"/>
                <w:vertAlign w:val="subscript"/>
                <w:lang w:val="en-US" w:eastAsia="zh-CN" w:bidi="ar"/>
              </w:rPr>
              <w:t>tr</w:t>
            </w:r>
            <w:r>
              <w:rPr>
                <w:rFonts w:hint="eastAsia" w:ascii="仿宋" w:hAnsi="仿宋" w:eastAsia="仿宋" w:cs="仿宋"/>
                <w:i w:val="0"/>
                <w:iCs w:val="0"/>
                <w:color w:val="auto"/>
                <w:kern w:val="0"/>
                <w:sz w:val="22"/>
                <w:szCs w:val="22"/>
                <w:highlight w:val="none"/>
                <w:u w:val="none"/>
                <w:lang w:val="en-US" w:eastAsia="zh-CN" w:bidi="ar"/>
              </w:rPr>
              <w:t>）不小于30dB。外墙的计权隔声量与交通噪声频谱修正量（</w:t>
            </w:r>
            <w:r>
              <w:rPr>
                <w:rFonts w:hint="eastAsia" w:ascii="仿宋" w:hAnsi="仿宋" w:eastAsia="仿宋" w:cs="仿宋"/>
                <w:i w:val="0"/>
                <w:iCs w:val="0"/>
                <w:color w:val="auto"/>
                <w:kern w:val="0"/>
                <w:sz w:val="22"/>
                <w:szCs w:val="22"/>
                <w:highlight w:val="none"/>
                <w:u w:val="none"/>
                <w:vertAlign w:val="baseline"/>
                <w:lang w:val="en-US" w:eastAsia="zh-CN" w:bidi="ar"/>
              </w:rPr>
              <w:t>R</w:t>
            </w:r>
            <w:r>
              <w:rPr>
                <w:rFonts w:hint="eastAsia" w:ascii="仿宋" w:hAnsi="仿宋" w:eastAsia="仿宋" w:cs="仿宋"/>
                <w:i w:val="0"/>
                <w:iCs w:val="0"/>
                <w:color w:val="auto"/>
                <w:kern w:val="0"/>
                <w:sz w:val="22"/>
                <w:szCs w:val="22"/>
                <w:highlight w:val="none"/>
                <w:u w:val="none"/>
                <w:vertAlign w:val="subscript"/>
                <w:lang w:val="en-US" w:eastAsia="zh-CN" w:bidi="ar"/>
              </w:rPr>
              <w:t>W</w:t>
            </w:r>
            <w:r>
              <w:rPr>
                <w:rFonts w:hint="eastAsia" w:ascii="仿宋" w:hAnsi="仿宋" w:eastAsia="仿宋" w:cs="仿宋"/>
                <w:i w:val="0"/>
                <w:iCs w:val="0"/>
                <w:color w:val="auto"/>
                <w:kern w:val="0"/>
                <w:sz w:val="22"/>
                <w:szCs w:val="22"/>
                <w:highlight w:val="none"/>
                <w:u w:val="none"/>
                <w:lang w:val="en-US" w:eastAsia="zh-CN" w:bidi="ar"/>
              </w:rPr>
              <w:t>+C</w:t>
            </w:r>
            <w:r>
              <w:rPr>
                <w:rFonts w:hint="eastAsia" w:ascii="仿宋" w:hAnsi="仿宋" w:eastAsia="仿宋" w:cs="仿宋"/>
                <w:i w:val="0"/>
                <w:iCs w:val="0"/>
                <w:color w:val="auto"/>
                <w:kern w:val="0"/>
                <w:sz w:val="22"/>
                <w:szCs w:val="22"/>
                <w:highlight w:val="none"/>
                <w:u w:val="none"/>
                <w:vertAlign w:val="subscript"/>
                <w:lang w:val="en-US" w:eastAsia="zh-CN" w:bidi="ar"/>
              </w:rPr>
              <w:t>tr</w:t>
            </w:r>
            <w:r>
              <w:rPr>
                <w:rFonts w:hint="eastAsia" w:ascii="仿宋" w:hAnsi="仿宋" w:eastAsia="仿宋" w:cs="仿宋"/>
                <w:i w:val="0"/>
                <w:iCs w:val="0"/>
                <w:color w:val="auto"/>
                <w:kern w:val="0"/>
                <w:sz w:val="22"/>
                <w:szCs w:val="22"/>
                <w:highlight w:val="none"/>
                <w:u w:val="none"/>
                <w:lang w:val="en-US" w:eastAsia="zh-CN" w:bidi="ar"/>
              </w:rPr>
              <w:t>）不小于45dB；</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6  供水、空调、通风等设备系统选用低噪声产品，并对噪声源、管道等进行隔振、隔声、消声处理；新风热回收装置的新风出口和回风入口处设置消声装置及软连接，新风管道进入卧室、起居室等房间前在管道上设置消声器或消声弯头。</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7  与卧室相邻的卫生间内，排水立管不贴邻与卧室共用的墙体，且采取隔声包覆处理措施。上层卫生间排水时，在卧室内测得的排水噪声等效声级不大于33dB；</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8  电梯井道及电梯机房，水泵机房、通风机房，水池（箱）、变电所（含发电机房）等不紧邻卧室和起居室布置；</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9  地下生活给水泵房不设置在住宅建筑的投影正下方；</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10  出入口雨篷材质选用低噪声材料或采取可降低雨滴噪声的措施和做法。</w:t>
            </w:r>
          </w:p>
        </w:tc>
        <w:tc>
          <w:tcPr>
            <w:tcW w:w="1088" w:type="dxa"/>
            <w:tcBorders>
              <w:tl2br w:val="nil"/>
              <w:tr2bl w:val="nil"/>
            </w:tcBorders>
            <w:shd w:val="clear" w:color="auto" w:fill="auto"/>
            <w:noWrap/>
            <w:vAlign w:val="center"/>
          </w:tcPr>
          <w:p w14:paraId="675374D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建筑牵头</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各专业配合</w:t>
            </w:r>
          </w:p>
        </w:tc>
        <w:tc>
          <w:tcPr>
            <w:tcW w:w="1722" w:type="dxa"/>
            <w:tcBorders>
              <w:tl2br w:val="nil"/>
              <w:tr2bl w:val="nil"/>
            </w:tcBorders>
            <w:shd w:val="clear" w:color="auto" w:fill="auto"/>
            <w:noWrap/>
            <w:vAlign w:val="center"/>
          </w:tcPr>
          <w:p w14:paraId="077C8FC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535870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EA1CAC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相关设计图纸、设计说明。及计算书（实验室检测报告、模拟分析报告）。终评价尚需提交进入现场相关材料复验报告、现场实测报告及现场相关尺寸核查数据。</w:t>
            </w:r>
          </w:p>
        </w:tc>
      </w:tr>
      <w:tr w14:paraId="679CF5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0FE821C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48</w:t>
            </w:r>
          </w:p>
        </w:tc>
        <w:tc>
          <w:tcPr>
            <w:tcW w:w="590" w:type="dxa"/>
            <w:vMerge w:val="continue"/>
            <w:tcBorders>
              <w:tl2br w:val="nil"/>
              <w:tr2bl w:val="nil"/>
            </w:tcBorders>
            <w:shd w:val="clear" w:color="auto" w:fill="auto"/>
            <w:vAlign w:val="center"/>
          </w:tcPr>
          <w:p w14:paraId="5CD9009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BDDEF5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3FAC3D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4.3.4</w:t>
            </w:r>
          </w:p>
        </w:tc>
        <w:tc>
          <w:tcPr>
            <w:tcW w:w="7712" w:type="dxa"/>
            <w:tcBorders>
              <w:tl2br w:val="nil"/>
              <w:tr2bl w:val="nil"/>
            </w:tcBorders>
            <w:shd w:val="clear" w:color="auto" w:fill="auto"/>
            <w:vAlign w:val="center"/>
          </w:tcPr>
          <w:p w14:paraId="559B2A0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住宅吊顶内的给水管道采取防结露措施，生活热水管道设置保温措施。</w:t>
            </w:r>
          </w:p>
        </w:tc>
        <w:tc>
          <w:tcPr>
            <w:tcW w:w="1088" w:type="dxa"/>
            <w:tcBorders>
              <w:tl2br w:val="nil"/>
              <w:tr2bl w:val="nil"/>
            </w:tcBorders>
            <w:shd w:val="clear" w:color="auto" w:fill="auto"/>
            <w:noWrap/>
            <w:vAlign w:val="center"/>
          </w:tcPr>
          <w:p w14:paraId="7C57003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建筑/</w:t>
            </w:r>
            <w:r>
              <w:rPr>
                <w:rFonts w:hint="eastAsia" w:ascii="仿宋" w:hAnsi="仿宋" w:eastAsia="仿宋" w:cs="仿宋"/>
                <w:i w:val="0"/>
                <w:iCs w:val="0"/>
                <w:color w:val="auto"/>
                <w:sz w:val="22"/>
                <w:szCs w:val="22"/>
                <w:highlight w:val="none"/>
                <w:u w:val="none"/>
                <w:lang w:eastAsia="zh-CN"/>
              </w:rPr>
              <w:t>给排水</w:t>
            </w:r>
          </w:p>
        </w:tc>
        <w:tc>
          <w:tcPr>
            <w:tcW w:w="1722" w:type="dxa"/>
            <w:tcBorders>
              <w:tl2br w:val="nil"/>
              <w:tr2bl w:val="nil"/>
            </w:tcBorders>
            <w:shd w:val="clear" w:color="auto" w:fill="auto"/>
            <w:noWrap/>
            <w:vAlign w:val="center"/>
          </w:tcPr>
          <w:p w14:paraId="131DA21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AE936B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6ADC90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665A9A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08131B0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49</w:t>
            </w:r>
          </w:p>
        </w:tc>
        <w:tc>
          <w:tcPr>
            <w:tcW w:w="590" w:type="dxa"/>
            <w:vMerge w:val="continue"/>
            <w:tcBorders>
              <w:tl2br w:val="nil"/>
              <w:tr2bl w:val="nil"/>
            </w:tcBorders>
            <w:shd w:val="clear" w:color="auto" w:fill="auto"/>
            <w:vAlign w:val="center"/>
          </w:tcPr>
          <w:p w14:paraId="21F1024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39E802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F13CF2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4.3.5</w:t>
            </w:r>
          </w:p>
        </w:tc>
        <w:tc>
          <w:tcPr>
            <w:tcW w:w="7712" w:type="dxa"/>
            <w:tcBorders>
              <w:tl2br w:val="nil"/>
              <w:tr2bl w:val="nil"/>
            </w:tcBorders>
            <w:shd w:val="clear" w:color="auto" w:fill="auto"/>
            <w:vAlign w:val="center"/>
          </w:tcPr>
          <w:p w14:paraId="504261B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空调及新风系统的气流组织满足人体热舒适要求，避免直吹。</w:t>
            </w:r>
          </w:p>
        </w:tc>
        <w:tc>
          <w:tcPr>
            <w:tcW w:w="1088" w:type="dxa"/>
            <w:tcBorders>
              <w:tl2br w:val="nil"/>
              <w:tr2bl w:val="nil"/>
            </w:tcBorders>
            <w:shd w:val="clear" w:color="auto" w:fill="auto"/>
            <w:noWrap/>
            <w:vAlign w:val="center"/>
          </w:tcPr>
          <w:p w14:paraId="0DCFD54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暖通</w:t>
            </w:r>
          </w:p>
        </w:tc>
        <w:tc>
          <w:tcPr>
            <w:tcW w:w="1722" w:type="dxa"/>
            <w:tcBorders>
              <w:tl2br w:val="nil"/>
              <w:tr2bl w:val="nil"/>
            </w:tcBorders>
            <w:shd w:val="clear" w:color="auto" w:fill="auto"/>
            <w:noWrap/>
            <w:vAlign w:val="center"/>
          </w:tcPr>
          <w:p w14:paraId="4DA88B8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24E3BA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EE5711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50C817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739C7BF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50</w:t>
            </w:r>
          </w:p>
        </w:tc>
        <w:tc>
          <w:tcPr>
            <w:tcW w:w="590" w:type="dxa"/>
            <w:vMerge w:val="continue"/>
            <w:tcBorders>
              <w:tl2br w:val="nil"/>
              <w:tr2bl w:val="nil"/>
            </w:tcBorders>
            <w:shd w:val="clear" w:color="auto" w:fill="auto"/>
            <w:vAlign w:val="center"/>
          </w:tcPr>
          <w:p w14:paraId="3810D6D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B25208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2512F9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4.3.6</w:t>
            </w:r>
          </w:p>
        </w:tc>
        <w:tc>
          <w:tcPr>
            <w:tcW w:w="7712" w:type="dxa"/>
            <w:tcBorders>
              <w:tl2br w:val="nil"/>
              <w:tr2bl w:val="nil"/>
            </w:tcBorders>
            <w:shd w:val="clear" w:color="auto" w:fill="auto"/>
            <w:vAlign w:val="center"/>
          </w:tcPr>
          <w:p w14:paraId="7F457F5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住宅套内预留新风换气系统的安装条件。</w:t>
            </w:r>
          </w:p>
        </w:tc>
        <w:tc>
          <w:tcPr>
            <w:tcW w:w="1088" w:type="dxa"/>
            <w:tcBorders>
              <w:tl2br w:val="nil"/>
              <w:tr2bl w:val="nil"/>
            </w:tcBorders>
            <w:shd w:val="clear" w:color="auto" w:fill="auto"/>
            <w:noWrap/>
            <w:vAlign w:val="center"/>
          </w:tcPr>
          <w:p w14:paraId="4E08542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暖通</w:t>
            </w:r>
          </w:p>
        </w:tc>
        <w:tc>
          <w:tcPr>
            <w:tcW w:w="1722" w:type="dxa"/>
            <w:tcBorders>
              <w:tl2br w:val="nil"/>
              <w:tr2bl w:val="nil"/>
            </w:tcBorders>
            <w:shd w:val="clear" w:color="auto" w:fill="auto"/>
            <w:noWrap/>
            <w:vAlign w:val="center"/>
          </w:tcPr>
          <w:p w14:paraId="53A280A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9AA6C5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44D02C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03D1C1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15949" w:type="dxa"/>
            <w:gridSpan w:val="8"/>
            <w:tcBorders>
              <w:tl2br w:val="nil"/>
              <w:tr2bl w:val="nil"/>
            </w:tcBorders>
            <w:shd w:val="clear" w:color="auto" w:fill="auto"/>
            <w:vAlign w:val="center"/>
          </w:tcPr>
          <w:p w14:paraId="4D42A718">
            <w:pPr>
              <w:keepNext w:val="0"/>
              <w:keepLines w:val="0"/>
              <w:pageBreakBefore w:val="0"/>
              <w:widowControl w:val="0"/>
              <w:numPr>
                <w:ilvl w:val="0"/>
                <w:numId w:val="0"/>
              </w:numPr>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6"/>
                <w:szCs w:val="26"/>
                <w:highlight w:val="none"/>
                <w:u w:val="none"/>
                <w:lang w:val="en-US" w:eastAsia="zh-CN" w:bidi="ar"/>
              </w:rPr>
              <w:t>第五章 安全优质</w:t>
            </w:r>
          </w:p>
          <w:p w14:paraId="60085FE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（基本类55条，预评价12条不参评。）</w:t>
            </w:r>
          </w:p>
        </w:tc>
      </w:tr>
      <w:tr w14:paraId="5365C9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7606BFC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51</w:t>
            </w:r>
          </w:p>
        </w:tc>
        <w:tc>
          <w:tcPr>
            <w:tcW w:w="590" w:type="dxa"/>
            <w:vMerge w:val="restart"/>
            <w:tcBorders>
              <w:tl2br w:val="nil"/>
              <w:tr2bl w:val="nil"/>
            </w:tcBorders>
            <w:shd w:val="clear" w:color="auto" w:fill="auto"/>
            <w:vAlign w:val="center"/>
          </w:tcPr>
          <w:p w14:paraId="1567FEA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 防灾应急</w:t>
            </w:r>
          </w:p>
        </w:tc>
        <w:tc>
          <w:tcPr>
            <w:tcW w:w="465" w:type="dxa"/>
            <w:vMerge w:val="restart"/>
            <w:tcBorders>
              <w:tl2br w:val="nil"/>
              <w:tr2bl w:val="nil"/>
            </w:tcBorders>
            <w:shd w:val="clear" w:color="auto" w:fill="auto"/>
            <w:vAlign w:val="center"/>
          </w:tcPr>
          <w:p w14:paraId="47EB7FA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2D713AA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5.1.1</w:t>
            </w:r>
          </w:p>
        </w:tc>
        <w:tc>
          <w:tcPr>
            <w:tcW w:w="7712" w:type="dxa"/>
            <w:tcBorders>
              <w:tl2br w:val="nil"/>
              <w:tr2bl w:val="nil"/>
            </w:tcBorders>
            <w:shd w:val="clear" w:color="auto" w:fill="auto"/>
            <w:vAlign w:val="center"/>
          </w:tcPr>
          <w:p w14:paraId="08DBD78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住宅避免选在有自然灾害风险的区域，选址前进行自然灾害风险评估。</w:t>
            </w:r>
          </w:p>
        </w:tc>
        <w:tc>
          <w:tcPr>
            <w:tcW w:w="1088" w:type="dxa"/>
            <w:tcBorders>
              <w:tl2br w:val="nil"/>
              <w:tr2bl w:val="nil"/>
            </w:tcBorders>
            <w:shd w:val="clear" w:color="auto" w:fill="auto"/>
            <w:noWrap/>
            <w:vAlign w:val="center"/>
          </w:tcPr>
          <w:p w14:paraId="29C05B8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38C9602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B3A44B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A6A5901">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相关设计图纸及设计说明。勘察报告</w:t>
            </w:r>
          </w:p>
        </w:tc>
      </w:tr>
      <w:tr w14:paraId="4866CA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6555609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w:t>
            </w:r>
          </w:p>
        </w:tc>
        <w:tc>
          <w:tcPr>
            <w:tcW w:w="590" w:type="dxa"/>
            <w:vMerge w:val="continue"/>
            <w:tcBorders>
              <w:tl2br w:val="nil"/>
              <w:tr2bl w:val="nil"/>
            </w:tcBorders>
            <w:shd w:val="clear" w:color="auto" w:fill="auto"/>
            <w:vAlign w:val="center"/>
          </w:tcPr>
          <w:p w14:paraId="5D4189F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A26225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D8D5E4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5.1.2</w:t>
            </w:r>
          </w:p>
        </w:tc>
        <w:tc>
          <w:tcPr>
            <w:tcW w:w="7712" w:type="dxa"/>
            <w:tcBorders>
              <w:tl2br w:val="nil"/>
              <w:tr2bl w:val="nil"/>
            </w:tcBorders>
            <w:shd w:val="clear" w:color="auto" w:fill="auto"/>
            <w:vAlign w:val="center"/>
          </w:tcPr>
          <w:p w14:paraId="752B60A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小区防灾符合下列规定：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内部及周边场地、道路等公共空间具备防灾、减灾、避灾等功能；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张贴紧急疏散线路图，居民能便捷获得城市灾害应急指导；</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建立防灾紧急预案，发生灾害时保证供电和通讯正常。</w:t>
            </w:r>
          </w:p>
        </w:tc>
        <w:tc>
          <w:tcPr>
            <w:tcW w:w="1088" w:type="dxa"/>
            <w:tcBorders>
              <w:tl2br w:val="nil"/>
              <w:tr2bl w:val="nil"/>
            </w:tcBorders>
            <w:shd w:val="clear" w:color="auto" w:fill="auto"/>
            <w:noWrap/>
            <w:vAlign w:val="center"/>
          </w:tcPr>
          <w:p w14:paraId="48BD3D6B">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/物业</w:t>
            </w:r>
          </w:p>
        </w:tc>
        <w:tc>
          <w:tcPr>
            <w:tcW w:w="1722" w:type="dxa"/>
            <w:tcBorders>
              <w:tl2br w:val="nil"/>
              <w:tr2bl w:val="nil"/>
            </w:tcBorders>
            <w:shd w:val="clear" w:color="auto" w:fill="auto"/>
            <w:noWrap/>
            <w:vAlign w:val="center"/>
          </w:tcPr>
          <w:p w14:paraId="42D8902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2EC742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E15C8C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r>
              <w:rPr>
                <w:rFonts w:hint="eastAsia" w:ascii="仿宋" w:hAnsi="仿宋" w:eastAsia="仿宋" w:cs="仿宋"/>
                <w:i w:val="0"/>
                <w:iCs w:val="0"/>
                <w:color w:val="auto"/>
                <w:kern w:val="0"/>
                <w:sz w:val="22"/>
                <w:szCs w:val="22"/>
                <w:highlight w:val="none"/>
                <w:u w:val="none"/>
                <w:lang w:val="en-US" w:eastAsia="zh-CN" w:bidi="ar"/>
              </w:rPr>
              <w:t>紧急疏散线路图及防灾紧急预案。</w:t>
            </w:r>
          </w:p>
        </w:tc>
      </w:tr>
      <w:tr w14:paraId="35AD03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09" w:type="dxa"/>
            <w:tcBorders>
              <w:tl2br w:val="nil"/>
              <w:tr2bl w:val="nil"/>
            </w:tcBorders>
            <w:shd w:val="clear" w:color="auto" w:fill="auto"/>
            <w:vAlign w:val="center"/>
          </w:tcPr>
          <w:p w14:paraId="3DC8308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w:t>
            </w:r>
          </w:p>
        </w:tc>
        <w:tc>
          <w:tcPr>
            <w:tcW w:w="590" w:type="dxa"/>
            <w:vMerge w:val="continue"/>
            <w:tcBorders>
              <w:tl2br w:val="nil"/>
              <w:tr2bl w:val="nil"/>
            </w:tcBorders>
            <w:shd w:val="clear" w:color="auto" w:fill="auto"/>
            <w:vAlign w:val="center"/>
          </w:tcPr>
          <w:p w14:paraId="0E361CE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E8AF94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C2B6D2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5.1.3</w:t>
            </w:r>
          </w:p>
        </w:tc>
        <w:tc>
          <w:tcPr>
            <w:tcW w:w="7712" w:type="dxa"/>
            <w:tcBorders>
              <w:tl2br w:val="nil"/>
              <w:tr2bl w:val="nil"/>
            </w:tcBorders>
            <w:shd w:val="clear" w:color="auto" w:fill="auto"/>
            <w:vAlign w:val="center"/>
          </w:tcPr>
          <w:p w14:paraId="289B1B8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小区设置煤气泄漏、火灾、紧急求助等安防报警系统。</w:t>
            </w:r>
          </w:p>
        </w:tc>
        <w:tc>
          <w:tcPr>
            <w:tcW w:w="1088" w:type="dxa"/>
            <w:tcBorders>
              <w:tl2br w:val="nil"/>
              <w:tr2bl w:val="nil"/>
            </w:tcBorders>
            <w:shd w:val="clear" w:color="auto" w:fill="auto"/>
            <w:noWrap/>
            <w:vAlign w:val="center"/>
          </w:tcPr>
          <w:p w14:paraId="35DF9D4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3E2B87A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304F55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FE09FC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7AC8B8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95" w:hRule="atLeast"/>
        </w:trPr>
        <w:tc>
          <w:tcPr>
            <w:tcW w:w="609" w:type="dxa"/>
            <w:tcBorders>
              <w:tl2br w:val="nil"/>
              <w:tr2bl w:val="nil"/>
            </w:tcBorders>
            <w:shd w:val="clear" w:color="auto" w:fill="auto"/>
            <w:vAlign w:val="center"/>
          </w:tcPr>
          <w:p w14:paraId="4294A94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w:t>
            </w:r>
          </w:p>
        </w:tc>
        <w:tc>
          <w:tcPr>
            <w:tcW w:w="590" w:type="dxa"/>
            <w:vMerge w:val="continue"/>
            <w:tcBorders>
              <w:tl2br w:val="nil"/>
              <w:tr2bl w:val="nil"/>
            </w:tcBorders>
            <w:shd w:val="clear" w:color="auto" w:fill="auto"/>
            <w:vAlign w:val="center"/>
          </w:tcPr>
          <w:p w14:paraId="596F6EE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9AF801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C1F432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5.1.4</w:t>
            </w:r>
          </w:p>
        </w:tc>
        <w:tc>
          <w:tcPr>
            <w:tcW w:w="7712" w:type="dxa"/>
            <w:tcBorders>
              <w:tl2br w:val="nil"/>
              <w:tr2bl w:val="nil"/>
            </w:tcBorders>
            <w:shd w:val="clear" w:color="auto" w:fill="auto"/>
            <w:vAlign w:val="center"/>
          </w:tcPr>
          <w:p w14:paraId="4B3C3DF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小区统筹设置应对突发公共安全事件的避难场所及疏散通道，并符合下列规定：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应急避难场所设置在地形较为平坦、空旷且易于排水的区域，便于救援人员和车辆的进出；</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疏散通道有效宽度不小于4m， 净空高度不小于4m；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避难场所边界与周边建筑的缓冲带宽度，不小于相邻建筑高度的1/2；</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结合小区出入口设置疏散、应急广场，满足平急转换弹性空间使用要求。</w:t>
            </w:r>
          </w:p>
        </w:tc>
        <w:tc>
          <w:tcPr>
            <w:tcW w:w="1088" w:type="dxa"/>
            <w:tcBorders>
              <w:tl2br w:val="nil"/>
              <w:tr2bl w:val="nil"/>
            </w:tcBorders>
            <w:shd w:val="clear" w:color="auto" w:fill="auto"/>
            <w:noWrap/>
            <w:vAlign w:val="center"/>
          </w:tcPr>
          <w:p w14:paraId="410F5B5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5D9BDC5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521307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846117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15CC56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09" w:type="dxa"/>
            <w:tcBorders>
              <w:tl2br w:val="nil"/>
              <w:tr2bl w:val="nil"/>
            </w:tcBorders>
            <w:shd w:val="clear" w:color="auto" w:fill="auto"/>
            <w:vAlign w:val="center"/>
          </w:tcPr>
          <w:p w14:paraId="45BB0AD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w:t>
            </w:r>
          </w:p>
        </w:tc>
        <w:tc>
          <w:tcPr>
            <w:tcW w:w="590" w:type="dxa"/>
            <w:vMerge w:val="continue"/>
            <w:tcBorders>
              <w:tl2br w:val="nil"/>
              <w:tr2bl w:val="nil"/>
            </w:tcBorders>
            <w:shd w:val="clear" w:color="auto" w:fill="auto"/>
            <w:vAlign w:val="center"/>
          </w:tcPr>
          <w:p w14:paraId="43D85A4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E8ADC0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C38540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5.1.5</w:t>
            </w:r>
          </w:p>
        </w:tc>
        <w:tc>
          <w:tcPr>
            <w:tcW w:w="7712" w:type="dxa"/>
            <w:tcBorders>
              <w:tl2br w:val="nil"/>
              <w:tr2bl w:val="nil"/>
            </w:tcBorders>
            <w:shd w:val="clear" w:color="auto" w:fill="auto"/>
            <w:vAlign w:val="center"/>
          </w:tcPr>
          <w:p w14:paraId="616AF0D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小区对电动自行车停放充电场所进行统一布局和管理，并符合下列规定：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电动自行车停放充电场所集中设置，边界与住宅门厅外门、窗、洞口等开口部位，以及安全出口之间最近边缘的水平间距不小于6m；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地下、半地下电动自行车库设置自动喷水灭火系统、火灾自动报警系统及排烟设施；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定期向小区内电动自行车违规停放、充电，以及占用、堵塞疏散通道和安全出口等违法违规行为公示警示信息。</w:t>
            </w:r>
          </w:p>
        </w:tc>
        <w:tc>
          <w:tcPr>
            <w:tcW w:w="1088" w:type="dxa"/>
            <w:tcBorders>
              <w:tl2br w:val="nil"/>
              <w:tr2bl w:val="nil"/>
            </w:tcBorders>
            <w:shd w:val="clear" w:color="auto" w:fill="auto"/>
            <w:noWrap/>
            <w:vAlign w:val="center"/>
          </w:tcPr>
          <w:p w14:paraId="012AF36E">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物业</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电气</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给排水</w:t>
            </w:r>
          </w:p>
        </w:tc>
        <w:tc>
          <w:tcPr>
            <w:tcW w:w="1722" w:type="dxa"/>
            <w:tcBorders>
              <w:tl2br w:val="nil"/>
              <w:tr2bl w:val="nil"/>
            </w:tcBorders>
            <w:shd w:val="clear" w:color="auto" w:fill="auto"/>
            <w:noWrap/>
            <w:vAlign w:val="center"/>
          </w:tcPr>
          <w:p w14:paraId="6D35416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3EA191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0F29614">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w:t>
            </w:r>
            <w:r>
              <w:rPr>
                <w:rFonts w:hint="eastAsia" w:ascii="仿宋" w:hAnsi="仿宋" w:eastAsia="仿宋" w:cs="仿宋"/>
                <w:i w:val="0"/>
                <w:iCs w:val="0"/>
                <w:color w:val="auto"/>
                <w:kern w:val="0"/>
                <w:sz w:val="22"/>
                <w:szCs w:val="22"/>
                <w:highlight w:val="none"/>
                <w:u w:val="none"/>
                <w:lang w:val="en-US" w:eastAsia="zh-CN" w:bidi="ar"/>
              </w:rPr>
              <w:t>公示警示信息表。终评价尚需</w:t>
            </w:r>
            <w:r>
              <w:rPr>
                <w:rFonts w:hint="eastAsia" w:ascii="仿宋" w:hAnsi="仿宋" w:eastAsia="仿宋" w:cs="仿宋"/>
                <w:i w:val="0"/>
                <w:iCs w:val="0"/>
                <w:color w:val="auto"/>
                <w:sz w:val="22"/>
                <w:szCs w:val="22"/>
                <w:highlight w:val="none"/>
                <w:u w:val="none"/>
                <w:lang w:val="en-US" w:eastAsia="zh-CN"/>
              </w:rPr>
              <w:t>现场核查。</w:t>
            </w:r>
          </w:p>
        </w:tc>
      </w:tr>
      <w:tr w14:paraId="635FDD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09" w:type="dxa"/>
            <w:tcBorders>
              <w:tl2br w:val="nil"/>
              <w:tr2bl w:val="nil"/>
            </w:tcBorders>
            <w:shd w:val="clear" w:color="auto" w:fill="auto"/>
            <w:vAlign w:val="center"/>
          </w:tcPr>
          <w:p w14:paraId="2038CD0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56</w:t>
            </w:r>
          </w:p>
        </w:tc>
        <w:tc>
          <w:tcPr>
            <w:tcW w:w="590" w:type="dxa"/>
            <w:vMerge w:val="continue"/>
            <w:tcBorders>
              <w:tl2br w:val="nil"/>
              <w:tr2bl w:val="nil"/>
            </w:tcBorders>
            <w:shd w:val="clear" w:color="auto" w:fill="auto"/>
            <w:vAlign w:val="center"/>
          </w:tcPr>
          <w:p w14:paraId="74472B2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6830A1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E27B05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5.1.6</w:t>
            </w:r>
          </w:p>
        </w:tc>
        <w:tc>
          <w:tcPr>
            <w:tcW w:w="7712" w:type="dxa"/>
            <w:tcBorders>
              <w:tl2br w:val="nil"/>
              <w:tr2bl w:val="nil"/>
            </w:tcBorders>
            <w:shd w:val="clear" w:color="auto" w:fill="auto"/>
            <w:vAlign w:val="center"/>
          </w:tcPr>
          <w:p w14:paraId="2915DC4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小区重要基础设施配备应急备用电源接入设施。</w:t>
            </w:r>
          </w:p>
        </w:tc>
        <w:tc>
          <w:tcPr>
            <w:tcW w:w="1088" w:type="dxa"/>
            <w:tcBorders>
              <w:tl2br w:val="nil"/>
              <w:tr2bl w:val="nil"/>
            </w:tcBorders>
            <w:shd w:val="clear" w:color="auto" w:fill="auto"/>
            <w:noWrap/>
            <w:vAlign w:val="center"/>
          </w:tcPr>
          <w:p w14:paraId="2726F27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422BFB1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0FF243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ECAD3D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48902C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609" w:type="dxa"/>
            <w:tcBorders>
              <w:tl2br w:val="nil"/>
              <w:tr2bl w:val="nil"/>
            </w:tcBorders>
            <w:shd w:val="clear" w:color="auto" w:fill="auto"/>
            <w:vAlign w:val="center"/>
          </w:tcPr>
          <w:p w14:paraId="0B8913E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57</w:t>
            </w:r>
          </w:p>
        </w:tc>
        <w:tc>
          <w:tcPr>
            <w:tcW w:w="590" w:type="dxa"/>
            <w:vMerge w:val="continue"/>
            <w:tcBorders>
              <w:tl2br w:val="nil"/>
              <w:tr2bl w:val="nil"/>
            </w:tcBorders>
            <w:shd w:val="clear" w:color="auto" w:fill="auto"/>
            <w:vAlign w:val="center"/>
          </w:tcPr>
          <w:p w14:paraId="1C621F2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5BD219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16B87A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5.1.7</w:t>
            </w:r>
          </w:p>
        </w:tc>
        <w:tc>
          <w:tcPr>
            <w:tcW w:w="7712" w:type="dxa"/>
            <w:tcBorders>
              <w:tl2br w:val="nil"/>
              <w:tr2bl w:val="nil"/>
            </w:tcBorders>
            <w:shd w:val="clear" w:color="auto" w:fill="auto"/>
            <w:vAlign w:val="center"/>
          </w:tcPr>
          <w:p w14:paraId="2476D5C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符合海绵城市建设管控指标要求，合理布局海绵化设施，提高对径流雨水的渗透、滞留、调蓄、净化、利用和排放能力，并符合《中山市海绵城市规划建设管理办法》的相关规定。</w:t>
            </w:r>
          </w:p>
        </w:tc>
        <w:tc>
          <w:tcPr>
            <w:tcW w:w="1088" w:type="dxa"/>
            <w:tcBorders>
              <w:tl2br w:val="nil"/>
              <w:tr2bl w:val="nil"/>
            </w:tcBorders>
            <w:shd w:val="clear" w:color="auto" w:fill="auto"/>
            <w:noWrap/>
            <w:vAlign w:val="center"/>
          </w:tcPr>
          <w:p w14:paraId="68599FCD">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给排水</w:t>
            </w:r>
            <w:r>
              <w:rPr>
                <w:rFonts w:hint="eastAsia" w:ascii="仿宋" w:hAnsi="仿宋" w:eastAsia="仿宋" w:cs="仿宋"/>
                <w:i w:val="0"/>
                <w:iCs w:val="0"/>
                <w:color w:val="auto"/>
                <w:sz w:val="22"/>
                <w:szCs w:val="22"/>
                <w:highlight w:val="none"/>
                <w:u w:val="none"/>
                <w:lang w:val="en-US" w:eastAsia="zh-CN"/>
              </w:rPr>
              <w:t>/景观</w:t>
            </w:r>
          </w:p>
        </w:tc>
        <w:tc>
          <w:tcPr>
            <w:tcW w:w="1722" w:type="dxa"/>
            <w:tcBorders>
              <w:tl2br w:val="nil"/>
              <w:tr2bl w:val="nil"/>
            </w:tcBorders>
            <w:shd w:val="clear" w:color="auto" w:fill="auto"/>
            <w:noWrap/>
            <w:vAlign w:val="center"/>
          </w:tcPr>
          <w:p w14:paraId="2346BA6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73A0AA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08F0480">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相关设计图纸及设计说明。海绵城市设计专篇</w:t>
            </w:r>
          </w:p>
        </w:tc>
      </w:tr>
      <w:tr w14:paraId="776336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1705053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58</w:t>
            </w:r>
          </w:p>
        </w:tc>
        <w:tc>
          <w:tcPr>
            <w:tcW w:w="590" w:type="dxa"/>
            <w:vMerge w:val="continue"/>
            <w:tcBorders>
              <w:tl2br w:val="nil"/>
              <w:tr2bl w:val="nil"/>
            </w:tcBorders>
            <w:shd w:val="clear" w:color="auto" w:fill="auto"/>
            <w:vAlign w:val="center"/>
          </w:tcPr>
          <w:p w14:paraId="29105CF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F4F665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74F213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5.1.8</w:t>
            </w:r>
          </w:p>
        </w:tc>
        <w:tc>
          <w:tcPr>
            <w:tcW w:w="7712" w:type="dxa"/>
            <w:tcBorders>
              <w:tl2br w:val="nil"/>
              <w:tr2bl w:val="nil"/>
            </w:tcBorders>
            <w:shd w:val="clear" w:color="auto" w:fill="auto"/>
            <w:vAlign w:val="center"/>
          </w:tcPr>
          <w:p w14:paraId="10040F9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物业管理用房设置急救包、应急担架等应急设施存放空间。</w:t>
            </w:r>
          </w:p>
        </w:tc>
        <w:tc>
          <w:tcPr>
            <w:tcW w:w="1088" w:type="dxa"/>
            <w:tcBorders>
              <w:tl2br w:val="nil"/>
              <w:tr2bl w:val="nil"/>
            </w:tcBorders>
            <w:shd w:val="clear" w:color="auto" w:fill="auto"/>
            <w:noWrap/>
            <w:vAlign w:val="center"/>
          </w:tcPr>
          <w:p w14:paraId="600C9EC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5823B35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70586E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907846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预评价出具承诺达标函。终评价尚需现场核查。</w:t>
            </w:r>
          </w:p>
        </w:tc>
      </w:tr>
      <w:tr w14:paraId="461921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405B191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59</w:t>
            </w:r>
          </w:p>
        </w:tc>
        <w:tc>
          <w:tcPr>
            <w:tcW w:w="590" w:type="dxa"/>
            <w:vMerge w:val="continue"/>
            <w:tcBorders>
              <w:tl2br w:val="nil"/>
              <w:tr2bl w:val="nil"/>
            </w:tcBorders>
            <w:shd w:val="clear" w:color="auto" w:fill="auto"/>
            <w:vAlign w:val="center"/>
          </w:tcPr>
          <w:p w14:paraId="106CEA9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493F83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AED795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5.1.9</w:t>
            </w:r>
          </w:p>
        </w:tc>
        <w:tc>
          <w:tcPr>
            <w:tcW w:w="7712" w:type="dxa"/>
            <w:tcBorders>
              <w:tl2br w:val="nil"/>
              <w:tr2bl w:val="nil"/>
            </w:tcBorders>
            <w:shd w:val="clear" w:color="auto" w:fill="auto"/>
            <w:vAlign w:val="center"/>
          </w:tcPr>
          <w:p w14:paraId="62635DE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室外电动自行车停放充电有顶场所设置自动喷水灭火系统或简易喷水灭火系统及消火栓系统。</w:t>
            </w:r>
          </w:p>
        </w:tc>
        <w:tc>
          <w:tcPr>
            <w:tcW w:w="1088" w:type="dxa"/>
            <w:tcBorders>
              <w:tl2br w:val="nil"/>
              <w:tr2bl w:val="nil"/>
            </w:tcBorders>
            <w:shd w:val="clear" w:color="auto" w:fill="auto"/>
            <w:noWrap/>
            <w:vAlign w:val="center"/>
          </w:tcPr>
          <w:p w14:paraId="67D3490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给排水</w:t>
            </w:r>
            <w:r>
              <w:rPr>
                <w:rFonts w:hint="eastAsia" w:ascii="仿宋" w:hAnsi="仿宋" w:eastAsia="仿宋" w:cs="仿宋"/>
                <w:i w:val="0"/>
                <w:iCs w:val="0"/>
                <w:color w:val="auto"/>
                <w:sz w:val="22"/>
                <w:szCs w:val="22"/>
                <w:highlight w:val="none"/>
                <w:u w:val="none"/>
                <w:lang w:val="en-US" w:eastAsia="zh-CN"/>
              </w:rPr>
              <w:t>/电气/</w:t>
            </w: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4F1CCEE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6D1138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603D11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182EBA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142872C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60</w:t>
            </w:r>
          </w:p>
        </w:tc>
        <w:tc>
          <w:tcPr>
            <w:tcW w:w="590" w:type="dxa"/>
            <w:vMerge w:val="continue"/>
            <w:tcBorders>
              <w:tl2br w:val="nil"/>
              <w:tr2bl w:val="nil"/>
            </w:tcBorders>
            <w:shd w:val="clear" w:color="auto" w:fill="auto"/>
            <w:vAlign w:val="center"/>
          </w:tcPr>
          <w:p w14:paraId="2A05B14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6FD02E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2F85EF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5.1.10</w:t>
            </w:r>
          </w:p>
        </w:tc>
        <w:tc>
          <w:tcPr>
            <w:tcW w:w="7712" w:type="dxa"/>
            <w:tcBorders>
              <w:tl2br w:val="nil"/>
              <w:tr2bl w:val="nil"/>
            </w:tcBorders>
            <w:shd w:val="clear" w:color="auto" w:fill="auto"/>
            <w:vAlign w:val="center"/>
          </w:tcPr>
          <w:p w14:paraId="4EBDB6F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小区结合人口数量和结构，在小区门卫、物业活动中心及其它合适地点配置自动体外除颤器（AED） 紧急救援设施，并接入AED网络。</w:t>
            </w:r>
          </w:p>
        </w:tc>
        <w:tc>
          <w:tcPr>
            <w:tcW w:w="1088" w:type="dxa"/>
            <w:tcBorders>
              <w:tl2br w:val="nil"/>
              <w:tr2bl w:val="nil"/>
            </w:tcBorders>
            <w:shd w:val="clear" w:color="auto" w:fill="auto"/>
            <w:noWrap/>
            <w:vAlign w:val="center"/>
          </w:tcPr>
          <w:p w14:paraId="1010506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2E5041F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761D9C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0E1966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预评价出具承诺达标函。终评价尚需现场核查。</w:t>
            </w:r>
          </w:p>
        </w:tc>
      </w:tr>
      <w:tr w14:paraId="1D9AF1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4BE2281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61</w:t>
            </w:r>
          </w:p>
        </w:tc>
        <w:tc>
          <w:tcPr>
            <w:tcW w:w="590" w:type="dxa"/>
            <w:vMerge w:val="restart"/>
            <w:tcBorders>
              <w:tl2br w:val="nil"/>
              <w:tr2bl w:val="nil"/>
            </w:tcBorders>
            <w:shd w:val="clear" w:color="auto" w:fill="auto"/>
            <w:vAlign w:val="center"/>
          </w:tcPr>
          <w:p w14:paraId="7A5C93A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 建筑安全</w:t>
            </w:r>
          </w:p>
        </w:tc>
        <w:tc>
          <w:tcPr>
            <w:tcW w:w="465" w:type="dxa"/>
            <w:vMerge w:val="restart"/>
            <w:tcBorders>
              <w:tl2br w:val="nil"/>
              <w:tr2bl w:val="nil"/>
            </w:tcBorders>
            <w:shd w:val="clear" w:color="auto" w:fill="auto"/>
            <w:vAlign w:val="center"/>
          </w:tcPr>
          <w:p w14:paraId="4BD5E90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1956655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5.2.1</w:t>
            </w:r>
          </w:p>
        </w:tc>
        <w:tc>
          <w:tcPr>
            <w:tcW w:w="7712" w:type="dxa"/>
            <w:tcBorders>
              <w:tl2br w:val="nil"/>
              <w:tr2bl w:val="nil"/>
            </w:tcBorders>
            <w:shd w:val="clear" w:color="auto" w:fill="auto"/>
            <w:vAlign w:val="center"/>
          </w:tcPr>
          <w:p w14:paraId="3DF1004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结构设计采用成熟可靠的技术、工艺、材料，满足绿色发展及可持续性需要。结构的安全性、适用性、耐久性满足国家标准、规范的要求。</w:t>
            </w:r>
          </w:p>
        </w:tc>
        <w:tc>
          <w:tcPr>
            <w:tcW w:w="1088" w:type="dxa"/>
            <w:tcBorders>
              <w:tl2br w:val="nil"/>
              <w:tr2bl w:val="nil"/>
            </w:tcBorders>
            <w:shd w:val="clear" w:color="auto" w:fill="auto"/>
            <w:noWrap/>
            <w:vAlign w:val="center"/>
          </w:tcPr>
          <w:p w14:paraId="6128FC2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72D185C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29288C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C7D4D4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11EB15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3F3AF48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62</w:t>
            </w:r>
          </w:p>
        </w:tc>
        <w:tc>
          <w:tcPr>
            <w:tcW w:w="590" w:type="dxa"/>
            <w:vMerge w:val="continue"/>
            <w:tcBorders>
              <w:tl2br w:val="nil"/>
              <w:tr2bl w:val="nil"/>
            </w:tcBorders>
            <w:shd w:val="clear" w:color="auto" w:fill="auto"/>
            <w:vAlign w:val="center"/>
          </w:tcPr>
          <w:p w14:paraId="71398B9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B2A2E9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9537C1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5.2.2</w:t>
            </w:r>
          </w:p>
        </w:tc>
        <w:tc>
          <w:tcPr>
            <w:tcW w:w="7712" w:type="dxa"/>
            <w:tcBorders>
              <w:tl2br w:val="nil"/>
              <w:tr2bl w:val="nil"/>
            </w:tcBorders>
            <w:shd w:val="clear" w:color="auto" w:fill="auto"/>
            <w:vAlign w:val="center"/>
          </w:tcPr>
          <w:p w14:paraId="60F858C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结构设计采用抗震性能良好的结构体系，对薄弱部位采取可靠的加强措施，必要时进行性能化设计，对关键部位提高抗震性能目标。</w:t>
            </w:r>
          </w:p>
        </w:tc>
        <w:tc>
          <w:tcPr>
            <w:tcW w:w="1088" w:type="dxa"/>
            <w:tcBorders>
              <w:tl2br w:val="nil"/>
              <w:tr2bl w:val="nil"/>
            </w:tcBorders>
            <w:shd w:val="clear" w:color="auto" w:fill="auto"/>
            <w:noWrap/>
            <w:vAlign w:val="center"/>
          </w:tcPr>
          <w:p w14:paraId="68759DF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6BE26FF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1F20A8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E513BE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3EB1FF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18F03AF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63</w:t>
            </w:r>
          </w:p>
        </w:tc>
        <w:tc>
          <w:tcPr>
            <w:tcW w:w="590" w:type="dxa"/>
            <w:vMerge w:val="continue"/>
            <w:tcBorders>
              <w:tl2br w:val="nil"/>
              <w:tr2bl w:val="nil"/>
            </w:tcBorders>
            <w:shd w:val="clear" w:color="auto" w:fill="auto"/>
            <w:vAlign w:val="center"/>
          </w:tcPr>
          <w:p w14:paraId="73436A6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320597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04E2A5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5.2.3</w:t>
            </w:r>
          </w:p>
        </w:tc>
        <w:tc>
          <w:tcPr>
            <w:tcW w:w="7712" w:type="dxa"/>
            <w:tcBorders>
              <w:tl2br w:val="nil"/>
              <w:tr2bl w:val="nil"/>
            </w:tcBorders>
            <w:shd w:val="clear" w:color="auto" w:fill="auto"/>
            <w:vAlign w:val="center"/>
          </w:tcPr>
          <w:p w14:paraId="2467B9E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住宅的居住空间及建筑物阳角房间的楼板厚度不小于120mm。住宅天面板厚度不小于150mm，且采用双层双向通长配筋。</w:t>
            </w:r>
          </w:p>
        </w:tc>
        <w:tc>
          <w:tcPr>
            <w:tcW w:w="1088" w:type="dxa"/>
            <w:tcBorders>
              <w:tl2br w:val="nil"/>
              <w:tr2bl w:val="nil"/>
            </w:tcBorders>
            <w:shd w:val="clear" w:color="auto" w:fill="auto"/>
            <w:noWrap/>
            <w:vAlign w:val="center"/>
          </w:tcPr>
          <w:p w14:paraId="08C9171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27F6188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E15818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566064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0DFC7C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3C3EE66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64</w:t>
            </w:r>
          </w:p>
        </w:tc>
        <w:tc>
          <w:tcPr>
            <w:tcW w:w="590" w:type="dxa"/>
            <w:vMerge w:val="continue"/>
            <w:tcBorders>
              <w:tl2br w:val="nil"/>
              <w:tr2bl w:val="nil"/>
            </w:tcBorders>
            <w:shd w:val="clear" w:color="auto" w:fill="auto"/>
            <w:vAlign w:val="center"/>
          </w:tcPr>
          <w:p w14:paraId="4895470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FA5EC6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53550D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5.2.4</w:t>
            </w:r>
          </w:p>
        </w:tc>
        <w:tc>
          <w:tcPr>
            <w:tcW w:w="7712" w:type="dxa"/>
            <w:tcBorders>
              <w:tl2br w:val="nil"/>
              <w:tr2bl w:val="nil"/>
            </w:tcBorders>
            <w:shd w:val="clear" w:color="auto" w:fill="auto"/>
            <w:vAlign w:val="center"/>
          </w:tcPr>
          <w:p w14:paraId="6BC342A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悬挑阳台、露台采用梁板式结构，悬挑超过3m的阳台、露台区域活荷载标准值不低于 3.5kN/m</w:t>
            </w:r>
            <w:r>
              <w:rPr>
                <w:rFonts w:hint="eastAsia" w:ascii="仿宋" w:hAnsi="仿宋" w:eastAsia="仿宋" w:cs="仿宋"/>
                <w:i w:val="0"/>
                <w:iCs w:val="0"/>
                <w:color w:val="auto"/>
                <w:kern w:val="0"/>
                <w:sz w:val="22"/>
                <w:szCs w:val="22"/>
                <w:highlight w:val="none"/>
                <w:u w:val="none"/>
                <w:vertAlign w:val="superscript"/>
                <w:lang w:val="en-US" w:eastAsia="zh-CN" w:bidi="ar"/>
              </w:rPr>
              <w:t>2</w:t>
            </w:r>
            <w:r>
              <w:rPr>
                <w:rFonts w:hint="eastAsia" w:ascii="仿宋" w:hAnsi="仿宋" w:eastAsia="仿宋" w:cs="仿宋"/>
                <w:i w:val="0"/>
                <w:iCs w:val="0"/>
                <w:color w:val="auto"/>
                <w:kern w:val="0"/>
                <w:sz w:val="22"/>
                <w:szCs w:val="22"/>
                <w:highlight w:val="none"/>
                <w:u w:val="none"/>
                <w:lang w:val="en-US" w:eastAsia="zh-CN" w:bidi="ar"/>
              </w:rPr>
              <w:t>。</w:t>
            </w:r>
          </w:p>
        </w:tc>
        <w:tc>
          <w:tcPr>
            <w:tcW w:w="1088" w:type="dxa"/>
            <w:tcBorders>
              <w:tl2br w:val="nil"/>
              <w:tr2bl w:val="nil"/>
            </w:tcBorders>
            <w:shd w:val="clear" w:color="auto" w:fill="auto"/>
            <w:noWrap/>
            <w:vAlign w:val="center"/>
          </w:tcPr>
          <w:p w14:paraId="478670A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0F5DBD6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E13AC3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D46861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w:t>
            </w:r>
          </w:p>
        </w:tc>
      </w:tr>
      <w:tr w14:paraId="43900B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05" w:hRule="atLeast"/>
        </w:trPr>
        <w:tc>
          <w:tcPr>
            <w:tcW w:w="609" w:type="dxa"/>
            <w:tcBorders>
              <w:tl2br w:val="nil"/>
              <w:tr2bl w:val="nil"/>
            </w:tcBorders>
            <w:shd w:val="clear" w:color="auto" w:fill="auto"/>
            <w:vAlign w:val="center"/>
          </w:tcPr>
          <w:p w14:paraId="4D90FAF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65</w:t>
            </w:r>
          </w:p>
        </w:tc>
        <w:tc>
          <w:tcPr>
            <w:tcW w:w="590" w:type="dxa"/>
            <w:vMerge w:val="continue"/>
            <w:tcBorders>
              <w:tl2br w:val="nil"/>
              <w:tr2bl w:val="nil"/>
            </w:tcBorders>
            <w:shd w:val="clear" w:color="auto" w:fill="auto"/>
            <w:vAlign w:val="center"/>
          </w:tcPr>
          <w:p w14:paraId="5523D79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E8C327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AB98D5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5.2.5</w:t>
            </w:r>
          </w:p>
        </w:tc>
        <w:tc>
          <w:tcPr>
            <w:tcW w:w="7712" w:type="dxa"/>
            <w:tcBorders>
              <w:tl2br w:val="nil"/>
              <w:tr2bl w:val="nil"/>
            </w:tcBorders>
            <w:shd w:val="clear" w:color="auto" w:fill="auto"/>
            <w:vAlign w:val="center"/>
          </w:tcPr>
          <w:p w14:paraId="3AEC3A4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围护结构、非结构构件和附属机电设备采取与主体结构可靠的连接或锚固措施，连接的承载力和变形能力符合国家标准的有关规定。轻质砌块（条板）墙体上悬挂吊柜、热水器、太阳能水箱等悬挂重物部位采用结构加强措施。</w:t>
            </w:r>
          </w:p>
        </w:tc>
        <w:tc>
          <w:tcPr>
            <w:tcW w:w="1088" w:type="dxa"/>
            <w:tcBorders>
              <w:tl2br w:val="nil"/>
              <w:tr2bl w:val="nil"/>
            </w:tcBorders>
            <w:shd w:val="clear" w:color="auto" w:fill="auto"/>
            <w:noWrap/>
            <w:vAlign w:val="center"/>
          </w:tcPr>
          <w:p w14:paraId="73A953D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7553D70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584874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82C9C6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0DFBD2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70" w:hRule="atLeast"/>
        </w:trPr>
        <w:tc>
          <w:tcPr>
            <w:tcW w:w="609" w:type="dxa"/>
            <w:tcBorders>
              <w:tl2br w:val="nil"/>
              <w:tr2bl w:val="nil"/>
            </w:tcBorders>
            <w:shd w:val="clear" w:color="auto" w:fill="auto"/>
            <w:vAlign w:val="center"/>
          </w:tcPr>
          <w:p w14:paraId="186573D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66</w:t>
            </w:r>
          </w:p>
        </w:tc>
        <w:tc>
          <w:tcPr>
            <w:tcW w:w="590" w:type="dxa"/>
            <w:vMerge w:val="continue"/>
            <w:tcBorders>
              <w:tl2br w:val="nil"/>
              <w:tr2bl w:val="nil"/>
            </w:tcBorders>
            <w:shd w:val="clear" w:color="auto" w:fill="auto"/>
            <w:vAlign w:val="center"/>
          </w:tcPr>
          <w:p w14:paraId="3773EAF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3428B7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BD8FA2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5.2.6</w:t>
            </w:r>
          </w:p>
        </w:tc>
        <w:tc>
          <w:tcPr>
            <w:tcW w:w="7712" w:type="dxa"/>
            <w:tcBorders>
              <w:tl2br w:val="nil"/>
              <w:tr2bl w:val="nil"/>
            </w:tcBorders>
            <w:shd w:val="clear" w:color="auto" w:fill="auto"/>
            <w:vAlign w:val="center"/>
          </w:tcPr>
          <w:p w14:paraId="271C701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住宅内隔墙采用轻质砌块（条板）时，其强度等级不低于A5.0（或抗压强度不小于5.0MPa），轻质条板隔墙中构造柱的设置符合下列规定：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墙体长度超过 6m时墙体中部设置构造柱，构造柱的间距不大于4m；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长度方向为自由端的隔墙端部设置构造柱；</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门窗洞边采取加强措施，入户门门洞及其它洞口宽度大于1.2m的门窗洞口两侧设置构造柱。</w:t>
            </w:r>
          </w:p>
        </w:tc>
        <w:tc>
          <w:tcPr>
            <w:tcW w:w="1088" w:type="dxa"/>
            <w:tcBorders>
              <w:tl2br w:val="nil"/>
              <w:tr2bl w:val="nil"/>
            </w:tcBorders>
            <w:shd w:val="clear" w:color="auto" w:fill="auto"/>
            <w:noWrap/>
            <w:vAlign w:val="center"/>
          </w:tcPr>
          <w:p w14:paraId="7ABD257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w:t>
            </w: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64A3CC1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967648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5FD22A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5E74FE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3E1719E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67</w:t>
            </w:r>
          </w:p>
        </w:tc>
        <w:tc>
          <w:tcPr>
            <w:tcW w:w="590" w:type="dxa"/>
            <w:vMerge w:val="continue"/>
            <w:tcBorders>
              <w:tl2br w:val="nil"/>
              <w:tr2bl w:val="nil"/>
            </w:tcBorders>
            <w:shd w:val="clear" w:color="auto" w:fill="auto"/>
            <w:vAlign w:val="center"/>
          </w:tcPr>
          <w:p w14:paraId="16A9C2B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4D587A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2C0489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5.2.7</w:t>
            </w:r>
          </w:p>
        </w:tc>
        <w:tc>
          <w:tcPr>
            <w:tcW w:w="7712" w:type="dxa"/>
            <w:tcBorders>
              <w:tl2br w:val="nil"/>
              <w:tr2bl w:val="nil"/>
            </w:tcBorders>
            <w:shd w:val="clear" w:color="auto" w:fill="auto"/>
            <w:vAlign w:val="center"/>
          </w:tcPr>
          <w:p w14:paraId="2988899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小区及住宅符合国家及地方消防规范的安全要求。</w:t>
            </w:r>
          </w:p>
        </w:tc>
        <w:tc>
          <w:tcPr>
            <w:tcW w:w="1088" w:type="dxa"/>
            <w:tcBorders>
              <w:tl2br w:val="nil"/>
              <w:tr2bl w:val="nil"/>
            </w:tcBorders>
            <w:shd w:val="clear" w:color="auto" w:fill="auto"/>
            <w:noWrap/>
            <w:vAlign w:val="center"/>
          </w:tcPr>
          <w:p w14:paraId="6022A52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各专业</w:t>
            </w:r>
          </w:p>
        </w:tc>
        <w:tc>
          <w:tcPr>
            <w:tcW w:w="1722" w:type="dxa"/>
            <w:tcBorders>
              <w:tl2br w:val="nil"/>
              <w:tr2bl w:val="nil"/>
            </w:tcBorders>
            <w:shd w:val="clear" w:color="auto" w:fill="auto"/>
            <w:noWrap/>
            <w:vAlign w:val="center"/>
          </w:tcPr>
          <w:p w14:paraId="31454F3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919104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044C3F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4013BA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30" w:hRule="atLeast"/>
        </w:trPr>
        <w:tc>
          <w:tcPr>
            <w:tcW w:w="609" w:type="dxa"/>
            <w:tcBorders>
              <w:tl2br w:val="nil"/>
              <w:tr2bl w:val="nil"/>
            </w:tcBorders>
            <w:shd w:val="clear" w:color="auto" w:fill="auto"/>
            <w:vAlign w:val="center"/>
          </w:tcPr>
          <w:p w14:paraId="1C7587A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68</w:t>
            </w:r>
          </w:p>
        </w:tc>
        <w:tc>
          <w:tcPr>
            <w:tcW w:w="590" w:type="dxa"/>
            <w:vMerge w:val="continue"/>
            <w:tcBorders>
              <w:tl2br w:val="nil"/>
              <w:tr2bl w:val="nil"/>
            </w:tcBorders>
            <w:shd w:val="clear" w:color="auto" w:fill="auto"/>
            <w:vAlign w:val="center"/>
          </w:tcPr>
          <w:p w14:paraId="002A3E3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B7DEE2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943F54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5.2.8</w:t>
            </w:r>
          </w:p>
        </w:tc>
        <w:tc>
          <w:tcPr>
            <w:tcW w:w="7712" w:type="dxa"/>
            <w:tcBorders>
              <w:tl2br w:val="nil"/>
              <w:tr2bl w:val="nil"/>
            </w:tcBorders>
            <w:shd w:val="clear" w:color="auto" w:fill="auto"/>
            <w:vAlign w:val="center"/>
          </w:tcPr>
          <w:p w14:paraId="60B3B31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外墙的非结构构件及装饰材料符合下列规定：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外门、外窗能承受按现行国家标准《建筑结构荷载规范》GB 50009计算的风荷载；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外墙饰面与外墙可靠连接，石材等脆性外墙饰面采取防坠落措施；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外墙及结构性热桥当需要采用复合保温构造时，采用内保温或夹芯保温，不采用外保温。</w:t>
            </w:r>
          </w:p>
        </w:tc>
        <w:tc>
          <w:tcPr>
            <w:tcW w:w="1088" w:type="dxa"/>
            <w:tcBorders>
              <w:tl2br w:val="nil"/>
              <w:tr2bl w:val="nil"/>
            </w:tcBorders>
            <w:shd w:val="clear" w:color="auto" w:fill="auto"/>
            <w:noWrap/>
            <w:vAlign w:val="center"/>
          </w:tcPr>
          <w:p w14:paraId="3EB7029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建筑/</w:t>
            </w: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69D4C1F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DB67AD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3F03D8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相关设计图纸、设计说明及计算书。</w:t>
            </w:r>
          </w:p>
        </w:tc>
      </w:tr>
      <w:tr w14:paraId="254BBC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609" w:type="dxa"/>
            <w:tcBorders>
              <w:tl2br w:val="nil"/>
              <w:tr2bl w:val="nil"/>
            </w:tcBorders>
            <w:shd w:val="clear" w:color="auto" w:fill="auto"/>
            <w:vAlign w:val="center"/>
          </w:tcPr>
          <w:p w14:paraId="2D80F98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69</w:t>
            </w:r>
          </w:p>
        </w:tc>
        <w:tc>
          <w:tcPr>
            <w:tcW w:w="590" w:type="dxa"/>
            <w:vMerge w:val="continue"/>
            <w:tcBorders>
              <w:tl2br w:val="nil"/>
              <w:tr2bl w:val="nil"/>
            </w:tcBorders>
            <w:shd w:val="clear" w:color="auto" w:fill="auto"/>
            <w:vAlign w:val="center"/>
          </w:tcPr>
          <w:p w14:paraId="13B5B4A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EEFFA7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ECFD85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5.2.9</w:t>
            </w:r>
          </w:p>
        </w:tc>
        <w:tc>
          <w:tcPr>
            <w:tcW w:w="7712" w:type="dxa"/>
            <w:tcBorders>
              <w:tl2br w:val="nil"/>
              <w:tr2bl w:val="nil"/>
            </w:tcBorders>
            <w:shd w:val="clear" w:color="auto" w:fill="auto"/>
            <w:vAlign w:val="center"/>
          </w:tcPr>
          <w:p w14:paraId="7B7CEB5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住宅外墙、高于2m的景观墙以及住宅公共区域高度超过3m的内墙饰面采用单边尺寸大于0.2m的饰面砖（石材）时，采用粘挂结合或干挂的施工工艺。粘挂或干挂的配辅件满足耐久性要求。</w:t>
            </w:r>
          </w:p>
        </w:tc>
        <w:tc>
          <w:tcPr>
            <w:tcW w:w="1088" w:type="dxa"/>
            <w:tcBorders>
              <w:tl2br w:val="nil"/>
              <w:tr2bl w:val="nil"/>
            </w:tcBorders>
            <w:shd w:val="clear" w:color="auto" w:fill="auto"/>
            <w:noWrap/>
            <w:vAlign w:val="center"/>
          </w:tcPr>
          <w:p w14:paraId="6A96ED50">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/结构</w:t>
            </w:r>
          </w:p>
        </w:tc>
        <w:tc>
          <w:tcPr>
            <w:tcW w:w="1722" w:type="dxa"/>
            <w:tcBorders>
              <w:tl2br w:val="nil"/>
              <w:tr2bl w:val="nil"/>
            </w:tcBorders>
            <w:shd w:val="clear" w:color="auto" w:fill="auto"/>
            <w:noWrap/>
            <w:vAlign w:val="center"/>
          </w:tcPr>
          <w:p w14:paraId="57F1584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0B3BCE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ECC6C0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1DC493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2FC4753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70</w:t>
            </w:r>
          </w:p>
        </w:tc>
        <w:tc>
          <w:tcPr>
            <w:tcW w:w="590" w:type="dxa"/>
            <w:vMerge w:val="continue"/>
            <w:tcBorders>
              <w:tl2br w:val="nil"/>
              <w:tr2bl w:val="nil"/>
            </w:tcBorders>
            <w:shd w:val="clear" w:color="auto" w:fill="auto"/>
            <w:vAlign w:val="center"/>
          </w:tcPr>
          <w:p w14:paraId="6D23567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FDC0F2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DF0443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5.2.10</w:t>
            </w:r>
          </w:p>
        </w:tc>
        <w:tc>
          <w:tcPr>
            <w:tcW w:w="7712" w:type="dxa"/>
            <w:tcBorders>
              <w:tl2br w:val="nil"/>
              <w:tr2bl w:val="nil"/>
            </w:tcBorders>
            <w:shd w:val="clear" w:color="auto" w:fill="auto"/>
            <w:vAlign w:val="center"/>
          </w:tcPr>
          <w:p w14:paraId="360D1F2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门窗设计符合国家、行业及地方相关规范要求。外窗设置防坠落装置，门窗玻璃选用安全玻璃。</w:t>
            </w:r>
          </w:p>
        </w:tc>
        <w:tc>
          <w:tcPr>
            <w:tcW w:w="1088" w:type="dxa"/>
            <w:tcBorders>
              <w:tl2br w:val="nil"/>
              <w:tr2bl w:val="nil"/>
            </w:tcBorders>
            <w:shd w:val="clear" w:color="auto" w:fill="auto"/>
            <w:noWrap/>
            <w:vAlign w:val="center"/>
          </w:tcPr>
          <w:p w14:paraId="7077643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6ED7053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782D91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BE4230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315DCF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72F7671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71</w:t>
            </w:r>
          </w:p>
        </w:tc>
        <w:tc>
          <w:tcPr>
            <w:tcW w:w="590" w:type="dxa"/>
            <w:vMerge w:val="continue"/>
            <w:tcBorders>
              <w:tl2br w:val="nil"/>
              <w:tr2bl w:val="nil"/>
            </w:tcBorders>
            <w:shd w:val="clear" w:color="auto" w:fill="auto"/>
            <w:vAlign w:val="center"/>
          </w:tcPr>
          <w:p w14:paraId="72E4DFF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964D4D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EFDA8F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5.2.11</w:t>
            </w:r>
          </w:p>
        </w:tc>
        <w:tc>
          <w:tcPr>
            <w:tcW w:w="7712" w:type="dxa"/>
            <w:tcBorders>
              <w:tl2br w:val="nil"/>
              <w:tr2bl w:val="nil"/>
            </w:tcBorders>
            <w:shd w:val="clear" w:color="auto" w:fill="auto"/>
            <w:vAlign w:val="center"/>
          </w:tcPr>
          <w:p w14:paraId="2CA001F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地下车库出入口地面的坡道外端设置防水反坡，防水反坡高度不小于0.15m。出入口和坡道低端设置截水沟和耐轮压沟盖板。出入口安装智能防淹装置、防淹门或防汛挡板，挡水高度不小于0.8m。小区地下空间出入口设置防倒灌设施。</w:t>
            </w:r>
          </w:p>
        </w:tc>
        <w:tc>
          <w:tcPr>
            <w:tcW w:w="1088" w:type="dxa"/>
            <w:tcBorders>
              <w:tl2br w:val="nil"/>
              <w:tr2bl w:val="nil"/>
            </w:tcBorders>
            <w:shd w:val="clear" w:color="auto" w:fill="auto"/>
            <w:noWrap/>
            <w:vAlign w:val="center"/>
          </w:tcPr>
          <w:p w14:paraId="292D566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7726474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8EDA68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01CB70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0A3406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62F9576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72</w:t>
            </w:r>
          </w:p>
        </w:tc>
        <w:tc>
          <w:tcPr>
            <w:tcW w:w="590" w:type="dxa"/>
            <w:vMerge w:val="continue"/>
            <w:tcBorders>
              <w:tl2br w:val="nil"/>
              <w:tr2bl w:val="nil"/>
            </w:tcBorders>
            <w:shd w:val="clear" w:color="auto" w:fill="auto"/>
            <w:vAlign w:val="center"/>
          </w:tcPr>
          <w:p w14:paraId="028A15D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A23267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0C0929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5.2.12</w:t>
            </w:r>
          </w:p>
        </w:tc>
        <w:tc>
          <w:tcPr>
            <w:tcW w:w="7712" w:type="dxa"/>
            <w:tcBorders>
              <w:tl2br w:val="nil"/>
              <w:tr2bl w:val="nil"/>
            </w:tcBorders>
            <w:shd w:val="clear" w:color="auto" w:fill="auto"/>
            <w:vAlign w:val="center"/>
          </w:tcPr>
          <w:p w14:paraId="18DA43D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住宅充电设施的消防设计符合国家现行标准《建筑设计防火规范》GB 50016、《汽车库、修车库、停车场设计防火规范》GB 50067、《电动汽车分散充电设施工程技术标准》GB/T 51313的有关规定。</w:t>
            </w:r>
          </w:p>
        </w:tc>
        <w:tc>
          <w:tcPr>
            <w:tcW w:w="1088" w:type="dxa"/>
            <w:tcBorders>
              <w:tl2br w:val="nil"/>
              <w:tr2bl w:val="nil"/>
            </w:tcBorders>
            <w:shd w:val="clear" w:color="auto" w:fill="auto"/>
            <w:noWrap/>
            <w:vAlign w:val="center"/>
          </w:tcPr>
          <w:p w14:paraId="4F353422">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各专业</w:t>
            </w:r>
          </w:p>
        </w:tc>
        <w:tc>
          <w:tcPr>
            <w:tcW w:w="1722" w:type="dxa"/>
            <w:tcBorders>
              <w:tl2br w:val="nil"/>
              <w:tr2bl w:val="nil"/>
            </w:tcBorders>
            <w:shd w:val="clear" w:color="auto" w:fill="auto"/>
            <w:noWrap/>
            <w:vAlign w:val="center"/>
          </w:tcPr>
          <w:p w14:paraId="3B55B11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4481A1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3C0BAD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235D7E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trPr>
        <w:tc>
          <w:tcPr>
            <w:tcW w:w="609" w:type="dxa"/>
            <w:tcBorders>
              <w:tl2br w:val="nil"/>
              <w:tr2bl w:val="nil"/>
            </w:tcBorders>
            <w:shd w:val="clear" w:color="auto" w:fill="auto"/>
            <w:vAlign w:val="center"/>
          </w:tcPr>
          <w:p w14:paraId="08BF9C4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73</w:t>
            </w:r>
          </w:p>
        </w:tc>
        <w:tc>
          <w:tcPr>
            <w:tcW w:w="590" w:type="dxa"/>
            <w:vMerge w:val="continue"/>
            <w:tcBorders>
              <w:tl2br w:val="nil"/>
              <w:tr2bl w:val="nil"/>
            </w:tcBorders>
            <w:shd w:val="clear" w:color="auto" w:fill="auto"/>
            <w:vAlign w:val="center"/>
          </w:tcPr>
          <w:p w14:paraId="4079DBB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A0C405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83699D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5.2.13</w:t>
            </w:r>
          </w:p>
        </w:tc>
        <w:tc>
          <w:tcPr>
            <w:tcW w:w="7712" w:type="dxa"/>
            <w:tcBorders>
              <w:tl2br w:val="nil"/>
              <w:tr2bl w:val="nil"/>
            </w:tcBorders>
            <w:shd w:val="clear" w:color="auto" w:fill="auto"/>
            <w:vAlign w:val="center"/>
          </w:tcPr>
          <w:p w14:paraId="25A3B28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住宅设置疏散引导系统、消防设施使用引导系统和安全警示系统。</w:t>
            </w:r>
          </w:p>
        </w:tc>
        <w:tc>
          <w:tcPr>
            <w:tcW w:w="1088" w:type="dxa"/>
            <w:tcBorders>
              <w:tl2br w:val="nil"/>
              <w:tr2bl w:val="nil"/>
            </w:tcBorders>
            <w:shd w:val="clear" w:color="auto" w:fill="auto"/>
            <w:noWrap/>
            <w:vAlign w:val="center"/>
          </w:tcPr>
          <w:p w14:paraId="5C898A7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物业</w:t>
            </w:r>
          </w:p>
        </w:tc>
        <w:tc>
          <w:tcPr>
            <w:tcW w:w="1722" w:type="dxa"/>
            <w:tcBorders>
              <w:tl2br w:val="nil"/>
              <w:tr2bl w:val="nil"/>
            </w:tcBorders>
            <w:shd w:val="clear" w:color="auto" w:fill="auto"/>
            <w:noWrap/>
            <w:vAlign w:val="center"/>
          </w:tcPr>
          <w:p w14:paraId="786B63B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FE7AF2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570EE0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预评价出具承诺达标函。终评价尚需现场核查。</w:t>
            </w:r>
          </w:p>
        </w:tc>
      </w:tr>
      <w:tr w14:paraId="4B3398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trPr>
        <w:tc>
          <w:tcPr>
            <w:tcW w:w="609" w:type="dxa"/>
            <w:tcBorders>
              <w:tl2br w:val="nil"/>
              <w:tr2bl w:val="nil"/>
            </w:tcBorders>
            <w:shd w:val="clear" w:color="auto" w:fill="auto"/>
            <w:vAlign w:val="center"/>
          </w:tcPr>
          <w:p w14:paraId="49EAFC9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74</w:t>
            </w:r>
          </w:p>
        </w:tc>
        <w:tc>
          <w:tcPr>
            <w:tcW w:w="590" w:type="dxa"/>
            <w:vMerge w:val="continue"/>
            <w:tcBorders>
              <w:tl2br w:val="nil"/>
              <w:tr2bl w:val="nil"/>
            </w:tcBorders>
            <w:shd w:val="clear" w:color="auto" w:fill="auto"/>
            <w:vAlign w:val="center"/>
          </w:tcPr>
          <w:p w14:paraId="77DBEB2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4B7C40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1BFAE1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5.2.14</w:t>
            </w:r>
          </w:p>
        </w:tc>
        <w:tc>
          <w:tcPr>
            <w:tcW w:w="7712" w:type="dxa"/>
            <w:tcBorders>
              <w:tl2br w:val="nil"/>
              <w:tr2bl w:val="nil"/>
            </w:tcBorders>
            <w:shd w:val="clear" w:color="auto" w:fill="auto"/>
            <w:vAlign w:val="center"/>
          </w:tcPr>
          <w:p w14:paraId="65E3CE3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建筑材料和制品的燃烧性能符合现行国家标准《建筑设计防火规范》GB 50016 和《建筑内部装修设计防火规范》GB 50222的有关规定。</w:t>
            </w:r>
          </w:p>
        </w:tc>
        <w:tc>
          <w:tcPr>
            <w:tcW w:w="1088" w:type="dxa"/>
            <w:tcBorders>
              <w:tl2br w:val="nil"/>
              <w:tr2bl w:val="nil"/>
            </w:tcBorders>
            <w:shd w:val="clear" w:color="auto" w:fill="auto"/>
            <w:noWrap/>
            <w:vAlign w:val="center"/>
          </w:tcPr>
          <w:p w14:paraId="02B3448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4A6BAF7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D27EF0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4898F5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381672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trPr>
        <w:tc>
          <w:tcPr>
            <w:tcW w:w="609" w:type="dxa"/>
            <w:tcBorders>
              <w:tl2br w:val="nil"/>
              <w:tr2bl w:val="nil"/>
            </w:tcBorders>
            <w:shd w:val="clear" w:color="auto" w:fill="auto"/>
            <w:vAlign w:val="center"/>
          </w:tcPr>
          <w:p w14:paraId="51E078F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75</w:t>
            </w:r>
          </w:p>
        </w:tc>
        <w:tc>
          <w:tcPr>
            <w:tcW w:w="590" w:type="dxa"/>
            <w:vMerge w:val="continue"/>
            <w:tcBorders>
              <w:tl2br w:val="nil"/>
              <w:tr2bl w:val="nil"/>
            </w:tcBorders>
            <w:shd w:val="clear" w:color="auto" w:fill="auto"/>
            <w:vAlign w:val="center"/>
          </w:tcPr>
          <w:p w14:paraId="35D2423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735498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46A4E2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5.2.15</w:t>
            </w:r>
          </w:p>
        </w:tc>
        <w:tc>
          <w:tcPr>
            <w:tcW w:w="7712" w:type="dxa"/>
            <w:tcBorders>
              <w:tl2br w:val="nil"/>
              <w:tr2bl w:val="nil"/>
            </w:tcBorders>
            <w:shd w:val="clear" w:color="auto" w:fill="auto"/>
            <w:vAlign w:val="center"/>
          </w:tcPr>
          <w:p w14:paraId="79D2F55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燃气管道和设备符合国家和地方相关规定。住宅内使用燃气的室内场所设置有联网功能的燃气泄漏报警器。</w:t>
            </w:r>
          </w:p>
        </w:tc>
        <w:tc>
          <w:tcPr>
            <w:tcW w:w="1088" w:type="dxa"/>
            <w:tcBorders>
              <w:tl2br w:val="nil"/>
              <w:tr2bl w:val="nil"/>
            </w:tcBorders>
            <w:shd w:val="clear" w:color="auto" w:fill="auto"/>
            <w:noWrap/>
            <w:vAlign w:val="center"/>
          </w:tcPr>
          <w:p w14:paraId="00A317A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3C617C2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061A37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5F2B67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4EDC2C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10" w:hRule="atLeast"/>
        </w:trPr>
        <w:tc>
          <w:tcPr>
            <w:tcW w:w="609" w:type="dxa"/>
            <w:tcBorders>
              <w:tl2br w:val="nil"/>
              <w:tr2bl w:val="nil"/>
            </w:tcBorders>
            <w:shd w:val="clear" w:color="auto" w:fill="auto"/>
            <w:vAlign w:val="center"/>
          </w:tcPr>
          <w:p w14:paraId="1FFE939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76</w:t>
            </w:r>
          </w:p>
        </w:tc>
        <w:tc>
          <w:tcPr>
            <w:tcW w:w="590" w:type="dxa"/>
            <w:vMerge w:val="restart"/>
            <w:tcBorders>
              <w:tl2br w:val="nil"/>
              <w:tr2bl w:val="nil"/>
            </w:tcBorders>
            <w:shd w:val="clear" w:color="auto" w:fill="auto"/>
            <w:vAlign w:val="center"/>
          </w:tcPr>
          <w:p w14:paraId="0C64880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 使用安全</w:t>
            </w:r>
          </w:p>
        </w:tc>
        <w:tc>
          <w:tcPr>
            <w:tcW w:w="465" w:type="dxa"/>
            <w:vMerge w:val="restart"/>
            <w:tcBorders>
              <w:tl2br w:val="nil"/>
              <w:tr2bl w:val="nil"/>
            </w:tcBorders>
            <w:shd w:val="clear" w:color="auto" w:fill="auto"/>
            <w:vAlign w:val="center"/>
          </w:tcPr>
          <w:p w14:paraId="195EA01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58D55D2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5.3.1</w:t>
            </w:r>
          </w:p>
        </w:tc>
        <w:tc>
          <w:tcPr>
            <w:tcW w:w="7712" w:type="dxa"/>
            <w:tcBorders>
              <w:tl2br w:val="nil"/>
              <w:tr2bl w:val="nil"/>
            </w:tcBorders>
            <w:shd w:val="clear" w:color="auto" w:fill="auto"/>
            <w:vAlign w:val="center"/>
          </w:tcPr>
          <w:p w14:paraId="5261B33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小区采取降低高空坠物风险的措施，并满足下列要求：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建筑物、构筑物的外围护结构、外部设施、装饰性构件，公共区域的广告牌、公示牌、路灯等安装和维护满足安全和防护的要求；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外墙装修材料、室外设备和管线等采取安全可靠的防坠落措施；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对于存在高空坠物风险的区域，设置有安全防护的警示和引导标识系统；并实行不间断动态监控；</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开敞阳台临空处有放置花盆的设施时，设置高护栏或防护网；</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  公共出入口设置雨篷，雨篷宽度不小于入口平台宽度，挑出深度不小于1.5m，并与人员通行区域的遮阳、遮风或挡雨措施结合；</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6  有人员行走或停留的区域与住宅的间距满足《住宅项目规范》GB 55038第3.2.6条规定。</w:t>
            </w:r>
          </w:p>
        </w:tc>
        <w:tc>
          <w:tcPr>
            <w:tcW w:w="1088" w:type="dxa"/>
            <w:tcBorders>
              <w:tl2br w:val="nil"/>
              <w:tr2bl w:val="nil"/>
            </w:tcBorders>
            <w:shd w:val="clear" w:color="auto" w:fill="auto"/>
            <w:noWrap/>
            <w:vAlign w:val="center"/>
          </w:tcPr>
          <w:p w14:paraId="024B9C20">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/物业</w:t>
            </w:r>
          </w:p>
        </w:tc>
        <w:tc>
          <w:tcPr>
            <w:tcW w:w="1722" w:type="dxa"/>
            <w:tcBorders>
              <w:tl2br w:val="nil"/>
              <w:tr2bl w:val="nil"/>
            </w:tcBorders>
            <w:shd w:val="clear" w:color="auto" w:fill="auto"/>
            <w:noWrap/>
            <w:vAlign w:val="center"/>
          </w:tcPr>
          <w:p w14:paraId="74B054C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5D75DB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1A57C0D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697DCB56">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相关设计图纸及设计说明，预评价需提交承诺达标函。终评价尚需提供物业管理相关规定并现场核查。</w:t>
            </w:r>
          </w:p>
        </w:tc>
      </w:tr>
      <w:tr w14:paraId="77B896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50" w:hRule="atLeast"/>
        </w:trPr>
        <w:tc>
          <w:tcPr>
            <w:tcW w:w="609" w:type="dxa"/>
            <w:tcBorders>
              <w:tl2br w:val="nil"/>
              <w:tr2bl w:val="nil"/>
            </w:tcBorders>
            <w:shd w:val="clear" w:color="auto" w:fill="auto"/>
            <w:vAlign w:val="center"/>
          </w:tcPr>
          <w:p w14:paraId="40C8801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77</w:t>
            </w:r>
          </w:p>
        </w:tc>
        <w:tc>
          <w:tcPr>
            <w:tcW w:w="590" w:type="dxa"/>
            <w:vMerge w:val="continue"/>
            <w:tcBorders>
              <w:tl2br w:val="nil"/>
              <w:tr2bl w:val="nil"/>
            </w:tcBorders>
            <w:shd w:val="clear" w:color="auto" w:fill="auto"/>
            <w:vAlign w:val="center"/>
          </w:tcPr>
          <w:p w14:paraId="362680D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711E9E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AD9385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5.3.2</w:t>
            </w:r>
          </w:p>
        </w:tc>
        <w:tc>
          <w:tcPr>
            <w:tcW w:w="7712" w:type="dxa"/>
            <w:tcBorders>
              <w:tl2br w:val="nil"/>
              <w:tr2bl w:val="nil"/>
            </w:tcBorders>
            <w:shd w:val="clear" w:color="auto" w:fill="auto"/>
            <w:vAlign w:val="center"/>
          </w:tcPr>
          <w:p w14:paraId="16646E2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小区采取防止人员坠落的措施，并满足下列要求：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阳台的防护栏杆和距室内地面高度小于0.9m的临空外窗的窗台，设置防攀爬和防护措施，外窗开启扇可采用一体式或其他内附式的安全栏杆形式，并符合《住宅项目规范》GB 55038等的相关规定要求；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住宅采用设内天井的连廊户型时，敞开式连廊的防护栏杆等设置防攀爬和安全防护措施，并连接牢固，总高度不小于1.4m；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靠近屋面女儿墙的各类管线、高差位及其他设施考虑防攀爬措施。</w:t>
            </w:r>
          </w:p>
        </w:tc>
        <w:tc>
          <w:tcPr>
            <w:tcW w:w="1088" w:type="dxa"/>
            <w:tcBorders>
              <w:tl2br w:val="nil"/>
              <w:tr2bl w:val="nil"/>
            </w:tcBorders>
            <w:shd w:val="clear" w:color="auto" w:fill="auto"/>
            <w:noWrap/>
            <w:vAlign w:val="center"/>
          </w:tcPr>
          <w:p w14:paraId="6FFD407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14B05BA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047787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471079E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0C990F8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3557A4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45A9855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78</w:t>
            </w:r>
          </w:p>
        </w:tc>
        <w:tc>
          <w:tcPr>
            <w:tcW w:w="590" w:type="dxa"/>
            <w:vMerge w:val="continue"/>
            <w:tcBorders>
              <w:tl2br w:val="nil"/>
              <w:tr2bl w:val="nil"/>
            </w:tcBorders>
            <w:shd w:val="clear" w:color="auto" w:fill="auto"/>
            <w:vAlign w:val="center"/>
          </w:tcPr>
          <w:p w14:paraId="2E5F318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FA0065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926E6C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5.3.3</w:t>
            </w:r>
          </w:p>
        </w:tc>
        <w:tc>
          <w:tcPr>
            <w:tcW w:w="7712" w:type="dxa"/>
            <w:tcBorders>
              <w:tl2br w:val="nil"/>
              <w:tr2bl w:val="nil"/>
            </w:tcBorders>
            <w:shd w:val="clear" w:color="auto" w:fill="auto"/>
            <w:vAlign w:val="center"/>
          </w:tcPr>
          <w:p w14:paraId="753704B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有人活动的地面的防滑等级和防滑措施符合《建筑地面工程防滑技术规程》JGJ/T 331等相关规定。</w:t>
            </w:r>
          </w:p>
        </w:tc>
        <w:tc>
          <w:tcPr>
            <w:tcW w:w="1088" w:type="dxa"/>
            <w:tcBorders>
              <w:tl2br w:val="nil"/>
              <w:tr2bl w:val="nil"/>
            </w:tcBorders>
            <w:shd w:val="clear" w:color="auto" w:fill="auto"/>
            <w:noWrap/>
            <w:vAlign w:val="center"/>
          </w:tcPr>
          <w:p w14:paraId="49CB69C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3173EA2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BAB281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2E685E1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5517CE7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47E015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70" w:hRule="atLeast"/>
        </w:trPr>
        <w:tc>
          <w:tcPr>
            <w:tcW w:w="609" w:type="dxa"/>
            <w:tcBorders>
              <w:tl2br w:val="nil"/>
              <w:tr2bl w:val="nil"/>
            </w:tcBorders>
            <w:shd w:val="clear" w:color="auto" w:fill="auto"/>
            <w:vAlign w:val="center"/>
          </w:tcPr>
          <w:p w14:paraId="0133DB5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79</w:t>
            </w:r>
          </w:p>
        </w:tc>
        <w:tc>
          <w:tcPr>
            <w:tcW w:w="590" w:type="dxa"/>
            <w:vMerge w:val="continue"/>
            <w:tcBorders>
              <w:tl2br w:val="nil"/>
              <w:tr2bl w:val="nil"/>
            </w:tcBorders>
            <w:shd w:val="clear" w:color="auto" w:fill="auto"/>
            <w:vAlign w:val="center"/>
          </w:tcPr>
          <w:p w14:paraId="2F6A845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4EB4FD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B21F30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5.3.4</w:t>
            </w:r>
          </w:p>
        </w:tc>
        <w:tc>
          <w:tcPr>
            <w:tcW w:w="7712" w:type="dxa"/>
            <w:tcBorders>
              <w:tl2br w:val="nil"/>
              <w:tr2bl w:val="nil"/>
            </w:tcBorders>
            <w:shd w:val="clear" w:color="auto" w:fill="auto"/>
            <w:vAlign w:val="center"/>
          </w:tcPr>
          <w:p w14:paraId="6269A62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小区无障碍坡道符合下列规定：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坡道连续，并选择防滑、平整的路面材料；</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地面反光小或无反光，防滑等级达到现行行业标准《建筑地面防滑技术规程》JGJ/T 331的Ad、Aw级规定；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设置扶手的临空侧设置安全阻挡措施。</w:t>
            </w:r>
          </w:p>
        </w:tc>
        <w:tc>
          <w:tcPr>
            <w:tcW w:w="1088" w:type="dxa"/>
            <w:tcBorders>
              <w:tl2br w:val="nil"/>
              <w:tr2bl w:val="nil"/>
            </w:tcBorders>
            <w:shd w:val="clear" w:color="auto" w:fill="auto"/>
            <w:noWrap/>
            <w:vAlign w:val="center"/>
          </w:tcPr>
          <w:p w14:paraId="5A20785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3ECB641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D076DF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37B5500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5996E05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1052C0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0" w:hRule="atLeast"/>
        </w:trPr>
        <w:tc>
          <w:tcPr>
            <w:tcW w:w="609" w:type="dxa"/>
            <w:tcBorders>
              <w:tl2br w:val="nil"/>
              <w:tr2bl w:val="nil"/>
            </w:tcBorders>
            <w:shd w:val="clear" w:color="auto" w:fill="auto"/>
            <w:vAlign w:val="center"/>
          </w:tcPr>
          <w:p w14:paraId="2DC4D9B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80</w:t>
            </w:r>
          </w:p>
        </w:tc>
        <w:tc>
          <w:tcPr>
            <w:tcW w:w="590" w:type="dxa"/>
            <w:vMerge w:val="continue"/>
            <w:tcBorders>
              <w:tl2br w:val="nil"/>
              <w:tr2bl w:val="nil"/>
            </w:tcBorders>
            <w:shd w:val="clear" w:color="auto" w:fill="auto"/>
            <w:vAlign w:val="center"/>
          </w:tcPr>
          <w:p w14:paraId="761A0C7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39905C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E4F53E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5.3.5</w:t>
            </w:r>
          </w:p>
        </w:tc>
        <w:tc>
          <w:tcPr>
            <w:tcW w:w="7712" w:type="dxa"/>
            <w:tcBorders>
              <w:tl2br w:val="nil"/>
              <w:tr2bl w:val="nil"/>
            </w:tcBorders>
            <w:shd w:val="clear" w:color="auto" w:fill="auto"/>
            <w:vAlign w:val="center"/>
          </w:tcPr>
          <w:p w14:paraId="2DE5C6A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小区设置防溺水措施，并符合下列规定：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小区内游泳池、水塘等水域设置明显的警示标志；</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小区内泳池配备救生圈等专业救援设施；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定期检查维护小区内临水护栏、栏杆等安全设施；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临湖、临河小区对区域内的水域实行不间断监控。</w:t>
            </w:r>
          </w:p>
        </w:tc>
        <w:tc>
          <w:tcPr>
            <w:tcW w:w="1088" w:type="dxa"/>
            <w:tcBorders>
              <w:tl2br w:val="nil"/>
              <w:tr2bl w:val="nil"/>
            </w:tcBorders>
            <w:shd w:val="clear" w:color="auto" w:fill="auto"/>
            <w:noWrap/>
            <w:vAlign w:val="center"/>
          </w:tcPr>
          <w:p w14:paraId="203D97D4">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/物业</w:t>
            </w:r>
          </w:p>
        </w:tc>
        <w:tc>
          <w:tcPr>
            <w:tcW w:w="1722" w:type="dxa"/>
            <w:tcBorders>
              <w:tl2br w:val="nil"/>
              <w:tr2bl w:val="nil"/>
            </w:tcBorders>
            <w:shd w:val="clear" w:color="auto" w:fill="auto"/>
            <w:noWrap/>
            <w:vAlign w:val="center"/>
          </w:tcPr>
          <w:p w14:paraId="228C336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1AC009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015F317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320EA3A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相关设计图纸及设计说明，预评价需提交承诺达标函。终评价尚需提供物业管理相关规定并现场核查。</w:t>
            </w:r>
          </w:p>
        </w:tc>
      </w:tr>
      <w:tr w14:paraId="34AAFC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09" w:type="dxa"/>
            <w:tcBorders>
              <w:tl2br w:val="nil"/>
              <w:tr2bl w:val="nil"/>
            </w:tcBorders>
            <w:shd w:val="clear" w:color="auto" w:fill="auto"/>
            <w:vAlign w:val="center"/>
          </w:tcPr>
          <w:p w14:paraId="2437982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81</w:t>
            </w:r>
          </w:p>
        </w:tc>
        <w:tc>
          <w:tcPr>
            <w:tcW w:w="590" w:type="dxa"/>
            <w:vMerge w:val="continue"/>
            <w:tcBorders>
              <w:tl2br w:val="nil"/>
              <w:tr2bl w:val="nil"/>
            </w:tcBorders>
            <w:shd w:val="clear" w:color="auto" w:fill="auto"/>
            <w:vAlign w:val="center"/>
          </w:tcPr>
          <w:p w14:paraId="11F5907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8A76FF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C6EFD0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5.3.6</w:t>
            </w:r>
          </w:p>
        </w:tc>
        <w:tc>
          <w:tcPr>
            <w:tcW w:w="7712" w:type="dxa"/>
            <w:tcBorders>
              <w:tl2br w:val="nil"/>
              <w:tr2bl w:val="nil"/>
            </w:tcBorders>
            <w:shd w:val="clear" w:color="auto" w:fill="auto"/>
            <w:vAlign w:val="center"/>
          </w:tcPr>
          <w:p w14:paraId="2E7D893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住宅楼栋内禁止电动自行车或电动自行车充电电池进入。</w:t>
            </w:r>
          </w:p>
        </w:tc>
        <w:tc>
          <w:tcPr>
            <w:tcW w:w="1088" w:type="dxa"/>
            <w:tcBorders>
              <w:tl2br w:val="nil"/>
              <w:tr2bl w:val="nil"/>
            </w:tcBorders>
            <w:shd w:val="clear" w:color="auto" w:fill="auto"/>
            <w:noWrap/>
            <w:vAlign w:val="center"/>
          </w:tcPr>
          <w:p w14:paraId="1B27B79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5FD194A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D62278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2DFB862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265F9EDF">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预评价需提交承诺达标函。终评价尚需提供物业管理相关规定并现场核查。</w:t>
            </w:r>
          </w:p>
        </w:tc>
      </w:tr>
      <w:tr w14:paraId="698C6C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09" w:type="dxa"/>
            <w:tcBorders>
              <w:tl2br w:val="nil"/>
              <w:tr2bl w:val="nil"/>
            </w:tcBorders>
            <w:shd w:val="clear" w:color="auto" w:fill="auto"/>
            <w:vAlign w:val="center"/>
          </w:tcPr>
          <w:p w14:paraId="63B80C0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82</w:t>
            </w:r>
          </w:p>
        </w:tc>
        <w:tc>
          <w:tcPr>
            <w:tcW w:w="590" w:type="dxa"/>
            <w:vMerge w:val="continue"/>
            <w:tcBorders>
              <w:tl2br w:val="nil"/>
              <w:tr2bl w:val="nil"/>
            </w:tcBorders>
            <w:shd w:val="clear" w:color="auto" w:fill="auto"/>
            <w:vAlign w:val="center"/>
          </w:tcPr>
          <w:p w14:paraId="2DC022E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51126B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60493F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5.3.7</w:t>
            </w:r>
          </w:p>
        </w:tc>
        <w:tc>
          <w:tcPr>
            <w:tcW w:w="7712" w:type="dxa"/>
            <w:tcBorders>
              <w:tl2br w:val="nil"/>
              <w:tr2bl w:val="nil"/>
            </w:tcBorders>
            <w:shd w:val="clear" w:color="auto" w:fill="auto"/>
            <w:vAlign w:val="center"/>
          </w:tcPr>
          <w:p w14:paraId="31316F6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住户家庭网络安全与隐私保护满足现行国家标准《信息技术安全技术信息安全管理体系要求》GB/T 22080和《信息安全技术个人信息安全规范》GB/T 35273的有关规定。</w:t>
            </w:r>
          </w:p>
        </w:tc>
        <w:tc>
          <w:tcPr>
            <w:tcW w:w="1088" w:type="dxa"/>
            <w:tcBorders>
              <w:tl2br w:val="nil"/>
              <w:tr2bl w:val="nil"/>
            </w:tcBorders>
            <w:shd w:val="clear" w:color="auto" w:fill="auto"/>
            <w:noWrap/>
            <w:vAlign w:val="center"/>
          </w:tcPr>
          <w:p w14:paraId="2E138BE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20432E3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7CD3CD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9642DA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07C7AD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74" w:hRule="atLeast"/>
        </w:trPr>
        <w:tc>
          <w:tcPr>
            <w:tcW w:w="609" w:type="dxa"/>
            <w:tcBorders>
              <w:tl2br w:val="nil"/>
              <w:tr2bl w:val="nil"/>
            </w:tcBorders>
            <w:shd w:val="clear" w:color="auto" w:fill="auto"/>
            <w:vAlign w:val="center"/>
          </w:tcPr>
          <w:p w14:paraId="3F57908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shd w:val="clear" w:color="auto" w:fill="auto"/>
                <w:lang w:val="en-US" w:eastAsia="zh-CN" w:bidi="ar"/>
              </w:rPr>
            </w:pPr>
            <w:r>
              <w:rPr>
                <w:rFonts w:hint="eastAsia" w:ascii="仿宋" w:hAnsi="仿宋" w:eastAsia="仿宋" w:cs="仿宋"/>
                <w:i w:val="0"/>
                <w:iCs w:val="0"/>
                <w:color w:val="auto"/>
                <w:kern w:val="0"/>
                <w:sz w:val="22"/>
                <w:szCs w:val="22"/>
                <w:highlight w:val="none"/>
                <w:u w:val="none"/>
                <w:shd w:val="clear" w:color="auto" w:fill="auto"/>
                <w:lang w:val="en-US" w:eastAsia="zh-CN" w:bidi="ar"/>
              </w:rPr>
              <w:t>83</w:t>
            </w:r>
          </w:p>
        </w:tc>
        <w:tc>
          <w:tcPr>
            <w:tcW w:w="590" w:type="dxa"/>
            <w:vMerge w:val="restart"/>
            <w:tcBorders>
              <w:tl2br w:val="nil"/>
              <w:tr2bl w:val="nil"/>
            </w:tcBorders>
            <w:shd w:val="clear" w:color="auto" w:fill="auto"/>
            <w:vAlign w:val="center"/>
          </w:tcPr>
          <w:p w14:paraId="1F08489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5.4 品质长久</w:t>
            </w:r>
          </w:p>
        </w:tc>
        <w:tc>
          <w:tcPr>
            <w:tcW w:w="465" w:type="dxa"/>
            <w:vMerge w:val="restart"/>
            <w:tcBorders>
              <w:tl2br w:val="nil"/>
              <w:tr2bl w:val="nil"/>
            </w:tcBorders>
            <w:shd w:val="clear" w:color="auto" w:fill="auto"/>
            <w:vAlign w:val="center"/>
          </w:tcPr>
          <w:p w14:paraId="62DE28D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4014317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5.4.1</w:t>
            </w:r>
          </w:p>
        </w:tc>
        <w:tc>
          <w:tcPr>
            <w:tcW w:w="7712" w:type="dxa"/>
            <w:tcBorders>
              <w:tl2br w:val="nil"/>
              <w:tr2bl w:val="nil"/>
            </w:tcBorders>
            <w:shd w:val="clear" w:color="auto" w:fill="auto"/>
            <w:vAlign w:val="center"/>
          </w:tcPr>
          <w:p w14:paraId="6D04C82E">
            <w:pPr>
              <w:pStyle w:val="9"/>
              <w:keepNext w:val="0"/>
              <w:keepLines w:val="0"/>
              <w:pageBreakBefore w:val="0"/>
              <w:widowControl w:val="0"/>
              <w:kinsoku/>
              <w:wordWrap/>
              <w:overflowPunct/>
              <w:topLinePunct w:val="0"/>
              <w:autoSpaceDE/>
              <w:autoSpaceDN/>
              <w:bidi w:val="0"/>
              <w:adjustRightInd/>
              <w:snapToGrid/>
              <w:ind w:firstLine="220" w:firstLineChars="100"/>
              <w:jc w:val="left"/>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住宅设计工作年限不低于表5.4.1的规定。</w:t>
            </w:r>
          </w:p>
          <w:p w14:paraId="4BA71599">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b w:val="0"/>
                <w:bCs w:val="0"/>
                <w:i w:val="0"/>
                <w:iCs w:val="0"/>
                <w:color w:val="auto"/>
                <w:kern w:val="0"/>
                <w:sz w:val="22"/>
                <w:szCs w:val="22"/>
                <w:highlight w:val="none"/>
                <w:u w:val="none"/>
                <w:lang w:val="en-US" w:eastAsia="zh-CN" w:bidi="ar"/>
              </w:rPr>
              <w:t>表5.4.1 住宅设计工作年限</w:t>
            </w:r>
          </w:p>
          <w:tbl>
            <w:tblPr>
              <w:tblStyle w:val="10"/>
              <w:tblW w:w="6121"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17"/>
              <w:gridCol w:w="2904"/>
            </w:tblGrid>
            <w:tr w14:paraId="19FDB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3217" w:type="dxa"/>
                </w:tcPr>
                <w:p w14:paraId="3976126F">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分部工程</w:t>
                  </w:r>
                </w:p>
              </w:tc>
              <w:tc>
                <w:tcPr>
                  <w:tcW w:w="2904" w:type="dxa"/>
                </w:tcPr>
                <w:p w14:paraId="1C88DC19">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设计工作年限（年）</w:t>
                  </w:r>
                </w:p>
              </w:tc>
            </w:tr>
            <w:tr w14:paraId="7E1BE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217" w:type="dxa"/>
                </w:tcPr>
                <w:p w14:paraId="7FE86AEE">
                  <w:pPr>
                    <w:pStyle w:val="9"/>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建筑结构</w:t>
                  </w:r>
                </w:p>
              </w:tc>
              <w:tc>
                <w:tcPr>
                  <w:tcW w:w="2904" w:type="dxa"/>
                </w:tcPr>
                <w:p w14:paraId="5DA4C4FF">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50</w:t>
                  </w:r>
                </w:p>
              </w:tc>
            </w:tr>
            <w:tr w14:paraId="73D19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17" w:type="dxa"/>
                </w:tcPr>
                <w:p w14:paraId="35ED1591">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临近住宅的永久边坡工程</w:t>
                  </w:r>
                </w:p>
              </w:tc>
              <w:tc>
                <w:tcPr>
                  <w:tcW w:w="2904" w:type="dxa"/>
                </w:tcPr>
                <w:p w14:paraId="7A1DF2BF">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自住宅竣工验收起算.50</w:t>
                  </w:r>
                </w:p>
              </w:tc>
            </w:tr>
            <w:tr w14:paraId="6FE24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3217" w:type="dxa"/>
                </w:tcPr>
                <w:p w14:paraId="7269B1FA">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屋面防水工程</w:t>
                  </w:r>
                </w:p>
              </w:tc>
              <w:tc>
                <w:tcPr>
                  <w:tcW w:w="2904" w:type="dxa"/>
                </w:tcPr>
                <w:p w14:paraId="569A5A91">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w:t>
                  </w:r>
                </w:p>
              </w:tc>
            </w:tr>
            <w:tr w14:paraId="3A803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17" w:type="dxa"/>
                </w:tcPr>
                <w:p w14:paraId="00342687">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室内防水工程</w:t>
                  </w:r>
                </w:p>
              </w:tc>
              <w:tc>
                <w:tcPr>
                  <w:tcW w:w="2904" w:type="dxa"/>
                </w:tcPr>
                <w:p w14:paraId="4E7A8EDE">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w:t>
                  </w:r>
                </w:p>
              </w:tc>
            </w:tr>
            <w:tr w14:paraId="11217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17" w:type="dxa"/>
                </w:tcPr>
                <w:p w14:paraId="3F0A1EFC">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地下防水工程</w:t>
                  </w:r>
                </w:p>
              </w:tc>
              <w:tc>
                <w:tcPr>
                  <w:tcW w:w="2904" w:type="dxa"/>
                </w:tcPr>
                <w:p w14:paraId="731DE0F0">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同建筑结构，50</w:t>
                  </w:r>
                </w:p>
              </w:tc>
            </w:tr>
            <w:tr w14:paraId="1578F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17" w:type="dxa"/>
                </w:tcPr>
                <w:p w14:paraId="5DF29D1F">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门窗工程</w:t>
                  </w:r>
                </w:p>
              </w:tc>
              <w:tc>
                <w:tcPr>
                  <w:tcW w:w="2904" w:type="dxa"/>
                </w:tcPr>
                <w:p w14:paraId="55482EA3">
                  <w:pPr>
                    <w:pStyle w:val="9"/>
                    <w:keepNext w:val="0"/>
                    <w:keepLines w:val="0"/>
                    <w:pageBreakBefore w:val="0"/>
                    <w:widowControl w:val="0"/>
                    <w:kinsoku/>
                    <w:wordWrap/>
                    <w:overflowPunct/>
                    <w:topLinePunct w:val="0"/>
                    <w:autoSpaceDE/>
                    <w:autoSpaceDN/>
                    <w:bidi w:val="0"/>
                    <w:adjustRightInd/>
                    <w:snapToGrid/>
                    <w:jc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25</w:t>
                  </w:r>
                </w:p>
              </w:tc>
            </w:tr>
          </w:tbl>
          <w:p w14:paraId="3EC02D5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88" w:type="dxa"/>
            <w:tcBorders>
              <w:tl2br w:val="nil"/>
              <w:tr2bl w:val="nil"/>
            </w:tcBorders>
            <w:shd w:val="clear" w:color="auto" w:fill="auto"/>
            <w:noWrap/>
            <w:vAlign w:val="center"/>
          </w:tcPr>
          <w:p w14:paraId="6039B9B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建筑/</w:t>
            </w: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603D64F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E4EE17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A8729E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220E06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1308238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84</w:t>
            </w:r>
          </w:p>
        </w:tc>
        <w:tc>
          <w:tcPr>
            <w:tcW w:w="590" w:type="dxa"/>
            <w:vMerge w:val="continue"/>
            <w:tcBorders>
              <w:tl2br w:val="nil"/>
              <w:tr2bl w:val="nil"/>
            </w:tcBorders>
            <w:shd w:val="clear" w:color="auto" w:fill="auto"/>
            <w:vAlign w:val="center"/>
          </w:tcPr>
          <w:p w14:paraId="0BCA17C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9E50C7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8CD4CB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5.4.2</w:t>
            </w:r>
          </w:p>
        </w:tc>
        <w:tc>
          <w:tcPr>
            <w:tcW w:w="7712" w:type="dxa"/>
            <w:tcBorders>
              <w:tl2br w:val="nil"/>
              <w:tr2bl w:val="nil"/>
            </w:tcBorders>
            <w:shd w:val="clear" w:color="auto" w:fill="auto"/>
            <w:vAlign w:val="center"/>
          </w:tcPr>
          <w:p w14:paraId="7BB72A1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结构选用高耐久性混凝土、高强钢筋、耐候结构钢、耐候型防腐涂料等材料，对构件及连接进行耐久性设计，耐久性措施满足国家相关标准的要求。</w:t>
            </w:r>
          </w:p>
        </w:tc>
        <w:tc>
          <w:tcPr>
            <w:tcW w:w="1088" w:type="dxa"/>
            <w:tcBorders>
              <w:tl2br w:val="nil"/>
              <w:tr2bl w:val="nil"/>
            </w:tcBorders>
            <w:shd w:val="clear" w:color="auto" w:fill="auto"/>
            <w:noWrap/>
            <w:vAlign w:val="center"/>
          </w:tcPr>
          <w:p w14:paraId="31E5300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4AEF0FE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BA22D8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685BEFD">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71F23F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7DD3C4D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85</w:t>
            </w:r>
          </w:p>
        </w:tc>
        <w:tc>
          <w:tcPr>
            <w:tcW w:w="590" w:type="dxa"/>
            <w:vMerge w:val="continue"/>
            <w:tcBorders>
              <w:tl2br w:val="nil"/>
              <w:tr2bl w:val="nil"/>
            </w:tcBorders>
            <w:shd w:val="clear" w:color="auto" w:fill="auto"/>
            <w:vAlign w:val="center"/>
          </w:tcPr>
          <w:p w14:paraId="125F570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596598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063D30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5.4.3</w:t>
            </w:r>
          </w:p>
        </w:tc>
        <w:tc>
          <w:tcPr>
            <w:tcW w:w="7712" w:type="dxa"/>
            <w:tcBorders>
              <w:tl2br w:val="nil"/>
              <w:tr2bl w:val="nil"/>
            </w:tcBorders>
            <w:shd w:val="clear" w:color="auto" w:fill="auto"/>
            <w:vAlign w:val="center"/>
          </w:tcPr>
          <w:p w14:paraId="4ECA48B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住宅的楼盖满足楼盖竖向振动舒适度要求，高层住宅满足10年重现期水平风荷载作用的振动舒适度要求。</w:t>
            </w:r>
          </w:p>
        </w:tc>
        <w:tc>
          <w:tcPr>
            <w:tcW w:w="1088" w:type="dxa"/>
            <w:tcBorders>
              <w:tl2br w:val="nil"/>
              <w:tr2bl w:val="nil"/>
            </w:tcBorders>
            <w:shd w:val="clear" w:color="auto" w:fill="auto"/>
            <w:noWrap/>
            <w:vAlign w:val="center"/>
          </w:tcPr>
          <w:p w14:paraId="7FDFA90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结构</w:t>
            </w:r>
          </w:p>
        </w:tc>
        <w:tc>
          <w:tcPr>
            <w:tcW w:w="1722" w:type="dxa"/>
            <w:tcBorders>
              <w:tl2br w:val="nil"/>
              <w:tr2bl w:val="nil"/>
            </w:tcBorders>
            <w:shd w:val="clear" w:color="auto" w:fill="auto"/>
            <w:noWrap/>
            <w:vAlign w:val="center"/>
          </w:tcPr>
          <w:p w14:paraId="389A6D5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E0880C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C247976">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相关设计图纸、设计说明、分析报告及相关计算书。</w:t>
            </w:r>
          </w:p>
        </w:tc>
      </w:tr>
      <w:tr w14:paraId="62C8AB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6FE5B9A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86</w:t>
            </w:r>
          </w:p>
        </w:tc>
        <w:tc>
          <w:tcPr>
            <w:tcW w:w="590" w:type="dxa"/>
            <w:vMerge w:val="continue"/>
            <w:tcBorders>
              <w:tl2br w:val="nil"/>
              <w:tr2bl w:val="nil"/>
            </w:tcBorders>
            <w:shd w:val="clear" w:color="auto" w:fill="auto"/>
            <w:vAlign w:val="center"/>
          </w:tcPr>
          <w:p w14:paraId="040DF67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F23506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51A273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5.4.4</w:t>
            </w:r>
          </w:p>
        </w:tc>
        <w:tc>
          <w:tcPr>
            <w:tcW w:w="7712" w:type="dxa"/>
            <w:tcBorders>
              <w:tl2br w:val="nil"/>
              <w:tr2bl w:val="nil"/>
            </w:tcBorders>
            <w:shd w:val="clear" w:color="auto" w:fill="auto"/>
            <w:vAlign w:val="center"/>
          </w:tcPr>
          <w:p w14:paraId="20D1E6D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门窗反复启闭性能试验符合现行国家标准《门窗反复启闭耐久性试验方法》GB/T 29739的有关规定。门的反复启闭次数不少于100000次，窗的反复启闭次数不少于15000次。</w:t>
            </w:r>
          </w:p>
        </w:tc>
        <w:tc>
          <w:tcPr>
            <w:tcW w:w="1088" w:type="dxa"/>
            <w:tcBorders>
              <w:tl2br w:val="nil"/>
              <w:tr2bl w:val="nil"/>
            </w:tcBorders>
            <w:shd w:val="clear" w:color="auto" w:fill="auto"/>
            <w:noWrap/>
            <w:vAlign w:val="center"/>
          </w:tcPr>
          <w:p w14:paraId="1439F00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341D458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014B31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7FC3A0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预评价需提交承诺达标函，相关设计图纸及设计说明。终评价尚需提供检测报告并现场核查。</w:t>
            </w:r>
          </w:p>
        </w:tc>
      </w:tr>
      <w:tr w14:paraId="67E9C8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202C6B6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87</w:t>
            </w:r>
          </w:p>
        </w:tc>
        <w:tc>
          <w:tcPr>
            <w:tcW w:w="590" w:type="dxa"/>
            <w:vMerge w:val="restart"/>
            <w:tcBorders>
              <w:tl2br w:val="nil"/>
              <w:tr2bl w:val="nil"/>
            </w:tcBorders>
            <w:shd w:val="clear" w:color="auto" w:fill="auto"/>
            <w:vAlign w:val="center"/>
          </w:tcPr>
          <w:p w14:paraId="4F7C5A8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0CAF18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C1A879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5.4.5</w:t>
            </w:r>
          </w:p>
        </w:tc>
        <w:tc>
          <w:tcPr>
            <w:tcW w:w="7712" w:type="dxa"/>
            <w:tcBorders>
              <w:tl2br w:val="nil"/>
              <w:tr2bl w:val="nil"/>
            </w:tcBorders>
            <w:shd w:val="clear" w:color="auto" w:fill="auto"/>
            <w:vAlign w:val="center"/>
          </w:tcPr>
          <w:p w14:paraId="4CBA45C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外围护系统整体防水性能符合现行国家标准《屋面工程技术规范》GB 50345、《坡屋面工程技术规范》GB 50693和行业标准《建筑外墙防水工程技术规程》JGJ/T 235的有关规定。屋面、外墙、外窗等重点部位采取措施防止雨水侵入、开裂及渗漏。</w:t>
            </w:r>
          </w:p>
        </w:tc>
        <w:tc>
          <w:tcPr>
            <w:tcW w:w="1088" w:type="dxa"/>
            <w:tcBorders>
              <w:tl2br w:val="nil"/>
              <w:tr2bl w:val="nil"/>
            </w:tcBorders>
            <w:shd w:val="clear" w:color="auto" w:fill="auto"/>
            <w:noWrap/>
            <w:vAlign w:val="center"/>
          </w:tcPr>
          <w:p w14:paraId="077884C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7575F2F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3FCCB2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087B5E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31784D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4B40B35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88</w:t>
            </w:r>
          </w:p>
        </w:tc>
        <w:tc>
          <w:tcPr>
            <w:tcW w:w="590" w:type="dxa"/>
            <w:vMerge w:val="continue"/>
            <w:tcBorders>
              <w:tl2br w:val="nil"/>
              <w:tr2bl w:val="nil"/>
            </w:tcBorders>
            <w:shd w:val="clear" w:color="auto" w:fill="auto"/>
            <w:vAlign w:val="center"/>
          </w:tcPr>
          <w:p w14:paraId="00C5032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64279D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F813ED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5.4.6</w:t>
            </w:r>
          </w:p>
        </w:tc>
        <w:tc>
          <w:tcPr>
            <w:tcW w:w="7712" w:type="dxa"/>
            <w:tcBorders>
              <w:tl2br w:val="nil"/>
              <w:tr2bl w:val="nil"/>
            </w:tcBorders>
            <w:shd w:val="clear" w:color="auto" w:fill="auto"/>
            <w:vAlign w:val="center"/>
          </w:tcPr>
          <w:p w14:paraId="54DA67F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防水设计符合现行行业标准《住宅室内防水工程技术规范》JGJ 298的有关规定。住宅卫生间内所有墙面通高设置防水层。</w:t>
            </w:r>
          </w:p>
        </w:tc>
        <w:tc>
          <w:tcPr>
            <w:tcW w:w="1088" w:type="dxa"/>
            <w:tcBorders>
              <w:tl2br w:val="nil"/>
              <w:tr2bl w:val="nil"/>
            </w:tcBorders>
            <w:shd w:val="clear" w:color="auto" w:fill="auto"/>
            <w:noWrap/>
            <w:vAlign w:val="center"/>
          </w:tcPr>
          <w:p w14:paraId="0A633F7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17E3F3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57FB73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C34BC9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48DF78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09" w:type="dxa"/>
            <w:tcBorders>
              <w:tl2br w:val="nil"/>
              <w:tr2bl w:val="nil"/>
            </w:tcBorders>
            <w:shd w:val="clear" w:color="auto" w:fill="auto"/>
            <w:vAlign w:val="center"/>
          </w:tcPr>
          <w:p w14:paraId="53F0B18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89</w:t>
            </w:r>
          </w:p>
        </w:tc>
        <w:tc>
          <w:tcPr>
            <w:tcW w:w="590" w:type="dxa"/>
            <w:vMerge w:val="continue"/>
            <w:tcBorders>
              <w:tl2br w:val="nil"/>
              <w:tr2bl w:val="nil"/>
            </w:tcBorders>
            <w:shd w:val="clear" w:color="auto" w:fill="auto"/>
            <w:vAlign w:val="center"/>
          </w:tcPr>
          <w:p w14:paraId="377A1E6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0401C7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70A84D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5.4.7</w:t>
            </w:r>
          </w:p>
        </w:tc>
        <w:tc>
          <w:tcPr>
            <w:tcW w:w="7712" w:type="dxa"/>
            <w:tcBorders>
              <w:tl2br w:val="nil"/>
              <w:tr2bl w:val="nil"/>
            </w:tcBorders>
            <w:shd w:val="clear" w:color="auto" w:fill="auto"/>
            <w:vAlign w:val="center"/>
          </w:tcPr>
          <w:p w14:paraId="6DF6975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住宅公共电梯基坑设置排水措施。</w:t>
            </w:r>
          </w:p>
        </w:tc>
        <w:tc>
          <w:tcPr>
            <w:tcW w:w="1088" w:type="dxa"/>
            <w:tcBorders>
              <w:tl2br w:val="nil"/>
              <w:tr2bl w:val="nil"/>
            </w:tcBorders>
            <w:shd w:val="clear" w:color="auto" w:fill="auto"/>
            <w:noWrap/>
            <w:vAlign w:val="center"/>
          </w:tcPr>
          <w:p w14:paraId="31CE60F4">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给排水</w:t>
            </w:r>
          </w:p>
        </w:tc>
        <w:tc>
          <w:tcPr>
            <w:tcW w:w="1722" w:type="dxa"/>
            <w:tcBorders>
              <w:tl2br w:val="nil"/>
              <w:tr2bl w:val="nil"/>
            </w:tcBorders>
            <w:shd w:val="clear" w:color="auto" w:fill="auto"/>
            <w:noWrap/>
            <w:vAlign w:val="center"/>
          </w:tcPr>
          <w:p w14:paraId="0AF134A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72EE84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7D1160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51FEDC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609" w:type="dxa"/>
            <w:tcBorders>
              <w:tl2br w:val="nil"/>
              <w:tr2bl w:val="nil"/>
            </w:tcBorders>
            <w:shd w:val="clear" w:color="auto" w:fill="auto"/>
            <w:vAlign w:val="center"/>
          </w:tcPr>
          <w:p w14:paraId="638B31C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90</w:t>
            </w:r>
          </w:p>
        </w:tc>
        <w:tc>
          <w:tcPr>
            <w:tcW w:w="590" w:type="dxa"/>
            <w:vMerge w:val="continue"/>
            <w:tcBorders>
              <w:tl2br w:val="nil"/>
              <w:tr2bl w:val="nil"/>
            </w:tcBorders>
            <w:shd w:val="clear" w:color="auto" w:fill="auto"/>
            <w:vAlign w:val="center"/>
          </w:tcPr>
          <w:p w14:paraId="58C7496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87E792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5590A8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5.4.8</w:t>
            </w:r>
          </w:p>
        </w:tc>
        <w:tc>
          <w:tcPr>
            <w:tcW w:w="7712" w:type="dxa"/>
            <w:tcBorders>
              <w:tl2br w:val="nil"/>
              <w:tr2bl w:val="nil"/>
            </w:tcBorders>
            <w:shd w:val="clear" w:color="auto" w:fill="auto"/>
            <w:vAlign w:val="center"/>
          </w:tcPr>
          <w:p w14:paraId="64B60FA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当首层有住宅时，首层单独设置排水，并单独接至室外检查井；当首层架空时，上一层住户的排水横支管单独接至排水立管或室外检查井，接入点距转向处以下不小于0.6m。</w:t>
            </w:r>
          </w:p>
        </w:tc>
        <w:tc>
          <w:tcPr>
            <w:tcW w:w="1088" w:type="dxa"/>
            <w:tcBorders>
              <w:tl2br w:val="nil"/>
              <w:tr2bl w:val="nil"/>
            </w:tcBorders>
            <w:shd w:val="clear" w:color="auto" w:fill="auto"/>
            <w:noWrap/>
            <w:vAlign w:val="center"/>
          </w:tcPr>
          <w:p w14:paraId="315D84B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给排水</w:t>
            </w:r>
          </w:p>
        </w:tc>
        <w:tc>
          <w:tcPr>
            <w:tcW w:w="1722" w:type="dxa"/>
            <w:tcBorders>
              <w:tl2br w:val="nil"/>
              <w:tr2bl w:val="nil"/>
            </w:tcBorders>
            <w:shd w:val="clear" w:color="auto" w:fill="auto"/>
            <w:noWrap/>
            <w:vAlign w:val="center"/>
          </w:tcPr>
          <w:p w14:paraId="3B8D18D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7BC875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1B8C849">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5D2565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4353E3E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91</w:t>
            </w:r>
          </w:p>
        </w:tc>
        <w:tc>
          <w:tcPr>
            <w:tcW w:w="590" w:type="dxa"/>
            <w:vMerge w:val="continue"/>
            <w:tcBorders>
              <w:tl2br w:val="nil"/>
              <w:tr2bl w:val="nil"/>
            </w:tcBorders>
            <w:shd w:val="clear" w:color="auto" w:fill="auto"/>
            <w:vAlign w:val="center"/>
          </w:tcPr>
          <w:p w14:paraId="2032F6B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15B806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84659D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5.4.9</w:t>
            </w:r>
          </w:p>
        </w:tc>
        <w:tc>
          <w:tcPr>
            <w:tcW w:w="7712" w:type="dxa"/>
            <w:tcBorders>
              <w:tl2br w:val="nil"/>
              <w:tr2bl w:val="nil"/>
            </w:tcBorders>
            <w:shd w:val="clear" w:color="auto" w:fill="auto"/>
            <w:vAlign w:val="center"/>
          </w:tcPr>
          <w:p w14:paraId="1A1967E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当住宅排水立管在首层变横管时，接头处放大一号管径。排水横管采用75°以下角度弯头衔接。</w:t>
            </w:r>
          </w:p>
        </w:tc>
        <w:tc>
          <w:tcPr>
            <w:tcW w:w="1088" w:type="dxa"/>
            <w:tcBorders>
              <w:tl2br w:val="nil"/>
              <w:tr2bl w:val="nil"/>
            </w:tcBorders>
            <w:shd w:val="clear" w:color="auto" w:fill="auto"/>
            <w:noWrap/>
            <w:vAlign w:val="center"/>
          </w:tcPr>
          <w:p w14:paraId="3039863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给排水</w:t>
            </w:r>
          </w:p>
        </w:tc>
        <w:tc>
          <w:tcPr>
            <w:tcW w:w="1722" w:type="dxa"/>
            <w:tcBorders>
              <w:tl2br w:val="nil"/>
              <w:tr2bl w:val="nil"/>
            </w:tcBorders>
            <w:shd w:val="clear" w:color="auto" w:fill="auto"/>
            <w:noWrap/>
            <w:vAlign w:val="center"/>
          </w:tcPr>
          <w:p w14:paraId="172C09A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007ED9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985F08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01D6BE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110324A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92</w:t>
            </w:r>
          </w:p>
        </w:tc>
        <w:tc>
          <w:tcPr>
            <w:tcW w:w="590" w:type="dxa"/>
            <w:vMerge w:val="continue"/>
            <w:tcBorders>
              <w:tl2br w:val="nil"/>
              <w:tr2bl w:val="nil"/>
            </w:tcBorders>
            <w:shd w:val="clear" w:color="auto" w:fill="auto"/>
            <w:vAlign w:val="center"/>
          </w:tcPr>
          <w:p w14:paraId="7AD4026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3B6FE7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FA4BA7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5.4.10</w:t>
            </w:r>
          </w:p>
        </w:tc>
        <w:tc>
          <w:tcPr>
            <w:tcW w:w="7712" w:type="dxa"/>
            <w:tcBorders>
              <w:tl2br w:val="nil"/>
              <w:tr2bl w:val="nil"/>
            </w:tcBorders>
            <w:shd w:val="clear" w:color="auto" w:fill="auto"/>
            <w:vAlign w:val="center"/>
          </w:tcPr>
          <w:p w14:paraId="0B4D1AB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小区的台阶、步级、坡道、道路、水景、给排水和消防的管道和检修井等构筑物设置防沉降措施。</w:t>
            </w:r>
          </w:p>
        </w:tc>
        <w:tc>
          <w:tcPr>
            <w:tcW w:w="1088" w:type="dxa"/>
            <w:tcBorders>
              <w:tl2br w:val="nil"/>
              <w:tr2bl w:val="nil"/>
            </w:tcBorders>
            <w:shd w:val="clear" w:color="auto" w:fill="auto"/>
            <w:noWrap/>
            <w:vAlign w:val="center"/>
          </w:tcPr>
          <w:p w14:paraId="38FB2E8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给排水</w:t>
            </w:r>
          </w:p>
        </w:tc>
        <w:tc>
          <w:tcPr>
            <w:tcW w:w="1722" w:type="dxa"/>
            <w:tcBorders>
              <w:tl2br w:val="nil"/>
              <w:tr2bl w:val="nil"/>
            </w:tcBorders>
            <w:shd w:val="clear" w:color="auto" w:fill="auto"/>
            <w:noWrap/>
            <w:vAlign w:val="center"/>
          </w:tcPr>
          <w:p w14:paraId="7BDA973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069055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609BDA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相关设计图纸及设计说明。终评价尚需现场核查。</w:t>
            </w:r>
          </w:p>
        </w:tc>
      </w:tr>
      <w:tr w14:paraId="5D34C2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4C77CF2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93</w:t>
            </w:r>
          </w:p>
        </w:tc>
        <w:tc>
          <w:tcPr>
            <w:tcW w:w="590" w:type="dxa"/>
            <w:vMerge w:val="restart"/>
            <w:tcBorders>
              <w:tl2br w:val="nil"/>
              <w:tr2bl w:val="nil"/>
            </w:tcBorders>
            <w:shd w:val="clear" w:color="auto" w:fill="auto"/>
            <w:vAlign w:val="center"/>
          </w:tcPr>
          <w:p w14:paraId="5C5B66F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 精工建造</w:t>
            </w:r>
          </w:p>
        </w:tc>
        <w:tc>
          <w:tcPr>
            <w:tcW w:w="465" w:type="dxa"/>
            <w:vMerge w:val="restart"/>
            <w:tcBorders>
              <w:tl2br w:val="nil"/>
              <w:tr2bl w:val="nil"/>
            </w:tcBorders>
            <w:shd w:val="clear" w:color="auto" w:fill="auto"/>
            <w:vAlign w:val="center"/>
          </w:tcPr>
          <w:p w14:paraId="0B9A8DE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noWrap/>
            <w:vAlign w:val="center"/>
          </w:tcPr>
          <w:p w14:paraId="7A8BED4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5.5.1</w:t>
            </w:r>
          </w:p>
        </w:tc>
        <w:tc>
          <w:tcPr>
            <w:tcW w:w="7712" w:type="dxa"/>
            <w:tcBorders>
              <w:tl2br w:val="nil"/>
              <w:tr2bl w:val="nil"/>
            </w:tcBorders>
            <w:shd w:val="clear" w:color="auto" w:fill="auto"/>
            <w:vAlign w:val="center"/>
          </w:tcPr>
          <w:p w14:paraId="3DABC70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项目开工前，组织编制住宅工程质量易发问题防控任务书。</w:t>
            </w:r>
          </w:p>
          <w:p w14:paraId="1920265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3A4A3C8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7568CA3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6F824C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186B4BA">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终评价核查相关资料</w:t>
            </w:r>
          </w:p>
        </w:tc>
      </w:tr>
      <w:tr w14:paraId="336491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609" w:type="dxa"/>
            <w:tcBorders>
              <w:tl2br w:val="nil"/>
              <w:tr2bl w:val="nil"/>
            </w:tcBorders>
            <w:shd w:val="clear" w:color="auto" w:fill="auto"/>
            <w:vAlign w:val="center"/>
          </w:tcPr>
          <w:p w14:paraId="5EC0607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94</w:t>
            </w:r>
          </w:p>
        </w:tc>
        <w:tc>
          <w:tcPr>
            <w:tcW w:w="590" w:type="dxa"/>
            <w:vMerge w:val="continue"/>
            <w:tcBorders>
              <w:tl2br w:val="nil"/>
              <w:tr2bl w:val="nil"/>
            </w:tcBorders>
            <w:shd w:val="clear" w:color="auto" w:fill="auto"/>
            <w:vAlign w:val="center"/>
          </w:tcPr>
          <w:p w14:paraId="189F893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2A656C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1C75A24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5.5.2</w:t>
            </w:r>
          </w:p>
        </w:tc>
        <w:tc>
          <w:tcPr>
            <w:tcW w:w="7712" w:type="dxa"/>
            <w:tcBorders>
              <w:tl2br w:val="nil"/>
              <w:tr2bl w:val="nil"/>
            </w:tcBorders>
            <w:shd w:val="clear" w:color="auto" w:fill="auto"/>
            <w:vAlign w:val="center"/>
          </w:tcPr>
          <w:p w14:paraId="47E3BA5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实施样板引路制度，对涉及质量易发问题主要防控措施的关键工序、关键部位等隐蔽工程实施举牌验收，留存影像资料及电子档案，实现全过程质量可追溯。</w:t>
            </w:r>
          </w:p>
          <w:p w14:paraId="0CDE5B1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1E8D5FB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5DD6C42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109B07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71988C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终评价核查相关视频（图片）及书面资料</w:t>
            </w:r>
          </w:p>
        </w:tc>
      </w:tr>
      <w:tr w14:paraId="799CFC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50" w:hRule="atLeast"/>
        </w:trPr>
        <w:tc>
          <w:tcPr>
            <w:tcW w:w="609" w:type="dxa"/>
            <w:tcBorders>
              <w:tl2br w:val="nil"/>
              <w:tr2bl w:val="nil"/>
            </w:tcBorders>
            <w:shd w:val="clear" w:color="auto" w:fill="auto"/>
            <w:vAlign w:val="center"/>
          </w:tcPr>
          <w:p w14:paraId="65BE36D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95</w:t>
            </w:r>
          </w:p>
        </w:tc>
        <w:tc>
          <w:tcPr>
            <w:tcW w:w="590" w:type="dxa"/>
            <w:vMerge w:val="continue"/>
            <w:tcBorders>
              <w:tl2br w:val="nil"/>
              <w:tr2bl w:val="nil"/>
            </w:tcBorders>
            <w:shd w:val="clear" w:color="auto" w:fill="auto"/>
            <w:vAlign w:val="center"/>
          </w:tcPr>
          <w:p w14:paraId="7C02616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5DB25E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743606A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5.5.3</w:t>
            </w:r>
          </w:p>
        </w:tc>
        <w:tc>
          <w:tcPr>
            <w:tcW w:w="7712" w:type="dxa"/>
            <w:tcBorders>
              <w:tl2br w:val="nil"/>
              <w:tr2bl w:val="nil"/>
            </w:tcBorders>
            <w:shd w:val="clear" w:color="auto" w:fill="auto"/>
            <w:vAlign w:val="center"/>
          </w:tcPr>
          <w:p w14:paraId="4628A79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钢筋混凝土结构住宅的开裂、渗漏防控符合下列规定：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混凝土在原材料选用、配合比设计，施工和养护等环节采取减少开裂的技术措施，建筑工程裂缝控制符合现行国家标准《混凝土结构设计规范》GB 50010、《混凝土结构工程施工规范》GB 50666及《建筑工程裂缝防治技术规程》JGJ/T 317的有关规定；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现浇混凝土主体结构施工周期不少于5天/层；</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厨房、卫生间、阳台、外墙、屋面、地下室等防水施工制定专门的施工方案，严格按设计图纸施工；</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混凝土坎台、卫生间沉箱吊模制定合理的支模方式，支模保证浇筑施工成型质量；</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  管洞间空隙采用膨胀细石混凝土或聚合物水泥防水砂浆等材料分次封堵，塞填严密，通过闭水试验后方可进入下道工序施工；</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6  钢筋混凝土外墙的穿墙洞、杆洞外低内高，坡度不小于5%且内外高差不小于10mm；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7  外墙防渗漏施工满足《中山市建筑工程渗漏防治手册》要求，在装饰装修分部工程验收前根据相关规定完成两阶段淋水试验；</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8  外墙窗框与主体结构之间使用预拌防水砂浆塞缝处理。外窗框施工完成后使用专用喷淋装置，在水压不小于0.2MPa情况下进行压力淋水试验。</w:t>
            </w:r>
          </w:p>
          <w:p w14:paraId="159FC24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12FB25D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321C9A0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3CE462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038D37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终评价现场复核，核查施工组织报告、相关视频（图片）、试验报告及其它书面资料。</w:t>
            </w:r>
          </w:p>
        </w:tc>
      </w:tr>
      <w:tr w14:paraId="04C41E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1" w:hRule="atLeast"/>
        </w:trPr>
        <w:tc>
          <w:tcPr>
            <w:tcW w:w="609" w:type="dxa"/>
            <w:tcBorders>
              <w:tl2br w:val="nil"/>
              <w:tr2bl w:val="nil"/>
            </w:tcBorders>
            <w:shd w:val="clear" w:color="auto" w:fill="auto"/>
            <w:vAlign w:val="center"/>
          </w:tcPr>
          <w:p w14:paraId="2F0C897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96</w:t>
            </w:r>
          </w:p>
        </w:tc>
        <w:tc>
          <w:tcPr>
            <w:tcW w:w="590" w:type="dxa"/>
            <w:vMerge w:val="continue"/>
            <w:tcBorders>
              <w:tl2br w:val="nil"/>
              <w:tr2bl w:val="nil"/>
            </w:tcBorders>
            <w:shd w:val="clear" w:color="auto" w:fill="auto"/>
            <w:vAlign w:val="center"/>
          </w:tcPr>
          <w:p w14:paraId="695A1AB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7A7D01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66203A6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5.5.4</w:t>
            </w:r>
          </w:p>
        </w:tc>
        <w:tc>
          <w:tcPr>
            <w:tcW w:w="7712" w:type="dxa"/>
            <w:tcBorders>
              <w:tl2br w:val="nil"/>
              <w:tr2bl w:val="nil"/>
            </w:tcBorders>
            <w:shd w:val="clear" w:color="auto" w:fill="auto"/>
            <w:vAlign w:val="center"/>
          </w:tcPr>
          <w:p w14:paraId="14CB8FB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墙体抹灰层空鼓防控符合下列规定：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抹灰前浇水湿润基层，对混凝土基层拉毛或凿毛处理；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不同材质交接处、管线开槽处抹灰前增设热镀锌钢丝网或面密度160g/m²以上的耐碱纤维布。</w:t>
            </w:r>
          </w:p>
          <w:p w14:paraId="3420998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65284DF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599710A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EBE2A2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BFCBCF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终评价核查施工组织报告、相关视频（图片）、试验报告及其它书面资料。</w:t>
            </w:r>
          </w:p>
        </w:tc>
      </w:tr>
      <w:tr w14:paraId="503BA6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1" w:hRule="atLeast"/>
        </w:trPr>
        <w:tc>
          <w:tcPr>
            <w:tcW w:w="609" w:type="dxa"/>
            <w:tcBorders>
              <w:tl2br w:val="nil"/>
              <w:tr2bl w:val="nil"/>
            </w:tcBorders>
            <w:shd w:val="clear" w:color="auto" w:fill="auto"/>
            <w:vAlign w:val="center"/>
          </w:tcPr>
          <w:p w14:paraId="5817471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97</w:t>
            </w:r>
          </w:p>
        </w:tc>
        <w:tc>
          <w:tcPr>
            <w:tcW w:w="590" w:type="dxa"/>
            <w:vMerge w:val="continue"/>
            <w:tcBorders>
              <w:tl2br w:val="nil"/>
              <w:tr2bl w:val="nil"/>
            </w:tcBorders>
            <w:shd w:val="clear" w:color="auto" w:fill="auto"/>
            <w:vAlign w:val="center"/>
          </w:tcPr>
          <w:p w14:paraId="3768F6D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0D5D93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21B2050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5.5.5</w:t>
            </w:r>
          </w:p>
        </w:tc>
        <w:tc>
          <w:tcPr>
            <w:tcW w:w="7712" w:type="dxa"/>
            <w:tcBorders>
              <w:tl2br w:val="nil"/>
              <w:tr2bl w:val="nil"/>
            </w:tcBorders>
            <w:shd w:val="clear" w:color="auto" w:fill="auto"/>
            <w:vAlign w:val="center"/>
          </w:tcPr>
          <w:p w14:paraId="6372AE8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隔声施工除满足设计要求外，尚符合下列规定：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对墙体接缝、门框缝隙塞缝后使用弹性密封胶进行密封处理，确保隔声材料连续铺设；</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当弹性隔声材料采用密缝拼接时，拼接缝宽度不大于1mm。</w:t>
            </w:r>
          </w:p>
          <w:p w14:paraId="58F1607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7829A4D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04B1609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6D6646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1856D8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终评价现场复核，核查施工组织报告、相关视频（图片）及其它书面资料。</w:t>
            </w:r>
          </w:p>
        </w:tc>
      </w:tr>
      <w:tr w14:paraId="4336C2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1" w:hRule="atLeast"/>
        </w:trPr>
        <w:tc>
          <w:tcPr>
            <w:tcW w:w="609" w:type="dxa"/>
            <w:tcBorders>
              <w:tl2br w:val="nil"/>
              <w:tr2bl w:val="nil"/>
            </w:tcBorders>
            <w:shd w:val="clear" w:color="auto" w:fill="auto"/>
            <w:vAlign w:val="center"/>
          </w:tcPr>
          <w:p w14:paraId="4606D49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98</w:t>
            </w:r>
          </w:p>
        </w:tc>
        <w:tc>
          <w:tcPr>
            <w:tcW w:w="590" w:type="dxa"/>
            <w:vMerge w:val="continue"/>
            <w:tcBorders>
              <w:tl2br w:val="nil"/>
              <w:tr2bl w:val="nil"/>
            </w:tcBorders>
            <w:shd w:val="clear" w:color="auto" w:fill="auto"/>
            <w:vAlign w:val="center"/>
          </w:tcPr>
          <w:p w14:paraId="581B334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83A906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623A87B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5.5.6</w:t>
            </w:r>
          </w:p>
        </w:tc>
        <w:tc>
          <w:tcPr>
            <w:tcW w:w="7712" w:type="dxa"/>
            <w:tcBorders>
              <w:tl2br w:val="nil"/>
              <w:tr2bl w:val="nil"/>
            </w:tcBorders>
            <w:shd w:val="clear" w:color="auto" w:fill="auto"/>
            <w:vAlign w:val="center"/>
          </w:tcPr>
          <w:p w14:paraId="14421A0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主体结构、砌筑、抹灰工程实测实量中的平整度、垂直度、阴阳角方正度等指标除符合《建筑装饰装修工程质量验收标准》GB 50210要求外，还采取下列措施：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施工完成后，将实测数据标注在墙面，实现可视化管控；</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施工单位对构件的平整度、垂直度、阴阳角方正度进行100%实测，监督单位抽检比例不少于30%，合格率达到90%后方才进入装饰装修阶段施工。</w:t>
            </w:r>
          </w:p>
          <w:p w14:paraId="1F5AA03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373D434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283CDE5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57B583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B9D8F9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终评价现场复核，核查施工组织报告、相关视频（图片）及其它书面资料。</w:t>
            </w:r>
          </w:p>
        </w:tc>
      </w:tr>
      <w:tr w14:paraId="036A07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7677F58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99</w:t>
            </w:r>
          </w:p>
        </w:tc>
        <w:tc>
          <w:tcPr>
            <w:tcW w:w="590" w:type="dxa"/>
            <w:vMerge w:val="continue"/>
            <w:tcBorders>
              <w:tl2br w:val="nil"/>
              <w:tr2bl w:val="nil"/>
            </w:tcBorders>
            <w:shd w:val="clear" w:color="auto" w:fill="auto"/>
            <w:vAlign w:val="center"/>
          </w:tcPr>
          <w:p w14:paraId="09AD5A8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C9323B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67B1957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5.5.7</w:t>
            </w:r>
          </w:p>
        </w:tc>
        <w:tc>
          <w:tcPr>
            <w:tcW w:w="7712" w:type="dxa"/>
            <w:tcBorders>
              <w:tl2br w:val="nil"/>
              <w:tr2bl w:val="nil"/>
            </w:tcBorders>
            <w:shd w:val="clear" w:color="auto" w:fill="auto"/>
            <w:vAlign w:val="center"/>
          </w:tcPr>
          <w:p w14:paraId="27685D1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交付装修单位施工前，卫生间完成结构闭水及防水层蓄水试验（蓄水深度≥0.2m，时间≥24小时），排水主立管及水平干管通过通球试验（球径≥管径2/3），并留存影像资料。</w:t>
            </w:r>
          </w:p>
          <w:p w14:paraId="7FFA2A7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7EA39B2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583FCE9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142B12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26DC24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终评价现场复核，核查相关视频（图片）、试验报告及其它书面资料。</w:t>
            </w:r>
          </w:p>
        </w:tc>
      </w:tr>
      <w:tr w14:paraId="3A6465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51" w:hRule="atLeast"/>
        </w:trPr>
        <w:tc>
          <w:tcPr>
            <w:tcW w:w="609" w:type="dxa"/>
            <w:tcBorders>
              <w:tl2br w:val="nil"/>
              <w:tr2bl w:val="nil"/>
            </w:tcBorders>
            <w:shd w:val="clear" w:color="auto" w:fill="auto"/>
            <w:vAlign w:val="center"/>
          </w:tcPr>
          <w:p w14:paraId="240967B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100</w:t>
            </w:r>
          </w:p>
        </w:tc>
        <w:tc>
          <w:tcPr>
            <w:tcW w:w="590" w:type="dxa"/>
            <w:vMerge w:val="continue"/>
            <w:tcBorders>
              <w:tl2br w:val="nil"/>
              <w:tr2bl w:val="nil"/>
            </w:tcBorders>
            <w:shd w:val="clear" w:color="auto" w:fill="auto"/>
            <w:vAlign w:val="center"/>
          </w:tcPr>
          <w:p w14:paraId="6DFC62C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AF4846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413B909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5.5.8</w:t>
            </w:r>
          </w:p>
        </w:tc>
        <w:tc>
          <w:tcPr>
            <w:tcW w:w="7712" w:type="dxa"/>
            <w:tcBorders>
              <w:tl2br w:val="nil"/>
              <w:tr2bl w:val="nil"/>
            </w:tcBorders>
            <w:shd w:val="clear" w:color="auto" w:fill="auto"/>
            <w:vAlign w:val="center"/>
          </w:tcPr>
          <w:p w14:paraId="1D7D387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地漏安装符合下列规定：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当地漏安装高度与装饰面层完成面存在标高差异时，地漏通过承插式接口直接与排水管道连接，并采用防水密封材料进行封闭处理；不采用以砂浆层作为过渡介质进行间接连接或标高调整；</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设有地漏的地面砖铺贴完成后进行泼水试验及坡度尺检查，并留存影像资料。</w:t>
            </w:r>
          </w:p>
          <w:p w14:paraId="0B6DB50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55BB230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166F34C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0D9389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67CDC5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终评价现场复核，核查相关视频（图片）、试验报告及其它书面资料。</w:t>
            </w:r>
          </w:p>
        </w:tc>
      </w:tr>
      <w:tr w14:paraId="4CC9CC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trPr>
        <w:tc>
          <w:tcPr>
            <w:tcW w:w="609" w:type="dxa"/>
            <w:tcBorders>
              <w:tl2br w:val="nil"/>
              <w:tr2bl w:val="nil"/>
            </w:tcBorders>
            <w:shd w:val="clear" w:color="auto" w:fill="auto"/>
            <w:vAlign w:val="center"/>
          </w:tcPr>
          <w:p w14:paraId="7215816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101</w:t>
            </w:r>
          </w:p>
        </w:tc>
        <w:tc>
          <w:tcPr>
            <w:tcW w:w="590" w:type="dxa"/>
            <w:vMerge w:val="continue"/>
            <w:tcBorders>
              <w:tl2br w:val="nil"/>
              <w:tr2bl w:val="nil"/>
            </w:tcBorders>
            <w:shd w:val="clear" w:color="auto" w:fill="auto"/>
            <w:vAlign w:val="center"/>
          </w:tcPr>
          <w:p w14:paraId="0E035E6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2E1ED0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1FC54C0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5.5.9</w:t>
            </w:r>
          </w:p>
        </w:tc>
        <w:tc>
          <w:tcPr>
            <w:tcW w:w="7712" w:type="dxa"/>
            <w:tcBorders>
              <w:tl2br w:val="nil"/>
              <w:tr2bl w:val="nil"/>
            </w:tcBorders>
            <w:shd w:val="clear" w:color="auto" w:fill="auto"/>
            <w:vAlign w:val="center"/>
          </w:tcPr>
          <w:p w14:paraId="05B5058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厨房串味防控符合下列规定：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排油烟管道采用预制成品烟道，层间采用刚性承托支撑，与楼板预留孔洞之间的缝隙填塞密实。在抹灰作业前，排油烟管道外侧满挂热镀锌钢丝网，每边向相邻墙面延伸200mm；</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防火止回阀安装前对止回阀的启闭灵敏性及阀片变形情况进行检查，满足要求后方可安装。止回阀安装在管道外壁进气口处，与排油烟管道接触部位填塞密实。</w:t>
            </w:r>
          </w:p>
          <w:p w14:paraId="208C1EF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422CC6B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5B206A5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2A6F12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4F8880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终评价现场复核，核查相关视频（图片）及其它书面资料。</w:t>
            </w:r>
          </w:p>
        </w:tc>
      </w:tr>
      <w:tr w14:paraId="1A518C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40" w:hRule="atLeast"/>
        </w:trPr>
        <w:tc>
          <w:tcPr>
            <w:tcW w:w="609" w:type="dxa"/>
            <w:tcBorders>
              <w:tl2br w:val="nil"/>
              <w:tr2bl w:val="nil"/>
            </w:tcBorders>
            <w:shd w:val="clear" w:color="auto" w:fill="auto"/>
            <w:vAlign w:val="center"/>
          </w:tcPr>
          <w:p w14:paraId="6D4CB8E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102</w:t>
            </w:r>
          </w:p>
        </w:tc>
        <w:tc>
          <w:tcPr>
            <w:tcW w:w="590" w:type="dxa"/>
            <w:vMerge w:val="continue"/>
            <w:tcBorders>
              <w:tl2br w:val="nil"/>
              <w:tr2bl w:val="nil"/>
            </w:tcBorders>
            <w:shd w:val="clear" w:color="auto" w:fill="auto"/>
            <w:vAlign w:val="center"/>
          </w:tcPr>
          <w:p w14:paraId="228A3D1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B827E2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2D4566D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5.5.10</w:t>
            </w:r>
          </w:p>
        </w:tc>
        <w:tc>
          <w:tcPr>
            <w:tcW w:w="7712" w:type="dxa"/>
            <w:tcBorders>
              <w:tl2br w:val="nil"/>
              <w:tr2bl w:val="nil"/>
            </w:tcBorders>
            <w:shd w:val="clear" w:color="auto" w:fill="auto"/>
            <w:vAlign w:val="center"/>
          </w:tcPr>
          <w:p w14:paraId="5EBBAB3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装饰装修工程进行施工时除满足现行国家标准《建筑装饰装修工程质量验收标准》GB 50210要求外，尚符合下列规定：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墙面腻子施工使用阳角条；</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木地板施工前地面平整度达到铺贴标准，不出现起拱、松动、异响，踢脚线与墙面缝隙不大于1mm，否则采用勾缝处理；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防水墙面饰面砖铺贴采用与防水材料相容的粘贴材料进行铺贴；</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装修施工进场前对室内给水管进行管道系统压力试验并施工全过程保压，设专人对压力进行记录，施工过程中发现压降及时对管道进行处理。</w:t>
            </w:r>
          </w:p>
          <w:p w14:paraId="393C8A7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22724A5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297A421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4A0D05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8852B4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终评价现场复核，核查相关视频（图片）、试验报告及其它书面资料。</w:t>
            </w:r>
          </w:p>
        </w:tc>
      </w:tr>
      <w:tr w14:paraId="7E0D1B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1" w:hRule="atLeast"/>
        </w:trPr>
        <w:tc>
          <w:tcPr>
            <w:tcW w:w="609" w:type="dxa"/>
            <w:tcBorders>
              <w:tl2br w:val="nil"/>
              <w:tr2bl w:val="nil"/>
            </w:tcBorders>
            <w:shd w:val="clear" w:color="auto" w:fill="auto"/>
            <w:vAlign w:val="center"/>
          </w:tcPr>
          <w:p w14:paraId="2C63252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103</w:t>
            </w:r>
          </w:p>
        </w:tc>
        <w:tc>
          <w:tcPr>
            <w:tcW w:w="590" w:type="dxa"/>
            <w:vMerge w:val="continue"/>
            <w:tcBorders>
              <w:tl2br w:val="nil"/>
              <w:tr2bl w:val="nil"/>
            </w:tcBorders>
            <w:shd w:val="clear" w:color="auto" w:fill="auto"/>
            <w:vAlign w:val="center"/>
          </w:tcPr>
          <w:p w14:paraId="00EF927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E49327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6AE389C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5.5.11</w:t>
            </w:r>
          </w:p>
        </w:tc>
        <w:tc>
          <w:tcPr>
            <w:tcW w:w="7712" w:type="dxa"/>
            <w:tcBorders>
              <w:tl2br w:val="nil"/>
              <w:tr2bl w:val="nil"/>
            </w:tcBorders>
            <w:shd w:val="clear" w:color="auto" w:fill="auto"/>
            <w:vAlign w:val="center"/>
          </w:tcPr>
          <w:p w14:paraId="6FDC022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小区雨污水管施工质量管控符合下列规定：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排水管不出现倒坡；</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排水管穿墙时预埋柔性防水套管，并设置沉降补偿装置。</w:t>
            </w:r>
          </w:p>
          <w:p w14:paraId="5154FA8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048A26E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5398EBE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FF4ED6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8E3442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终评价现场核查，核查相关视频（图片）及其它书面资料。</w:t>
            </w:r>
          </w:p>
        </w:tc>
      </w:tr>
      <w:tr w14:paraId="648354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6C3D1EA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104</w:t>
            </w:r>
          </w:p>
        </w:tc>
        <w:tc>
          <w:tcPr>
            <w:tcW w:w="590" w:type="dxa"/>
            <w:vMerge w:val="continue"/>
            <w:tcBorders>
              <w:tl2br w:val="nil"/>
              <w:tr2bl w:val="nil"/>
            </w:tcBorders>
            <w:shd w:val="clear" w:color="auto" w:fill="auto"/>
            <w:vAlign w:val="center"/>
          </w:tcPr>
          <w:p w14:paraId="178AA0B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85516D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5FF8E52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5.5.12</w:t>
            </w:r>
          </w:p>
        </w:tc>
        <w:tc>
          <w:tcPr>
            <w:tcW w:w="7712" w:type="dxa"/>
            <w:tcBorders>
              <w:tl2br w:val="nil"/>
              <w:tr2bl w:val="nil"/>
            </w:tcBorders>
            <w:shd w:val="clear" w:color="auto" w:fill="auto"/>
            <w:vAlign w:val="center"/>
          </w:tcPr>
          <w:p w14:paraId="754B5AF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重点施工部位设置现场视频监控，监控视频按结构部位存档并可由参建单位随时调取，竣备后移交建设单位归档保存。</w:t>
            </w:r>
          </w:p>
          <w:p w14:paraId="5E20A81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7EA9E7A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6A3EC81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F5210C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FA2D76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终评价现场复核，核查相关视频（图片）及其它书面资料。</w:t>
            </w:r>
          </w:p>
        </w:tc>
      </w:tr>
      <w:tr w14:paraId="62D376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1BA3CD5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105</w:t>
            </w:r>
          </w:p>
        </w:tc>
        <w:tc>
          <w:tcPr>
            <w:tcW w:w="590" w:type="dxa"/>
            <w:vMerge w:val="continue"/>
            <w:tcBorders>
              <w:tl2br w:val="nil"/>
              <w:tr2bl w:val="nil"/>
            </w:tcBorders>
            <w:shd w:val="clear" w:color="auto" w:fill="auto"/>
            <w:vAlign w:val="center"/>
          </w:tcPr>
          <w:p w14:paraId="5502248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473DA6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78936C5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5.5.13</w:t>
            </w:r>
          </w:p>
        </w:tc>
        <w:tc>
          <w:tcPr>
            <w:tcW w:w="7712" w:type="dxa"/>
            <w:tcBorders>
              <w:tl2br w:val="nil"/>
              <w:tr2bl w:val="nil"/>
            </w:tcBorders>
            <w:shd w:val="clear" w:color="auto" w:fill="auto"/>
            <w:vAlign w:val="center"/>
          </w:tcPr>
          <w:p w14:paraId="21065FC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工程资料随工程进度实时修编，在竣工后将真实可靠的水电预埋管线图及现场隐蔽照片一并移交建设单位归档保存。</w:t>
            </w:r>
          </w:p>
          <w:p w14:paraId="6454839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注：预评价本条不参评。</w:t>
            </w:r>
          </w:p>
        </w:tc>
        <w:tc>
          <w:tcPr>
            <w:tcW w:w="1088" w:type="dxa"/>
            <w:tcBorders>
              <w:tl2br w:val="nil"/>
              <w:tr2bl w:val="nil"/>
            </w:tcBorders>
            <w:shd w:val="clear" w:color="auto" w:fill="auto"/>
            <w:noWrap/>
            <w:vAlign w:val="center"/>
          </w:tcPr>
          <w:p w14:paraId="1EA2EEB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7DB60C5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8E5987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02424A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终评价现场复核，核查相关视频（图片）及其它书面资料。</w:t>
            </w:r>
          </w:p>
        </w:tc>
      </w:tr>
      <w:tr w14:paraId="758F0A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1" w:hRule="atLeast"/>
        </w:trPr>
        <w:tc>
          <w:tcPr>
            <w:tcW w:w="15949" w:type="dxa"/>
            <w:gridSpan w:val="8"/>
            <w:tcBorders>
              <w:tl2br w:val="nil"/>
              <w:tr2bl w:val="nil"/>
            </w:tcBorders>
            <w:shd w:val="clear" w:color="auto" w:fill="auto"/>
            <w:vAlign w:val="center"/>
          </w:tcPr>
          <w:p w14:paraId="7D1C9326">
            <w:pPr>
              <w:keepNext w:val="0"/>
              <w:keepLines w:val="0"/>
              <w:pageBreakBefore w:val="0"/>
              <w:widowControl w:val="0"/>
              <w:numPr>
                <w:ilvl w:val="0"/>
                <w:numId w:val="2"/>
              </w:numPr>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6"/>
                <w:szCs w:val="26"/>
                <w:highlight w:val="none"/>
                <w:u w:val="none"/>
                <w:lang w:val="en-US" w:eastAsia="zh-CN" w:bidi="ar"/>
              </w:rPr>
              <w:t>绿色低碳</w:t>
            </w:r>
          </w:p>
          <w:p w14:paraId="2A5101D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（基本类28条，预评价9条不参评。）</w:t>
            </w:r>
          </w:p>
        </w:tc>
      </w:tr>
      <w:tr w14:paraId="0D4EA6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1" w:hRule="atLeast"/>
        </w:trPr>
        <w:tc>
          <w:tcPr>
            <w:tcW w:w="609" w:type="dxa"/>
            <w:tcBorders>
              <w:tl2br w:val="nil"/>
              <w:tr2bl w:val="nil"/>
            </w:tcBorders>
            <w:shd w:val="clear" w:color="auto" w:fill="auto"/>
            <w:vAlign w:val="center"/>
          </w:tcPr>
          <w:p w14:paraId="372F492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106</w:t>
            </w:r>
          </w:p>
        </w:tc>
        <w:tc>
          <w:tcPr>
            <w:tcW w:w="590" w:type="dxa"/>
            <w:vMerge w:val="restart"/>
            <w:tcBorders>
              <w:tl2br w:val="nil"/>
              <w:tr2bl w:val="nil"/>
            </w:tcBorders>
            <w:shd w:val="clear" w:color="auto" w:fill="auto"/>
            <w:vAlign w:val="center"/>
          </w:tcPr>
          <w:p w14:paraId="676C0D3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 绿色设计</w:t>
            </w:r>
          </w:p>
        </w:tc>
        <w:tc>
          <w:tcPr>
            <w:tcW w:w="465" w:type="dxa"/>
            <w:vMerge w:val="restart"/>
            <w:tcBorders>
              <w:tl2br w:val="nil"/>
              <w:tr2bl w:val="nil"/>
            </w:tcBorders>
            <w:shd w:val="clear" w:color="auto" w:fill="auto"/>
            <w:vAlign w:val="center"/>
          </w:tcPr>
          <w:p w14:paraId="5F4DC2A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0E2C2D5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595BF63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10EC85B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7BA95BA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p>
          <w:p w14:paraId="1C37ADB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1E32C2A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6.1.1</w:t>
            </w:r>
          </w:p>
        </w:tc>
        <w:tc>
          <w:tcPr>
            <w:tcW w:w="7712" w:type="dxa"/>
            <w:tcBorders>
              <w:tl2br w:val="nil"/>
              <w:tr2bl w:val="nil"/>
            </w:tcBorders>
            <w:shd w:val="clear" w:color="auto" w:fill="auto"/>
            <w:vAlign w:val="center"/>
          </w:tcPr>
          <w:p w14:paraId="47AAFAA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规划设计阶段，基于对全生命周期碳排放进行计算分析，明确全寿命期建筑碳排放强度，并明确降低碳排放强度的技术措施，降低单位建筑面积碳排放强度。</w:t>
            </w:r>
          </w:p>
        </w:tc>
        <w:tc>
          <w:tcPr>
            <w:tcW w:w="1088" w:type="dxa"/>
            <w:tcBorders>
              <w:tl2br w:val="nil"/>
              <w:tr2bl w:val="nil"/>
            </w:tcBorders>
            <w:shd w:val="clear" w:color="auto" w:fill="auto"/>
            <w:noWrap/>
            <w:vAlign w:val="center"/>
          </w:tcPr>
          <w:p w14:paraId="6AFA133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C18451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6B3B85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E226E46">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相关计算书及分析报告</w:t>
            </w:r>
          </w:p>
        </w:tc>
      </w:tr>
      <w:tr w14:paraId="44F9B8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055CD3D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107</w:t>
            </w:r>
          </w:p>
        </w:tc>
        <w:tc>
          <w:tcPr>
            <w:tcW w:w="590" w:type="dxa"/>
            <w:vMerge w:val="continue"/>
            <w:tcBorders>
              <w:tl2br w:val="nil"/>
              <w:tr2bl w:val="nil"/>
            </w:tcBorders>
            <w:shd w:val="clear" w:color="auto" w:fill="auto"/>
            <w:vAlign w:val="center"/>
          </w:tcPr>
          <w:p w14:paraId="5783E71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7A4B10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34095B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6.1.2</w:t>
            </w:r>
          </w:p>
        </w:tc>
        <w:tc>
          <w:tcPr>
            <w:tcW w:w="7712" w:type="dxa"/>
            <w:tcBorders>
              <w:tl2br w:val="nil"/>
              <w:tr2bl w:val="nil"/>
            </w:tcBorders>
            <w:shd w:val="clear" w:color="auto" w:fill="auto"/>
            <w:vAlign w:val="center"/>
          </w:tcPr>
          <w:p w14:paraId="15F5CA4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通过围护结构的构造设计，提高防潮、防水、隔热等性能。</w:t>
            </w:r>
          </w:p>
        </w:tc>
        <w:tc>
          <w:tcPr>
            <w:tcW w:w="1088" w:type="dxa"/>
            <w:tcBorders>
              <w:tl2br w:val="nil"/>
              <w:tr2bl w:val="nil"/>
            </w:tcBorders>
            <w:shd w:val="clear" w:color="auto" w:fill="auto"/>
            <w:noWrap/>
            <w:vAlign w:val="center"/>
          </w:tcPr>
          <w:p w14:paraId="4A720A6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4D9A1CB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CA8999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D06DA1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6E847E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12A1978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108</w:t>
            </w:r>
          </w:p>
        </w:tc>
        <w:tc>
          <w:tcPr>
            <w:tcW w:w="590" w:type="dxa"/>
            <w:vMerge w:val="continue"/>
            <w:tcBorders>
              <w:tl2br w:val="nil"/>
              <w:tr2bl w:val="nil"/>
            </w:tcBorders>
            <w:shd w:val="clear" w:color="auto" w:fill="auto"/>
            <w:vAlign w:val="center"/>
          </w:tcPr>
          <w:p w14:paraId="289C28D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852595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5EF43C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6.1.3</w:t>
            </w:r>
          </w:p>
        </w:tc>
        <w:tc>
          <w:tcPr>
            <w:tcW w:w="7712" w:type="dxa"/>
            <w:tcBorders>
              <w:tl2br w:val="nil"/>
              <w:tr2bl w:val="nil"/>
            </w:tcBorders>
            <w:shd w:val="clear" w:color="auto" w:fill="auto"/>
            <w:vAlign w:val="center"/>
          </w:tcPr>
          <w:p w14:paraId="48CA9ED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暖通空调冷热源设备能效等级不低于国家现行有关标准的能效等级2级。</w:t>
            </w:r>
          </w:p>
        </w:tc>
        <w:tc>
          <w:tcPr>
            <w:tcW w:w="1088" w:type="dxa"/>
            <w:tcBorders>
              <w:tl2br w:val="nil"/>
              <w:tr2bl w:val="nil"/>
            </w:tcBorders>
            <w:shd w:val="clear" w:color="auto" w:fill="auto"/>
            <w:noWrap/>
            <w:vAlign w:val="center"/>
          </w:tcPr>
          <w:p w14:paraId="26175DD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暖通</w:t>
            </w:r>
          </w:p>
        </w:tc>
        <w:tc>
          <w:tcPr>
            <w:tcW w:w="1722" w:type="dxa"/>
            <w:tcBorders>
              <w:tl2br w:val="nil"/>
              <w:tr2bl w:val="nil"/>
            </w:tcBorders>
            <w:shd w:val="clear" w:color="auto" w:fill="auto"/>
            <w:noWrap/>
            <w:vAlign w:val="center"/>
          </w:tcPr>
          <w:p w14:paraId="1262E10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EA1893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F02C93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614C91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7AA1592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109</w:t>
            </w:r>
          </w:p>
        </w:tc>
        <w:tc>
          <w:tcPr>
            <w:tcW w:w="590" w:type="dxa"/>
            <w:vMerge w:val="continue"/>
            <w:tcBorders>
              <w:tl2br w:val="nil"/>
              <w:tr2bl w:val="nil"/>
            </w:tcBorders>
            <w:shd w:val="clear" w:color="auto" w:fill="auto"/>
            <w:vAlign w:val="center"/>
          </w:tcPr>
          <w:p w14:paraId="1A0D415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E9D47F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AE0D23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6.1.4</w:t>
            </w:r>
          </w:p>
        </w:tc>
        <w:tc>
          <w:tcPr>
            <w:tcW w:w="7712" w:type="dxa"/>
            <w:tcBorders>
              <w:tl2br w:val="nil"/>
              <w:tr2bl w:val="nil"/>
            </w:tcBorders>
            <w:shd w:val="clear" w:color="auto" w:fill="auto"/>
            <w:vAlign w:val="center"/>
          </w:tcPr>
          <w:p w14:paraId="4548304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公共区域的照明系统采用分区、定时、感应等节能控制。采光区域的照明控制独立于其他区域的照明控制。</w:t>
            </w:r>
          </w:p>
        </w:tc>
        <w:tc>
          <w:tcPr>
            <w:tcW w:w="1088" w:type="dxa"/>
            <w:tcBorders>
              <w:tl2br w:val="nil"/>
              <w:tr2bl w:val="nil"/>
            </w:tcBorders>
            <w:shd w:val="clear" w:color="auto" w:fill="auto"/>
            <w:noWrap/>
            <w:vAlign w:val="center"/>
          </w:tcPr>
          <w:p w14:paraId="57B30AE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7996900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6C0B8A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7672E7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2791A6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5ACAB36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110</w:t>
            </w:r>
          </w:p>
        </w:tc>
        <w:tc>
          <w:tcPr>
            <w:tcW w:w="590" w:type="dxa"/>
            <w:vMerge w:val="continue"/>
            <w:tcBorders>
              <w:tl2br w:val="nil"/>
              <w:tr2bl w:val="nil"/>
            </w:tcBorders>
            <w:shd w:val="clear" w:color="auto" w:fill="auto"/>
            <w:vAlign w:val="center"/>
          </w:tcPr>
          <w:p w14:paraId="6496900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358649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73B982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6.1.5</w:t>
            </w:r>
          </w:p>
        </w:tc>
        <w:tc>
          <w:tcPr>
            <w:tcW w:w="7712" w:type="dxa"/>
            <w:tcBorders>
              <w:tl2br w:val="nil"/>
              <w:tr2bl w:val="nil"/>
            </w:tcBorders>
            <w:shd w:val="clear" w:color="auto" w:fill="auto"/>
            <w:vAlign w:val="center"/>
          </w:tcPr>
          <w:p w14:paraId="0E367D8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照明产品，水泵、风机、电动机等主要设备的能效达到国家现行有关能效标准规定的2级或节能评价值。</w:t>
            </w:r>
          </w:p>
        </w:tc>
        <w:tc>
          <w:tcPr>
            <w:tcW w:w="1088" w:type="dxa"/>
            <w:tcBorders>
              <w:tl2br w:val="nil"/>
              <w:tr2bl w:val="nil"/>
            </w:tcBorders>
            <w:shd w:val="clear" w:color="auto" w:fill="auto"/>
            <w:noWrap/>
            <w:vAlign w:val="center"/>
          </w:tcPr>
          <w:p w14:paraId="7E9BA167">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机电专业</w:t>
            </w:r>
          </w:p>
        </w:tc>
        <w:tc>
          <w:tcPr>
            <w:tcW w:w="1722" w:type="dxa"/>
            <w:tcBorders>
              <w:tl2br w:val="nil"/>
              <w:tr2bl w:val="nil"/>
            </w:tcBorders>
            <w:shd w:val="clear" w:color="auto" w:fill="auto"/>
            <w:noWrap/>
            <w:vAlign w:val="center"/>
          </w:tcPr>
          <w:p w14:paraId="395B765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E98C41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BC9997D">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相关设计图纸及设计说明。终评应提交能效检测报告。</w:t>
            </w:r>
          </w:p>
        </w:tc>
      </w:tr>
      <w:tr w14:paraId="2D07C4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31E6BF3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111</w:t>
            </w:r>
          </w:p>
        </w:tc>
        <w:tc>
          <w:tcPr>
            <w:tcW w:w="590" w:type="dxa"/>
            <w:vMerge w:val="continue"/>
            <w:tcBorders>
              <w:tl2br w:val="nil"/>
              <w:tr2bl w:val="nil"/>
            </w:tcBorders>
            <w:shd w:val="clear" w:color="auto" w:fill="auto"/>
            <w:vAlign w:val="center"/>
          </w:tcPr>
          <w:p w14:paraId="43E3764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90612F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265CD3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6.1.6</w:t>
            </w:r>
          </w:p>
        </w:tc>
        <w:tc>
          <w:tcPr>
            <w:tcW w:w="7712" w:type="dxa"/>
            <w:tcBorders>
              <w:tl2br w:val="nil"/>
              <w:tr2bl w:val="nil"/>
            </w:tcBorders>
            <w:shd w:val="clear" w:color="auto" w:fill="auto"/>
            <w:vAlign w:val="center"/>
          </w:tcPr>
          <w:p w14:paraId="1D23BCB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配电变压器选择低损耗、低噪声的产品，能效等级不低于现行国家标准《电力变压器能效限定值及能效等级》GB 20052规定的2级。</w:t>
            </w:r>
          </w:p>
        </w:tc>
        <w:tc>
          <w:tcPr>
            <w:tcW w:w="1088" w:type="dxa"/>
            <w:tcBorders>
              <w:tl2br w:val="nil"/>
              <w:tr2bl w:val="nil"/>
            </w:tcBorders>
            <w:shd w:val="clear" w:color="auto" w:fill="auto"/>
            <w:noWrap/>
            <w:vAlign w:val="center"/>
          </w:tcPr>
          <w:p w14:paraId="4C75B69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0885B74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FCD4A1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30D894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相关设计图纸及设计说明。终评应提交能效检测报告。</w:t>
            </w:r>
          </w:p>
        </w:tc>
      </w:tr>
      <w:tr w14:paraId="1B7D45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atLeast"/>
        </w:trPr>
        <w:tc>
          <w:tcPr>
            <w:tcW w:w="609" w:type="dxa"/>
            <w:tcBorders>
              <w:tl2br w:val="nil"/>
              <w:tr2bl w:val="nil"/>
            </w:tcBorders>
            <w:shd w:val="clear" w:color="auto" w:fill="auto"/>
            <w:vAlign w:val="center"/>
          </w:tcPr>
          <w:p w14:paraId="7B591BD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112</w:t>
            </w:r>
          </w:p>
        </w:tc>
        <w:tc>
          <w:tcPr>
            <w:tcW w:w="590" w:type="dxa"/>
            <w:vMerge w:val="continue"/>
            <w:tcBorders>
              <w:tl2br w:val="nil"/>
              <w:tr2bl w:val="nil"/>
            </w:tcBorders>
            <w:shd w:val="clear" w:color="auto" w:fill="auto"/>
            <w:vAlign w:val="center"/>
          </w:tcPr>
          <w:p w14:paraId="0B53856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BEED42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DF577A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6.1.7</w:t>
            </w:r>
          </w:p>
        </w:tc>
        <w:tc>
          <w:tcPr>
            <w:tcW w:w="7712" w:type="dxa"/>
            <w:tcBorders>
              <w:tl2br w:val="nil"/>
              <w:tr2bl w:val="nil"/>
            </w:tcBorders>
            <w:shd w:val="clear" w:color="auto" w:fill="auto"/>
            <w:vAlign w:val="center"/>
          </w:tcPr>
          <w:p w14:paraId="4E2CF4E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新建采用太阳能热水系统或太阳能光伏发电系统时，与建筑同步设计。</w:t>
            </w:r>
          </w:p>
        </w:tc>
        <w:tc>
          <w:tcPr>
            <w:tcW w:w="1088" w:type="dxa"/>
            <w:tcBorders>
              <w:tl2br w:val="nil"/>
              <w:tr2bl w:val="nil"/>
            </w:tcBorders>
            <w:shd w:val="clear" w:color="auto" w:fill="auto"/>
            <w:noWrap/>
            <w:vAlign w:val="center"/>
          </w:tcPr>
          <w:p w14:paraId="010D0E6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建筑/</w:t>
            </w: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0BD5369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04D0A3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867BAB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4A5233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09" w:type="dxa"/>
            <w:tcBorders>
              <w:tl2br w:val="nil"/>
              <w:tr2bl w:val="nil"/>
            </w:tcBorders>
            <w:shd w:val="clear" w:color="auto" w:fill="auto"/>
            <w:vAlign w:val="center"/>
          </w:tcPr>
          <w:p w14:paraId="2504C74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113</w:t>
            </w:r>
          </w:p>
        </w:tc>
        <w:tc>
          <w:tcPr>
            <w:tcW w:w="590" w:type="dxa"/>
            <w:vMerge w:val="continue"/>
            <w:tcBorders>
              <w:tl2br w:val="nil"/>
              <w:tr2bl w:val="nil"/>
            </w:tcBorders>
            <w:shd w:val="clear" w:color="auto" w:fill="auto"/>
            <w:vAlign w:val="center"/>
          </w:tcPr>
          <w:p w14:paraId="2F48F26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9EB188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F68085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6.1.8</w:t>
            </w:r>
          </w:p>
        </w:tc>
        <w:tc>
          <w:tcPr>
            <w:tcW w:w="7712" w:type="dxa"/>
            <w:tcBorders>
              <w:tl2br w:val="nil"/>
              <w:tr2bl w:val="nil"/>
            </w:tcBorders>
            <w:shd w:val="clear" w:color="auto" w:fill="auto"/>
            <w:vAlign w:val="center"/>
          </w:tcPr>
          <w:p w14:paraId="2276738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用水器具和设备符合《节水型产品通用技术条件》GB/T 18870国家规定；卫生器具的用水效率等级达到2级。</w:t>
            </w:r>
          </w:p>
        </w:tc>
        <w:tc>
          <w:tcPr>
            <w:tcW w:w="1088" w:type="dxa"/>
            <w:tcBorders>
              <w:tl2br w:val="nil"/>
              <w:tr2bl w:val="nil"/>
            </w:tcBorders>
            <w:shd w:val="clear" w:color="auto" w:fill="auto"/>
            <w:noWrap/>
            <w:vAlign w:val="center"/>
          </w:tcPr>
          <w:p w14:paraId="451C5D3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给排水</w:t>
            </w:r>
          </w:p>
        </w:tc>
        <w:tc>
          <w:tcPr>
            <w:tcW w:w="1722" w:type="dxa"/>
            <w:tcBorders>
              <w:tl2br w:val="nil"/>
              <w:tr2bl w:val="nil"/>
            </w:tcBorders>
            <w:shd w:val="clear" w:color="auto" w:fill="auto"/>
            <w:noWrap/>
            <w:vAlign w:val="center"/>
          </w:tcPr>
          <w:p w14:paraId="47F9F6D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B21A57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88B61F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相关设计图纸及设计说明。终评应提交卫生器具能效检测报告。</w:t>
            </w:r>
          </w:p>
        </w:tc>
      </w:tr>
      <w:tr w14:paraId="7934AE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09" w:type="dxa"/>
            <w:tcBorders>
              <w:tl2br w:val="nil"/>
              <w:tr2bl w:val="nil"/>
            </w:tcBorders>
            <w:shd w:val="clear" w:color="auto" w:fill="auto"/>
            <w:vAlign w:val="center"/>
          </w:tcPr>
          <w:p w14:paraId="3130DE9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114</w:t>
            </w:r>
          </w:p>
        </w:tc>
        <w:tc>
          <w:tcPr>
            <w:tcW w:w="590" w:type="dxa"/>
            <w:vMerge w:val="continue"/>
            <w:tcBorders>
              <w:tl2br w:val="nil"/>
              <w:tr2bl w:val="nil"/>
            </w:tcBorders>
            <w:shd w:val="clear" w:color="auto" w:fill="auto"/>
            <w:vAlign w:val="center"/>
          </w:tcPr>
          <w:p w14:paraId="47E0FC4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902695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6B976C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6.1.9</w:t>
            </w:r>
          </w:p>
        </w:tc>
        <w:tc>
          <w:tcPr>
            <w:tcW w:w="7712" w:type="dxa"/>
            <w:tcBorders>
              <w:tl2br w:val="nil"/>
              <w:tr2bl w:val="nil"/>
            </w:tcBorders>
            <w:shd w:val="clear" w:color="auto" w:fill="auto"/>
            <w:vAlign w:val="center"/>
          </w:tcPr>
          <w:p w14:paraId="3B5FADB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住宅公共区域设置分类、分级用能自动远传计量系统。</w:t>
            </w:r>
          </w:p>
        </w:tc>
        <w:tc>
          <w:tcPr>
            <w:tcW w:w="1088" w:type="dxa"/>
            <w:tcBorders>
              <w:tl2br w:val="nil"/>
              <w:tr2bl w:val="nil"/>
            </w:tcBorders>
            <w:shd w:val="clear" w:color="auto" w:fill="auto"/>
            <w:noWrap/>
            <w:vAlign w:val="center"/>
          </w:tcPr>
          <w:p w14:paraId="302BD918">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电气</w:t>
            </w:r>
            <w:r>
              <w:rPr>
                <w:rFonts w:hint="eastAsia" w:ascii="仿宋" w:hAnsi="仿宋" w:eastAsia="仿宋" w:cs="仿宋"/>
                <w:i w:val="0"/>
                <w:iCs w:val="0"/>
                <w:color w:val="auto"/>
                <w:sz w:val="22"/>
                <w:szCs w:val="22"/>
                <w:highlight w:val="none"/>
                <w:u w:val="none"/>
                <w:lang w:val="en-US" w:eastAsia="zh-CN"/>
              </w:rPr>
              <w:t>/给排水</w:t>
            </w:r>
          </w:p>
        </w:tc>
        <w:tc>
          <w:tcPr>
            <w:tcW w:w="1722" w:type="dxa"/>
            <w:tcBorders>
              <w:tl2br w:val="nil"/>
              <w:tr2bl w:val="nil"/>
            </w:tcBorders>
            <w:shd w:val="clear" w:color="auto" w:fill="auto"/>
            <w:noWrap/>
            <w:vAlign w:val="center"/>
          </w:tcPr>
          <w:p w14:paraId="670DF16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9BDA5E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36339C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1C9249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09" w:type="dxa"/>
            <w:tcBorders>
              <w:tl2br w:val="nil"/>
              <w:tr2bl w:val="nil"/>
            </w:tcBorders>
            <w:shd w:val="clear" w:color="auto" w:fill="auto"/>
            <w:vAlign w:val="center"/>
          </w:tcPr>
          <w:p w14:paraId="4BEC5C9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115</w:t>
            </w:r>
          </w:p>
        </w:tc>
        <w:tc>
          <w:tcPr>
            <w:tcW w:w="590" w:type="dxa"/>
            <w:vMerge w:val="restart"/>
            <w:tcBorders>
              <w:tl2br w:val="nil"/>
              <w:tr2bl w:val="nil"/>
            </w:tcBorders>
            <w:shd w:val="clear" w:color="auto" w:fill="auto"/>
            <w:vAlign w:val="center"/>
          </w:tcPr>
          <w:p w14:paraId="74DE527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 建材建造</w:t>
            </w:r>
          </w:p>
        </w:tc>
        <w:tc>
          <w:tcPr>
            <w:tcW w:w="465" w:type="dxa"/>
            <w:vMerge w:val="restart"/>
            <w:tcBorders>
              <w:tl2br w:val="nil"/>
              <w:tr2bl w:val="nil"/>
            </w:tcBorders>
            <w:shd w:val="clear" w:color="auto" w:fill="auto"/>
            <w:vAlign w:val="center"/>
          </w:tcPr>
          <w:p w14:paraId="0A50DBE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5E24EA5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6.2.1</w:t>
            </w:r>
          </w:p>
        </w:tc>
        <w:tc>
          <w:tcPr>
            <w:tcW w:w="7712" w:type="dxa"/>
            <w:tcBorders>
              <w:tl2br w:val="nil"/>
              <w:tr2bl w:val="nil"/>
            </w:tcBorders>
            <w:shd w:val="clear" w:color="auto" w:fill="auto"/>
            <w:vAlign w:val="center"/>
          </w:tcPr>
          <w:p w14:paraId="26080E0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绿色建材使用量不少于所用建筑材料的10%。</w:t>
            </w:r>
          </w:p>
        </w:tc>
        <w:tc>
          <w:tcPr>
            <w:tcW w:w="1088" w:type="dxa"/>
            <w:tcBorders>
              <w:tl2br w:val="nil"/>
              <w:tr2bl w:val="nil"/>
            </w:tcBorders>
            <w:shd w:val="clear" w:color="auto" w:fill="auto"/>
            <w:noWrap/>
            <w:vAlign w:val="center"/>
          </w:tcPr>
          <w:p w14:paraId="210B005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结构牵头，各专业配合</w:t>
            </w:r>
          </w:p>
        </w:tc>
        <w:tc>
          <w:tcPr>
            <w:tcW w:w="1722" w:type="dxa"/>
            <w:tcBorders>
              <w:tl2br w:val="nil"/>
              <w:tr2bl w:val="nil"/>
            </w:tcBorders>
            <w:shd w:val="clear" w:color="auto" w:fill="auto"/>
            <w:noWrap/>
            <w:vAlign w:val="center"/>
          </w:tcPr>
          <w:p w14:paraId="608CAC5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1B72E7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C6E9E94">
            <w:pPr>
              <w:keepNext w:val="0"/>
              <w:keepLines w:val="0"/>
              <w:widowControl/>
              <w:suppressLineNumbers w:val="0"/>
              <w:jc w:val="left"/>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相关设计图纸、设计说明，</w:t>
            </w:r>
            <w:r>
              <w:rPr>
                <w:rFonts w:hint="eastAsia" w:ascii="仿宋" w:hAnsi="仿宋" w:eastAsia="仿宋" w:cs="仿宋"/>
                <w:i w:val="0"/>
                <w:iCs w:val="0"/>
                <w:color w:val="auto"/>
                <w:kern w:val="0"/>
                <w:sz w:val="22"/>
                <w:szCs w:val="22"/>
                <w:highlight w:val="none"/>
                <w:u w:val="none"/>
                <w:lang w:val="en-US" w:eastAsia="zh-CN" w:bidi="ar"/>
              </w:rPr>
              <w:t>绿色建材使用量计算书。</w:t>
            </w:r>
            <w:r>
              <w:rPr>
                <w:rFonts w:hint="eastAsia" w:ascii="仿宋" w:hAnsi="仿宋" w:eastAsia="仿宋" w:cs="仿宋"/>
                <w:color w:val="auto"/>
                <w:kern w:val="0"/>
                <w:sz w:val="22"/>
                <w:szCs w:val="22"/>
                <w:highlight w:val="none"/>
                <w:lang w:val="en-US" w:eastAsia="zh-CN" w:bidi="ar"/>
              </w:rPr>
              <w:t>本款规定住房应采用经过分级评价认证的绿色建材；其用量比例的计算方法应符合现行国家标准《绿色建筑评价标准》GB/T50378 的有关规定。</w:t>
            </w:r>
            <w:r>
              <w:rPr>
                <w:rFonts w:hint="eastAsia" w:ascii="仿宋" w:hAnsi="仿宋" w:eastAsia="仿宋" w:cs="仿宋"/>
                <w:i w:val="0"/>
                <w:iCs w:val="0"/>
                <w:color w:val="auto"/>
                <w:sz w:val="22"/>
                <w:szCs w:val="22"/>
                <w:highlight w:val="none"/>
                <w:u w:val="none"/>
                <w:lang w:val="en-US" w:eastAsia="zh-CN"/>
              </w:rPr>
              <w:t>终评应提交材料进场台账及采购清单。</w:t>
            </w:r>
          </w:p>
        </w:tc>
      </w:tr>
      <w:tr w14:paraId="33E809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4298913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116</w:t>
            </w:r>
          </w:p>
        </w:tc>
        <w:tc>
          <w:tcPr>
            <w:tcW w:w="590" w:type="dxa"/>
            <w:vMerge w:val="continue"/>
            <w:tcBorders>
              <w:tl2br w:val="nil"/>
              <w:tr2bl w:val="nil"/>
            </w:tcBorders>
            <w:shd w:val="clear" w:color="auto" w:fill="auto"/>
            <w:vAlign w:val="center"/>
          </w:tcPr>
          <w:p w14:paraId="039C261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EC54E6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8F81CC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6.2.2</w:t>
            </w:r>
          </w:p>
        </w:tc>
        <w:tc>
          <w:tcPr>
            <w:tcW w:w="7712" w:type="dxa"/>
            <w:tcBorders>
              <w:tl2br w:val="nil"/>
              <w:tr2bl w:val="nil"/>
            </w:tcBorders>
            <w:shd w:val="clear" w:color="auto" w:fill="auto"/>
            <w:vAlign w:val="center"/>
          </w:tcPr>
          <w:p w14:paraId="58EB70B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可再利用材料和可再循环材料的使用不少于所用建筑材料的6%。</w:t>
            </w:r>
          </w:p>
        </w:tc>
        <w:tc>
          <w:tcPr>
            <w:tcW w:w="1088" w:type="dxa"/>
            <w:tcBorders>
              <w:tl2br w:val="nil"/>
              <w:tr2bl w:val="nil"/>
            </w:tcBorders>
            <w:shd w:val="clear" w:color="auto" w:fill="auto"/>
            <w:noWrap/>
            <w:vAlign w:val="center"/>
          </w:tcPr>
          <w:p w14:paraId="4718420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结构牵头，各专业配合</w:t>
            </w:r>
          </w:p>
        </w:tc>
        <w:tc>
          <w:tcPr>
            <w:tcW w:w="1722" w:type="dxa"/>
            <w:tcBorders>
              <w:tl2br w:val="nil"/>
              <w:tr2bl w:val="nil"/>
            </w:tcBorders>
            <w:shd w:val="clear" w:color="auto" w:fill="auto"/>
            <w:noWrap/>
            <w:vAlign w:val="center"/>
          </w:tcPr>
          <w:p w14:paraId="350841D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3C8DAA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799A504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p>
        </w:tc>
        <w:tc>
          <w:tcPr>
            <w:tcW w:w="2748" w:type="dxa"/>
            <w:tcBorders>
              <w:tl2br w:val="nil"/>
              <w:tr2bl w:val="nil"/>
            </w:tcBorders>
            <w:shd w:val="clear" w:color="auto" w:fill="auto"/>
            <w:noWrap/>
            <w:vAlign w:val="center"/>
          </w:tcPr>
          <w:p w14:paraId="4A74A6AC">
            <w:pPr>
              <w:keepNext w:val="0"/>
              <w:keepLines w:val="0"/>
              <w:widowControl/>
              <w:suppressLineNumbers w:val="0"/>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w:t>
            </w:r>
            <w:r>
              <w:rPr>
                <w:rFonts w:hint="eastAsia" w:ascii="仿宋" w:hAnsi="仿宋" w:eastAsia="仿宋" w:cs="仿宋"/>
                <w:i w:val="0"/>
                <w:iCs w:val="0"/>
                <w:color w:val="auto"/>
                <w:kern w:val="0"/>
                <w:sz w:val="22"/>
                <w:szCs w:val="22"/>
                <w:highlight w:val="none"/>
                <w:u w:val="none"/>
                <w:lang w:val="en-US" w:eastAsia="zh-CN" w:bidi="ar"/>
              </w:rPr>
              <w:t>可再利用材料和可再循环材料使用量计算书。</w:t>
            </w:r>
            <w:r>
              <w:rPr>
                <w:rFonts w:hint="eastAsia" w:ascii="仿宋" w:hAnsi="仿宋" w:eastAsia="仿宋" w:cs="仿宋"/>
                <w:color w:val="auto"/>
                <w:kern w:val="0"/>
                <w:sz w:val="22"/>
                <w:szCs w:val="22"/>
                <w:highlight w:val="none"/>
                <w:lang w:val="en-US" w:eastAsia="zh-CN" w:bidi="ar"/>
              </w:rPr>
              <w:t>计算可再循环材料和可再利用材料用量比例时，分子为申报项目各类可再循环材料和可再利用材料重量之和，如有材料既属于可再循环材料又属于可再利用材料，可以计入分子，但不可重复统计；分母为全部建筑材料总重量。</w:t>
            </w:r>
            <w:r>
              <w:rPr>
                <w:rFonts w:hint="eastAsia" w:ascii="仿宋" w:hAnsi="仿宋" w:eastAsia="仿宋" w:cs="仿宋"/>
                <w:i w:val="0"/>
                <w:iCs w:val="0"/>
                <w:color w:val="auto"/>
                <w:sz w:val="22"/>
                <w:szCs w:val="22"/>
                <w:highlight w:val="none"/>
                <w:u w:val="none"/>
                <w:lang w:val="en-US" w:eastAsia="zh-CN"/>
              </w:rPr>
              <w:t>终评应提交材料进场台账及采购清单。</w:t>
            </w:r>
          </w:p>
        </w:tc>
      </w:tr>
      <w:tr w14:paraId="7178DA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4" w:hRule="atLeast"/>
        </w:trPr>
        <w:tc>
          <w:tcPr>
            <w:tcW w:w="609" w:type="dxa"/>
            <w:tcBorders>
              <w:tl2br w:val="nil"/>
              <w:tr2bl w:val="nil"/>
            </w:tcBorders>
            <w:shd w:val="clear" w:color="auto" w:fill="auto"/>
            <w:vAlign w:val="center"/>
          </w:tcPr>
          <w:p w14:paraId="4848820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117</w:t>
            </w:r>
          </w:p>
        </w:tc>
        <w:tc>
          <w:tcPr>
            <w:tcW w:w="590" w:type="dxa"/>
            <w:vMerge w:val="continue"/>
            <w:tcBorders>
              <w:tl2br w:val="nil"/>
              <w:tr2bl w:val="nil"/>
            </w:tcBorders>
            <w:shd w:val="clear" w:color="auto" w:fill="auto"/>
            <w:vAlign w:val="center"/>
          </w:tcPr>
          <w:p w14:paraId="01B09A1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F6A930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A593F4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6.2.3</w:t>
            </w:r>
          </w:p>
        </w:tc>
        <w:tc>
          <w:tcPr>
            <w:tcW w:w="7712" w:type="dxa"/>
            <w:tcBorders>
              <w:tl2br w:val="nil"/>
              <w:tr2bl w:val="nil"/>
            </w:tcBorders>
            <w:shd w:val="clear" w:color="auto" w:fill="auto"/>
            <w:vAlign w:val="center"/>
          </w:tcPr>
          <w:p w14:paraId="4382ADC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给水排水系统的管材、管件符合下列规定：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给水系统选用耐腐蚀、抗老化、耐久性的产品；</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管件与管道配套提供使用。</w:t>
            </w:r>
          </w:p>
        </w:tc>
        <w:tc>
          <w:tcPr>
            <w:tcW w:w="1088" w:type="dxa"/>
            <w:tcBorders>
              <w:tl2br w:val="nil"/>
              <w:tr2bl w:val="nil"/>
            </w:tcBorders>
            <w:shd w:val="clear" w:color="auto" w:fill="auto"/>
            <w:noWrap/>
            <w:vAlign w:val="center"/>
          </w:tcPr>
          <w:p w14:paraId="4023B85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给排水</w:t>
            </w:r>
          </w:p>
        </w:tc>
        <w:tc>
          <w:tcPr>
            <w:tcW w:w="1722" w:type="dxa"/>
            <w:tcBorders>
              <w:tl2br w:val="nil"/>
              <w:tr2bl w:val="nil"/>
            </w:tcBorders>
            <w:shd w:val="clear" w:color="auto" w:fill="auto"/>
            <w:noWrap/>
            <w:vAlign w:val="center"/>
          </w:tcPr>
          <w:p w14:paraId="3390EF1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1F4643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185B05C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235C702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w:t>
            </w:r>
          </w:p>
        </w:tc>
      </w:tr>
      <w:tr w14:paraId="70D5E8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1EAC60A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118</w:t>
            </w:r>
          </w:p>
        </w:tc>
        <w:tc>
          <w:tcPr>
            <w:tcW w:w="590" w:type="dxa"/>
            <w:vMerge w:val="continue"/>
            <w:tcBorders>
              <w:tl2br w:val="nil"/>
              <w:tr2bl w:val="nil"/>
            </w:tcBorders>
            <w:shd w:val="clear" w:color="auto" w:fill="auto"/>
            <w:vAlign w:val="center"/>
          </w:tcPr>
          <w:p w14:paraId="5AD4792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5C87808">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1BB450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6.2.4</w:t>
            </w:r>
          </w:p>
        </w:tc>
        <w:tc>
          <w:tcPr>
            <w:tcW w:w="7712" w:type="dxa"/>
            <w:tcBorders>
              <w:tl2br w:val="nil"/>
              <w:tr2bl w:val="nil"/>
            </w:tcBorders>
            <w:shd w:val="clear" w:color="auto" w:fill="auto"/>
            <w:vAlign w:val="center"/>
          </w:tcPr>
          <w:p w14:paraId="2594F6F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外饰面材料、室内装饰装修材料、防水和密封材料等选用耐久性、易维护的材料。</w:t>
            </w:r>
          </w:p>
        </w:tc>
        <w:tc>
          <w:tcPr>
            <w:tcW w:w="1088" w:type="dxa"/>
            <w:tcBorders>
              <w:tl2br w:val="nil"/>
              <w:tr2bl w:val="nil"/>
            </w:tcBorders>
            <w:shd w:val="clear" w:color="auto" w:fill="auto"/>
            <w:noWrap/>
            <w:vAlign w:val="center"/>
          </w:tcPr>
          <w:p w14:paraId="0287572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D1983D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043A4E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53E59D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w:t>
            </w:r>
          </w:p>
        </w:tc>
      </w:tr>
      <w:tr w14:paraId="735CE5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6897E8C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119</w:t>
            </w:r>
          </w:p>
        </w:tc>
        <w:tc>
          <w:tcPr>
            <w:tcW w:w="590" w:type="dxa"/>
            <w:vMerge w:val="continue"/>
            <w:tcBorders>
              <w:tl2br w:val="nil"/>
              <w:tr2bl w:val="nil"/>
            </w:tcBorders>
            <w:shd w:val="clear" w:color="auto" w:fill="auto"/>
            <w:vAlign w:val="center"/>
          </w:tcPr>
          <w:p w14:paraId="2EA4319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2B699A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111DAF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6.2.5</w:t>
            </w:r>
          </w:p>
        </w:tc>
        <w:tc>
          <w:tcPr>
            <w:tcW w:w="7712" w:type="dxa"/>
            <w:tcBorders>
              <w:tl2br w:val="nil"/>
              <w:tr2bl w:val="nil"/>
            </w:tcBorders>
            <w:shd w:val="clear" w:color="auto" w:fill="auto"/>
            <w:vAlign w:val="center"/>
          </w:tcPr>
          <w:p w14:paraId="5CB578A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装饰装修材料甲醛释放量不低于 《人造板及其制品甲醛释放量分级》GB/T 39600中E0级。</w:t>
            </w:r>
          </w:p>
        </w:tc>
        <w:tc>
          <w:tcPr>
            <w:tcW w:w="1088" w:type="dxa"/>
            <w:tcBorders>
              <w:tl2br w:val="nil"/>
              <w:tr2bl w:val="nil"/>
            </w:tcBorders>
            <w:shd w:val="clear" w:color="auto" w:fill="auto"/>
            <w:noWrap/>
            <w:vAlign w:val="center"/>
          </w:tcPr>
          <w:p w14:paraId="3903AD9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建筑/</w:t>
            </w: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0F24827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D9977A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E00054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相关设计图纸、设计说明。预评价提交承诺达标函，终评价应提交进场材料检测报告。</w:t>
            </w:r>
          </w:p>
        </w:tc>
      </w:tr>
      <w:tr w14:paraId="662BD1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17" w:hRule="atLeast"/>
        </w:trPr>
        <w:tc>
          <w:tcPr>
            <w:tcW w:w="609" w:type="dxa"/>
            <w:tcBorders>
              <w:tl2br w:val="nil"/>
              <w:tr2bl w:val="nil"/>
            </w:tcBorders>
            <w:shd w:val="clear" w:color="auto" w:fill="auto"/>
            <w:vAlign w:val="center"/>
          </w:tcPr>
          <w:p w14:paraId="2D4D9A7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120</w:t>
            </w:r>
          </w:p>
        </w:tc>
        <w:tc>
          <w:tcPr>
            <w:tcW w:w="590" w:type="dxa"/>
            <w:vMerge w:val="continue"/>
            <w:tcBorders>
              <w:tl2br w:val="nil"/>
              <w:tr2bl w:val="nil"/>
            </w:tcBorders>
            <w:shd w:val="clear" w:color="auto" w:fill="auto"/>
            <w:vAlign w:val="center"/>
          </w:tcPr>
          <w:p w14:paraId="10B9C03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44DEA2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D368F5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6.2.6</w:t>
            </w:r>
          </w:p>
        </w:tc>
        <w:tc>
          <w:tcPr>
            <w:tcW w:w="7712" w:type="dxa"/>
            <w:tcBorders>
              <w:tl2br w:val="nil"/>
              <w:tr2bl w:val="nil"/>
            </w:tcBorders>
            <w:shd w:val="clear" w:color="auto" w:fill="auto"/>
            <w:vAlign w:val="center"/>
          </w:tcPr>
          <w:p w14:paraId="1A4ED81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绿色施工符合现行国家标准《建筑工程绿色施工规范》GB/T 50905、《建筑工程绿色施工评价标准》GB/T 50640和广东省标准《建筑工程绿色施工评价标准》DBJ/T 15-97的要求。</w:t>
            </w:r>
          </w:p>
          <w:p w14:paraId="32F9D66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color w:val="auto"/>
                <w:kern w:val="0"/>
                <w:sz w:val="22"/>
                <w:szCs w:val="22"/>
                <w:highlight w:val="none"/>
                <w:lang w:val="en-US" w:eastAsia="zh-CN" w:bidi="ar"/>
              </w:rPr>
              <w:t>注：预评价不参评。</w:t>
            </w:r>
          </w:p>
        </w:tc>
        <w:tc>
          <w:tcPr>
            <w:tcW w:w="1088" w:type="dxa"/>
            <w:tcBorders>
              <w:tl2br w:val="nil"/>
              <w:tr2bl w:val="nil"/>
            </w:tcBorders>
            <w:shd w:val="clear" w:color="auto" w:fill="auto"/>
            <w:noWrap/>
            <w:vAlign w:val="center"/>
          </w:tcPr>
          <w:p w14:paraId="4D80CD3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6A46B9E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99F8B8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5F58C64">
            <w:pPr>
              <w:keepNext w:val="0"/>
              <w:keepLines w:val="0"/>
              <w:widowControl/>
              <w:suppressLineNumbers w:val="0"/>
              <w:jc w:val="left"/>
              <w:rPr>
                <w:rFonts w:hint="eastAsia" w:ascii="仿宋" w:hAnsi="仿宋" w:eastAsia="仿宋" w:cs="仿宋"/>
                <w:i w:val="0"/>
                <w:iCs w:val="0"/>
                <w:color w:val="auto"/>
                <w:sz w:val="22"/>
                <w:szCs w:val="22"/>
                <w:highlight w:val="none"/>
                <w:u w:val="none"/>
              </w:rPr>
            </w:pPr>
            <w:r>
              <w:rPr>
                <w:rFonts w:hint="eastAsia" w:ascii="仿宋" w:hAnsi="仿宋" w:eastAsia="仿宋" w:cs="仿宋"/>
                <w:color w:val="auto"/>
                <w:kern w:val="0"/>
                <w:sz w:val="22"/>
                <w:szCs w:val="22"/>
                <w:highlight w:val="none"/>
                <w:lang w:val="en-US" w:eastAsia="zh-CN" w:bidi="ar"/>
              </w:rPr>
              <w:t>终评价需提交绿色施工专项方案（包含签字盖章齐全审批页）纸质档及评定结果。</w:t>
            </w:r>
          </w:p>
        </w:tc>
      </w:tr>
      <w:tr w14:paraId="2658E7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0539799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121</w:t>
            </w:r>
          </w:p>
        </w:tc>
        <w:tc>
          <w:tcPr>
            <w:tcW w:w="590" w:type="dxa"/>
            <w:vMerge w:val="continue"/>
            <w:tcBorders>
              <w:tl2br w:val="nil"/>
              <w:tr2bl w:val="nil"/>
            </w:tcBorders>
            <w:shd w:val="clear" w:color="auto" w:fill="auto"/>
            <w:vAlign w:val="center"/>
          </w:tcPr>
          <w:p w14:paraId="6EFFCA0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75B732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ED1BB7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6.2.7</w:t>
            </w:r>
          </w:p>
        </w:tc>
        <w:tc>
          <w:tcPr>
            <w:tcW w:w="7712" w:type="dxa"/>
            <w:tcBorders>
              <w:tl2br w:val="nil"/>
              <w:tr2bl w:val="nil"/>
            </w:tcBorders>
            <w:shd w:val="clear" w:color="auto" w:fill="auto"/>
            <w:vAlign w:val="center"/>
          </w:tcPr>
          <w:p w14:paraId="1C03B10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施工中结合现场情况优化施工组织设计和施工方案，并选取资源消耗少、环境影响小的施工工艺和措施。</w:t>
            </w:r>
          </w:p>
          <w:p w14:paraId="11F1F44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17C6D78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04C22D6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148A78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673B3935">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color w:val="auto"/>
                <w:kern w:val="0"/>
                <w:sz w:val="22"/>
                <w:szCs w:val="22"/>
                <w:highlight w:val="none"/>
                <w:lang w:val="en-US" w:eastAsia="zh-CN" w:bidi="ar"/>
              </w:rPr>
              <w:t>终评价需提交</w:t>
            </w:r>
            <w:r>
              <w:rPr>
                <w:rFonts w:hint="eastAsia" w:ascii="仿宋" w:hAnsi="仿宋" w:eastAsia="仿宋" w:cs="仿宋"/>
                <w:i w:val="0"/>
                <w:iCs w:val="0"/>
                <w:color w:val="auto"/>
                <w:kern w:val="0"/>
                <w:sz w:val="22"/>
                <w:szCs w:val="22"/>
                <w:highlight w:val="none"/>
                <w:u w:val="none"/>
                <w:lang w:val="en-US" w:eastAsia="zh-CN" w:bidi="ar"/>
              </w:rPr>
              <w:t>施工组织设计</w:t>
            </w:r>
            <w:r>
              <w:rPr>
                <w:rFonts w:hint="eastAsia" w:ascii="仿宋" w:hAnsi="仿宋" w:eastAsia="仿宋" w:cs="仿宋"/>
                <w:color w:val="auto"/>
                <w:kern w:val="0"/>
                <w:sz w:val="22"/>
                <w:szCs w:val="22"/>
                <w:highlight w:val="none"/>
                <w:lang w:val="en-US" w:eastAsia="zh-CN" w:bidi="ar"/>
              </w:rPr>
              <w:t>（包含签字盖章齐全审批页）</w:t>
            </w:r>
            <w:r>
              <w:rPr>
                <w:rFonts w:hint="eastAsia" w:ascii="仿宋" w:hAnsi="仿宋" w:eastAsia="仿宋" w:cs="仿宋"/>
                <w:i w:val="0"/>
                <w:iCs w:val="0"/>
                <w:color w:val="auto"/>
                <w:kern w:val="0"/>
                <w:sz w:val="22"/>
                <w:szCs w:val="22"/>
                <w:highlight w:val="none"/>
                <w:u w:val="none"/>
                <w:lang w:val="en-US" w:eastAsia="zh-CN" w:bidi="ar"/>
              </w:rPr>
              <w:t>，内专设资源消耗少、环境影响小的施工工艺和措施章节。</w:t>
            </w:r>
          </w:p>
        </w:tc>
      </w:tr>
      <w:tr w14:paraId="5BA89F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7B44F6F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122</w:t>
            </w:r>
          </w:p>
        </w:tc>
        <w:tc>
          <w:tcPr>
            <w:tcW w:w="590" w:type="dxa"/>
            <w:vMerge w:val="continue"/>
            <w:tcBorders>
              <w:tl2br w:val="nil"/>
              <w:tr2bl w:val="nil"/>
            </w:tcBorders>
            <w:shd w:val="clear" w:color="auto" w:fill="auto"/>
            <w:vAlign w:val="center"/>
          </w:tcPr>
          <w:p w14:paraId="1D0A668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6B2AA1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3B16B3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6.2.8</w:t>
            </w:r>
          </w:p>
        </w:tc>
        <w:tc>
          <w:tcPr>
            <w:tcW w:w="7712" w:type="dxa"/>
            <w:tcBorders>
              <w:tl2br w:val="nil"/>
              <w:tr2bl w:val="nil"/>
            </w:tcBorders>
            <w:shd w:val="clear" w:color="auto" w:fill="auto"/>
            <w:vAlign w:val="center"/>
          </w:tcPr>
          <w:p w14:paraId="4219DBE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施工过程中制定并实施节能和用能方案，施工节水和用水方案，监测并记录施工能耗及水耗。</w:t>
            </w:r>
          </w:p>
          <w:p w14:paraId="2139F90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1738E06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07A351A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A5B12C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AC8EC99">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color w:val="auto"/>
                <w:kern w:val="0"/>
                <w:sz w:val="22"/>
                <w:szCs w:val="22"/>
                <w:highlight w:val="none"/>
                <w:lang w:val="en-US" w:eastAsia="zh-CN" w:bidi="ar"/>
              </w:rPr>
              <w:t>终评价需提交</w:t>
            </w:r>
            <w:r>
              <w:rPr>
                <w:rFonts w:hint="eastAsia" w:ascii="仿宋" w:hAnsi="仿宋" w:eastAsia="仿宋" w:cs="仿宋"/>
                <w:i w:val="0"/>
                <w:iCs w:val="0"/>
                <w:color w:val="auto"/>
                <w:kern w:val="0"/>
                <w:sz w:val="22"/>
                <w:szCs w:val="22"/>
                <w:highlight w:val="none"/>
                <w:u w:val="none"/>
                <w:lang w:val="en-US" w:eastAsia="zh-CN" w:bidi="ar"/>
              </w:rPr>
              <w:t>节能和用能方案，施工节水和用水方案</w:t>
            </w:r>
            <w:r>
              <w:rPr>
                <w:rFonts w:hint="eastAsia" w:ascii="仿宋" w:hAnsi="仿宋" w:eastAsia="仿宋" w:cs="仿宋"/>
                <w:color w:val="auto"/>
                <w:kern w:val="0"/>
                <w:sz w:val="22"/>
                <w:szCs w:val="22"/>
                <w:highlight w:val="none"/>
                <w:lang w:val="en-US" w:eastAsia="zh-CN" w:bidi="ar"/>
              </w:rPr>
              <w:t>（包含签字盖章齐全审批页），并提交监测记录数据。</w:t>
            </w:r>
          </w:p>
        </w:tc>
      </w:tr>
      <w:tr w14:paraId="7E6168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5BB00E1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123</w:t>
            </w:r>
          </w:p>
        </w:tc>
        <w:tc>
          <w:tcPr>
            <w:tcW w:w="590" w:type="dxa"/>
            <w:vMerge w:val="continue"/>
            <w:tcBorders>
              <w:tl2br w:val="nil"/>
              <w:tr2bl w:val="nil"/>
            </w:tcBorders>
            <w:shd w:val="clear" w:color="auto" w:fill="auto"/>
            <w:vAlign w:val="center"/>
          </w:tcPr>
          <w:p w14:paraId="65CE405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36FA88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65FF62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6.2.9</w:t>
            </w:r>
          </w:p>
        </w:tc>
        <w:tc>
          <w:tcPr>
            <w:tcW w:w="7712" w:type="dxa"/>
            <w:tcBorders>
              <w:tl2br w:val="nil"/>
              <w:tr2bl w:val="nil"/>
            </w:tcBorders>
            <w:shd w:val="clear" w:color="auto" w:fill="auto"/>
            <w:vAlign w:val="center"/>
          </w:tcPr>
          <w:p w14:paraId="2BA34FE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施工过程中制定施工现场建筑垃圾减量化、资源化计划及措施。</w:t>
            </w:r>
          </w:p>
          <w:p w14:paraId="4E25D97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262F744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319E1F3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E22FA9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CE15F6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color w:val="auto"/>
                <w:kern w:val="0"/>
                <w:sz w:val="22"/>
                <w:szCs w:val="22"/>
                <w:highlight w:val="none"/>
                <w:lang w:val="en-US" w:eastAsia="zh-CN" w:bidi="ar"/>
              </w:rPr>
              <w:t>终评价需提交</w:t>
            </w:r>
            <w:r>
              <w:rPr>
                <w:rFonts w:hint="eastAsia" w:ascii="仿宋" w:hAnsi="仿宋" w:eastAsia="仿宋" w:cs="仿宋"/>
                <w:i w:val="0"/>
                <w:iCs w:val="0"/>
                <w:color w:val="auto"/>
                <w:kern w:val="0"/>
                <w:sz w:val="22"/>
                <w:szCs w:val="22"/>
                <w:highlight w:val="none"/>
                <w:u w:val="none"/>
                <w:lang w:val="en-US" w:eastAsia="zh-CN" w:bidi="ar"/>
              </w:rPr>
              <w:t>施工现场建筑垃圾减量化、资源化计划及措施报告</w:t>
            </w:r>
            <w:r>
              <w:rPr>
                <w:rFonts w:hint="eastAsia" w:ascii="仿宋" w:hAnsi="仿宋" w:eastAsia="仿宋" w:cs="仿宋"/>
                <w:color w:val="auto"/>
                <w:kern w:val="0"/>
                <w:sz w:val="22"/>
                <w:szCs w:val="22"/>
                <w:highlight w:val="none"/>
                <w:lang w:val="en-US" w:eastAsia="zh-CN" w:bidi="ar"/>
              </w:rPr>
              <w:t>（包含签字盖章齐全审批页）。</w:t>
            </w:r>
          </w:p>
        </w:tc>
      </w:tr>
      <w:tr w14:paraId="4EE5E1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30" w:hRule="atLeast"/>
        </w:trPr>
        <w:tc>
          <w:tcPr>
            <w:tcW w:w="609" w:type="dxa"/>
            <w:tcBorders>
              <w:tl2br w:val="nil"/>
              <w:tr2bl w:val="nil"/>
            </w:tcBorders>
            <w:shd w:val="clear" w:color="auto" w:fill="auto"/>
            <w:vAlign w:val="center"/>
          </w:tcPr>
          <w:p w14:paraId="3CA5237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124</w:t>
            </w:r>
          </w:p>
        </w:tc>
        <w:tc>
          <w:tcPr>
            <w:tcW w:w="590" w:type="dxa"/>
            <w:vMerge w:val="continue"/>
            <w:tcBorders>
              <w:tl2br w:val="nil"/>
              <w:tr2bl w:val="nil"/>
            </w:tcBorders>
            <w:shd w:val="clear" w:color="auto" w:fill="auto"/>
            <w:vAlign w:val="center"/>
          </w:tcPr>
          <w:p w14:paraId="69DC3E1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B35749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14AC62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6.2.10</w:t>
            </w:r>
          </w:p>
        </w:tc>
        <w:tc>
          <w:tcPr>
            <w:tcW w:w="7712" w:type="dxa"/>
            <w:tcBorders>
              <w:tl2br w:val="nil"/>
              <w:tr2bl w:val="nil"/>
            </w:tcBorders>
            <w:shd w:val="clear" w:color="auto" w:fill="auto"/>
            <w:vAlign w:val="center"/>
          </w:tcPr>
          <w:p w14:paraId="23F5DE2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住宅施工现场制定相应的减振、降噪、减少光污染、减少污水排放、抑制扬尘及防止有害气体扩散的制度和措施，且符合国家现行标准规定：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施工现场噪声排放限值符合现行国家标准《建筑施工场界环境噪声排放标准》GB 12523的有关规定；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光污染限值符合现行行业标准《城市夜景照明设计规范》JGJ/T 163的有关规定；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排入城市污水管网的施工污水符合现行国家标准《污水排入城镇下水道水质标准》GB/T 31962的有关规定。</w:t>
            </w:r>
          </w:p>
          <w:p w14:paraId="0830EA2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7815500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1668A75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5DE885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05FDD2A">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color w:val="auto"/>
                <w:kern w:val="0"/>
                <w:sz w:val="22"/>
                <w:szCs w:val="22"/>
                <w:highlight w:val="none"/>
                <w:lang w:val="en-US" w:eastAsia="zh-CN" w:bidi="ar"/>
              </w:rPr>
              <w:t>终评价需提交</w:t>
            </w:r>
            <w:r>
              <w:rPr>
                <w:rFonts w:hint="eastAsia" w:ascii="仿宋" w:hAnsi="仿宋" w:eastAsia="仿宋" w:cs="仿宋"/>
                <w:i w:val="0"/>
                <w:iCs w:val="0"/>
                <w:color w:val="auto"/>
                <w:kern w:val="0"/>
                <w:sz w:val="22"/>
                <w:szCs w:val="22"/>
                <w:highlight w:val="none"/>
                <w:u w:val="none"/>
                <w:lang w:val="en-US" w:eastAsia="zh-CN" w:bidi="ar"/>
              </w:rPr>
              <w:t>施工现场减振、降噪、减少光污染、减少污水排放、抑制扬尘及防止有害气体扩散的制度和措施报告</w:t>
            </w:r>
            <w:r>
              <w:rPr>
                <w:rFonts w:hint="eastAsia" w:ascii="仿宋" w:hAnsi="仿宋" w:eastAsia="仿宋" w:cs="仿宋"/>
                <w:color w:val="auto"/>
                <w:kern w:val="0"/>
                <w:sz w:val="22"/>
                <w:szCs w:val="22"/>
                <w:highlight w:val="none"/>
                <w:lang w:val="en-US" w:eastAsia="zh-CN" w:bidi="ar"/>
              </w:rPr>
              <w:t>（包含签字盖章齐全审批页），现场噪声检测数据、</w:t>
            </w:r>
            <w:r>
              <w:rPr>
                <w:rFonts w:hint="eastAsia" w:ascii="仿宋" w:hAnsi="仿宋" w:eastAsia="仿宋" w:cs="仿宋"/>
                <w:i w:val="0"/>
                <w:iCs w:val="0"/>
                <w:color w:val="auto"/>
                <w:kern w:val="0"/>
                <w:sz w:val="22"/>
                <w:szCs w:val="22"/>
                <w:highlight w:val="none"/>
                <w:u w:val="none"/>
                <w:lang w:val="en-US" w:eastAsia="zh-CN" w:bidi="ar"/>
              </w:rPr>
              <w:t>光污染</w:t>
            </w:r>
            <w:r>
              <w:rPr>
                <w:rFonts w:hint="eastAsia" w:ascii="仿宋" w:hAnsi="仿宋" w:eastAsia="仿宋" w:cs="仿宋"/>
                <w:color w:val="auto"/>
                <w:kern w:val="0"/>
                <w:sz w:val="22"/>
                <w:szCs w:val="22"/>
                <w:highlight w:val="none"/>
                <w:lang w:val="en-US" w:eastAsia="zh-CN" w:bidi="ar"/>
              </w:rPr>
              <w:t>检测数据</w:t>
            </w:r>
            <w:r>
              <w:rPr>
                <w:rFonts w:hint="eastAsia" w:ascii="仿宋" w:hAnsi="仿宋" w:eastAsia="仿宋" w:cs="仿宋"/>
                <w:i w:val="0"/>
                <w:iCs w:val="0"/>
                <w:color w:val="auto"/>
                <w:kern w:val="0"/>
                <w:sz w:val="22"/>
                <w:szCs w:val="22"/>
                <w:highlight w:val="none"/>
                <w:u w:val="none"/>
                <w:lang w:val="en-US" w:eastAsia="zh-CN" w:bidi="ar"/>
              </w:rPr>
              <w:t>、施工污水</w:t>
            </w:r>
            <w:r>
              <w:rPr>
                <w:rFonts w:hint="eastAsia" w:ascii="仿宋" w:hAnsi="仿宋" w:eastAsia="仿宋" w:cs="仿宋"/>
                <w:color w:val="auto"/>
                <w:kern w:val="0"/>
                <w:sz w:val="22"/>
                <w:szCs w:val="22"/>
                <w:highlight w:val="none"/>
                <w:lang w:val="en-US" w:eastAsia="zh-CN" w:bidi="ar"/>
              </w:rPr>
              <w:t>检测数据。</w:t>
            </w:r>
          </w:p>
        </w:tc>
      </w:tr>
      <w:tr w14:paraId="74514C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7FB4A2D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125</w:t>
            </w:r>
          </w:p>
        </w:tc>
        <w:tc>
          <w:tcPr>
            <w:tcW w:w="590" w:type="dxa"/>
            <w:vMerge w:val="continue"/>
            <w:tcBorders>
              <w:tl2br w:val="nil"/>
              <w:tr2bl w:val="nil"/>
            </w:tcBorders>
            <w:shd w:val="clear" w:color="auto" w:fill="auto"/>
            <w:vAlign w:val="center"/>
          </w:tcPr>
          <w:p w14:paraId="1B6281B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DFFE77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532253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6.2.11</w:t>
            </w:r>
          </w:p>
        </w:tc>
        <w:tc>
          <w:tcPr>
            <w:tcW w:w="7712" w:type="dxa"/>
            <w:tcBorders>
              <w:tl2br w:val="nil"/>
              <w:tr2bl w:val="nil"/>
            </w:tcBorders>
            <w:shd w:val="clear" w:color="auto" w:fill="auto"/>
            <w:vAlign w:val="center"/>
          </w:tcPr>
          <w:p w14:paraId="50CFA79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施工过程中设置临时回收站，分类暂存废钢筋、模板等材料。</w:t>
            </w:r>
          </w:p>
          <w:p w14:paraId="602F680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76F6D93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施工</w:t>
            </w:r>
          </w:p>
        </w:tc>
        <w:tc>
          <w:tcPr>
            <w:tcW w:w="1722" w:type="dxa"/>
            <w:tcBorders>
              <w:tl2br w:val="nil"/>
              <w:tr2bl w:val="nil"/>
            </w:tcBorders>
            <w:shd w:val="clear" w:color="auto" w:fill="auto"/>
            <w:noWrap/>
            <w:vAlign w:val="center"/>
          </w:tcPr>
          <w:p w14:paraId="47CC5D4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4CA3BA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A31654F">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color w:val="auto"/>
                <w:kern w:val="0"/>
                <w:sz w:val="22"/>
                <w:szCs w:val="22"/>
                <w:highlight w:val="none"/>
                <w:lang w:val="en-US" w:eastAsia="zh-CN" w:bidi="ar"/>
              </w:rPr>
              <w:t>终评价需提交</w:t>
            </w:r>
            <w:r>
              <w:rPr>
                <w:rFonts w:hint="eastAsia" w:ascii="仿宋" w:hAnsi="仿宋" w:eastAsia="仿宋" w:cs="仿宋"/>
                <w:i w:val="0"/>
                <w:iCs w:val="0"/>
                <w:color w:val="auto"/>
                <w:kern w:val="0"/>
                <w:sz w:val="22"/>
                <w:szCs w:val="22"/>
                <w:highlight w:val="none"/>
                <w:u w:val="none"/>
                <w:lang w:val="en-US" w:eastAsia="zh-CN" w:bidi="ar"/>
              </w:rPr>
              <w:t>施工现场平面布置图，应标示临时回收站位置。</w:t>
            </w:r>
          </w:p>
        </w:tc>
      </w:tr>
      <w:tr w14:paraId="6117B1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1EB3EEF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126</w:t>
            </w:r>
          </w:p>
        </w:tc>
        <w:tc>
          <w:tcPr>
            <w:tcW w:w="590" w:type="dxa"/>
            <w:vMerge w:val="restart"/>
            <w:tcBorders>
              <w:tl2br w:val="nil"/>
              <w:tr2bl w:val="nil"/>
            </w:tcBorders>
            <w:shd w:val="clear" w:color="auto" w:fill="auto"/>
            <w:vAlign w:val="center"/>
          </w:tcPr>
          <w:p w14:paraId="36021C4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6.3 低碳运行</w:t>
            </w:r>
          </w:p>
        </w:tc>
        <w:tc>
          <w:tcPr>
            <w:tcW w:w="465" w:type="dxa"/>
            <w:vMerge w:val="restart"/>
            <w:tcBorders>
              <w:tl2br w:val="nil"/>
              <w:tr2bl w:val="nil"/>
            </w:tcBorders>
            <w:shd w:val="clear" w:color="auto" w:fill="auto"/>
            <w:vAlign w:val="center"/>
          </w:tcPr>
          <w:p w14:paraId="3C674EE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08C8DFA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6.3.1</w:t>
            </w:r>
          </w:p>
        </w:tc>
        <w:tc>
          <w:tcPr>
            <w:tcW w:w="7712" w:type="dxa"/>
            <w:tcBorders>
              <w:tl2br w:val="nil"/>
              <w:tr2bl w:val="nil"/>
            </w:tcBorders>
            <w:shd w:val="clear" w:color="auto" w:fill="auto"/>
            <w:vAlign w:val="center"/>
          </w:tcPr>
          <w:p w14:paraId="14ABF01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小区制定减碳目标，人均碳排放强度低于中山市平均水平的20%。</w:t>
            </w:r>
          </w:p>
        </w:tc>
        <w:tc>
          <w:tcPr>
            <w:tcW w:w="1088" w:type="dxa"/>
            <w:tcBorders>
              <w:tl2br w:val="nil"/>
              <w:tr2bl w:val="nil"/>
            </w:tcBorders>
            <w:shd w:val="clear" w:color="auto" w:fill="auto"/>
            <w:noWrap/>
            <w:vAlign w:val="center"/>
          </w:tcPr>
          <w:p w14:paraId="0593155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707760B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E62C90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C23ED29">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提交小区碳排放核算报告，明确碳排放清单、碳排放目标及碳减排实施方案。</w:t>
            </w:r>
          </w:p>
        </w:tc>
      </w:tr>
      <w:tr w14:paraId="294329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609" w:type="dxa"/>
            <w:tcBorders>
              <w:tl2br w:val="nil"/>
              <w:tr2bl w:val="nil"/>
            </w:tcBorders>
            <w:shd w:val="clear" w:color="auto" w:fill="auto"/>
            <w:vAlign w:val="center"/>
          </w:tcPr>
          <w:p w14:paraId="66788FC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127</w:t>
            </w:r>
          </w:p>
        </w:tc>
        <w:tc>
          <w:tcPr>
            <w:tcW w:w="590" w:type="dxa"/>
            <w:vMerge w:val="continue"/>
            <w:tcBorders>
              <w:tl2br w:val="nil"/>
              <w:tr2bl w:val="nil"/>
            </w:tcBorders>
            <w:shd w:val="clear" w:color="auto" w:fill="auto"/>
            <w:vAlign w:val="center"/>
          </w:tcPr>
          <w:p w14:paraId="6134425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1BC35C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296EC3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6.3.2</w:t>
            </w:r>
          </w:p>
        </w:tc>
        <w:tc>
          <w:tcPr>
            <w:tcW w:w="7712" w:type="dxa"/>
            <w:tcBorders>
              <w:tl2br w:val="nil"/>
              <w:tr2bl w:val="nil"/>
            </w:tcBorders>
            <w:shd w:val="clear" w:color="auto" w:fill="auto"/>
            <w:vAlign w:val="center"/>
          </w:tcPr>
          <w:p w14:paraId="6CE5E93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小区开展绿色物业管理，建设低碳人文环境，并符合下列规定：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在物业服务和技术改造中采用绿色低碳技术和产品；</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加强绿色行为宣传和引导、推广低碳生活方式。</w:t>
            </w:r>
          </w:p>
          <w:p w14:paraId="272C9BE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3EBEDF6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0A15951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DDA5DB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9BD117B">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提交绿色物业管理技术方案，方案应明确物业项目节能和环保的重点对象及内容、目标，包括节能措施、节水措施、垃圾分类管理、污染防治等。</w:t>
            </w:r>
          </w:p>
        </w:tc>
      </w:tr>
      <w:tr w14:paraId="5FC7FB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09" w:type="dxa"/>
            <w:tcBorders>
              <w:tl2br w:val="nil"/>
              <w:tr2bl w:val="nil"/>
            </w:tcBorders>
            <w:shd w:val="clear" w:color="auto" w:fill="auto"/>
            <w:vAlign w:val="center"/>
          </w:tcPr>
          <w:p w14:paraId="3A95DFB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128</w:t>
            </w:r>
          </w:p>
        </w:tc>
        <w:tc>
          <w:tcPr>
            <w:tcW w:w="590" w:type="dxa"/>
            <w:vMerge w:val="continue"/>
            <w:tcBorders>
              <w:tl2br w:val="nil"/>
              <w:tr2bl w:val="nil"/>
            </w:tcBorders>
            <w:shd w:val="clear" w:color="auto" w:fill="auto"/>
            <w:vAlign w:val="center"/>
          </w:tcPr>
          <w:p w14:paraId="7013695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F047E8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9F848F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6.3.3</w:t>
            </w:r>
          </w:p>
        </w:tc>
        <w:tc>
          <w:tcPr>
            <w:tcW w:w="7712" w:type="dxa"/>
            <w:tcBorders>
              <w:tl2br w:val="nil"/>
              <w:tr2bl w:val="nil"/>
            </w:tcBorders>
            <w:shd w:val="clear" w:color="auto" w:fill="auto"/>
            <w:vAlign w:val="center"/>
          </w:tcPr>
          <w:p w14:paraId="528D25B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住宅运行管理单位制定节能、节水，节材的操作规程和应急预案，并建立节能和节水绩效考核激励机制，且符合中山市相关技术要求。</w:t>
            </w:r>
          </w:p>
          <w:p w14:paraId="0A2835A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6ECB0CD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2E2E711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A093F6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9B54687">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提交节能、节水、节材的操作管理制度、工作指南和应急预案，现场核查是否放置、悬挂或张贴在各个操作现场的明显位置。</w:t>
            </w:r>
          </w:p>
        </w:tc>
      </w:tr>
      <w:tr w14:paraId="050709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09" w:type="dxa"/>
            <w:tcBorders>
              <w:tl2br w:val="nil"/>
              <w:tr2bl w:val="nil"/>
            </w:tcBorders>
            <w:shd w:val="clear" w:color="auto" w:fill="auto"/>
            <w:vAlign w:val="center"/>
          </w:tcPr>
          <w:p w14:paraId="63B7EB0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129</w:t>
            </w:r>
          </w:p>
        </w:tc>
        <w:tc>
          <w:tcPr>
            <w:tcW w:w="590" w:type="dxa"/>
            <w:vMerge w:val="continue"/>
            <w:tcBorders>
              <w:tl2br w:val="nil"/>
              <w:tr2bl w:val="nil"/>
            </w:tcBorders>
            <w:shd w:val="clear" w:color="auto" w:fill="auto"/>
            <w:vAlign w:val="center"/>
          </w:tcPr>
          <w:p w14:paraId="00EE521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36A420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9F7C66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6.3.4</w:t>
            </w:r>
          </w:p>
        </w:tc>
        <w:tc>
          <w:tcPr>
            <w:tcW w:w="7712" w:type="dxa"/>
            <w:tcBorders>
              <w:tl2br w:val="nil"/>
              <w:tr2bl w:val="nil"/>
            </w:tcBorders>
            <w:shd w:val="clear" w:color="auto" w:fill="auto"/>
            <w:vAlign w:val="center"/>
          </w:tcPr>
          <w:p w14:paraId="6AE749C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住宅公共设施设备定期检查、调试，具有检查、调试、运行、标定的记录，并开展节能诊断评估，根据评估结果制定优化方案并实施。</w:t>
            </w:r>
          </w:p>
          <w:p w14:paraId="39D37BA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56D5280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37C91DD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4B94F2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8D94730">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提交</w:t>
            </w:r>
            <w:r>
              <w:rPr>
                <w:rFonts w:hint="eastAsia" w:ascii="仿宋" w:hAnsi="仿宋" w:eastAsia="仿宋" w:cs="仿宋"/>
                <w:i w:val="0"/>
                <w:iCs w:val="0"/>
                <w:color w:val="auto"/>
                <w:kern w:val="0"/>
                <w:sz w:val="22"/>
                <w:szCs w:val="22"/>
                <w:highlight w:val="none"/>
                <w:u w:val="none"/>
                <w:lang w:val="en-US" w:eastAsia="zh-CN" w:bidi="ar"/>
              </w:rPr>
              <w:t>住宅公共设施设备的管理制度、巡检规定、作业标准及相应的维保计划，并提交检查、调试、运行、标定、节能诊断和优化的记录供查验。</w:t>
            </w:r>
          </w:p>
        </w:tc>
      </w:tr>
      <w:tr w14:paraId="67D139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84" w:hRule="atLeast"/>
        </w:trPr>
        <w:tc>
          <w:tcPr>
            <w:tcW w:w="609" w:type="dxa"/>
            <w:tcBorders>
              <w:tl2br w:val="nil"/>
              <w:tr2bl w:val="nil"/>
            </w:tcBorders>
            <w:shd w:val="clear" w:color="auto" w:fill="auto"/>
            <w:vAlign w:val="center"/>
          </w:tcPr>
          <w:p w14:paraId="23657C6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130</w:t>
            </w:r>
          </w:p>
        </w:tc>
        <w:tc>
          <w:tcPr>
            <w:tcW w:w="590" w:type="dxa"/>
            <w:vMerge w:val="restart"/>
            <w:tcBorders>
              <w:tl2br w:val="nil"/>
              <w:tr2bl w:val="nil"/>
            </w:tcBorders>
            <w:shd w:val="clear" w:color="auto" w:fill="auto"/>
            <w:vAlign w:val="center"/>
          </w:tcPr>
          <w:p w14:paraId="272A344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 垃圾处理</w:t>
            </w:r>
          </w:p>
        </w:tc>
        <w:tc>
          <w:tcPr>
            <w:tcW w:w="465" w:type="dxa"/>
            <w:vMerge w:val="restart"/>
            <w:tcBorders>
              <w:tl2br w:val="nil"/>
              <w:tr2bl w:val="nil"/>
            </w:tcBorders>
            <w:shd w:val="clear" w:color="auto" w:fill="auto"/>
            <w:vAlign w:val="center"/>
          </w:tcPr>
          <w:p w14:paraId="7349C77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417A054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6.4.1</w:t>
            </w:r>
          </w:p>
        </w:tc>
        <w:tc>
          <w:tcPr>
            <w:tcW w:w="7712" w:type="dxa"/>
            <w:tcBorders>
              <w:tl2br w:val="nil"/>
              <w:tr2bl w:val="nil"/>
            </w:tcBorders>
            <w:shd w:val="clear" w:color="auto" w:fill="auto"/>
            <w:vAlign w:val="center"/>
          </w:tcPr>
          <w:p w14:paraId="71EC7C8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生活垃圾收集点统筹规划，合理布局，方便外部收运且不影响小区居民生活。建筑外观要与小区风貌协调，周围设置景观绿化遮蔽措施，减少对居民日常生活的影响。</w:t>
            </w:r>
          </w:p>
        </w:tc>
        <w:tc>
          <w:tcPr>
            <w:tcW w:w="1088" w:type="dxa"/>
            <w:tcBorders>
              <w:tl2br w:val="nil"/>
              <w:tr2bl w:val="nil"/>
            </w:tcBorders>
            <w:shd w:val="clear" w:color="auto" w:fill="auto"/>
            <w:noWrap/>
            <w:vAlign w:val="center"/>
          </w:tcPr>
          <w:p w14:paraId="2982AE7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val="en-US" w:eastAsia="zh-CN"/>
              </w:rPr>
              <w:t>建筑</w:t>
            </w:r>
          </w:p>
        </w:tc>
        <w:tc>
          <w:tcPr>
            <w:tcW w:w="1722" w:type="dxa"/>
            <w:tcBorders>
              <w:tl2br w:val="nil"/>
              <w:tr2bl w:val="nil"/>
            </w:tcBorders>
            <w:shd w:val="clear" w:color="auto" w:fill="auto"/>
            <w:noWrap/>
            <w:vAlign w:val="center"/>
          </w:tcPr>
          <w:p w14:paraId="59DDF18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05AD08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6C203E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7D0220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5EF8C36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131</w:t>
            </w:r>
          </w:p>
        </w:tc>
        <w:tc>
          <w:tcPr>
            <w:tcW w:w="590" w:type="dxa"/>
            <w:vMerge w:val="continue"/>
            <w:tcBorders>
              <w:tl2br w:val="nil"/>
              <w:tr2bl w:val="nil"/>
            </w:tcBorders>
            <w:shd w:val="clear" w:color="auto" w:fill="auto"/>
            <w:vAlign w:val="center"/>
          </w:tcPr>
          <w:p w14:paraId="6AC5D44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267B2E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45649C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6.4.2</w:t>
            </w:r>
          </w:p>
        </w:tc>
        <w:tc>
          <w:tcPr>
            <w:tcW w:w="7712" w:type="dxa"/>
            <w:tcBorders>
              <w:tl2br w:val="nil"/>
              <w:tr2bl w:val="nil"/>
            </w:tcBorders>
            <w:shd w:val="clear" w:color="auto" w:fill="auto"/>
            <w:vAlign w:val="center"/>
          </w:tcPr>
          <w:p w14:paraId="5E9D1F5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生活垃圾收集点的设置符合国家、行业及地方现行标准的规定。</w:t>
            </w:r>
          </w:p>
        </w:tc>
        <w:tc>
          <w:tcPr>
            <w:tcW w:w="1088" w:type="dxa"/>
            <w:tcBorders>
              <w:tl2br w:val="nil"/>
              <w:tr2bl w:val="nil"/>
            </w:tcBorders>
            <w:shd w:val="clear" w:color="auto" w:fill="auto"/>
            <w:noWrap/>
            <w:vAlign w:val="center"/>
          </w:tcPr>
          <w:p w14:paraId="187A205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建筑</w:t>
            </w:r>
          </w:p>
        </w:tc>
        <w:tc>
          <w:tcPr>
            <w:tcW w:w="1722" w:type="dxa"/>
            <w:tcBorders>
              <w:tl2br w:val="nil"/>
              <w:tr2bl w:val="nil"/>
            </w:tcBorders>
            <w:shd w:val="clear" w:color="auto" w:fill="auto"/>
            <w:noWrap/>
            <w:vAlign w:val="center"/>
          </w:tcPr>
          <w:p w14:paraId="365DD68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A8AD0C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B3E5B7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5DB0E7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94" w:hRule="atLeast"/>
        </w:trPr>
        <w:tc>
          <w:tcPr>
            <w:tcW w:w="609" w:type="dxa"/>
            <w:tcBorders>
              <w:tl2br w:val="nil"/>
              <w:tr2bl w:val="nil"/>
            </w:tcBorders>
            <w:shd w:val="clear" w:color="auto" w:fill="auto"/>
            <w:vAlign w:val="center"/>
          </w:tcPr>
          <w:p w14:paraId="70716D5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132</w:t>
            </w:r>
          </w:p>
        </w:tc>
        <w:tc>
          <w:tcPr>
            <w:tcW w:w="590" w:type="dxa"/>
            <w:vMerge w:val="continue"/>
            <w:tcBorders>
              <w:tl2br w:val="nil"/>
              <w:tr2bl w:val="nil"/>
            </w:tcBorders>
            <w:shd w:val="clear" w:color="auto" w:fill="auto"/>
            <w:vAlign w:val="center"/>
          </w:tcPr>
          <w:p w14:paraId="4029F09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FFCF83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6807F1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6.4.3</w:t>
            </w:r>
          </w:p>
        </w:tc>
        <w:tc>
          <w:tcPr>
            <w:tcW w:w="7712" w:type="dxa"/>
            <w:tcBorders>
              <w:tl2br w:val="nil"/>
              <w:tr2bl w:val="nil"/>
            </w:tcBorders>
            <w:shd w:val="clear" w:color="auto" w:fill="auto"/>
            <w:vAlign w:val="center"/>
          </w:tcPr>
          <w:p w14:paraId="331F24B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小区实行垃圾源头分类投放收集，除符合《中山市生活垃圾分类管理办法》的相关规定外，尚符合以下规定：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生活垃圾按《中山市生活垃圾分类目录及投放指引》的规定进行分类投放和收集，已完成分类的垃圾收集率达100%；</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建立大件垃圾、装修垃圾投放收集体系；</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生活垃圾全面实行密闭化收集、存储；</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有害垃圾配备专门的收集容器进行收集，并交由专业公司进行无害化处理。</w:t>
            </w:r>
          </w:p>
        </w:tc>
        <w:tc>
          <w:tcPr>
            <w:tcW w:w="1088" w:type="dxa"/>
            <w:tcBorders>
              <w:tl2br w:val="nil"/>
              <w:tr2bl w:val="nil"/>
            </w:tcBorders>
            <w:shd w:val="clear" w:color="auto" w:fill="auto"/>
            <w:noWrap/>
            <w:vAlign w:val="center"/>
          </w:tcPr>
          <w:p w14:paraId="32911D2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125EACB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16A2C9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6E6D19A">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预评价需提交承诺达标函，相关设计图纸及设计说明。图中需标注垃圾分类收集点。终评价提交物业管理公约中与垃圾分类收集相关的规定，现场核查。</w:t>
            </w:r>
          </w:p>
        </w:tc>
      </w:tr>
      <w:tr w14:paraId="0058FA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09" w:type="dxa"/>
            <w:tcBorders>
              <w:tl2br w:val="nil"/>
              <w:tr2bl w:val="nil"/>
            </w:tcBorders>
            <w:shd w:val="clear" w:color="auto" w:fill="auto"/>
            <w:vAlign w:val="center"/>
          </w:tcPr>
          <w:p w14:paraId="1D73E44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133</w:t>
            </w:r>
          </w:p>
        </w:tc>
        <w:tc>
          <w:tcPr>
            <w:tcW w:w="590" w:type="dxa"/>
            <w:vMerge w:val="continue"/>
            <w:tcBorders>
              <w:tl2br w:val="nil"/>
              <w:tr2bl w:val="nil"/>
            </w:tcBorders>
            <w:shd w:val="clear" w:color="auto" w:fill="auto"/>
            <w:vAlign w:val="center"/>
          </w:tcPr>
          <w:p w14:paraId="4925896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577035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691280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6.4.4</w:t>
            </w:r>
          </w:p>
        </w:tc>
        <w:tc>
          <w:tcPr>
            <w:tcW w:w="7712" w:type="dxa"/>
            <w:tcBorders>
              <w:tl2br w:val="nil"/>
              <w:tr2bl w:val="nil"/>
            </w:tcBorders>
            <w:shd w:val="clear" w:color="auto" w:fill="auto"/>
            <w:vAlign w:val="center"/>
          </w:tcPr>
          <w:p w14:paraId="0CA41B1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生活垃圾收集房（间）的通风出口下沿距地面不小于2.5m，且不邻近居住或活动空间的外窗及出入口等敏感位置。</w:t>
            </w:r>
          </w:p>
        </w:tc>
        <w:tc>
          <w:tcPr>
            <w:tcW w:w="1088" w:type="dxa"/>
            <w:tcBorders>
              <w:tl2br w:val="nil"/>
              <w:tr2bl w:val="nil"/>
            </w:tcBorders>
            <w:shd w:val="clear" w:color="auto" w:fill="auto"/>
            <w:noWrap/>
            <w:vAlign w:val="center"/>
          </w:tcPr>
          <w:p w14:paraId="16639D7D">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/暖通</w:t>
            </w:r>
          </w:p>
        </w:tc>
        <w:tc>
          <w:tcPr>
            <w:tcW w:w="1722" w:type="dxa"/>
            <w:tcBorders>
              <w:tl2br w:val="nil"/>
              <w:tr2bl w:val="nil"/>
            </w:tcBorders>
            <w:shd w:val="clear" w:color="auto" w:fill="auto"/>
            <w:noWrap/>
            <w:vAlign w:val="center"/>
          </w:tcPr>
          <w:p w14:paraId="19FBD2A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7A2A9B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E715FB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47E083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15949" w:type="dxa"/>
            <w:gridSpan w:val="8"/>
            <w:tcBorders>
              <w:tl2br w:val="nil"/>
              <w:tr2bl w:val="nil"/>
            </w:tcBorders>
            <w:shd w:val="clear" w:color="auto" w:fill="auto"/>
            <w:vAlign w:val="center"/>
          </w:tcPr>
          <w:p w14:paraId="51FA1D75">
            <w:pPr>
              <w:keepNext w:val="0"/>
              <w:keepLines/>
              <w:pageBreakBefore w:val="0"/>
              <w:widowControl w:val="0"/>
              <w:numPr>
                <w:ilvl w:val="0"/>
                <w:numId w:val="3"/>
              </w:numPr>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6"/>
                <w:szCs w:val="26"/>
                <w:highlight w:val="none"/>
                <w:u w:val="none"/>
                <w:lang w:val="en-US" w:eastAsia="zh-CN" w:bidi="ar"/>
              </w:rPr>
              <w:t>智慧便捷</w:t>
            </w:r>
          </w:p>
          <w:p w14:paraId="42E0B34A">
            <w:pPr>
              <w:keepNext w:val="0"/>
              <w:keepLines/>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（基本类8条，预评价全部参评。）</w:t>
            </w:r>
          </w:p>
        </w:tc>
      </w:tr>
      <w:tr w14:paraId="5163B2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41" w:hRule="atLeast"/>
        </w:trPr>
        <w:tc>
          <w:tcPr>
            <w:tcW w:w="609" w:type="dxa"/>
            <w:tcBorders>
              <w:tl2br w:val="nil"/>
              <w:tr2bl w:val="nil"/>
            </w:tcBorders>
            <w:shd w:val="clear" w:color="auto" w:fill="auto"/>
            <w:vAlign w:val="center"/>
          </w:tcPr>
          <w:p w14:paraId="31769DE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134</w:t>
            </w:r>
          </w:p>
        </w:tc>
        <w:tc>
          <w:tcPr>
            <w:tcW w:w="590" w:type="dxa"/>
            <w:vMerge w:val="restart"/>
            <w:tcBorders>
              <w:tl2br w:val="nil"/>
              <w:tr2bl w:val="nil"/>
            </w:tcBorders>
            <w:shd w:val="clear" w:color="auto" w:fill="auto"/>
            <w:vAlign w:val="center"/>
          </w:tcPr>
          <w:p w14:paraId="5370E39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7.1 智慧社区</w:t>
            </w:r>
          </w:p>
        </w:tc>
        <w:tc>
          <w:tcPr>
            <w:tcW w:w="465" w:type="dxa"/>
            <w:vMerge w:val="restart"/>
            <w:tcBorders>
              <w:tl2br w:val="nil"/>
              <w:tr2bl w:val="nil"/>
            </w:tcBorders>
            <w:shd w:val="clear" w:color="auto" w:fill="auto"/>
            <w:vAlign w:val="center"/>
          </w:tcPr>
          <w:p w14:paraId="26DCC66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143A396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7.1.1</w:t>
            </w:r>
          </w:p>
        </w:tc>
        <w:tc>
          <w:tcPr>
            <w:tcW w:w="7712" w:type="dxa"/>
            <w:tcBorders>
              <w:tl2br w:val="nil"/>
              <w:tr2bl w:val="nil"/>
            </w:tcBorders>
            <w:shd w:val="clear" w:color="auto" w:fill="auto"/>
            <w:vAlign w:val="center"/>
          </w:tcPr>
          <w:p w14:paraId="4FFAB68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小区建设满足语音、数字、图像和视频等多媒体信息通信需求的新型基础设施，符合现行国家标准《住宅区和住宅建筑内光纤到户通信设施工程设计规范》GB 50846、《住宅区和住宅建筑内光纤到户通信设施工程施工及验收规范》GB 50847的有关规定，并符合下列规定：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有无线网络需求的公共区域无线局域网络全覆盖；</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公共移动通讯信号全覆盖，数字电视网络支撑小区全接入；</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通信网关、服务器、边缘节点设置满足小区数据采集、传输、存储和计算的需求。</w:t>
            </w:r>
          </w:p>
        </w:tc>
        <w:tc>
          <w:tcPr>
            <w:tcW w:w="1088" w:type="dxa"/>
            <w:tcBorders>
              <w:tl2br w:val="nil"/>
              <w:tr2bl w:val="nil"/>
            </w:tcBorders>
            <w:shd w:val="clear" w:color="auto" w:fill="auto"/>
            <w:noWrap/>
            <w:vAlign w:val="center"/>
          </w:tcPr>
          <w:p w14:paraId="27474C37">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3BD0C23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466DF4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3F4932BC">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vertAlign w:val="baseline"/>
                <w:lang w:eastAsia="zh-CN"/>
              </w:rPr>
            </w:pPr>
          </w:p>
        </w:tc>
        <w:tc>
          <w:tcPr>
            <w:tcW w:w="2748" w:type="dxa"/>
            <w:tcBorders>
              <w:tl2br w:val="nil"/>
              <w:tr2bl w:val="nil"/>
            </w:tcBorders>
            <w:shd w:val="clear" w:color="auto" w:fill="auto"/>
            <w:noWrap/>
            <w:vAlign w:val="center"/>
          </w:tcPr>
          <w:p w14:paraId="155E7F70">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600CB4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40" w:hRule="atLeast"/>
        </w:trPr>
        <w:tc>
          <w:tcPr>
            <w:tcW w:w="609" w:type="dxa"/>
            <w:tcBorders>
              <w:tl2br w:val="nil"/>
              <w:tr2bl w:val="nil"/>
            </w:tcBorders>
            <w:shd w:val="clear" w:color="auto" w:fill="auto"/>
            <w:vAlign w:val="center"/>
          </w:tcPr>
          <w:p w14:paraId="3352AB6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135</w:t>
            </w:r>
          </w:p>
        </w:tc>
        <w:tc>
          <w:tcPr>
            <w:tcW w:w="590" w:type="dxa"/>
            <w:vMerge w:val="continue"/>
            <w:tcBorders>
              <w:tl2br w:val="nil"/>
              <w:tr2bl w:val="nil"/>
            </w:tcBorders>
            <w:shd w:val="clear" w:color="auto" w:fill="auto"/>
            <w:vAlign w:val="center"/>
          </w:tcPr>
          <w:p w14:paraId="4105596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94B390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869B31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7.1.2</w:t>
            </w:r>
          </w:p>
        </w:tc>
        <w:tc>
          <w:tcPr>
            <w:tcW w:w="7712" w:type="dxa"/>
            <w:tcBorders>
              <w:tl2br w:val="nil"/>
              <w:tr2bl w:val="nil"/>
            </w:tcBorders>
            <w:shd w:val="clear" w:color="auto" w:fill="auto"/>
            <w:vAlign w:val="center"/>
          </w:tcPr>
          <w:p w14:paraId="011B65E3">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小区建立综合信息服务平台，并符合下列规定：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提供标准化接口与通用通信协议，支持外部第三方平台功能调用、数据共享及内部子系统对接；实现与智慧城市各级平台的数据互通与业务协同；</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整合安防、物业、建筑设备管理等基础模块，对接电子政务、养老服务、物联网应用及小区党建等扩展功能。</w:t>
            </w:r>
          </w:p>
        </w:tc>
        <w:tc>
          <w:tcPr>
            <w:tcW w:w="1088" w:type="dxa"/>
            <w:tcBorders>
              <w:tl2br w:val="nil"/>
              <w:tr2bl w:val="nil"/>
            </w:tcBorders>
            <w:shd w:val="clear" w:color="auto" w:fill="auto"/>
            <w:noWrap/>
            <w:vAlign w:val="center"/>
          </w:tcPr>
          <w:p w14:paraId="203D1708">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469586D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B74F68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6387B3FD">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5FDC5338">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31DF0C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87" w:hRule="atLeast"/>
        </w:trPr>
        <w:tc>
          <w:tcPr>
            <w:tcW w:w="609" w:type="dxa"/>
            <w:tcBorders>
              <w:tl2br w:val="nil"/>
              <w:tr2bl w:val="nil"/>
            </w:tcBorders>
            <w:shd w:val="clear" w:color="auto" w:fill="auto"/>
            <w:vAlign w:val="center"/>
          </w:tcPr>
          <w:p w14:paraId="3828036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136</w:t>
            </w:r>
          </w:p>
        </w:tc>
        <w:tc>
          <w:tcPr>
            <w:tcW w:w="590" w:type="dxa"/>
            <w:vMerge w:val="continue"/>
            <w:tcBorders>
              <w:tl2br w:val="nil"/>
              <w:tr2bl w:val="nil"/>
            </w:tcBorders>
            <w:shd w:val="clear" w:color="auto" w:fill="auto"/>
            <w:vAlign w:val="center"/>
          </w:tcPr>
          <w:p w14:paraId="03AF629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45C754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54B9E6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7.1.3</w:t>
            </w:r>
          </w:p>
        </w:tc>
        <w:tc>
          <w:tcPr>
            <w:tcW w:w="7712" w:type="dxa"/>
            <w:tcBorders>
              <w:tl2br w:val="nil"/>
              <w:tr2bl w:val="nil"/>
            </w:tcBorders>
            <w:shd w:val="clear" w:color="auto" w:fill="auto"/>
            <w:vAlign w:val="center"/>
          </w:tcPr>
          <w:p w14:paraId="4FF4BA6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小区设有智慧物业服务系统，并符合下列规定：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居民通过移动终端、Web访问等方式，具备管家服务、智慧通行、生活缴费等功能；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采取移动终端推送、业主群公告、在显著位置设置显示屏等多种方式，对公共设施维修、应急与关爱提醒、环境信息及气象灾害预警等信息进行信息公告；</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设有便民服务热线，并支持线上咨询、投诉、投票、投诉处理进度查询等。</w:t>
            </w:r>
          </w:p>
        </w:tc>
        <w:tc>
          <w:tcPr>
            <w:tcW w:w="1088" w:type="dxa"/>
            <w:tcBorders>
              <w:tl2br w:val="nil"/>
              <w:tr2bl w:val="nil"/>
            </w:tcBorders>
            <w:shd w:val="clear" w:color="auto" w:fill="auto"/>
            <w:noWrap/>
            <w:vAlign w:val="center"/>
          </w:tcPr>
          <w:p w14:paraId="751F5856">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679743A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078FD1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789B71B2">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58E372A6">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预评价需提交承诺达标函。终评价现场核查，相关设计图纸及设计说明。</w:t>
            </w:r>
          </w:p>
        </w:tc>
      </w:tr>
      <w:tr w14:paraId="6CD77C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11" w:hRule="atLeast"/>
        </w:trPr>
        <w:tc>
          <w:tcPr>
            <w:tcW w:w="609" w:type="dxa"/>
            <w:tcBorders>
              <w:tl2br w:val="nil"/>
              <w:tr2bl w:val="nil"/>
            </w:tcBorders>
            <w:shd w:val="clear" w:color="auto" w:fill="auto"/>
            <w:vAlign w:val="center"/>
          </w:tcPr>
          <w:p w14:paraId="13CA6F1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137</w:t>
            </w:r>
          </w:p>
        </w:tc>
        <w:tc>
          <w:tcPr>
            <w:tcW w:w="590" w:type="dxa"/>
            <w:vMerge w:val="continue"/>
            <w:tcBorders>
              <w:tl2br w:val="nil"/>
              <w:tr2bl w:val="nil"/>
            </w:tcBorders>
            <w:shd w:val="clear" w:color="auto" w:fill="auto"/>
            <w:vAlign w:val="center"/>
          </w:tcPr>
          <w:p w14:paraId="5586721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FCD9D3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729345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7.1.4</w:t>
            </w:r>
          </w:p>
        </w:tc>
        <w:tc>
          <w:tcPr>
            <w:tcW w:w="7712" w:type="dxa"/>
            <w:tcBorders>
              <w:tl2br w:val="nil"/>
              <w:tr2bl w:val="nil"/>
            </w:tcBorders>
            <w:shd w:val="clear" w:color="auto" w:fill="auto"/>
            <w:vAlign w:val="center"/>
          </w:tcPr>
          <w:p w14:paraId="1B878DC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小区设置智慧化安防系统，除满足常规安防功能外，利用视频智能算法，自动识别视频监控中高空抛物、电动车入梯、消防通道占用、防尾随检测、黑名单预警等场景，并进行预警。</w:t>
            </w:r>
          </w:p>
        </w:tc>
        <w:tc>
          <w:tcPr>
            <w:tcW w:w="1088" w:type="dxa"/>
            <w:tcBorders>
              <w:tl2br w:val="nil"/>
              <w:tr2bl w:val="nil"/>
            </w:tcBorders>
            <w:shd w:val="clear" w:color="auto" w:fill="auto"/>
            <w:noWrap/>
            <w:vAlign w:val="center"/>
          </w:tcPr>
          <w:p w14:paraId="1A3994E4">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1617E5A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0773504B">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70CFD77">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7E2108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00" w:hRule="atLeast"/>
        </w:trPr>
        <w:tc>
          <w:tcPr>
            <w:tcW w:w="609" w:type="dxa"/>
            <w:tcBorders>
              <w:tl2br w:val="nil"/>
              <w:tr2bl w:val="nil"/>
            </w:tcBorders>
            <w:shd w:val="clear" w:color="auto" w:fill="auto"/>
            <w:vAlign w:val="center"/>
          </w:tcPr>
          <w:p w14:paraId="714CFB4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138</w:t>
            </w:r>
          </w:p>
        </w:tc>
        <w:tc>
          <w:tcPr>
            <w:tcW w:w="590" w:type="dxa"/>
            <w:vMerge w:val="restart"/>
            <w:tcBorders>
              <w:tl2br w:val="nil"/>
              <w:tr2bl w:val="nil"/>
            </w:tcBorders>
            <w:shd w:val="clear" w:color="auto" w:fill="auto"/>
            <w:vAlign w:val="center"/>
          </w:tcPr>
          <w:p w14:paraId="588E469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7.2 数字家庭</w:t>
            </w:r>
          </w:p>
        </w:tc>
        <w:tc>
          <w:tcPr>
            <w:tcW w:w="465" w:type="dxa"/>
            <w:vMerge w:val="restart"/>
            <w:tcBorders>
              <w:tl2br w:val="nil"/>
              <w:tr2bl w:val="nil"/>
            </w:tcBorders>
            <w:shd w:val="clear" w:color="auto" w:fill="auto"/>
            <w:vAlign w:val="center"/>
          </w:tcPr>
          <w:p w14:paraId="6FDC7D1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0066E91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7.2.1</w:t>
            </w:r>
          </w:p>
        </w:tc>
        <w:tc>
          <w:tcPr>
            <w:tcW w:w="7712" w:type="dxa"/>
            <w:tcBorders>
              <w:tl2br w:val="nil"/>
              <w:tr2bl w:val="nil"/>
            </w:tcBorders>
            <w:shd w:val="clear" w:color="auto" w:fill="auto"/>
            <w:vAlign w:val="center"/>
          </w:tcPr>
          <w:p w14:paraId="513E375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数字家庭系统包括数字家庭基础平台、家庭综合信息箱、控制终端和终端设备，支持不同品牌和品类终端设备互联、数据互通、服务共享，并符合下列规定：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包括按钮交互、触摸交互、传感交互、语音交互、摄像头交互、移动 APP 交互等两种以上的人机交互方式，人机交互界面直观、易用，并支持远程和本地操作及控制；</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具备功能升级、故障诊断、预警和自动恢复等功能；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具备状态实时监测，以及设备运行状态自动调节的功能。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支持网络中断或平台故障时仍可完成基础人工控制，如灯具启闭、窗帘启闭等。</w:t>
            </w:r>
          </w:p>
        </w:tc>
        <w:tc>
          <w:tcPr>
            <w:tcW w:w="1088" w:type="dxa"/>
            <w:tcBorders>
              <w:tl2br w:val="nil"/>
              <w:tr2bl w:val="nil"/>
            </w:tcBorders>
            <w:shd w:val="clear" w:color="auto" w:fill="auto"/>
            <w:noWrap/>
            <w:vAlign w:val="center"/>
          </w:tcPr>
          <w:p w14:paraId="0BA91FF0">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218AB9F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3AD0EEE">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28FE870">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32514B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20CC3B2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139</w:t>
            </w:r>
          </w:p>
        </w:tc>
        <w:tc>
          <w:tcPr>
            <w:tcW w:w="590" w:type="dxa"/>
            <w:vMerge w:val="continue"/>
            <w:tcBorders>
              <w:tl2br w:val="nil"/>
              <w:tr2bl w:val="nil"/>
            </w:tcBorders>
            <w:shd w:val="clear" w:color="auto" w:fill="auto"/>
            <w:vAlign w:val="center"/>
          </w:tcPr>
          <w:p w14:paraId="428E65A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A8E2B3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38E122D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7.2.2</w:t>
            </w:r>
          </w:p>
        </w:tc>
        <w:tc>
          <w:tcPr>
            <w:tcW w:w="7712" w:type="dxa"/>
            <w:tcBorders>
              <w:tl2br w:val="nil"/>
              <w:tr2bl w:val="nil"/>
            </w:tcBorders>
            <w:shd w:val="clear" w:color="auto" w:fill="auto"/>
            <w:vAlign w:val="center"/>
          </w:tcPr>
          <w:p w14:paraId="5A0B96E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数字家庭主用分系统包括智慧交互系统、全宅安防系统和照明智控系统。数字家庭的基础应用实现主用分系统的基本功能。</w:t>
            </w:r>
          </w:p>
        </w:tc>
        <w:tc>
          <w:tcPr>
            <w:tcW w:w="1088" w:type="dxa"/>
            <w:tcBorders>
              <w:tl2br w:val="nil"/>
              <w:tr2bl w:val="nil"/>
            </w:tcBorders>
            <w:shd w:val="clear" w:color="auto" w:fill="auto"/>
            <w:noWrap/>
            <w:vAlign w:val="center"/>
          </w:tcPr>
          <w:p w14:paraId="2354C7FC">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6045BF7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5409523">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3455DDB">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477D16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609" w:type="dxa"/>
            <w:tcBorders>
              <w:tl2br w:val="nil"/>
              <w:tr2bl w:val="nil"/>
            </w:tcBorders>
            <w:shd w:val="clear" w:color="auto" w:fill="auto"/>
            <w:vAlign w:val="center"/>
          </w:tcPr>
          <w:p w14:paraId="6BE9267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140</w:t>
            </w:r>
          </w:p>
        </w:tc>
        <w:tc>
          <w:tcPr>
            <w:tcW w:w="590" w:type="dxa"/>
            <w:vMerge w:val="continue"/>
            <w:tcBorders>
              <w:tl2br w:val="nil"/>
              <w:tr2bl w:val="nil"/>
            </w:tcBorders>
            <w:shd w:val="clear" w:color="auto" w:fill="auto"/>
            <w:vAlign w:val="center"/>
          </w:tcPr>
          <w:p w14:paraId="441C89B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1D7406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58CA07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7.2.3</w:t>
            </w:r>
          </w:p>
        </w:tc>
        <w:tc>
          <w:tcPr>
            <w:tcW w:w="7712" w:type="dxa"/>
            <w:tcBorders>
              <w:tl2br w:val="nil"/>
              <w:tr2bl w:val="nil"/>
            </w:tcBorders>
            <w:shd w:val="clear" w:color="auto" w:fill="auto"/>
            <w:vAlign w:val="center"/>
          </w:tcPr>
          <w:p w14:paraId="635E860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住房设置数字家庭系统，并在实现基础应用上预留提升条件 （包括设备电源、通信接口、软件端口及设备安装空间等）。</w:t>
            </w:r>
          </w:p>
        </w:tc>
        <w:tc>
          <w:tcPr>
            <w:tcW w:w="1088" w:type="dxa"/>
            <w:tcBorders>
              <w:tl2br w:val="nil"/>
              <w:tr2bl w:val="nil"/>
            </w:tcBorders>
            <w:shd w:val="clear" w:color="auto" w:fill="auto"/>
            <w:noWrap/>
            <w:vAlign w:val="center"/>
          </w:tcPr>
          <w:p w14:paraId="5AF63A00">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4420622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84E60A1">
            <w:pPr>
              <w:keepNext w:val="0"/>
              <w:keepLines w:val="0"/>
              <w:pageBreakBefore w:val="0"/>
              <w:widowControl w:val="0"/>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A908803">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79EEE1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609" w:type="dxa"/>
            <w:tcBorders>
              <w:tl2br w:val="nil"/>
              <w:tr2bl w:val="nil"/>
            </w:tcBorders>
            <w:shd w:val="clear" w:color="auto" w:fill="auto"/>
            <w:vAlign w:val="center"/>
          </w:tcPr>
          <w:p w14:paraId="20DD41F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141</w:t>
            </w:r>
          </w:p>
        </w:tc>
        <w:tc>
          <w:tcPr>
            <w:tcW w:w="590" w:type="dxa"/>
            <w:vMerge w:val="continue"/>
            <w:tcBorders>
              <w:tl2br w:val="nil"/>
              <w:tr2bl w:val="nil"/>
            </w:tcBorders>
            <w:shd w:val="clear" w:color="auto" w:fill="auto"/>
            <w:vAlign w:val="center"/>
          </w:tcPr>
          <w:p w14:paraId="54D7A08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B4A4DE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D818D6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7.2.4</w:t>
            </w:r>
          </w:p>
        </w:tc>
        <w:tc>
          <w:tcPr>
            <w:tcW w:w="7712" w:type="dxa"/>
            <w:tcBorders>
              <w:tl2br w:val="nil"/>
              <w:tr2bl w:val="nil"/>
            </w:tcBorders>
            <w:shd w:val="clear" w:color="auto" w:fill="auto"/>
            <w:vAlign w:val="center"/>
          </w:tcPr>
          <w:p w14:paraId="3220088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数字家庭设备的安装与布线满足终端设备供电及通信连接要求。</w:t>
            </w:r>
          </w:p>
        </w:tc>
        <w:tc>
          <w:tcPr>
            <w:tcW w:w="1088" w:type="dxa"/>
            <w:tcBorders>
              <w:tl2br w:val="nil"/>
              <w:tr2bl w:val="nil"/>
            </w:tcBorders>
            <w:shd w:val="clear" w:color="auto" w:fill="auto"/>
            <w:noWrap/>
            <w:vAlign w:val="center"/>
          </w:tcPr>
          <w:p w14:paraId="08CAC99D">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电气</w:t>
            </w:r>
          </w:p>
        </w:tc>
        <w:tc>
          <w:tcPr>
            <w:tcW w:w="1722" w:type="dxa"/>
            <w:tcBorders>
              <w:tl2br w:val="nil"/>
              <w:tr2bl w:val="nil"/>
            </w:tcBorders>
            <w:shd w:val="clear" w:color="auto" w:fill="auto"/>
            <w:noWrap/>
            <w:vAlign w:val="center"/>
          </w:tcPr>
          <w:p w14:paraId="568E33D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987DB1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A45F284">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相关设计图纸及设计说明。终评价现场核查。</w:t>
            </w:r>
          </w:p>
        </w:tc>
      </w:tr>
      <w:tr w14:paraId="525832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15949" w:type="dxa"/>
            <w:gridSpan w:val="8"/>
            <w:tcBorders>
              <w:tl2br w:val="nil"/>
              <w:tr2bl w:val="nil"/>
            </w:tcBorders>
            <w:shd w:val="clear" w:color="auto" w:fill="auto"/>
            <w:vAlign w:val="center"/>
          </w:tcPr>
          <w:p w14:paraId="2F971DB6">
            <w:pPr>
              <w:keepNext w:val="0"/>
              <w:keepLines/>
              <w:pageBreakBefore w:val="0"/>
              <w:widowControl w:val="0"/>
              <w:numPr>
                <w:ilvl w:val="0"/>
                <w:numId w:val="3"/>
              </w:numPr>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6"/>
                <w:szCs w:val="26"/>
                <w:highlight w:val="none"/>
                <w:u w:val="none"/>
                <w:lang w:val="en-US" w:eastAsia="zh-CN" w:bidi="ar"/>
              </w:rPr>
              <w:t>和谐美好</w:t>
            </w:r>
            <w:bookmarkStart w:id="0" w:name="_GoBack"/>
            <w:bookmarkEnd w:id="0"/>
          </w:p>
          <w:p w14:paraId="159A2C3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（基本类24条，预评价17条不参评。）</w:t>
            </w:r>
          </w:p>
        </w:tc>
      </w:tr>
      <w:tr w14:paraId="2778B3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0FA8EB0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142</w:t>
            </w:r>
          </w:p>
        </w:tc>
        <w:tc>
          <w:tcPr>
            <w:tcW w:w="590" w:type="dxa"/>
            <w:vMerge w:val="restart"/>
            <w:tcBorders>
              <w:tl2br w:val="nil"/>
              <w:tr2bl w:val="nil"/>
            </w:tcBorders>
            <w:shd w:val="clear" w:color="auto" w:fill="auto"/>
            <w:vAlign w:val="center"/>
          </w:tcPr>
          <w:p w14:paraId="4DD2217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8.1 风貌协调</w:t>
            </w:r>
          </w:p>
        </w:tc>
        <w:tc>
          <w:tcPr>
            <w:tcW w:w="465" w:type="dxa"/>
            <w:vMerge w:val="restart"/>
            <w:tcBorders>
              <w:tl2br w:val="nil"/>
              <w:tr2bl w:val="nil"/>
            </w:tcBorders>
            <w:shd w:val="clear" w:color="auto" w:fill="auto"/>
            <w:vAlign w:val="center"/>
          </w:tcPr>
          <w:p w14:paraId="42EB6FF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579F27F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8.1.1</w:t>
            </w:r>
          </w:p>
        </w:tc>
        <w:tc>
          <w:tcPr>
            <w:tcW w:w="7712" w:type="dxa"/>
            <w:tcBorders>
              <w:tl2br w:val="nil"/>
              <w:tr2bl w:val="nil"/>
            </w:tcBorders>
            <w:shd w:val="clear" w:color="auto" w:fill="auto"/>
            <w:vAlign w:val="center"/>
          </w:tcPr>
          <w:p w14:paraId="6D56D49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小区的建筑风貌与城乡规划相协调，建筑的高度、体量、风格、色彩、建筑界面等满足城市设计控制要求。</w:t>
            </w:r>
          </w:p>
        </w:tc>
        <w:tc>
          <w:tcPr>
            <w:tcW w:w="1088" w:type="dxa"/>
            <w:tcBorders>
              <w:tl2br w:val="nil"/>
              <w:tr2bl w:val="nil"/>
            </w:tcBorders>
            <w:shd w:val="clear" w:color="auto" w:fill="auto"/>
            <w:noWrap/>
            <w:vAlign w:val="center"/>
          </w:tcPr>
          <w:p w14:paraId="74C0570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57371E2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8DE2A8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24189F5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6F1BF4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09" w:type="dxa"/>
            <w:tcBorders>
              <w:tl2br w:val="nil"/>
              <w:tr2bl w:val="nil"/>
            </w:tcBorders>
            <w:shd w:val="clear" w:color="auto" w:fill="auto"/>
            <w:vAlign w:val="center"/>
          </w:tcPr>
          <w:p w14:paraId="5057781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143</w:t>
            </w:r>
          </w:p>
        </w:tc>
        <w:tc>
          <w:tcPr>
            <w:tcW w:w="590" w:type="dxa"/>
            <w:vMerge w:val="continue"/>
            <w:tcBorders>
              <w:tl2br w:val="nil"/>
              <w:tr2bl w:val="nil"/>
            </w:tcBorders>
            <w:shd w:val="clear" w:color="auto" w:fill="auto"/>
            <w:vAlign w:val="center"/>
          </w:tcPr>
          <w:p w14:paraId="7C855A0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D928C27">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8487B0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8.1.2</w:t>
            </w:r>
          </w:p>
        </w:tc>
        <w:tc>
          <w:tcPr>
            <w:tcW w:w="7712" w:type="dxa"/>
            <w:tcBorders>
              <w:tl2br w:val="nil"/>
              <w:tr2bl w:val="nil"/>
            </w:tcBorders>
            <w:shd w:val="clear" w:color="auto" w:fill="auto"/>
            <w:vAlign w:val="center"/>
          </w:tcPr>
          <w:p w14:paraId="2DE0D58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涉及历史城区、历史文化名镇（村）、历史文化街区、文物保护单位及历史建筑风貌管控范围的小区，符合中山市相关保护规划的规定，建筑风貌与之相协调。</w:t>
            </w:r>
          </w:p>
          <w:p w14:paraId="5FCFE22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注：项目不属于上述小区时，可判定为达标。</w:t>
            </w:r>
          </w:p>
        </w:tc>
        <w:tc>
          <w:tcPr>
            <w:tcW w:w="1088" w:type="dxa"/>
            <w:tcBorders>
              <w:tl2br w:val="nil"/>
              <w:tr2bl w:val="nil"/>
            </w:tcBorders>
            <w:shd w:val="clear" w:color="auto" w:fill="auto"/>
            <w:noWrap/>
            <w:vAlign w:val="center"/>
          </w:tcPr>
          <w:p w14:paraId="4EC94DC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57C7FF8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810C40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65FFC9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6F1897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5" w:hRule="atLeast"/>
        </w:trPr>
        <w:tc>
          <w:tcPr>
            <w:tcW w:w="609" w:type="dxa"/>
            <w:tcBorders>
              <w:tl2br w:val="nil"/>
              <w:tr2bl w:val="nil"/>
            </w:tcBorders>
            <w:shd w:val="clear" w:color="auto" w:fill="auto"/>
            <w:vAlign w:val="center"/>
          </w:tcPr>
          <w:p w14:paraId="17D6389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144</w:t>
            </w:r>
          </w:p>
        </w:tc>
        <w:tc>
          <w:tcPr>
            <w:tcW w:w="590" w:type="dxa"/>
            <w:vMerge w:val="continue"/>
            <w:tcBorders>
              <w:tl2br w:val="nil"/>
              <w:tr2bl w:val="nil"/>
            </w:tcBorders>
            <w:shd w:val="clear" w:color="auto" w:fill="auto"/>
            <w:vAlign w:val="center"/>
          </w:tcPr>
          <w:p w14:paraId="2ACBD172">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EBD433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B47628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8.1.3</w:t>
            </w:r>
          </w:p>
        </w:tc>
        <w:tc>
          <w:tcPr>
            <w:tcW w:w="7712" w:type="dxa"/>
            <w:tcBorders>
              <w:tl2br w:val="nil"/>
              <w:tr2bl w:val="nil"/>
            </w:tcBorders>
            <w:shd w:val="clear" w:color="auto" w:fill="auto"/>
            <w:vAlign w:val="center"/>
          </w:tcPr>
          <w:p w14:paraId="3A954B3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加强小区主入口、主要道路，重要景观节点、高层建筑、公共建筑等的立面设计和灯光夜景设计，增强小区的标识性，展现城市特色风貌。</w:t>
            </w:r>
          </w:p>
        </w:tc>
        <w:tc>
          <w:tcPr>
            <w:tcW w:w="1088" w:type="dxa"/>
            <w:tcBorders>
              <w:tl2br w:val="nil"/>
              <w:tr2bl w:val="nil"/>
            </w:tcBorders>
            <w:shd w:val="clear" w:color="auto" w:fill="auto"/>
            <w:noWrap/>
            <w:vAlign w:val="center"/>
          </w:tcPr>
          <w:p w14:paraId="77C355F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0CC3C98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381CB0A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15E63C6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1EEEB1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3B7CF65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145</w:t>
            </w:r>
          </w:p>
        </w:tc>
        <w:tc>
          <w:tcPr>
            <w:tcW w:w="590" w:type="dxa"/>
            <w:vMerge w:val="restart"/>
            <w:tcBorders>
              <w:tl2br w:val="nil"/>
              <w:tr2bl w:val="nil"/>
            </w:tcBorders>
            <w:shd w:val="clear" w:color="auto" w:fill="auto"/>
            <w:vAlign w:val="center"/>
          </w:tcPr>
          <w:p w14:paraId="74232EC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8.2 建筑美观</w:t>
            </w:r>
          </w:p>
        </w:tc>
        <w:tc>
          <w:tcPr>
            <w:tcW w:w="465" w:type="dxa"/>
            <w:vMerge w:val="restart"/>
            <w:tcBorders>
              <w:tl2br w:val="nil"/>
              <w:tr2bl w:val="nil"/>
            </w:tcBorders>
            <w:shd w:val="clear" w:color="auto" w:fill="auto"/>
            <w:vAlign w:val="center"/>
          </w:tcPr>
          <w:p w14:paraId="7732405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182D1D9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8.2.1</w:t>
            </w:r>
          </w:p>
        </w:tc>
        <w:tc>
          <w:tcPr>
            <w:tcW w:w="7712" w:type="dxa"/>
            <w:tcBorders>
              <w:tl2br w:val="nil"/>
              <w:tr2bl w:val="nil"/>
            </w:tcBorders>
            <w:shd w:val="clear" w:color="auto" w:fill="auto"/>
            <w:vAlign w:val="center"/>
          </w:tcPr>
          <w:p w14:paraId="4B68DF3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建筑形式适应中山亚热带季风气候特点以及地理环境，与周边环境和建筑形式相协调。</w:t>
            </w:r>
          </w:p>
        </w:tc>
        <w:tc>
          <w:tcPr>
            <w:tcW w:w="1088" w:type="dxa"/>
            <w:tcBorders>
              <w:tl2br w:val="nil"/>
              <w:tr2bl w:val="nil"/>
            </w:tcBorders>
            <w:shd w:val="clear" w:color="auto" w:fill="auto"/>
            <w:noWrap/>
            <w:vAlign w:val="center"/>
          </w:tcPr>
          <w:p w14:paraId="2600CC2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7E5876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61F1C9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D86974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6F347F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09" w:type="dxa"/>
            <w:tcBorders>
              <w:tl2br w:val="nil"/>
              <w:tr2bl w:val="nil"/>
            </w:tcBorders>
            <w:shd w:val="clear" w:color="auto" w:fill="auto"/>
            <w:vAlign w:val="center"/>
          </w:tcPr>
          <w:p w14:paraId="7C4D64B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146</w:t>
            </w:r>
          </w:p>
        </w:tc>
        <w:tc>
          <w:tcPr>
            <w:tcW w:w="590" w:type="dxa"/>
            <w:vMerge w:val="continue"/>
            <w:tcBorders>
              <w:tl2br w:val="nil"/>
              <w:tr2bl w:val="nil"/>
            </w:tcBorders>
            <w:shd w:val="clear" w:color="auto" w:fill="auto"/>
            <w:vAlign w:val="center"/>
          </w:tcPr>
          <w:p w14:paraId="1200F21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CE1182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5B50B0A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8.2.2</w:t>
            </w:r>
          </w:p>
        </w:tc>
        <w:tc>
          <w:tcPr>
            <w:tcW w:w="7712" w:type="dxa"/>
            <w:tcBorders>
              <w:tl2br w:val="nil"/>
              <w:tr2bl w:val="nil"/>
            </w:tcBorders>
            <w:shd w:val="clear" w:color="auto" w:fill="auto"/>
            <w:vAlign w:val="center"/>
          </w:tcPr>
          <w:p w14:paraId="422754D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住宅立面做精细化设计，空调室外机位、设备平台、光伏等与建筑一体化设计，排水立管、冷媒管及空调冷凝水管等隐蔽设置。</w:t>
            </w:r>
          </w:p>
        </w:tc>
        <w:tc>
          <w:tcPr>
            <w:tcW w:w="1088" w:type="dxa"/>
            <w:tcBorders>
              <w:tl2br w:val="nil"/>
              <w:tr2bl w:val="nil"/>
            </w:tcBorders>
            <w:shd w:val="clear" w:color="auto" w:fill="auto"/>
            <w:noWrap/>
            <w:vAlign w:val="center"/>
          </w:tcPr>
          <w:p w14:paraId="63B1DDA1">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建筑</w:t>
            </w:r>
            <w:r>
              <w:rPr>
                <w:rFonts w:hint="eastAsia" w:ascii="仿宋" w:hAnsi="仿宋" w:eastAsia="仿宋" w:cs="仿宋"/>
                <w:i w:val="0"/>
                <w:iCs w:val="0"/>
                <w:color w:val="auto"/>
                <w:sz w:val="22"/>
                <w:szCs w:val="22"/>
                <w:highlight w:val="none"/>
                <w:u w:val="none"/>
                <w:lang w:val="en-US" w:eastAsia="zh-CN"/>
              </w:rPr>
              <w:t>/机电专业</w:t>
            </w:r>
          </w:p>
        </w:tc>
        <w:tc>
          <w:tcPr>
            <w:tcW w:w="1722" w:type="dxa"/>
            <w:tcBorders>
              <w:tl2br w:val="nil"/>
              <w:tr2bl w:val="nil"/>
            </w:tcBorders>
            <w:shd w:val="clear" w:color="auto" w:fill="auto"/>
            <w:noWrap/>
            <w:vAlign w:val="center"/>
          </w:tcPr>
          <w:p w14:paraId="188D7CD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EEBAFE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42D97C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1CB92D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27B7A92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147</w:t>
            </w:r>
          </w:p>
        </w:tc>
        <w:tc>
          <w:tcPr>
            <w:tcW w:w="590" w:type="dxa"/>
            <w:vMerge w:val="continue"/>
            <w:tcBorders>
              <w:tl2br w:val="nil"/>
              <w:tr2bl w:val="nil"/>
            </w:tcBorders>
            <w:shd w:val="clear" w:color="auto" w:fill="auto"/>
            <w:vAlign w:val="center"/>
          </w:tcPr>
          <w:p w14:paraId="4ED9E19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C14ED2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A94D8E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8.2.3</w:t>
            </w:r>
          </w:p>
        </w:tc>
        <w:tc>
          <w:tcPr>
            <w:tcW w:w="7712" w:type="dxa"/>
            <w:tcBorders>
              <w:tl2br w:val="nil"/>
              <w:tr2bl w:val="nil"/>
            </w:tcBorders>
            <w:shd w:val="clear" w:color="auto" w:fill="auto"/>
            <w:vAlign w:val="center"/>
          </w:tcPr>
          <w:p w14:paraId="1AD3A13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住宅标识具有较高的辨识度，且与主体立面风格相协调。</w:t>
            </w:r>
          </w:p>
        </w:tc>
        <w:tc>
          <w:tcPr>
            <w:tcW w:w="1088" w:type="dxa"/>
            <w:tcBorders>
              <w:tl2br w:val="nil"/>
              <w:tr2bl w:val="nil"/>
            </w:tcBorders>
            <w:shd w:val="clear" w:color="auto" w:fill="auto"/>
            <w:noWrap/>
            <w:vAlign w:val="center"/>
          </w:tcPr>
          <w:p w14:paraId="2F06C53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建筑</w:t>
            </w:r>
          </w:p>
        </w:tc>
        <w:tc>
          <w:tcPr>
            <w:tcW w:w="1722" w:type="dxa"/>
            <w:tcBorders>
              <w:tl2br w:val="nil"/>
              <w:tr2bl w:val="nil"/>
            </w:tcBorders>
            <w:shd w:val="clear" w:color="auto" w:fill="auto"/>
            <w:noWrap/>
            <w:vAlign w:val="center"/>
          </w:tcPr>
          <w:p w14:paraId="2AF270D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D3FE46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4F8776B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相关设计图纸及设计说明</w:t>
            </w:r>
          </w:p>
        </w:tc>
      </w:tr>
      <w:tr w14:paraId="11A313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09" w:type="dxa"/>
            <w:tcBorders>
              <w:tl2br w:val="nil"/>
              <w:tr2bl w:val="nil"/>
            </w:tcBorders>
            <w:shd w:val="clear" w:color="auto" w:fill="auto"/>
            <w:vAlign w:val="center"/>
          </w:tcPr>
          <w:p w14:paraId="3FF48F0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148</w:t>
            </w:r>
          </w:p>
        </w:tc>
        <w:tc>
          <w:tcPr>
            <w:tcW w:w="590" w:type="dxa"/>
            <w:vMerge w:val="restart"/>
            <w:tcBorders>
              <w:tl2br w:val="nil"/>
              <w:tr2bl w:val="nil"/>
            </w:tcBorders>
            <w:shd w:val="clear" w:color="auto" w:fill="auto"/>
            <w:vAlign w:val="center"/>
          </w:tcPr>
          <w:p w14:paraId="7F94930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 邻里和睦</w:t>
            </w:r>
          </w:p>
        </w:tc>
        <w:tc>
          <w:tcPr>
            <w:tcW w:w="465" w:type="dxa"/>
            <w:vMerge w:val="restart"/>
            <w:tcBorders>
              <w:tl2br w:val="nil"/>
              <w:tr2bl w:val="nil"/>
            </w:tcBorders>
            <w:shd w:val="clear" w:color="auto" w:fill="auto"/>
            <w:vAlign w:val="center"/>
          </w:tcPr>
          <w:p w14:paraId="76B736A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vAlign w:val="center"/>
          </w:tcPr>
          <w:p w14:paraId="2F28E0D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8.3.1</w:t>
            </w:r>
          </w:p>
        </w:tc>
        <w:tc>
          <w:tcPr>
            <w:tcW w:w="7712" w:type="dxa"/>
            <w:tcBorders>
              <w:tl2br w:val="nil"/>
              <w:tr2bl w:val="nil"/>
            </w:tcBorders>
            <w:shd w:val="clear" w:color="auto" w:fill="auto"/>
            <w:vAlign w:val="center"/>
          </w:tcPr>
          <w:p w14:paraId="0BFE4C8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小区制定文明公约，倡导邻里和谐、尊老爱幼、诚信友善、助人为乐、爱护公物、遵纪守法等文明风范。</w:t>
            </w:r>
          </w:p>
          <w:p w14:paraId="52E9F77D">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269E6ED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4F089F7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7E829D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B8C9519">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eastAsia="zh-CN"/>
              </w:rPr>
            </w:pPr>
            <w:r>
              <w:rPr>
                <w:rFonts w:hint="eastAsia" w:ascii="仿宋" w:hAnsi="仿宋" w:eastAsia="仿宋" w:cs="仿宋"/>
                <w:i w:val="0"/>
                <w:iCs w:val="0"/>
                <w:color w:val="auto"/>
                <w:sz w:val="22"/>
                <w:szCs w:val="22"/>
                <w:highlight w:val="none"/>
                <w:u w:val="none"/>
                <w:lang w:val="en-US" w:eastAsia="zh-CN"/>
              </w:rPr>
              <w:t>终评价提交</w:t>
            </w:r>
            <w:r>
              <w:rPr>
                <w:rFonts w:hint="eastAsia" w:ascii="仿宋" w:hAnsi="仿宋" w:eastAsia="仿宋" w:cs="仿宋"/>
                <w:i w:val="0"/>
                <w:iCs w:val="0"/>
                <w:color w:val="auto"/>
                <w:kern w:val="0"/>
                <w:sz w:val="22"/>
                <w:szCs w:val="22"/>
                <w:highlight w:val="none"/>
                <w:u w:val="none"/>
                <w:lang w:val="en-US" w:eastAsia="zh-CN" w:bidi="ar"/>
              </w:rPr>
              <w:t>小区文明公约纸质及电子版。</w:t>
            </w:r>
          </w:p>
        </w:tc>
      </w:tr>
      <w:tr w14:paraId="2A4E79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5" w:hRule="atLeast"/>
        </w:trPr>
        <w:tc>
          <w:tcPr>
            <w:tcW w:w="609" w:type="dxa"/>
            <w:tcBorders>
              <w:tl2br w:val="nil"/>
              <w:tr2bl w:val="nil"/>
            </w:tcBorders>
            <w:shd w:val="clear" w:color="auto" w:fill="auto"/>
            <w:vAlign w:val="center"/>
          </w:tcPr>
          <w:p w14:paraId="34221CB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149</w:t>
            </w:r>
          </w:p>
        </w:tc>
        <w:tc>
          <w:tcPr>
            <w:tcW w:w="590" w:type="dxa"/>
            <w:vMerge w:val="continue"/>
            <w:tcBorders>
              <w:tl2br w:val="nil"/>
              <w:tr2bl w:val="nil"/>
            </w:tcBorders>
            <w:shd w:val="clear" w:color="auto" w:fill="auto"/>
            <w:vAlign w:val="center"/>
          </w:tcPr>
          <w:p w14:paraId="10423E1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5FD57E7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2A06A78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8.3.2</w:t>
            </w:r>
          </w:p>
        </w:tc>
        <w:tc>
          <w:tcPr>
            <w:tcW w:w="7712" w:type="dxa"/>
            <w:tcBorders>
              <w:tl2br w:val="nil"/>
              <w:tr2bl w:val="nil"/>
            </w:tcBorders>
            <w:shd w:val="clear" w:color="auto" w:fill="auto"/>
            <w:vAlign w:val="center"/>
          </w:tcPr>
          <w:p w14:paraId="124FD92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小区设立居民调解工作室。</w:t>
            </w:r>
          </w:p>
          <w:p w14:paraId="6F335CA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098B6E9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1855582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178591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70017C23">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终评价现场核查</w:t>
            </w:r>
          </w:p>
        </w:tc>
      </w:tr>
      <w:tr w14:paraId="308879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09" w:type="dxa"/>
            <w:tcBorders>
              <w:tl2br w:val="nil"/>
              <w:tr2bl w:val="nil"/>
            </w:tcBorders>
            <w:shd w:val="clear" w:color="auto" w:fill="auto"/>
            <w:vAlign w:val="center"/>
          </w:tcPr>
          <w:p w14:paraId="4AF7B78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150</w:t>
            </w:r>
          </w:p>
        </w:tc>
        <w:tc>
          <w:tcPr>
            <w:tcW w:w="590" w:type="dxa"/>
            <w:vMerge w:val="continue"/>
            <w:tcBorders>
              <w:tl2br w:val="nil"/>
              <w:tr2bl w:val="nil"/>
            </w:tcBorders>
            <w:shd w:val="clear" w:color="auto" w:fill="auto"/>
            <w:vAlign w:val="center"/>
          </w:tcPr>
          <w:p w14:paraId="3FF0553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8EE5B4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059A845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8.3.3</w:t>
            </w:r>
          </w:p>
        </w:tc>
        <w:tc>
          <w:tcPr>
            <w:tcW w:w="7712" w:type="dxa"/>
            <w:tcBorders>
              <w:tl2br w:val="nil"/>
              <w:tr2bl w:val="nil"/>
            </w:tcBorders>
            <w:shd w:val="clear" w:color="auto" w:fill="auto"/>
            <w:vAlign w:val="center"/>
          </w:tcPr>
          <w:p w14:paraId="1B24331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小区建立文明养宠物管理制度，要求住户在饲养宠物时及时登记、定期检疫、并定期注射相关疫苗。宠物犬外出活动时佩戴牵引绳，并且宠物主人自觉清理宠物的排泄物。</w:t>
            </w:r>
          </w:p>
          <w:p w14:paraId="47BD1FE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26668DC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194EE04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DFA227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98A0B71">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终评价提交</w:t>
            </w:r>
            <w:r>
              <w:rPr>
                <w:rFonts w:hint="eastAsia" w:ascii="仿宋" w:hAnsi="仿宋" w:eastAsia="仿宋" w:cs="仿宋"/>
                <w:i w:val="0"/>
                <w:iCs w:val="0"/>
                <w:color w:val="auto"/>
                <w:kern w:val="0"/>
                <w:sz w:val="22"/>
                <w:szCs w:val="22"/>
                <w:highlight w:val="none"/>
                <w:u w:val="none"/>
                <w:lang w:val="en-US" w:eastAsia="zh-CN" w:bidi="ar"/>
              </w:rPr>
              <w:t>小区文明养宠物管理制度纸质及电子版，并现场核查。</w:t>
            </w:r>
          </w:p>
        </w:tc>
      </w:tr>
      <w:tr w14:paraId="38CE38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3285DCA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151</w:t>
            </w:r>
          </w:p>
        </w:tc>
        <w:tc>
          <w:tcPr>
            <w:tcW w:w="590" w:type="dxa"/>
            <w:vMerge w:val="continue"/>
            <w:tcBorders>
              <w:tl2br w:val="nil"/>
              <w:tr2bl w:val="nil"/>
            </w:tcBorders>
            <w:shd w:val="clear" w:color="auto" w:fill="auto"/>
            <w:vAlign w:val="center"/>
          </w:tcPr>
          <w:p w14:paraId="0E8A605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0C2D3D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7616F61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8.3.4</w:t>
            </w:r>
          </w:p>
        </w:tc>
        <w:tc>
          <w:tcPr>
            <w:tcW w:w="7712" w:type="dxa"/>
            <w:tcBorders>
              <w:tl2br w:val="nil"/>
              <w:tr2bl w:val="nil"/>
            </w:tcBorders>
            <w:shd w:val="clear" w:color="auto" w:fill="auto"/>
            <w:vAlign w:val="center"/>
          </w:tcPr>
          <w:p w14:paraId="473CCD2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住户在进行再装修时，向物业管理部门提交装修方案以供审核，并遵守物业管理部门提供的装修指南。</w:t>
            </w:r>
          </w:p>
          <w:p w14:paraId="748E800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517D800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1C4001C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7A055C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E5E3B6C">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终评价提交</w:t>
            </w:r>
            <w:r>
              <w:rPr>
                <w:rFonts w:hint="eastAsia" w:ascii="仿宋" w:hAnsi="仿宋" w:eastAsia="仿宋" w:cs="仿宋"/>
                <w:i w:val="0"/>
                <w:iCs w:val="0"/>
                <w:color w:val="auto"/>
                <w:kern w:val="0"/>
                <w:sz w:val="22"/>
                <w:szCs w:val="22"/>
                <w:highlight w:val="none"/>
                <w:u w:val="none"/>
                <w:lang w:val="en-US" w:eastAsia="zh-CN" w:bidi="ar"/>
              </w:rPr>
              <w:t>小区物业管理制度纸质及电子版（内含装修指南指引）</w:t>
            </w:r>
          </w:p>
        </w:tc>
      </w:tr>
      <w:tr w14:paraId="7BA63D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609" w:type="dxa"/>
            <w:tcBorders>
              <w:tl2br w:val="nil"/>
              <w:tr2bl w:val="nil"/>
            </w:tcBorders>
            <w:shd w:val="clear" w:color="auto" w:fill="auto"/>
            <w:vAlign w:val="center"/>
          </w:tcPr>
          <w:p w14:paraId="0CD2BA0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152</w:t>
            </w:r>
          </w:p>
        </w:tc>
        <w:tc>
          <w:tcPr>
            <w:tcW w:w="590" w:type="dxa"/>
            <w:vMerge w:val="continue"/>
            <w:tcBorders>
              <w:tl2br w:val="nil"/>
              <w:tr2bl w:val="nil"/>
            </w:tcBorders>
            <w:shd w:val="clear" w:color="auto" w:fill="auto"/>
            <w:vAlign w:val="center"/>
          </w:tcPr>
          <w:p w14:paraId="3FEBBE4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01B848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6E0D65F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8.3.5</w:t>
            </w:r>
          </w:p>
        </w:tc>
        <w:tc>
          <w:tcPr>
            <w:tcW w:w="7712" w:type="dxa"/>
            <w:tcBorders>
              <w:tl2br w:val="nil"/>
              <w:tr2bl w:val="nil"/>
            </w:tcBorders>
            <w:shd w:val="clear" w:color="auto" w:fill="auto"/>
            <w:vAlign w:val="center"/>
          </w:tcPr>
          <w:p w14:paraId="5AAC3A0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住户共同维护住宅公共空间的环境卫生，不在楼道内乱丢垃圾和杂物、私占公共空间及进行任何可能损害邻里利益的行为。</w:t>
            </w:r>
          </w:p>
          <w:p w14:paraId="4EFCCFD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6253273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340877E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397F3D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F2D024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终评价提交</w:t>
            </w:r>
            <w:r>
              <w:rPr>
                <w:rFonts w:hint="eastAsia" w:ascii="仿宋" w:hAnsi="仿宋" w:eastAsia="仿宋" w:cs="仿宋"/>
                <w:i w:val="0"/>
                <w:iCs w:val="0"/>
                <w:color w:val="auto"/>
                <w:kern w:val="0"/>
                <w:sz w:val="22"/>
                <w:szCs w:val="22"/>
                <w:highlight w:val="none"/>
                <w:u w:val="none"/>
                <w:lang w:val="en-US" w:eastAsia="zh-CN" w:bidi="ar"/>
              </w:rPr>
              <w:t>小区物业管理制度、业主公约纸质及电子版</w:t>
            </w:r>
          </w:p>
        </w:tc>
      </w:tr>
      <w:tr w14:paraId="518D44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4" w:hRule="atLeast"/>
        </w:trPr>
        <w:tc>
          <w:tcPr>
            <w:tcW w:w="609" w:type="dxa"/>
            <w:tcBorders>
              <w:tl2br w:val="nil"/>
              <w:tr2bl w:val="nil"/>
            </w:tcBorders>
            <w:shd w:val="clear" w:color="auto" w:fill="auto"/>
            <w:vAlign w:val="center"/>
          </w:tcPr>
          <w:p w14:paraId="047ABA7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153</w:t>
            </w:r>
          </w:p>
        </w:tc>
        <w:tc>
          <w:tcPr>
            <w:tcW w:w="590" w:type="dxa"/>
            <w:vMerge w:val="continue"/>
            <w:tcBorders>
              <w:tl2br w:val="nil"/>
              <w:tr2bl w:val="nil"/>
            </w:tcBorders>
            <w:shd w:val="clear" w:color="auto" w:fill="auto"/>
            <w:vAlign w:val="center"/>
          </w:tcPr>
          <w:p w14:paraId="6E749FB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028D0BAA">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14E441E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8.3.6</w:t>
            </w:r>
          </w:p>
        </w:tc>
        <w:tc>
          <w:tcPr>
            <w:tcW w:w="7712" w:type="dxa"/>
            <w:tcBorders>
              <w:tl2br w:val="nil"/>
              <w:tr2bl w:val="nil"/>
            </w:tcBorders>
            <w:shd w:val="clear" w:color="auto" w:fill="auto"/>
            <w:vAlign w:val="center"/>
          </w:tcPr>
          <w:p w14:paraId="329B662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住户在使用家用电器、演奏乐器或进行其他家庭活动时，确保不会干扰邻居的生活和休息。</w:t>
            </w:r>
          </w:p>
          <w:p w14:paraId="6DB8D09A">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2FFD82D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29B2F90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BDE53F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062F4D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终评价提交</w:t>
            </w:r>
            <w:r>
              <w:rPr>
                <w:rFonts w:hint="eastAsia" w:ascii="仿宋" w:hAnsi="仿宋" w:eastAsia="仿宋" w:cs="仿宋"/>
                <w:i w:val="0"/>
                <w:iCs w:val="0"/>
                <w:color w:val="auto"/>
                <w:kern w:val="0"/>
                <w:sz w:val="22"/>
                <w:szCs w:val="22"/>
                <w:highlight w:val="none"/>
                <w:u w:val="none"/>
                <w:lang w:val="en-US" w:eastAsia="zh-CN" w:bidi="ar"/>
              </w:rPr>
              <w:t>小区物业管理制度、业主公约纸质及电子版</w:t>
            </w:r>
          </w:p>
        </w:tc>
      </w:tr>
      <w:tr w14:paraId="01AD9C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4" w:hRule="atLeast"/>
        </w:trPr>
        <w:tc>
          <w:tcPr>
            <w:tcW w:w="609" w:type="dxa"/>
            <w:tcBorders>
              <w:tl2br w:val="nil"/>
              <w:tr2bl w:val="nil"/>
            </w:tcBorders>
            <w:shd w:val="clear" w:color="auto" w:fill="auto"/>
            <w:vAlign w:val="center"/>
          </w:tcPr>
          <w:p w14:paraId="2B03431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154</w:t>
            </w:r>
          </w:p>
        </w:tc>
        <w:tc>
          <w:tcPr>
            <w:tcW w:w="590" w:type="dxa"/>
            <w:vMerge w:val="continue"/>
            <w:tcBorders>
              <w:tl2br w:val="nil"/>
              <w:tr2bl w:val="nil"/>
            </w:tcBorders>
            <w:shd w:val="clear" w:color="auto" w:fill="auto"/>
            <w:vAlign w:val="center"/>
          </w:tcPr>
          <w:p w14:paraId="2349E43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F731B0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vAlign w:val="center"/>
          </w:tcPr>
          <w:p w14:paraId="454E510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8.3.7</w:t>
            </w:r>
          </w:p>
        </w:tc>
        <w:tc>
          <w:tcPr>
            <w:tcW w:w="7712" w:type="dxa"/>
            <w:tcBorders>
              <w:tl2br w:val="nil"/>
              <w:tr2bl w:val="nil"/>
            </w:tcBorders>
            <w:shd w:val="clear" w:color="auto" w:fill="auto"/>
            <w:vAlign w:val="center"/>
          </w:tcPr>
          <w:p w14:paraId="373EFD79">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住户杜绝高空抛物行为和采取必要措施防止坠物，及时清理自家阳台、门窗等室外悬挂物，并定期检查窗户的稳固性。</w:t>
            </w:r>
          </w:p>
          <w:p w14:paraId="29080A4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702D345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120E614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46CC76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74C6546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6863ED62">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终评价提交</w:t>
            </w:r>
            <w:r>
              <w:rPr>
                <w:rFonts w:hint="eastAsia" w:ascii="仿宋" w:hAnsi="仿宋" w:eastAsia="仿宋" w:cs="仿宋"/>
                <w:i w:val="0"/>
                <w:iCs w:val="0"/>
                <w:color w:val="auto"/>
                <w:kern w:val="0"/>
                <w:sz w:val="22"/>
                <w:szCs w:val="22"/>
                <w:highlight w:val="none"/>
                <w:u w:val="none"/>
                <w:lang w:val="en-US" w:eastAsia="zh-CN" w:bidi="ar"/>
              </w:rPr>
              <w:t>小区物业管理制度、业主公约纸质及电子版，并现场核查。</w:t>
            </w:r>
          </w:p>
        </w:tc>
      </w:tr>
      <w:tr w14:paraId="081975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04" w:hRule="atLeast"/>
        </w:trPr>
        <w:tc>
          <w:tcPr>
            <w:tcW w:w="609" w:type="dxa"/>
            <w:tcBorders>
              <w:tl2br w:val="nil"/>
              <w:tr2bl w:val="nil"/>
            </w:tcBorders>
            <w:shd w:val="clear" w:color="auto" w:fill="auto"/>
            <w:vAlign w:val="center"/>
          </w:tcPr>
          <w:p w14:paraId="03E1088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155</w:t>
            </w:r>
          </w:p>
        </w:tc>
        <w:tc>
          <w:tcPr>
            <w:tcW w:w="590" w:type="dxa"/>
            <w:vMerge w:val="restart"/>
            <w:tcBorders>
              <w:tl2br w:val="nil"/>
              <w:tr2bl w:val="nil"/>
            </w:tcBorders>
            <w:shd w:val="clear" w:color="auto" w:fill="auto"/>
            <w:vAlign w:val="center"/>
          </w:tcPr>
          <w:p w14:paraId="63B0C8E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 服务高效</w:t>
            </w:r>
          </w:p>
        </w:tc>
        <w:tc>
          <w:tcPr>
            <w:tcW w:w="465" w:type="dxa"/>
            <w:vMerge w:val="restart"/>
            <w:tcBorders>
              <w:tl2br w:val="nil"/>
              <w:tr2bl w:val="nil"/>
            </w:tcBorders>
            <w:shd w:val="clear" w:color="auto" w:fill="auto"/>
            <w:vAlign w:val="center"/>
          </w:tcPr>
          <w:p w14:paraId="49C9755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Ⅰ基本类</w:t>
            </w:r>
          </w:p>
        </w:tc>
        <w:tc>
          <w:tcPr>
            <w:tcW w:w="1015" w:type="dxa"/>
            <w:tcBorders>
              <w:tl2br w:val="nil"/>
              <w:tr2bl w:val="nil"/>
            </w:tcBorders>
            <w:shd w:val="clear" w:color="auto" w:fill="auto"/>
            <w:noWrap/>
            <w:vAlign w:val="center"/>
          </w:tcPr>
          <w:p w14:paraId="67BF874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8.4.1</w:t>
            </w:r>
          </w:p>
        </w:tc>
        <w:tc>
          <w:tcPr>
            <w:tcW w:w="7712" w:type="dxa"/>
            <w:tcBorders>
              <w:tl2br w:val="nil"/>
              <w:tr2bl w:val="nil"/>
            </w:tcBorders>
            <w:shd w:val="clear" w:color="auto" w:fill="auto"/>
            <w:vAlign w:val="center"/>
          </w:tcPr>
          <w:p w14:paraId="05BC5DB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小区建立完善的物业管理制度，并健全质量管理、财务管理、档案管理、管理权限移交等制度。</w:t>
            </w:r>
          </w:p>
          <w:p w14:paraId="1D8D66A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0CE30D3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7091943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0C7BCB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7BEBC3D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2FDB8A8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终评价提交</w:t>
            </w:r>
            <w:r>
              <w:rPr>
                <w:rFonts w:hint="eastAsia" w:ascii="仿宋" w:hAnsi="仿宋" w:eastAsia="仿宋" w:cs="仿宋"/>
                <w:i w:val="0"/>
                <w:iCs w:val="0"/>
                <w:color w:val="auto"/>
                <w:kern w:val="0"/>
                <w:sz w:val="22"/>
                <w:szCs w:val="22"/>
                <w:highlight w:val="none"/>
                <w:u w:val="none"/>
                <w:lang w:val="en-US" w:eastAsia="zh-CN" w:bidi="ar"/>
              </w:rPr>
              <w:t>物业管理制度。</w:t>
            </w:r>
          </w:p>
        </w:tc>
      </w:tr>
      <w:tr w14:paraId="7A2A32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70" w:hRule="atLeast"/>
        </w:trPr>
        <w:tc>
          <w:tcPr>
            <w:tcW w:w="609" w:type="dxa"/>
            <w:tcBorders>
              <w:tl2br w:val="nil"/>
              <w:tr2bl w:val="nil"/>
            </w:tcBorders>
            <w:shd w:val="clear" w:color="auto" w:fill="auto"/>
            <w:vAlign w:val="center"/>
          </w:tcPr>
          <w:p w14:paraId="1B3A149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156</w:t>
            </w:r>
          </w:p>
        </w:tc>
        <w:tc>
          <w:tcPr>
            <w:tcW w:w="590" w:type="dxa"/>
            <w:vMerge w:val="continue"/>
            <w:tcBorders>
              <w:tl2br w:val="nil"/>
              <w:tr2bl w:val="nil"/>
            </w:tcBorders>
            <w:shd w:val="clear" w:color="auto" w:fill="auto"/>
            <w:vAlign w:val="center"/>
          </w:tcPr>
          <w:p w14:paraId="1CEDBB7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AF4A346">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14444AF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8.4.2</w:t>
            </w:r>
          </w:p>
        </w:tc>
        <w:tc>
          <w:tcPr>
            <w:tcW w:w="7712" w:type="dxa"/>
            <w:tcBorders>
              <w:tl2br w:val="nil"/>
              <w:tr2bl w:val="nil"/>
            </w:tcBorders>
            <w:shd w:val="clear" w:color="auto" w:fill="auto"/>
            <w:vAlign w:val="center"/>
          </w:tcPr>
          <w:p w14:paraId="5F1C0956">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小区物管服务中心符合下列规定：</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设置值班人员和配备综合信息服务平台运行所需要的软硬件设备和其他必要的服务设施；</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公示24小时服务电话，紧急报修在30分钟内到达，其他报修按双方约定时间到达；并建立完整的报修、维修及回访记录；</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建立各种突发公共事件的处置机制、处理预案以及应急物资支援体系与医疗机构建立快速联络机制，配备常用医疗急救药品和器械；</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管理人员定期培训、演练，具有急救和应急处理能力；</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  小区管理服务人员上岗时统一着装、佩戴标志。</w:t>
            </w:r>
          </w:p>
          <w:p w14:paraId="1133C0E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014A211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3D82199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C12C88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51D5663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28450A52">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提交小区物管服务中心管理规定，提供近一年内报修、维修及回访记录台账，管理人员定期培训、演练的台账及视频（相片），现场核查。</w:t>
            </w:r>
          </w:p>
        </w:tc>
      </w:tr>
      <w:tr w14:paraId="0C20FF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4" w:hRule="atLeast"/>
        </w:trPr>
        <w:tc>
          <w:tcPr>
            <w:tcW w:w="609" w:type="dxa"/>
            <w:tcBorders>
              <w:tl2br w:val="nil"/>
              <w:tr2bl w:val="nil"/>
            </w:tcBorders>
            <w:shd w:val="clear" w:color="auto" w:fill="auto"/>
            <w:vAlign w:val="center"/>
          </w:tcPr>
          <w:p w14:paraId="5643FEB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157</w:t>
            </w:r>
          </w:p>
        </w:tc>
        <w:tc>
          <w:tcPr>
            <w:tcW w:w="590" w:type="dxa"/>
            <w:vMerge w:val="continue"/>
            <w:tcBorders>
              <w:tl2br w:val="nil"/>
              <w:tr2bl w:val="nil"/>
            </w:tcBorders>
            <w:shd w:val="clear" w:color="auto" w:fill="auto"/>
            <w:vAlign w:val="center"/>
          </w:tcPr>
          <w:p w14:paraId="28F5308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BD9D45F">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0674FE5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8.4.3</w:t>
            </w:r>
          </w:p>
        </w:tc>
        <w:tc>
          <w:tcPr>
            <w:tcW w:w="7712" w:type="dxa"/>
            <w:tcBorders>
              <w:tl2br w:val="nil"/>
              <w:tr2bl w:val="nil"/>
            </w:tcBorders>
            <w:shd w:val="clear" w:color="auto" w:fill="auto"/>
            <w:vAlign w:val="center"/>
          </w:tcPr>
          <w:p w14:paraId="300146A1">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物业服务包含下列内容：</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房屋及设施设备维护服务：定期对房屋及设施设备进行检查监测、清理维护，发现故障及时修复；小区物业每日至少巡查一次住宅公共出入口、楼道通道以及其他共用部位的门窗、玻璃等，做好巡检记录并公布；</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小区环境维护服务：每日进行日常保洁，定期进行卫生消杀，定时定点进行垃圾处理清运；建筑外立面定期清洗或保养；</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秩序维护服务：24h值守、定时巡查，利用智能巡更巡查安保系统对人员、物品、车辆出入进行管理；</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空置房监护服务：对空置房屋进行人工巡查和智能监控相结合，空置房动态档案及时更新，并开放业主端实时查看功能。</w:t>
            </w:r>
          </w:p>
          <w:p w14:paraId="5E7C2E58">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2FAAD176">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074DEAD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12B9A1D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015BFAC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176CE002">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w:t>
            </w:r>
            <w:r>
              <w:rPr>
                <w:rFonts w:hint="eastAsia" w:ascii="仿宋" w:hAnsi="仿宋" w:eastAsia="仿宋" w:cs="仿宋"/>
                <w:i w:val="0"/>
                <w:iCs w:val="0"/>
                <w:color w:val="auto"/>
                <w:kern w:val="0"/>
                <w:sz w:val="22"/>
                <w:szCs w:val="22"/>
                <w:highlight w:val="none"/>
                <w:u w:val="none"/>
                <w:lang w:val="en-US" w:eastAsia="zh-CN" w:bidi="ar"/>
              </w:rPr>
              <w:t>提交小区物管服务承诺，各种相关台账，现场核查。</w:t>
            </w:r>
          </w:p>
        </w:tc>
      </w:tr>
      <w:tr w14:paraId="057BEC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1" w:hRule="atLeast"/>
        </w:trPr>
        <w:tc>
          <w:tcPr>
            <w:tcW w:w="609" w:type="dxa"/>
            <w:tcBorders>
              <w:tl2br w:val="nil"/>
              <w:tr2bl w:val="nil"/>
            </w:tcBorders>
            <w:shd w:val="clear" w:color="auto" w:fill="auto"/>
            <w:vAlign w:val="center"/>
          </w:tcPr>
          <w:p w14:paraId="37EEC83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158</w:t>
            </w:r>
          </w:p>
        </w:tc>
        <w:tc>
          <w:tcPr>
            <w:tcW w:w="590" w:type="dxa"/>
            <w:vMerge w:val="continue"/>
            <w:tcBorders>
              <w:tl2br w:val="nil"/>
              <w:tr2bl w:val="nil"/>
            </w:tcBorders>
            <w:shd w:val="clear" w:color="auto" w:fill="auto"/>
            <w:vAlign w:val="center"/>
          </w:tcPr>
          <w:p w14:paraId="35A42A5D">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1FCAF1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1B59C1A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8.4.4</w:t>
            </w:r>
          </w:p>
        </w:tc>
        <w:tc>
          <w:tcPr>
            <w:tcW w:w="7712" w:type="dxa"/>
            <w:tcBorders>
              <w:tl2br w:val="nil"/>
              <w:tr2bl w:val="nil"/>
            </w:tcBorders>
            <w:shd w:val="clear" w:color="auto" w:fill="auto"/>
            <w:vAlign w:val="center"/>
          </w:tcPr>
          <w:p w14:paraId="6F788A3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住宅使用说明书包含以下内容：</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住宅基本资料以及建筑结构、设备与设施使用说明及注意事项，并附相关图表及相关说明；</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相关的住宅质量保证与保修手册；</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维护与保养指南和装修指南；</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物业与社区服务范围及费用说明；</w:t>
            </w:r>
          </w:p>
          <w:p w14:paraId="124E54A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5  使用安全须知对地震、火灾等突发事件的逃生措施及路径进行说明。</w:t>
            </w:r>
          </w:p>
          <w:p w14:paraId="6EB06EB2">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3A67FFD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43F38CB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54A50C5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04D4F92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6DE3AFB3">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终评价提供</w:t>
            </w:r>
            <w:r>
              <w:rPr>
                <w:rFonts w:hint="eastAsia" w:ascii="仿宋" w:hAnsi="仿宋" w:eastAsia="仿宋" w:cs="仿宋"/>
                <w:i w:val="0"/>
                <w:iCs w:val="0"/>
                <w:color w:val="auto"/>
                <w:kern w:val="0"/>
                <w:sz w:val="22"/>
                <w:szCs w:val="22"/>
                <w:highlight w:val="none"/>
                <w:u w:val="none"/>
                <w:lang w:val="en-US" w:eastAsia="zh-CN" w:bidi="ar"/>
              </w:rPr>
              <w:t>住宅使用说明书并现场核查。</w:t>
            </w:r>
          </w:p>
        </w:tc>
      </w:tr>
      <w:tr w14:paraId="25B4A2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09B596D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159</w:t>
            </w:r>
          </w:p>
        </w:tc>
        <w:tc>
          <w:tcPr>
            <w:tcW w:w="590" w:type="dxa"/>
            <w:vMerge w:val="continue"/>
            <w:tcBorders>
              <w:tl2br w:val="nil"/>
              <w:tr2bl w:val="nil"/>
            </w:tcBorders>
            <w:shd w:val="clear" w:color="auto" w:fill="auto"/>
            <w:vAlign w:val="center"/>
          </w:tcPr>
          <w:p w14:paraId="272AF2F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7512C33C">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28C16CA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8.4.5</w:t>
            </w:r>
          </w:p>
        </w:tc>
        <w:tc>
          <w:tcPr>
            <w:tcW w:w="7712" w:type="dxa"/>
            <w:tcBorders>
              <w:tl2br w:val="nil"/>
              <w:tr2bl w:val="nil"/>
            </w:tcBorders>
            <w:shd w:val="clear" w:color="auto" w:fill="auto"/>
            <w:vAlign w:val="center"/>
          </w:tcPr>
          <w:p w14:paraId="651BEF15">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建设单位将小区内公共区域、公共建筑、公共设施的日常维护和管理权限移交给物业公司，并公示相关信息。</w:t>
            </w:r>
          </w:p>
          <w:p w14:paraId="78F638A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5136AD2F">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25ED6D2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F8CBFF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320142DA">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7DB86A60">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终评价提供交接证明及公示图片。</w:t>
            </w:r>
          </w:p>
        </w:tc>
      </w:tr>
      <w:tr w14:paraId="62D5BD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6BB39AF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160</w:t>
            </w:r>
          </w:p>
        </w:tc>
        <w:tc>
          <w:tcPr>
            <w:tcW w:w="590" w:type="dxa"/>
            <w:vMerge w:val="continue"/>
            <w:tcBorders>
              <w:tl2br w:val="nil"/>
              <w:tr2bl w:val="nil"/>
            </w:tcBorders>
            <w:shd w:val="clear" w:color="auto" w:fill="auto"/>
            <w:vAlign w:val="center"/>
          </w:tcPr>
          <w:p w14:paraId="073BC57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1E6BB801">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4AF0762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8.4.6</w:t>
            </w:r>
          </w:p>
        </w:tc>
        <w:tc>
          <w:tcPr>
            <w:tcW w:w="7712" w:type="dxa"/>
            <w:tcBorders>
              <w:tl2br w:val="nil"/>
              <w:tr2bl w:val="nil"/>
            </w:tcBorders>
            <w:shd w:val="clear" w:color="auto" w:fill="auto"/>
            <w:vAlign w:val="center"/>
          </w:tcPr>
          <w:p w14:paraId="269B010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保修期内小区设置售后服务中心，过保修期后小区设置维修服务中心，为房屋质量提供保障服务。</w:t>
            </w:r>
          </w:p>
          <w:p w14:paraId="236FB4A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4FAA25B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1A1A53C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4A042EF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708060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终评价提供现场核查并检查相关台账。</w:t>
            </w:r>
          </w:p>
        </w:tc>
      </w:tr>
      <w:tr w14:paraId="382E0A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609" w:type="dxa"/>
            <w:tcBorders>
              <w:tl2br w:val="nil"/>
              <w:tr2bl w:val="nil"/>
            </w:tcBorders>
            <w:shd w:val="clear" w:color="auto" w:fill="auto"/>
            <w:vAlign w:val="center"/>
          </w:tcPr>
          <w:p w14:paraId="231B727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161</w:t>
            </w:r>
          </w:p>
        </w:tc>
        <w:tc>
          <w:tcPr>
            <w:tcW w:w="590" w:type="dxa"/>
            <w:vMerge w:val="continue"/>
            <w:tcBorders>
              <w:tl2br w:val="nil"/>
              <w:tr2bl w:val="nil"/>
            </w:tcBorders>
            <w:shd w:val="clear" w:color="auto" w:fill="auto"/>
            <w:vAlign w:val="center"/>
          </w:tcPr>
          <w:p w14:paraId="10697A8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948E6D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2AEA6CE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8.4.7</w:t>
            </w:r>
          </w:p>
        </w:tc>
        <w:tc>
          <w:tcPr>
            <w:tcW w:w="7712" w:type="dxa"/>
            <w:tcBorders>
              <w:tl2br w:val="nil"/>
              <w:tr2bl w:val="nil"/>
            </w:tcBorders>
            <w:shd w:val="clear" w:color="auto" w:fill="auto"/>
            <w:vAlign w:val="center"/>
          </w:tcPr>
          <w:p w14:paraId="08F89F1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物业服务有主动预防性维护和长期维修计划及说明，要求对建筑定期体检，重视对建筑进行预防性维修保养：</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1  定期检查外墙内表面的抹灰层、屋面防水层及外窗密封条完好性；</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2  定期检查围护结构是否存在空鼓、粘贴不牢等现象；</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3  对生活与消防水箱（池）状态、二次供水水质、水泵、消防系统进行智能在线监测及预警；</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4  下水道每年使用高压清洗装置全部疏通至少一次；每年上汛前和强降雨后检查住宅屋面防水、屋面雨水口、雨落管等设施，并组织清理、疏通等；</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5  小区生活给水水箱（水池）的水质每三个月进行一次常规检测，检测指标需符合现行国家标准《二次供水设施卫生规范》GB 17051中规定的必测项目；同时，小区的生活给水水箱（水池）每三个月至少进行一次清洗消毒，若水质出现异常，则立即进行清洗消毒。</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6  小区化粪池每季度进行一次检查，并根据使用情况，定期进行清掏作业，确保每年至少清掏一次。</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7  燃气管道和设备每年至少进行一次维护。</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8  定期对小区的消防设施设备进行检查，并将检查结果及时公布在小区显眼位置的公告栏上。</w:t>
            </w:r>
          </w:p>
          <w:p w14:paraId="079E3300">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7A1DB6E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3699202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6CA8A9C1">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p w14:paraId="668E92B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p>
        </w:tc>
        <w:tc>
          <w:tcPr>
            <w:tcW w:w="2748" w:type="dxa"/>
            <w:tcBorders>
              <w:tl2br w:val="nil"/>
              <w:tr2bl w:val="nil"/>
            </w:tcBorders>
            <w:shd w:val="clear" w:color="auto" w:fill="auto"/>
            <w:noWrap/>
            <w:vAlign w:val="center"/>
          </w:tcPr>
          <w:p w14:paraId="57A66D45">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终评价提交</w:t>
            </w:r>
            <w:r>
              <w:rPr>
                <w:rFonts w:hint="eastAsia" w:ascii="仿宋" w:hAnsi="仿宋" w:eastAsia="仿宋" w:cs="仿宋"/>
                <w:i w:val="0"/>
                <w:iCs w:val="0"/>
                <w:color w:val="auto"/>
                <w:kern w:val="0"/>
                <w:sz w:val="22"/>
                <w:szCs w:val="22"/>
                <w:highlight w:val="none"/>
                <w:u w:val="none"/>
                <w:lang w:val="en-US" w:eastAsia="zh-CN" w:bidi="ar"/>
              </w:rPr>
              <w:t>预防性维护和长期维修计划及说明，并提交相关台账。</w:t>
            </w:r>
          </w:p>
        </w:tc>
      </w:tr>
      <w:tr w14:paraId="2C8C61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50" w:hRule="atLeast"/>
        </w:trPr>
        <w:tc>
          <w:tcPr>
            <w:tcW w:w="609" w:type="dxa"/>
            <w:tcBorders>
              <w:tl2br w:val="nil"/>
              <w:tr2bl w:val="nil"/>
            </w:tcBorders>
            <w:shd w:val="clear" w:color="auto" w:fill="auto"/>
            <w:vAlign w:val="center"/>
          </w:tcPr>
          <w:p w14:paraId="1C15071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162</w:t>
            </w:r>
          </w:p>
        </w:tc>
        <w:tc>
          <w:tcPr>
            <w:tcW w:w="590" w:type="dxa"/>
            <w:vMerge w:val="continue"/>
            <w:tcBorders>
              <w:tl2br w:val="nil"/>
              <w:tr2bl w:val="nil"/>
            </w:tcBorders>
            <w:shd w:val="clear" w:color="auto" w:fill="auto"/>
            <w:vAlign w:val="center"/>
          </w:tcPr>
          <w:p w14:paraId="4FC8086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254C3D30">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12F0C19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8.4.8</w:t>
            </w:r>
          </w:p>
        </w:tc>
        <w:tc>
          <w:tcPr>
            <w:tcW w:w="7712" w:type="dxa"/>
            <w:tcBorders>
              <w:tl2br w:val="nil"/>
              <w:tr2bl w:val="nil"/>
            </w:tcBorders>
            <w:shd w:val="clear" w:color="auto" w:fill="auto"/>
            <w:vAlign w:val="center"/>
          </w:tcPr>
          <w:p w14:paraId="59B14BEF">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垃圾处理遵循生活垃圾分类收集、定点投放的原则，清运频次每日不少于两次，确保日产日清。收储容器需每日进行清洁消毒，安排专人进行巡查监管，严禁垃圾混合投放或随意堆放，并定期开展环保宣传活动。</w:t>
            </w:r>
          </w:p>
          <w:p w14:paraId="455C23BE">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108DF98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383F3FD4">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BD905FD">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CC18292">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val="en-US" w:eastAsia="zh-CN"/>
              </w:rPr>
              <w:t>终评价提交垃圾</w:t>
            </w:r>
            <w:r>
              <w:rPr>
                <w:rFonts w:hint="eastAsia" w:ascii="仿宋" w:hAnsi="仿宋" w:eastAsia="仿宋" w:cs="仿宋"/>
                <w:i w:val="0"/>
                <w:iCs w:val="0"/>
                <w:color w:val="auto"/>
                <w:kern w:val="0"/>
                <w:sz w:val="22"/>
                <w:szCs w:val="22"/>
                <w:highlight w:val="none"/>
                <w:u w:val="none"/>
                <w:lang w:val="en-US" w:eastAsia="zh-CN" w:bidi="ar"/>
              </w:rPr>
              <w:t>收集投放、清运、清洁消毒管理办法及相关台账，环保宣传活动记录及视频（相片），现场核查。</w:t>
            </w:r>
          </w:p>
        </w:tc>
      </w:tr>
      <w:tr w14:paraId="618ADA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5C53043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163</w:t>
            </w:r>
          </w:p>
        </w:tc>
        <w:tc>
          <w:tcPr>
            <w:tcW w:w="590" w:type="dxa"/>
            <w:vMerge w:val="continue"/>
            <w:tcBorders>
              <w:tl2br w:val="nil"/>
              <w:tr2bl w:val="nil"/>
            </w:tcBorders>
            <w:shd w:val="clear" w:color="auto" w:fill="auto"/>
            <w:vAlign w:val="center"/>
          </w:tcPr>
          <w:p w14:paraId="75DFBAF5">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47837B64">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68E15EF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8.4.9</w:t>
            </w:r>
          </w:p>
        </w:tc>
        <w:tc>
          <w:tcPr>
            <w:tcW w:w="7712" w:type="dxa"/>
            <w:tcBorders>
              <w:tl2br w:val="nil"/>
              <w:tr2bl w:val="nil"/>
            </w:tcBorders>
            <w:shd w:val="clear" w:color="auto" w:fill="auto"/>
            <w:vAlign w:val="center"/>
          </w:tcPr>
          <w:p w14:paraId="109DDB5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物业与住户共同设立并遵守关于空中花园的管理公约，确保安全与隐私得到双重保护。</w:t>
            </w:r>
          </w:p>
          <w:p w14:paraId="6788561C">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676FAA3B">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5C72E13E">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74D44539">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34B08E43">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终评价提交</w:t>
            </w:r>
            <w:r>
              <w:rPr>
                <w:rFonts w:hint="eastAsia" w:ascii="仿宋" w:hAnsi="仿宋" w:eastAsia="仿宋" w:cs="仿宋"/>
                <w:i w:val="0"/>
                <w:iCs w:val="0"/>
                <w:color w:val="auto"/>
                <w:kern w:val="0"/>
                <w:sz w:val="22"/>
                <w:szCs w:val="22"/>
                <w:highlight w:val="none"/>
                <w:u w:val="none"/>
                <w:lang w:val="en-US" w:eastAsia="zh-CN" w:bidi="ar"/>
              </w:rPr>
              <w:t>空中花园的管理公约，现场核查。</w:t>
            </w:r>
          </w:p>
        </w:tc>
      </w:tr>
      <w:tr w14:paraId="3DD753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609" w:type="dxa"/>
            <w:tcBorders>
              <w:tl2br w:val="nil"/>
              <w:tr2bl w:val="nil"/>
            </w:tcBorders>
            <w:shd w:val="clear" w:color="auto" w:fill="auto"/>
            <w:vAlign w:val="center"/>
          </w:tcPr>
          <w:p w14:paraId="0356065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164</w:t>
            </w:r>
          </w:p>
        </w:tc>
        <w:tc>
          <w:tcPr>
            <w:tcW w:w="590" w:type="dxa"/>
            <w:vMerge w:val="continue"/>
            <w:tcBorders>
              <w:tl2br w:val="nil"/>
              <w:tr2bl w:val="nil"/>
            </w:tcBorders>
            <w:shd w:val="clear" w:color="auto" w:fill="auto"/>
            <w:vAlign w:val="center"/>
          </w:tcPr>
          <w:p w14:paraId="624D7099">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6205B3B3">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5322BC9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8.4.10</w:t>
            </w:r>
          </w:p>
        </w:tc>
        <w:tc>
          <w:tcPr>
            <w:tcW w:w="7712" w:type="dxa"/>
            <w:tcBorders>
              <w:tl2br w:val="nil"/>
              <w:tr2bl w:val="nil"/>
            </w:tcBorders>
            <w:shd w:val="clear" w:color="auto" w:fill="auto"/>
            <w:vAlign w:val="center"/>
          </w:tcPr>
          <w:p w14:paraId="515D74E4">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  小区配置临时担架等急救设施，设置紧急救护插座和日常消毒卫生设施，设置明显的标识和使用说明标牌，并定期组织紧急医疗救助知识培训。</w:t>
            </w:r>
          </w:p>
          <w:p w14:paraId="0012E787">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注：预评价本条不参评。</w:t>
            </w:r>
          </w:p>
        </w:tc>
        <w:tc>
          <w:tcPr>
            <w:tcW w:w="1088" w:type="dxa"/>
            <w:tcBorders>
              <w:tl2br w:val="nil"/>
              <w:tr2bl w:val="nil"/>
            </w:tcBorders>
            <w:shd w:val="clear" w:color="auto" w:fill="auto"/>
            <w:noWrap/>
            <w:vAlign w:val="center"/>
          </w:tcPr>
          <w:p w14:paraId="2197047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eastAsia="zh-CN"/>
              </w:rPr>
              <w:t>物业</w:t>
            </w:r>
          </w:p>
        </w:tc>
        <w:tc>
          <w:tcPr>
            <w:tcW w:w="1722" w:type="dxa"/>
            <w:tcBorders>
              <w:tl2br w:val="nil"/>
              <w:tr2bl w:val="nil"/>
            </w:tcBorders>
            <w:shd w:val="clear" w:color="auto" w:fill="auto"/>
            <w:noWrap/>
            <w:vAlign w:val="center"/>
          </w:tcPr>
          <w:p w14:paraId="0D6F566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53BD637">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55F79A4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终评价提交相关培训</w:t>
            </w:r>
            <w:r>
              <w:rPr>
                <w:rFonts w:hint="eastAsia" w:ascii="仿宋" w:hAnsi="仿宋" w:eastAsia="仿宋" w:cs="仿宋"/>
                <w:i w:val="0"/>
                <w:iCs w:val="0"/>
                <w:color w:val="auto"/>
                <w:kern w:val="0"/>
                <w:sz w:val="22"/>
                <w:szCs w:val="22"/>
                <w:highlight w:val="none"/>
                <w:u w:val="none"/>
                <w:lang w:val="en-US" w:eastAsia="zh-CN" w:bidi="ar"/>
              </w:rPr>
              <w:t>记录及视频（相片），现场核查</w:t>
            </w:r>
          </w:p>
        </w:tc>
      </w:tr>
      <w:tr w14:paraId="13B54E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609" w:type="dxa"/>
            <w:tcBorders>
              <w:tl2br w:val="nil"/>
              <w:tr2bl w:val="nil"/>
            </w:tcBorders>
            <w:shd w:val="clear" w:color="auto" w:fill="auto"/>
            <w:vAlign w:val="center"/>
          </w:tcPr>
          <w:p w14:paraId="7774F3D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kern w:val="0"/>
                <w:sz w:val="22"/>
                <w:szCs w:val="22"/>
                <w:highlight w:val="none"/>
                <w:u w:val="none"/>
                <w:lang w:val="en-US" w:eastAsia="zh-CN" w:bidi="ar"/>
              </w:rPr>
              <w:t>165</w:t>
            </w:r>
          </w:p>
        </w:tc>
        <w:tc>
          <w:tcPr>
            <w:tcW w:w="590" w:type="dxa"/>
            <w:vMerge w:val="continue"/>
            <w:tcBorders>
              <w:tl2br w:val="nil"/>
              <w:tr2bl w:val="nil"/>
            </w:tcBorders>
            <w:shd w:val="clear" w:color="auto" w:fill="auto"/>
            <w:vAlign w:val="center"/>
          </w:tcPr>
          <w:p w14:paraId="7712FABB">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465" w:type="dxa"/>
            <w:vMerge w:val="continue"/>
            <w:tcBorders>
              <w:tl2br w:val="nil"/>
              <w:tr2bl w:val="nil"/>
            </w:tcBorders>
            <w:shd w:val="clear" w:color="auto" w:fill="auto"/>
            <w:vAlign w:val="center"/>
          </w:tcPr>
          <w:p w14:paraId="32D96D1E">
            <w:pPr>
              <w:keepNext w:val="0"/>
              <w:keepLines w:val="0"/>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auto"/>
                <w:sz w:val="22"/>
                <w:szCs w:val="22"/>
                <w:highlight w:val="none"/>
                <w:u w:val="none"/>
              </w:rPr>
            </w:pPr>
          </w:p>
        </w:tc>
        <w:tc>
          <w:tcPr>
            <w:tcW w:w="1015" w:type="dxa"/>
            <w:tcBorders>
              <w:tl2br w:val="nil"/>
              <w:tr2bl w:val="nil"/>
            </w:tcBorders>
            <w:shd w:val="clear" w:color="auto" w:fill="auto"/>
            <w:noWrap/>
            <w:vAlign w:val="center"/>
          </w:tcPr>
          <w:p w14:paraId="1773691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8.4.11</w:t>
            </w:r>
          </w:p>
        </w:tc>
        <w:tc>
          <w:tcPr>
            <w:tcW w:w="7712" w:type="dxa"/>
            <w:tcBorders>
              <w:tl2br w:val="nil"/>
              <w:tr2bl w:val="nil"/>
            </w:tcBorders>
            <w:shd w:val="clear" w:color="auto" w:fill="auto"/>
            <w:vAlign w:val="center"/>
          </w:tcPr>
          <w:p w14:paraId="05FC107B">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 xml:space="preserve">  小区统一规划停车位，定期开展巡查和整治工作，及时规整违规停放的车辆。</w:t>
            </w:r>
          </w:p>
        </w:tc>
        <w:tc>
          <w:tcPr>
            <w:tcW w:w="1088" w:type="dxa"/>
            <w:tcBorders>
              <w:tl2br w:val="nil"/>
              <w:tr2bl w:val="nil"/>
            </w:tcBorders>
            <w:shd w:val="clear" w:color="auto" w:fill="auto"/>
            <w:noWrap/>
            <w:vAlign w:val="center"/>
          </w:tcPr>
          <w:p w14:paraId="4A44CFB8">
            <w:pPr>
              <w:keepNext w:val="0"/>
              <w:keepLines w:val="0"/>
              <w:pageBreakBefore w:val="0"/>
              <w:widowControl w:val="0"/>
              <w:kinsoku/>
              <w:wordWrap/>
              <w:overflowPunct/>
              <w:topLinePunct w:val="0"/>
              <w:autoSpaceDE/>
              <w:autoSpaceDN/>
              <w:bidi w:val="0"/>
              <w:adjustRightInd/>
              <w:snapToGrid/>
              <w:rPr>
                <w:rFonts w:hint="default" w:ascii="仿宋" w:hAnsi="仿宋" w:eastAsia="仿宋" w:cs="仿宋"/>
                <w:i w:val="0"/>
                <w:iCs w:val="0"/>
                <w:color w:val="auto"/>
                <w:sz w:val="22"/>
                <w:szCs w:val="22"/>
                <w:highlight w:val="none"/>
                <w:u w:val="none"/>
                <w:lang w:val="en-US"/>
              </w:rPr>
            </w:pPr>
            <w:r>
              <w:rPr>
                <w:rFonts w:hint="eastAsia" w:ascii="仿宋" w:hAnsi="仿宋" w:eastAsia="仿宋" w:cs="仿宋"/>
                <w:i w:val="0"/>
                <w:iCs w:val="0"/>
                <w:color w:val="auto"/>
                <w:sz w:val="22"/>
                <w:szCs w:val="22"/>
                <w:highlight w:val="none"/>
                <w:u w:val="none"/>
                <w:lang w:eastAsia="zh-CN"/>
              </w:rPr>
              <w:t>物业</w:t>
            </w:r>
            <w:r>
              <w:rPr>
                <w:rFonts w:hint="eastAsia" w:ascii="仿宋" w:hAnsi="仿宋" w:eastAsia="仿宋" w:cs="仿宋"/>
                <w:i w:val="0"/>
                <w:iCs w:val="0"/>
                <w:color w:val="auto"/>
                <w:sz w:val="22"/>
                <w:szCs w:val="22"/>
                <w:highlight w:val="none"/>
                <w:u w:val="none"/>
                <w:lang w:val="en-US" w:eastAsia="zh-CN"/>
              </w:rPr>
              <w:t>/建筑</w:t>
            </w:r>
          </w:p>
        </w:tc>
        <w:tc>
          <w:tcPr>
            <w:tcW w:w="1722" w:type="dxa"/>
            <w:tcBorders>
              <w:tl2br w:val="nil"/>
              <w:tr2bl w:val="nil"/>
            </w:tcBorders>
            <w:shd w:val="clear" w:color="auto" w:fill="auto"/>
            <w:noWrap/>
            <w:vAlign w:val="center"/>
          </w:tcPr>
          <w:p w14:paraId="474B9F05">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达</w:t>
            </w:r>
            <w:r>
              <w:rPr>
                <w:rFonts w:hint="eastAsia" w:ascii="仿宋" w:hAnsi="仿宋" w:eastAsia="仿宋" w:cs="仿宋"/>
                <w:i w:val="0"/>
                <w:iCs w:val="0"/>
                <w:color w:val="auto"/>
                <w:sz w:val="22"/>
                <w:szCs w:val="22"/>
                <w:highlight w:val="none"/>
                <w:u w:val="none"/>
                <w:lang w:val="en-US" w:eastAsia="zh-CN"/>
              </w:rPr>
              <w:t xml:space="preserve">  </w:t>
            </w:r>
            <w:r>
              <w:rPr>
                <w:rFonts w:hint="eastAsia" w:ascii="仿宋" w:hAnsi="仿宋" w:eastAsia="仿宋" w:cs="仿宋"/>
                <w:i w:val="0"/>
                <w:iCs w:val="0"/>
                <w:color w:val="auto"/>
                <w:sz w:val="22"/>
                <w:szCs w:val="22"/>
                <w:highlight w:val="none"/>
                <w:u w:val="none"/>
                <w:lang w:eastAsia="zh-CN"/>
              </w:rPr>
              <w:t>标</w:t>
            </w:r>
            <w:r>
              <w:rPr>
                <w:rFonts w:hint="eastAsia" w:ascii="仿宋" w:hAnsi="仿宋" w:eastAsia="仿宋" w:cs="仿宋"/>
                <w:i w:val="0"/>
                <w:iCs w:val="0"/>
                <w:color w:val="auto"/>
                <w:sz w:val="22"/>
                <w:szCs w:val="22"/>
                <w:highlight w:val="none"/>
                <w:u w:val="none"/>
              </w:rPr>
              <w:sym w:font="Wingdings" w:char="00A8"/>
            </w:r>
          </w:p>
          <w:p w14:paraId="2DF38C7C">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lang w:eastAsia="zh-CN"/>
              </w:rPr>
            </w:pPr>
            <w:r>
              <w:rPr>
                <w:rFonts w:hint="eastAsia" w:ascii="仿宋" w:hAnsi="仿宋" w:eastAsia="仿宋" w:cs="仿宋"/>
                <w:i w:val="0"/>
                <w:iCs w:val="0"/>
                <w:color w:val="auto"/>
                <w:sz w:val="22"/>
                <w:szCs w:val="22"/>
                <w:highlight w:val="none"/>
                <w:u w:val="none"/>
                <w:lang w:eastAsia="zh-CN"/>
              </w:rPr>
              <w:t>不达标</w:t>
            </w:r>
            <w:r>
              <w:rPr>
                <w:rFonts w:hint="eastAsia" w:ascii="仿宋" w:hAnsi="仿宋" w:eastAsia="仿宋" w:cs="仿宋"/>
                <w:i w:val="0"/>
                <w:iCs w:val="0"/>
                <w:color w:val="auto"/>
                <w:sz w:val="22"/>
                <w:szCs w:val="22"/>
                <w:highlight w:val="none"/>
                <w:u w:val="none"/>
              </w:rPr>
              <w:sym w:font="Wingdings" w:char="00A8"/>
            </w:r>
          </w:p>
        </w:tc>
        <w:tc>
          <w:tcPr>
            <w:tcW w:w="2748" w:type="dxa"/>
            <w:tcBorders>
              <w:tl2br w:val="nil"/>
              <w:tr2bl w:val="nil"/>
            </w:tcBorders>
            <w:shd w:val="clear" w:color="auto" w:fill="auto"/>
            <w:noWrap/>
            <w:vAlign w:val="center"/>
          </w:tcPr>
          <w:p w14:paraId="01688FB0">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sz w:val="22"/>
                <w:szCs w:val="22"/>
                <w:highlight w:val="none"/>
                <w:u w:val="none"/>
                <w:lang w:val="en-US" w:eastAsia="zh-CN"/>
              </w:rPr>
              <w:t>相关图纸及设计说明，终评价提交</w:t>
            </w:r>
            <w:r>
              <w:rPr>
                <w:rFonts w:hint="eastAsia" w:ascii="仿宋" w:hAnsi="仿宋" w:eastAsia="仿宋" w:cs="仿宋"/>
                <w:i w:val="0"/>
                <w:iCs w:val="0"/>
                <w:color w:val="auto"/>
                <w:kern w:val="0"/>
                <w:sz w:val="22"/>
                <w:szCs w:val="22"/>
                <w:highlight w:val="none"/>
                <w:u w:val="none"/>
                <w:lang w:val="en-US" w:eastAsia="zh-CN" w:bidi="ar"/>
              </w:rPr>
              <w:t>巡查和整治工作台账及视频（相片），现场核查。</w:t>
            </w:r>
          </w:p>
        </w:tc>
      </w:tr>
    </w:tbl>
    <w:p w14:paraId="12CF397A"/>
    <w:p w14:paraId="0AC6A6FE"/>
    <w:p w14:paraId="31113BC9"/>
    <w:p w14:paraId="63FD4BB3"/>
    <w:p w14:paraId="6489BEFD"/>
    <w:p w14:paraId="51F7F591"/>
    <w:p w14:paraId="16E43656"/>
    <w:p w14:paraId="476C340B"/>
    <w:p w14:paraId="28AAEB09"/>
    <w:p w14:paraId="3167FD71"/>
    <w:p w14:paraId="74DA1D81"/>
    <w:p w14:paraId="2E7EEFBC"/>
    <w:p w14:paraId="249252DD"/>
    <w:p w14:paraId="1BC59F16"/>
    <w:p w14:paraId="4E6D6E6C"/>
    <w:p w14:paraId="2B9BE021"/>
    <w:p w14:paraId="3315B4FB"/>
    <w:tbl>
      <w:tblPr>
        <w:tblStyle w:val="5"/>
        <w:tblW w:w="15949"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09"/>
        <w:gridCol w:w="590"/>
        <w:gridCol w:w="465"/>
        <w:gridCol w:w="1015"/>
        <w:gridCol w:w="7712"/>
        <w:gridCol w:w="1088"/>
        <w:gridCol w:w="1722"/>
        <w:gridCol w:w="2748"/>
      </w:tblGrid>
      <w:tr w14:paraId="74018A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5949" w:type="dxa"/>
            <w:gridSpan w:val="8"/>
            <w:tcBorders>
              <w:tl2br w:val="nil"/>
              <w:tr2bl w:val="nil"/>
            </w:tcBorders>
            <w:shd w:val="clear" w:color="auto" w:fill="auto"/>
            <w:vAlign w:val="center"/>
          </w:tcPr>
          <w:p w14:paraId="2923E9DE">
            <w:pPr>
              <w:keepNext w:val="0"/>
              <w:keepLines w:val="0"/>
              <w:pageBreakBefore w:val="0"/>
              <w:widowControl w:val="0"/>
              <w:kinsoku/>
              <w:wordWrap/>
              <w:overflowPunct/>
              <w:topLinePunct w:val="0"/>
              <w:autoSpaceDE/>
              <w:autoSpaceDN/>
              <w:bidi w:val="0"/>
              <w:adjustRightInd/>
              <w:snapToGrid/>
              <w:jc w:val="center"/>
              <w:rPr>
                <w:rFonts w:hint="eastAsia" w:asciiTheme="minorHAnsi" w:hAnsiTheme="minorHAnsi" w:eastAsiaTheme="minorEastAsia" w:cstheme="minorBidi"/>
                <w:kern w:val="2"/>
                <w:sz w:val="21"/>
                <w:szCs w:val="24"/>
                <w:lang w:val="en-US" w:eastAsia="zh-CN" w:bidi="ar-SA"/>
              </w:rPr>
            </w:pPr>
            <w:r>
              <w:rPr>
                <w:rFonts w:hint="eastAsia" w:ascii="仿宋" w:hAnsi="仿宋" w:eastAsia="仿宋" w:cs="仿宋"/>
                <w:b/>
                <w:bCs/>
                <w:i w:val="0"/>
                <w:iCs w:val="0"/>
                <w:color w:val="000000"/>
                <w:sz w:val="26"/>
                <w:szCs w:val="26"/>
                <w:u w:val="none"/>
                <w:lang w:val="en-US" w:eastAsia="zh-CN"/>
              </w:rPr>
              <w:t>星级技术要求</w:t>
            </w:r>
          </w:p>
        </w:tc>
      </w:tr>
      <w:tr w14:paraId="512B4D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76" w:hRule="atLeast"/>
        </w:trPr>
        <w:tc>
          <w:tcPr>
            <w:tcW w:w="609" w:type="dxa"/>
            <w:tcBorders>
              <w:tl2br w:val="nil"/>
              <w:tr2bl w:val="nil"/>
            </w:tcBorders>
            <w:shd w:val="clear" w:color="auto" w:fill="auto"/>
            <w:vAlign w:val="center"/>
          </w:tcPr>
          <w:p w14:paraId="58717A16">
            <w:pPr>
              <w:keepNext w:val="0"/>
              <w:keepLines/>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166</w:t>
            </w:r>
          </w:p>
        </w:tc>
        <w:tc>
          <w:tcPr>
            <w:tcW w:w="590" w:type="dxa"/>
            <w:tcBorders>
              <w:tl2br w:val="nil"/>
              <w:tr2bl w:val="nil"/>
            </w:tcBorders>
            <w:shd w:val="clear" w:color="auto" w:fill="auto"/>
            <w:vAlign w:val="center"/>
          </w:tcPr>
          <w:p w14:paraId="676355AB">
            <w:pPr>
              <w:keepNext w:val="0"/>
              <w:keepLines/>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星级技术要求</w:t>
            </w:r>
          </w:p>
        </w:tc>
        <w:tc>
          <w:tcPr>
            <w:tcW w:w="465" w:type="dxa"/>
            <w:tcBorders>
              <w:tl2br w:val="nil"/>
              <w:tr2bl w:val="nil"/>
            </w:tcBorders>
            <w:shd w:val="clear" w:color="auto" w:fill="auto"/>
            <w:vAlign w:val="center"/>
          </w:tcPr>
          <w:p w14:paraId="61C2638E">
            <w:pPr>
              <w:keepNext w:val="0"/>
              <w:keepLines/>
              <w:pageBreakBefore w:val="0"/>
              <w:widowControl w:val="0"/>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1015" w:type="dxa"/>
            <w:tcBorders>
              <w:tl2br w:val="nil"/>
              <w:tr2bl w:val="nil"/>
            </w:tcBorders>
            <w:shd w:val="clear" w:color="auto" w:fill="auto"/>
            <w:noWrap/>
            <w:vAlign w:val="center"/>
          </w:tcPr>
          <w:p w14:paraId="4A054AFF">
            <w:pPr>
              <w:keepNext w:val="0"/>
              <w:keepLines/>
              <w:pageBreakBefore w:val="0"/>
              <w:widowControl w:val="0"/>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9.2.7</w:t>
            </w:r>
          </w:p>
        </w:tc>
        <w:tc>
          <w:tcPr>
            <w:tcW w:w="7712" w:type="dxa"/>
            <w:tcBorders>
              <w:tl2br w:val="nil"/>
              <w:tr2bl w:val="nil"/>
            </w:tcBorders>
            <w:shd w:val="clear" w:color="auto" w:fill="auto"/>
            <w:vAlign w:val="center"/>
          </w:tcPr>
          <w:p w14:paraId="03D7E3EB">
            <w:pPr>
              <w:ind w:firstLine="220" w:firstLineChars="1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rPr>
              <w:t>好</w:t>
            </w:r>
            <w:r>
              <w:rPr>
                <w:rFonts w:hint="eastAsia" w:ascii="仿宋" w:hAnsi="仿宋" w:eastAsia="仿宋" w:cs="仿宋"/>
                <w:b w:val="0"/>
                <w:bCs w:val="0"/>
                <w:color w:val="auto"/>
                <w:sz w:val="22"/>
                <w:szCs w:val="22"/>
                <w:highlight w:val="none"/>
              </w:rPr>
              <w:t>小区、好房子星级等级按下列规定确定：</w:t>
            </w:r>
          </w:p>
          <w:p w14:paraId="10F894F7">
            <w:pPr>
              <w:pStyle w:val="11"/>
              <w:ind w:left="0" w:leftChars="0"/>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highlight w:val="none"/>
              </w:rPr>
              <w:t>1  一星级、二星级、三星级3个等级的好小区、好房子均满足本指引全部基本类的要求，且每类评价指标提升</w:t>
            </w:r>
            <w:r>
              <w:rPr>
                <w:rFonts w:hint="eastAsia" w:ascii="仿宋" w:hAnsi="仿宋" w:eastAsia="仿宋" w:cs="仿宋"/>
                <w:b w:val="0"/>
                <w:bCs w:val="0"/>
                <w:color w:val="auto"/>
                <w:sz w:val="22"/>
                <w:szCs w:val="22"/>
              </w:rPr>
              <w:t>类总分值不少于30分；</w:t>
            </w:r>
          </w:p>
          <w:p w14:paraId="2A643FBC">
            <w:pPr>
              <w:pStyle w:val="11"/>
              <w:ind w:left="0" w:leftChars="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rPr>
              <w:t>2  当总得分分别达到60分、70分、85分且满足表</w:t>
            </w:r>
            <w:r>
              <w:rPr>
                <w:rFonts w:hint="eastAsia" w:ascii="仿宋" w:hAnsi="仿宋" w:eastAsia="仿宋" w:cs="仿宋"/>
                <w:b w:val="0"/>
                <w:bCs w:val="0"/>
                <w:color w:val="auto"/>
                <w:sz w:val="22"/>
                <w:szCs w:val="22"/>
                <w:lang w:eastAsia="zh-CN"/>
              </w:rPr>
              <w:t>9.2.</w:t>
            </w:r>
            <w:r>
              <w:rPr>
                <w:rFonts w:hint="eastAsia" w:ascii="仿宋" w:hAnsi="仿宋" w:eastAsia="仿宋" w:cs="仿宋"/>
                <w:b w:val="0"/>
                <w:bCs w:val="0"/>
                <w:color w:val="auto"/>
                <w:sz w:val="22"/>
                <w:szCs w:val="22"/>
              </w:rPr>
              <w:t>7的要求时，好小区、好房子等级分别为</w:t>
            </w:r>
            <w:r>
              <w:rPr>
                <w:rFonts w:hint="eastAsia" w:ascii="仿宋" w:hAnsi="仿宋" w:eastAsia="仿宋" w:cs="仿宋"/>
                <w:b w:val="0"/>
                <w:bCs w:val="0"/>
                <w:color w:val="auto"/>
                <w:sz w:val="22"/>
                <w:szCs w:val="22"/>
                <w:highlight w:val="none"/>
              </w:rPr>
              <w:t>一星级、二星级、三星级。</w:t>
            </w:r>
          </w:p>
          <w:p w14:paraId="13A07913">
            <w:pPr>
              <w:pStyle w:val="9"/>
              <w:rPr>
                <w:rFonts w:hint="eastAsia" w:ascii="仿宋" w:hAnsi="仿宋" w:eastAsia="仿宋" w:cs="仿宋"/>
                <w:b/>
                <w:bCs/>
                <w:color w:val="auto"/>
                <w:sz w:val="22"/>
                <w:szCs w:val="22"/>
                <w:highlight w:val="none"/>
              </w:rPr>
            </w:pPr>
            <w:r>
              <w:rPr>
                <w:rFonts w:ascii="仿宋" w:hAnsi="仿宋" w:eastAsia="仿宋" w:cs="仿宋"/>
                <w:b/>
                <w:bCs/>
                <w:color w:val="auto"/>
                <w:sz w:val="22"/>
                <w:szCs w:val="22"/>
                <w:highlight w:val="none"/>
              </w:rPr>
              <w:t>表</w:t>
            </w:r>
            <w:r>
              <w:rPr>
                <w:rFonts w:hint="eastAsia" w:ascii="仿宋" w:hAnsi="仿宋" w:eastAsia="仿宋" w:cs="仿宋"/>
                <w:b/>
                <w:bCs/>
                <w:color w:val="auto"/>
                <w:sz w:val="22"/>
                <w:szCs w:val="22"/>
                <w:highlight w:val="none"/>
                <w:lang w:eastAsia="zh-CN"/>
              </w:rPr>
              <w:t>9.2.</w:t>
            </w:r>
            <w:r>
              <w:rPr>
                <w:rFonts w:ascii="仿宋" w:hAnsi="仿宋" w:eastAsia="仿宋" w:cs="仿宋"/>
                <w:b/>
                <w:bCs/>
                <w:color w:val="auto"/>
                <w:sz w:val="22"/>
                <w:szCs w:val="22"/>
                <w:highlight w:val="none"/>
              </w:rPr>
              <w:t xml:space="preserve">7 </w:t>
            </w:r>
            <w:r>
              <w:rPr>
                <w:rFonts w:hint="eastAsia" w:ascii="仿宋" w:hAnsi="仿宋" w:eastAsia="仿宋" w:cs="仿宋"/>
                <w:b/>
                <w:bCs/>
                <w:color w:val="auto"/>
                <w:sz w:val="22"/>
                <w:szCs w:val="22"/>
                <w:highlight w:val="none"/>
              </w:rPr>
              <w:t>一星级、二星级、三星级</w:t>
            </w:r>
            <w:r>
              <w:rPr>
                <w:rFonts w:ascii="仿宋" w:hAnsi="仿宋" w:eastAsia="仿宋" w:cs="仿宋"/>
                <w:b/>
                <w:bCs/>
                <w:color w:val="auto"/>
                <w:sz w:val="22"/>
                <w:szCs w:val="22"/>
                <w:highlight w:val="none"/>
              </w:rPr>
              <w:t>好小区、好房子的技术要求</w:t>
            </w:r>
          </w:p>
          <w:tbl>
            <w:tblPr>
              <w:tblStyle w:val="5"/>
              <w:tblW w:w="4527"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Layout w:type="fixed"/>
              <w:tblCellMar>
                <w:top w:w="0" w:type="dxa"/>
                <w:left w:w="0" w:type="dxa"/>
                <w:bottom w:w="0" w:type="dxa"/>
                <w:right w:w="0" w:type="dxa"/>
              </w:tblCellMar>
            </w:tblPr>
            <w:tblGrid>
              <w:gridCol w:w="1354"/>
              <w:gridCol w:w="1805"/>
              <w:gridCol w:w="1805"/>
              <w:gridCol w:w="1806"/>
            </w:tblGrid>
            <w:tr w14:paraId="48B07A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323" w:hRule="atLeast"/>
                <w:jc w:val="center"/>
              </w:trPr>
              <w:tc>
                <w:tcPr>
                  <w:tcW w:w="750" w:type="pct"/>
                  <w:tcBorders>
                    <w:tl2br w:val="nil"/>
                    <w:tr2bl w:val="nil"/>
                  </w:tcBorders>
                  <w:vAlign w:val="center"/>
                </w:tcPr>
                <w:p w14:paraId="2086B086">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none"/>
                    </w:rPr>
                  </w:pPr>
                </w:p>
              </w:tc>
              <w:tc>
                <w:tcPr>
                  <w:tcW w:w="1000" w:type="pct"/>
                  <w:tcBorders>
                    <w:tl2br w:val="nil"/>
                    <w:tr2bl w:val="nil"/>
                  </w:tcBorders>
                  <w:vAlign w:val="center"/>
                </w:tcPr>
                <w:p w14:paraId="08D4A535">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一星级</w:t>
                  </w:r>
                </w:p>
              </w:tc>
              <w:tc>
                <w:tcPr>
                  <w:tcW w:w="1000" w:type="pct"/>
                  <w:tcBorders>
                    <w:tl2br w:val="nil"/>
                    <w:tr2bl w:val="nil"/>
                  </w:tcBorders>
                  <w:vAlign w:val="center"/>
                </w:tcPr>
                <w:p w14:paraId="58FBF6CC">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二星级</w:t>
                  </w:r>
                </w:p>
              </w:tc>
              <w:tc>
                <w:tcPr>
                  <w:tcW w:w="1000" w:type="pct"/>
                  <w:tcBorders>
                    <w:tl2br w:val="nil"/>
                    <w:tr2bl w:val="nil"/>
                  </w:tcBorders>
                  <w:vAlign w:val="center"/>
                </w:tcPr>
                <w:p w14:paraId="1EF5B2A5">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三星级</w:t>
                  </w:r>
                </w:p>
              </w:tc>
            </w:tr>
            <w:tr w14:paraId="1652A7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2821" w:hRule="atLeast"/>
                <w:jc w:val="center"/>
              </w:trPr>
              <w:tc>
                <w:tcPr>
                  <w:tcW w:w="750" w:type="pct"/>
                  <w:tcBorders>
                    <w:tl2br w:val="nil"/>
                    <w:tr2bl w:val="nil"/>
                  </w:tcBorders>
                  <w:vAlign w:val="center"/>
                </w:tcPr>
                <w:p w14:paraId="1619106C">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none"/>
                    </w:rPr>
                  </w:pPr>
                  <w:r>
                    <w:rPr>
                      <w:rFonts w:ascii="仿宋" w:hAnsi="仿宋" w:eastAsia="仿宋" w:cs="仿宋"/>
                      <w:b w:val="0"/>
                      <w:bCs w:val="0"/>
                      <w:color w:val="auto"/>
                      <w:sz w:val="22"/>
                      <w:szCs w:val="22"/>
                      <w:highlight w:val="none"/>
                    </w:rPr>
                    <w:t>车库</w:t>
                  </w:r>
                </w:p>
              </w:tc>
              <w:tc>
                <w:tcPr>
                  <w:tcW w:w="1000" w:type="pct"/>
                  <w:tcBorders>
                    <w:tl2br w:val="nil"/>
                    <w:tr2bl w:val="nil"/>
                  </w:tcBorders>
                  <w:vAlign w:val="center"/>
                </w:tcPr>
                <w:p w14:paraId="4229C06E">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eastAsia="zh-CN"/>
                    </w:rPr>
                    <w:t>—</w:t>
                  </w:r>
                </w:p>
              </w:tc>
              <w:tc>
                <w:tcPr>
                  <w:tcW w:w="1000" w:type="pct"/>
                  <w:tcBorders>
                    <w:tl2br w:val="nil"/>
                    <w:tr2bl w:val="nil"/>
                  </w:tcBorders>
                  <w:vAlign w:val="center"/>
                </w:tcPr>
                <w:p w14:paraId="4FDB4F2C">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eastAsia="zh-CN"/>
                    </w:rPr>
                    <w:t>地下车库入户门厅外的人行通道宽度不小于1.8m。</w:t>
                  </w:r>
                </w:p>
                <w:p w14:paraId="634E50B7">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eastAsia="zh-CN"/>
                    </w:rPr>
                    <w:t>地下车库至少有一个出入口、坡道以及主车道净高不低于2.6m，主车道为环线，车位净高不低于2.4m</w:t>
                  </w:r>
                </w:p>
              </w:tc>
              <w:tc>
                <w:tcPr>
                  <w:tcW w:w="1000" w:type="pct"/>
                  <w:tcBorders>
                    <w:tl2br w:val="nil"/>
                    <w:tr2bl w:val="nil"/>
                  </w:tcBorders>
                  <w:vAlign w:val="center"/>
                </w:tcPr>
                <w:p w14:paraId="2EDEC87F">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val="en-US" w:eastAsia="zh-CN"/>
                    </w:rPr>
                    <w:t>在二星级技术要求基础上满足：地下</w:t>
                  </w:r>
                  <w:r>
                    <w:rPr>
                      <w:rFonts w:hint="eastAsia" w:ascii="仿宋" w:hAnsi="仿宋" w:eastAsia="仿宋" w:cs="仿宋"/>
                      <w:b w:val="0"/>
                      <w:bCs w:val="0"/>
                      <w:color w:val="auto"/>
                      <w:sz w:val="22"/>
                      <w:szCs w:val="22"/>
                      <w:highlight w:val="none"/>
                    </w:rPr>
                    <w:t>车库采取下沉庭院、采光通风井、导光管等措施</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宽度不小于2.6m、深度不小于5.5m</w:t>
                  </w:r>
                  <w:r>
                    <w:rPr>
                      <w:rFonts w:hint="eastAsia" w:ascii="仿宋" w:hAnsi="仿宋" w:eastAsia="仿宋" w:cs="仿宋"/>
                      <w:b w:val="0"/>
                      <w:bCs w:val="0"/>
                      <w:color w:val="auto"/>
                      <w:sz w:val="22"/>
                      <w:szCs w:val="22"/>
                      <w:highlight w:val="none"/>
                      <w:lang w:val="en-US" w:eastAsia="zh-CN"/>
                    </w:rPr>
                    <w:t>的</w:t>
                  </w:r>
                  <w:r>
                    <w:rPr>
                      <w:rFonts w:hint="eastAsia" w:ascii="仿宋" w:hAnsi="仿宋" w:eastAsia="仿宋" w:cs="仿宋"/>
                      <w:b w:val="0"/>
                      <w:bCs w:val="0"/>
                      <w:color w:val="auto"/>
                      <w:sz w:val="22"/>
                      <w:szCs w:val="22"/>
                      <w:highlight w:val="none"/>
                    </w:rPr>
                    <w:t>机动车停车位不少于配建标准数量的</w:t>
                  </w:r>
                  <w:r>
                    <w:rPr>
                      <w:rFonts w:hint="eastAsia" w:ascii="仿宋" w:hAnsi="仿宋" w:eastAsia="仿宋" w:cs="仿宋"/>
                      <w:b w:val="0"/>
                      <w:bCs w:val="0"/>
                      <w:color w:val="auto"/>
                      <w:sz w:val="22"/>
                      <w:szCs w:val="22"/>
                      <w:highlight w:val="none"/>
                      <w:lang w:val="en-US" w:eastAsia="zh-CN"/>
                    </w:rPr>
                    <w:t>10%</w:t>
                  </w:r>
                </w:p>
              </w:tc>
            </w:tr>
            <w:tr w14:paraId="6F9A39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3824" w:hRule="atLeast"/>
                <w:jc w:val="center"/>
              </w:trPr>
              <w:tc>
                <w:tcPr>
                  <w:tcW w:w="750" w:type="pct"/>
                  <w:tcBorders>
                    <w:tl2br w:val="nil"/>
                    <w:tr2bl w:val="nil"/>
                  </w:tcBorders>
                  <w:vAlign w:val="center"/>
                </w:tcPr>
                <w:p w14:paraId="1417A076">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门厅</w:t>
                  </w:r>
                </w:p>
              </w:tc>
              <w:tc>
                <w:tcPr>
                  <w:tcW w:w="1000" w:type="pct"/>
                  <w:tcBorders>
                    <w:tl2br w:val="nil"/>
                    <w:tr2bl w:val="nil"/>
                  </w:tcBorders>
                  <w:vAlign w:val="center"/>
                </w:tcPr>
                <w:p w14:paraId="60CB33AF">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val="en-US" w:eastAsia="zh-CN"/>
                    </w:rPr>
                    <w:t>首层门厅出入口为平坡出入口</w:t>
                  </w:r>
                </w:p>
              </w:tc>
              <w:tc>
                <w:tcPr>
                  <w:tcW w:w="1000" w:type="pct"/>
                  <w:tcBorders>
                    <w:tl2br w:val="nil"/>
                    <w:tr2bl w:val="nil"/>
                  </w:tcBorders>
                  <w:vAlign w:val="center"/>
                </w:tcPr>
                <w:p w14:paraId="31AA312A">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首层门厅出入口为平坡出入口。</w:t>
                  </w:r>
                  <w:r>
                    <w:rPr>
                      <w:rFonts w:hint="eastAsia" w:ascii="仿宋" w:hAnsi="仿宋" w:eastAsia="仿宋" w:cs="仿宋"/>
                      <w:b w:val="0"/>
                      <w:bCs w:val="0"/>
                      <w:color w:val="auto"/>
                      <w:sz w:val="22"/>
                      <w:szCs w:val="22"/>
                      <w:highlight w:val="none"/>
                    </w:rPr>
                    <w:t>首层门厅层高不小于4</w:t>
                  </w:r>
                  <w:r>
                    <w:rPr>
                      <w:rFonts w:hint="eastAsia" w:ascii="仿宋" w:hAnsi="仿宋" w:eastAsia="仿宋" w:cs="仿宋"/>
                      <w:b w:val="0"/>
                      <w:bCs w:val="0"/>
                      <w:color w:val="auto"/>
                      <w:sz w:val="22"/>
                      <w:szCs w:val="22"/>
                      <w:highlight w:val="none"/>
                      <w:lang w:val="en-US" w:eastAsia="zh-CN"/>
                    </w:rPr>
                    <w:t>.0</w:t>
                  </w:r>
                  <w:r>
                    <w:rPr>
                      <w:rFonts w:hint="eastAsia" w:ascii="仿宋" w:hAnsi="仿宋" w:eastAsia="仿宋" w:cs="仿宋"/>
                      <w:b w:val="0"/>
                      <w:bCs w:val="0"/>
                      <w:color w:val="auto"/>
                      <w:sz w:val="22"/>
                      <w:szCs w:val="22"/>
                      <w:highlight w:val="none"/>
                    </w:rPr>
                    <w:t>m</w:t>
                  </w:r>
                </w:p>
              </w:tc>
              <w:tc>
                <w:tcPr>
                  <w:tcW w:w="1000" w:type="pct"/>
                  <w:tcBorders>
                    <w:tl2br w:val="nil"/>
                    <w:tr2bl w:val="nil"/>
                  </w:tcBorders>
                  <w:vAlign w:val="center"/>
                </w:tcPr>
                <w:p w14:paraId="28C93740">
                  <w:pPr>
                    <w:pStyle w:val="11"/>
                    <w:keepNext w:val="0"/>
                    <w:keepLines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val="en-US" w:eastAsia="zh-CN"/>
                    </w:rPr>
                    <w:t>首层门厅出入口为平坡出入口。</w:t>
                  </w:r>
                  <w:r>
                    <w:rPr>
                      <w:rFonts w:hint="eastAsia" w:ascii="仿宋" w:hAnsi="仿宋" w:eastAsia="仿宋" w:cs="仿宋"/>
                      <w:b w:val="0"/>
                      <w:bCs w:val="0"/>
                      <w:color w:val="auto"/>
                      <w:sz w:val="22"/>
                      <w:szCs w:val="22"/>
                      <w:highlight w:val="none"/>
                    </w:rPr>
                    <w:t>首层门厅层高不小于4</w:t>
                  </w:r>
                  <w:r>
                    <w:rPr>
                      <w:rFonts w:hint="eastAsia" w:ascii="仿宋" w:hAnsi="仿宋" w:eastAsia="仿宋" w:cs="仿宋"/>
                      <w:b w:val="0"/>
                      <w:bCs w:val="0"/>
                      <w:color w:val="auto"/>
                      <w:sz w:val="22"/>
                      <w:szCs w:val="22"/>
                      <w:highlight w:val="none"/>
                      <w:lang w:val="en-US" w:eastAsia="zh-CN"/>
                    </w:rPr>
                    <w:t>.5</w:t>
                  </w:r>
                  <w:r>
                    <w:rPr>
                      <w:rFonts w:hint="eastAsia" w:ascii="仿宋" w:hAnsi="仿宋" w:eastAsia="仿宋" w:cs="仿宋"/>
                      <w:b w:val="0"/>
                      <w:bCs w:val="0"/>
                      <w:color w:val="auto"/>
                      <w:sz w:val="22"/>
                      <w:szCs w:val="22"/>
                      <w:highlight w:val="none"/>
                    </w:rPr>
                    <w:t>m</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12层以下</w:t>
                  </w:r>
                  <w:r>
                    <w:rPr>
                      <w:rFonts w:hint="eastAsia" w:ascii="仿宋" w:hAnsi="仿宋" w:eastAsia="仿宋" w:cs="仿宋"/>
                      <w:b w:val="0"/>
                      <w:bCs w:val="0"/>
                      <w:color w:val="auto"/>
                      <w:sz w:val="22"/>
                      <w:szCs w:val="22"/>
                      <w:highlight w:val="none"/>
                      <w:lang w:eastAsia="zh-CN"/>
                    </w:rPr>
                    <w:t>住宅</w:t>
                  </w:r>
                  <w:r>
                    <w:rPr>
                      <w:rFonts w:hint="eastAsia" w:ascii="仿宋" w:hAnsi="仿宋" w:eastAsia="仿宋" w:cs="仿宋"/>
                      <w:b w:val="0"/>
                      <w:bCs w:val="0"/>
                      <w:color w:val="auto"/>
                      <w:sz w:val="22"/>
                      <w:szCs w:val="22"/>
                      <w:highlight w:val="none"/>
                    </w:rPr>
                    <w:t>门厅使用面积不小于12m²；12层及12层以上</w:t>
                  </w:r>
                  <w:r>
                    <w:rPr>
                      <w:rFonts w:hint="eastAsia" w:ascii="仿宋" w:hAnsi="仿宋" w:eastAsia="仿宋" w:cs="仿宋"/>
                      <w:b w:val="0"/>
                      <w:bCs w:val="0"/>
                      <w:color w:val="auto"/>
                      <w:sz w:val="22"/>
                      <w:szCs w:val="22"/>
                      <w:highlight w:val="none"/>
                      <w:lang w:eastAsia="zh-CN"/>
                    </w:rPr>
                    <w:t>住宅</w:t>
                  </w:r>
                  <w:r>
                    <w:rPr>
                      <w:rFonts w:hint="eastAsia" w:ascii="仿宋" w:hAnsi="仿宋" w:eastAsia="仿宋" w:cs="仿宋"/>
                      <w:b w:val="0"/>
                      <w:bCs w:val="0"/>
                      <w:color w:val="auto"/>
                      <w:sz w:val="22"/>
                      <w:szCs w:val="22"/>
                      <w:highlight w:val="none"/>
                    </w:rPr>
                    <w:t>门厅使用面积不小于18m²； 地上单元门厅、电梯厅、公共走道有自然通风与采光</w:t>
                  </w:r>
                </w:p>
              </w:tc>
            </w:tr>
            <w:tr w14:paraId="5FC04F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2328" w:hRule="atLeast"/>
                <w:jc w:val="center"/>
              </w:trPr>
              <w:tc>
                <w:tcPr>
                  <w:tcW w:w="750" w:type="pct"/>
                  <w:tcBorders>
                    <w:tl2br w:val="nil"/>
                    <w:tr2bl w:val="nil"/>
                  </w:tcBorders>
                  <w:vAlign w:val="center"/>
                </w:tcPr>
                <w:p w14:paraId="5B3326EF">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lang w:eastAsia="zh-CN"/>
                    </w:rPr>
                  </w:pPr>
                  <w:r>
                    <w:rPr>
                      <w:rFonts w:ascii="仿宋" w:hAnsi="仿宋" w:eastAsia="仿宋" w:cs="仿宋"/>
                      <w:b w:val="0"/>
                      <w:bCs w:val="0"/>
                      <w:color w:val="auto"/>
                      <w:sz w:val="22"/>
                      <w:szCs w:val="22"/>
                    </w:rPr>
                    <w:t>慢行系统</w:t>
                  </w:r>
                </w:p>
              </w:tc>
              <w:tc>
                <w:tcPr>
                  <w:tcW w:w="1000" w:type="pct"/>
                  <w:tcBorders>
                    <w:tl2br w:val="nil"/>
                    <w:tr2bl w:val="nil"/>
                  </w:tcBorders>
                  <w:vAlign w:val="center"/>
                </w:tcPr>
                <w:p w14:paraId="58F0D280">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w:t>
                  </w:r>
                </w:p>
              </w:tc>
              <w:tc>
                <w:tcPr>
                  <w:tcW w:w="1000" w:type="pct"/>
                  <w:tcBorders>
                    <w:tl2br w:val="nil"/>
                    <w:tr2bl w:val="nil"/>
                  </w:tcBorders>
                  <w:vAlign w:val="center"/>
                </w:tcPr>
                <w:p w14:paraId="621C0AAD">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结合风雨连廊、架空层、合理设置联通区内各主要人行通道</w:t>
                  </w:r>
                </w:p>
              </w:tc>
              <w:tc>
                <w:tcPr>
                  <w:tcW w:w="1000" w:type="pct"/>
                  <w:tcBorders>
                    <w:tl2br w:val="nil"/>
                    <w:tr2bl w:val="nil"/>
                  </w:tcBorders>
                  <w:vAlign w:val="center"/>
                </w:tcPr>
                <w:p w14:paraId="1382DFA1">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lang w:eastAsia="zh-CN"/>
                    </w:rPr>
                  </w:pPr>
                  <w:r>
                    <w:rPr>
                      <w:rFonts w:ascii="仿宋" w:hAnsi="仿宋" w:eastAsia="仿宋" w:cs="仿宋"/>
                      <w:b w:val="0"/>
                      <w:bCs w:val="0"/>
                      <w:color w:val="auto"/>
                      <w:sz w:val="22"/>
                      <w:szCs w:val="22"/>
                    </w:rPr>
                    <w:t>结合风雨连廊、架空层、合理设置联通区内各住宅入口</w:t>
                  </w:r>
                  <w:r>
                    <w:rPr>
                      <w:rFonts w:hint="eastAsia" w:ascii="仿宋" w:hAnsi="仿宋" w:eastAsia="仿宋" w:cs="仿宋"/>
                      <w:b w:val="0"/>
                      <w:bCs w:val="0"/>
                      <w:color w:val="auto"/>
                      <w:sz w:val="22"/>
                      <w:szCs w:val="22"/>
                      <w:lang w:eastAsia="zh-CN"/>
                    </w:rPr>
                    <w:t>以及配套设施</w:t>
                  </w:r>
                  <w:r>
                    <w:rPr>
                      <w:rFonts w:ascii="仿宋" w:hAnsi="仿宋" w:eastAsia="仿宋" w:cs="仿宋"/>
                      <w:b w:val="0"/>
                      <w:bCs w:val="0"/>
                      <w:color w:val="auto"/>
                      <w:sz w:val="22"/>
                      <w:szCs w:val="22"/>
                    </w:rPr>
                    <w:t>的慢行系统，沿线</w:t>
                  </w:r>
                  <w:r>
                    <w:rPr>
                      <w:rFonts w:hint="eastAsia" w:ascii="仿宋" w:hAnsi="仿宋" w:eastAsia="仿宋" w:cs="仿宋"/>
                      <w:b w:val="0"/>
                      <w:bCs w:val="0"/>
                      <w:color w:val="auto"/>
                      <w:sz w:val="22"/>
                      <w:szCs w:val="22"/>
                      <w:lang w:eastAsia="zh-CN"/>
                    </w:rPr>
                    <w:t>结合景观</w:t>
                  </w:r>
                  <w:r>
                    <w:rPr>
                      <w:rFonts w:ascii="仿宋" w:hAnsi="仿宋" w:eastAsia="仿宋" w:cs="仿宋"/>
                      <w:b w:val="0"/>
                      <w:bCs w:val="0"/>
                      <w:color w:val="auto"/>
                      <w:sz w:val="22"/>
                      <w:szCs w:val="22"/>
                    </w:rPr>
                    <w:t>设置休憩座椅、指向和警示标识等辅助设施</w:t>
                  </w:r>
                </w:p>
              </w:tc>
            </w:tr>
            <w:tr w14:paraId="1CF2EC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1724" w:hRule="atLeast"/>
                <w:jc w:val="center"/>
              </w:trPr>
              <w:tc>
                <w:tcPr>
                  <w:tcW w:w="750" w:type="pct"/>
                  <w:tcBorders>
                    <w:tl2br w:val="nil"/>
                    <w:tr2bl w:val="nil"/>
                  </w:tcBorders>
                  <w:shd w:val="clear" w:color="auto" w:fill="auto"/>
                  <w:vAlign w:val="center"/>
                </w:tcPr>
                <w:p w14:paraId="1092B04D">
                  <w:pPr>
                    <w:pStyle w:val="9"/>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kern w:val="2"/>
                      <w:sz w:val="22"/>
                      <w:szCs w:val="22"/>
                      <w:lang w:val="en-US" w:eastAsia="zh-CN" w:bidi="ar-SA"/>
                    </w:rPr>
                  </w:pPr>
                  <w:r>
                    <w:rPr>
                      <w:rFonts w:ascii="仿宋" w:hAnsi="仿宋" w:eastAsia="仿宋" w:cs="仿宋"/>
                      <w:b w:val="0"/>
                      <w:bCs w:val="0"/>
                      <w:color w:val="auto"/>
                      <w:sz w:val="22"/>
                      <w:szCs w:val="22"/>
                    </w:rPr>
                    <w:t>架空层</w:t>
                  </w:r>
                </w:p>
              </w:tc>
              <w:tc>
                <w:tcPr>
                  <w:tcW w:w="1000" w:type="pct"/>
                  <w:tcBorders>
                    <w:tl2br w:val="nil"/>
                    <w:tr2bl w:val="nil"/>
                  </w:tcBorders>
                  <w:shd w:val="clear" w:color="auto" w:fill="auto"/>
                  <w:vAlign w:val="center"/>
                </w:tcPr>
                <w:p w14:paraId="5E6B2A98">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w:t>
                  </w:r>
                </w:p>
              </w:tc>
              <w:tc>
                <w:tcPr>
                  <w:tcW w:w="1000" w:type="pct"/>
                  <w:tcBorders>
                    <w:tl2br w:val="nil"/>
                    <w:tr2bl w:val="nil"/>
                  </w:tcBorders>
                  <w:shd w:val="clear" w:color="auto" w:fill="auto"/>
                  <w:vAlign w:val="center"/>
                </w:tcPr>
                <w:p w14:paraId="338FFAEA">
                  <w:pPr>
                    <w:pStyle w:val="9"/>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高层住宅基底面积30%及以上设置架空层，且架空层层高不小于4.0m</w:t>
                  </w:r>
                </w:p>
              </w:tc>
              <w:tc>
                <w:tcPr>
                  <w:tcW w:w="1000" w:type="pct"/>
                  <w:tcBorders>
                    <w:tl2br w:val="nil"/>
                    <w:tr2bl w:val="nil"/>
                  </w:tcBorders>
                  <w:shd w:val="clear" w:color="auto" w:fill="auto"/>
                  <w:vAlign w:val="center"/>
                </w:tcPr>
                <w:p w14:paraId="0B869E6A">
                  <w:pPr>
                    <w:pStyle w:val="9"/>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kern w:val="2"/>
                      <w:sz w:val="22"/>
                      <w:szCs w:val="22"/>
                      <w:lang w:val="en-US" w:eastAsia="zh-CN" w:bidi="ar-SA"/>
                    </w:rPr>
                    <w:t>高层住宅基底面积40%及以上设置架空层，且架空层层高不小于4.5m</w:t>
                  </w:r>
                </w:p>
              </w:tc>
            </w:tr>
            <w:tr w14:paraId="756FDD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210" w:hRule="atLeast"/>
                <w:jc w:val="center"/>
              </w:trPr>
              <w:tc>
                <w:tcPr>
                  <w:tcW w:w="750" w:type="pct"/>
                  <w:tcBorders>
                    <w:tl2br w:val="nil"/>
                    <w:tr2bl w:val="nil"/>
                  </w:tcBorders>
                  <w:vAlign w:val="center"/>
                </w:tcPr>
                <w:p w14:paraId="4AAFD1B0">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集中设备平台</w:t>
                  </w:r>
                </w:p>
              </w:tc>
              <w:tc>
                <w:tcPr>
                  <w:tcW w:w="1000" w:type="pct"/>
                  <w:gridSpan w:val="3"/>
                  <w:tcBorders>
                    <w:tl2br w:val="nil"/>
                    <w:tr2bl w:val="nil"/>
                  </w:tcBorders>
                  <w:vAlign w:val="center"/>
                </w:tcPr>
                <w:p w14:paraId="23B3D6DA">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各套住宅均</w:t>
                  </w:r>
                  <w:r>
                    <w:rPr>
                      <w:rFonts w:hint="eastAsia" w:ascii="仿宋" w:hAnsi="仿宋" w:eastAsia="仿宋" w:cs="仿宋"/>
                      <w:b w:val="0"/>
                      <w:bCs w:val="0"/>
                      <w:color w:val="auto"/>
                      <w:sz w:val="22"/>
                      <w:szCs w:val="22"/>
                    </w:rPr>
                    <w:t>设置</w:t>
                  </w:r>
                  <w:r>
                    <w:rPr>
                      <w:rFonts w:hint="eastAsia" w:ascii="仿宋" w:hAnsi="仿宋" w:eastAsia="仿宋" w:cs="仿宋"/>
                      <w:b w:val="0"/>
                      <w:bCs w:val="0"/>
                      <w:color w:val="auto"/>
                      <w:sz w:val="22"/>
                      <w:szCs w:val="22"/>
                      <w:lang w:val="en-US" w:eastAsia="zh-CN"/>
                    </w:rPr>
                    <w:t>钢筋混凝土</w:t>
                  </w:r>
                  <w:r>
                    <w:rPr>
                      <w:rFonts w:hint="eastAsia" w:ascii="仿宋" w:hAnsi="仿宋" w:eastAsia="仿宋" w:cs="仿宋"/>
                      <w:b w:val="0"/>
                      <w:bCs w:val="0"/>
                      <w:color w:val="auto"/>
                      <w:sz w:val="22"/>
                      <w:szCs w:val="22"/>
                    </w:rPr>
                    <w:t>集中设备平台</w:t>
                  </w:r>
                </w:p>
              </w:tc>
            </w:tr>
            <w:tr w14:paraId="1E7F57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1380" w:hRule="atLeast"/>
                <w:jc w:val="center"/>
              </w:trPr>
              <w:tc>
                <w:tcPr>
                  <w:tcW w:w="750" w:type="pct"/>
                  <w:tcBorders>
                    <w:tl2br w:val="nil"/>
                    <w:tr2bl w:val="nil"/>
                  </w:tcBorders>
                  <w:vAlign w:val="center"/>
                </w:tcPr>
                <w:p w14:paraId="73D7ADC0">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围护结构热工性能的提高比例，或建筑供暖空调负荷降低比例</w:t>
                  </w:r>
                </w:p>
              </w:tc>
              <w:tc>
                <w:tcPr>
                  <w:tcW w:w="1000" w:type="pct"/>
                  <w:tcBorders>
                    <w:tl2br w:val="nil"/>
                    <w:tr2bl w:val="nil"/>
                  </w:tcBorders>
                  <w:vAlign w:val="center"/>
                </w:tcPr>
                <w:p w14:paraId="05C3576A">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w:t>
                  </w:r>
                </w:p>
              </w:tc>
              <w:tc>
                <w:tcPr>
                  <w:tcW w:w="1000" w:type="pct"/>
                  <w:tcBorders>
                    <w:tl2br w:val="nil"/>
                    <w:tr2bl w:val="nil"/>
                  </w:tcBorders>
                  <w:vAlign w:val="center"/>
                </w:tcPr>
                <w:p w14:paraId="542D706D">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围护结构提高5%，或负荷降低3%</w:t>
                  </w:r>
                </w:p>
              </w:tc>
              <w:tc>
                <w:tcPr>
                  <w:tcW w:w="1000" w:type="pct"/>
                  <w:tcBorders>
                    <w:tl2br w:val="nil"/>
                    <w:tr2bl w:val="nil"/>
                  </w:tcBorders>
                  <w:vAlign w:val="center"/>
                </w:tcPr>
                <w:p w14:paraId="77677991">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围护结构提高10%，或负荷降低5%</w:t>
                  </w:r>
                </w:p>
              </w:tc>
            </w:tr>
            <w:tr w14:paraId="65921D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434" w:hRule="atLeast"/>
                <w:jc w:val="center"/>
              </w:trPr>
              <w:tc>
                <w:tcPr>
                  <w:tcW w:w="750" w:type="pct"/>
                  <w:tcBorders>
                    <w:tl2br w:val="nil"/>
                    <w:tr2bl w:val="nil"/>
                  </w:tcBorders>
                  <w:vAlign w:val="center"/>
                </w:tcPr>
                <w:p w14:paraId="20E1797E">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节水器具用水</w:t>
                  </w:r>
                </w:p>
                <w:p w14:paraId="33836C57">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效率等级</w:t>
                  </w:r>
                </w:p>
              </w:tc>
              <w:tc>
                <w:tcPr>
                  <w:tcW w:w="1000" w:type="pct"/>
                  <w:tcBorders>
                    <w:tl2br w:val="nil"/>
                    <w:tr2bl w:val="nil"/>
                  </w:tcBorders>
                  <w:vAlign w:val="center"/>
                </w:tcPr>
                <w:p w14:paraId="7A98838E">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2级</w:t>
                  </w:r>
                </w:p>
              </w:tc>
              <w:tc>
                <w:tcPr>
                  <w:tcW w:w="1000" w:type="pct"/>
                  <w:gridSpan w:val="2"/>
                  <w:tcBorders>
                    <w:tl2br w:val="nil"/>
                    <w:tr2bl w:val="nil"/>
                  </w:tcBorders>
                  <w:vAlign w:val="center"/>
                </w:tcPr>
                <w:p w14:paraId="7D3FBAF5">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1级</w:t>
                  </w:r>
                </w:p>
              </w:tc>
            </w:tr>
            <w:tr w14:paraId="597E79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1634" w:hRule="atLeast"/>
                <w:jc w:val="center"/>
              </w:trPr>
              <w:tc>
                <w:tcPr>
                  <w:tcW w:w="750" w:type="pct"/>
                  <w:tcBorders>
                    <w:tl2br w:val="nil"/>
                    <w:tr2bl w:val="nil"/>
                  </w:tcBorders>
                  <w:vAlign w:val="center"/>
                </w:tcPr>
                <w:p w14:paraId="32ADA392">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住宅建筑隔声性能</w:t>
                  </w:r>
                </w:p>
              </w:tc>
              <w:tc>
                <w:tcPr>
                  <w:tcW w:w="1000" w:type="pct"/>
                  <w:tcBorders>
                    <w:tl2br w:val="nil"/>
                    <w:tr2bl w:val="nil"/>
                  </w:tcBorders>
                  <w:vAlign w:val="center"/>
                </w:tcPr>
                <w:p w14:paraId="6EF742CD">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w:t>
                  </w:r>
                </w:p>
              </w:tc>
              <w:tc>
                <w:tcPr>
                  <w:tcW w:w="1000" w:type="pct"/>
                  <w:tcBorders>
                    <w:tl2br w:val="nil"/>
                    <w:tr2bl w:val="nil"/>
                  </w:tcBorders>
                  <w:vAlign w:val="center"/>
                </w:tcPr>
                <w:p w14:paraId="0381BEB0">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 xml:space="preserve">卧室、起居室楼板的撞击声隔声性能（计权标准化撞击声压级 </w:t>
                  </w:r>
                  <w:r>
                    <w:rPr>
                      <w:rFonts w:hint="eastAsia" w:ascii="仿宋" w:hAnsi="仿宋" w:eastAsia="仿宋" w:cs="仿宋"/>
                      <w:b w:val="0"/>
                      <w:bCs w:val="0"/>
                      <w:color w:val="auto"/>
                      <w:sz w:val="22"/>
                      <w:szCs w:val="22"/>
                    </w:rPr>
                    <w:t>L′</w:t>
                  </w:r>
                  <w:r>
                    <w:rPr>
                      <w:rFonts w:hint="eastAsia" w:ascii="仿宋" w:hAnsi="仿宋" w:eastAsia="仿宋" w:cs="仿宋"/>
                      <w:b w:val="0"/>
                      <w:bCs w:val="0"/>
                      <w:color w:val="auto"/>
                      <w:sz w:val="22"/>
                      <w:szCs w:val="22"/>
                      <w:vertAlign w:val="subscript"/>
                    </w:rPr>
                    <w:t>n</w:t>
                  </w:r>
                  <w:r>
                    <w:rPr>
                      <w:rFonts w:ascii="仿宋" w:hAnsi="仿宋" w:eastAsia="仿宋" w:cs="仿宋"/>
                      <w:b w:val="0"/>
                      <w:bCs w:val="0"/>
                      <w:color w:val="auto"/>
                      <w:sz w:val="22"/>
                      <w:szCs w:val="22"/>
                      <w:vertAlign w:val="subscript"/>
                    </w:rPr>
                    <w:t>T</w:t>
                  </w:r>
                  <w:r>
                    <w:rPr>
                      <w:rFonts w:hint="eastAsia" w:ascii="仿宋" w:hAnsi="仿宋" w:eastAsia="仿宋" w:cs="仿宋"/>
                      <w:b w:val="0"/>
                      <w:bCs w:val="0"/>
                      <w:color w:val="auto"/>
                      <w:sz w:val="22"/>
                      <w:szCs w:val="22"/>
                      <w:vertAlign w:val="subscript"/>
                    </w:rPr>
                    <w:t>,w</w:t>
                  </w:r>
                  <w:r>
                    <w:rPr>
                      <w:rFonts w:ascii="仿宋" w:hAnsi="仿宋" w:eastAsia="仿宋" w:cs="仿宋"/>
                      <w:b w:val="0"/>
                      <w:bCs w:val="0"/>
                      <w:color w:val="auto"/>
                      <w:sz w:val="22"/>
                      <w:szCs w:val="22"/>
                    </w:rPr>
                    <w:t>）≤60dB</w:t>
                  </w:r>
                </w:p>
              </w:tc>
              <w:tc>
                <w:tcPr>
                  <w:tcW w:w="1000" w:type="pct"/>
                  <w:tcBorders>
                    <w:tl2br w:val="nil"/>
                    <w:tr2bl w:val="nil"/>
                  </w:tcBorders>
                  <w:vAlign w:val="center"/>
                </w:tcPr>
                <w:p w14:paraId="68CE04EC">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 xml:space="preserve">卧室、起居室楼板的撞击声隔声性能（计权标准化撞击声压级 </w:t>
                  </w:r>
                  <w:r>
                    <w:rPr>
                      <w:rFonts w:hint="eastAsia" w:ascii="仿宋" w:hAnsi="仿宋" w:eastAsia="仿宋" w:cs="仿宋"/>
                      <w:b w:val="0"/>
                      <w:bCs w:val="0"/>
                      <w:color w:val="auto"/>
                      <w:sz w:val="22"/>
                      <w:szCs w:val="22"/>
                    </w:rPr>
                    <w:t>L′</w:t>
                  </w:r>
                  <w:r>
                    <w:rPr>
                      <w:rFonts w:hint="eastAsia" w:ascii="仿宋" w:hAnsi="仿宋" w:eastAsia="仿宋" w:cs="仿宋"/>
                      <w:b w:val="0"/>
                      <w:bCs w:val="0"/>
                      <w:color w:val="auto"/>
                      <w:sz w:val="22"/>
                      <w:szCs w:val="22"/>
                      <w:vertAlign w:val="subscript"/>
                    </w:rPr>
                    <w:t>n</w:t>
                  </w:r>
                  <w:r>
                    <w:rPr>
                      <w:rFonts w:ascii="仿宋" w:hAnsi="仿宋" w:eastAsia="仿宋" w:cs="仿宋"/>
                      <w:b w:val="0"/>
                      <w:bCs w:val="0"/>
                      <w:color w:val="auto"/>
                      <w:sz w:val="22"/>
                      <w:szCs w:val="22"/>
                      <w:vertAlign w:val="subscript"/>
                    </w:rPr>
                    <w:t>T</w:t>
                  </w:r>
                  <w:r>
                    <w:rPr>
                      <w:rFonts w:hint="eastAsia" w:ascii="仿宋" w:hAnsi="仿宋" w:eastAsia="仿宋" w:cs="仿宋"/>
                      <w:b w:val="0"/>
                      <w:bCs w:val="0"/>
                      <w:color w:val="auto"/>
                      <w:sz w:val="22"/>
                      <w:szCs w:val="22"/>
                      <w:vertAlign w:val="subscript"/>
                    </w:rPr>
                    <w:t>,w</w:t>
                  </w:r>
                  <w:r>
                    <w:rPr>
                      <w:rFonts w:ascii="仿宋" w:hAnsi="仿宋" w:eastAsia="仿宋" w:cs="仿宋"/>
                      <w:b w:val="0"/>
                      <w:bCs w:val="0"/>
                      <w:color w:val="auto"/>
                      <w:sz w:val="22"/>
                      <w:szCs w:val="22"/>
                    </w:rPr>
                    <w:t>）≤55dB</w:t>
                  </w:r>
                </w:p>
              </w:tc>
            </w:tr>
            <w:tr w14:paraId="7E2CF2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676" w:hRule="atLeast"/>
                <w:jc w:val="center"/>
              </w:trPr>
              <w:tc>
                <w:tcPr>
                  <w:tcW w:w="750" w:type="pct"/>
                  <w:tcBorders>
                    <w:tl2br w:val="nil"/>
                    <w:tr2bl w:val="nil"/>
                  </w:tcBorders>
                  <w:vAlign w:val="center"/>
                </w:tcPr>
                <w:p w14:paraId="675D452E">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hint="eastAsia" w:ascii="仿宋" w:hAnsi="仿宋" w:eastAsia="仿宋" w:cs="仿宋"/>
                      <w:b w:val="0"/>
                      <w:bCs w:val="0"/>
                      <w:strike w:val="0"/>
                      <w:dstrike w:val="0"/>
                      <w:color w:val="auto"/>
                      <w:sz w:val="22"/>
                      <w:szCs w:val="22"/>
                      <w:lang w:val="en-US" w:eastAsia="zh-CN"/>
                    </w:rPr>
                    <w:t>生活</w:t>
                  </w:r>
                  <w:r>
                    <w:rPr>
                      <w:rFonts w:ascii="仿宋" w:hAnsi="仿宋" w:eastAsia="仿宋" w:cs="仿宋"/>
                      <w:b w:val="0"/>
                      <w:bCs w:val="0"/>
                      <w:strike w:val="0"/>
                      <w:dstrike w:val="0"/>
                      <w:color w:val="auto"/>
                      <w:sz w:val="22"/>
                      <w:szCs w:val="22"/>
                    </w:rPr>
                    <w:t>热水循环</w:t>
                  </w:r>
                </w:p>
              </w:tc>
              <w:tc>
                <w:tcPr>
                  <w:tcW w:w="1000" w:type="pct"/>
                  <w:tcBorders>
                    <w:tl2br w:val="nil"/>
                    <w:tr2bl w:val="nil"/>
                  </w:tcBorders>
                  <w:vAlign w:val="center"/>
                </w:tcPr>
                <w:p w14:paraId="3A21B164">
                  <w:pPr>
                    <w:keepNext w:val="0"/>
                    <w:keepLines w:val="0"/>
                    <w:suppressLineNumbers w:val="0"/>
                    <w:spacing w:before="0" w:beforeAutospacing="0" w:after="0" w:afterAutospacing="0"/>
                    <w:ind w:left="0" w:right="0"/>
                    <w:jc w:val="center"/>
                    <w:rPr>
                      <w:rFonts w:hint="eastAsia" w:ascii="仿宋" w:hAnsi="仿宋" w:eastAsia="仿宋" w:cs="仿宋"/>
                      <w:color w:val="auto"/>
                      <w:sz w:val="22"/>
                      <w:szCs w:val="22"/>
                      <w:lang w:eastAsia="zh-CN"/>
                    </w:rPr>
                  </w:pPr>
                  <w:r>
                    <w:rPr>
                      <w:rFonts w:hint="eastAsia" w:ascii="仿宋" w:hAnsi="仿宋" w:eastAsia="仿宋" w:cs="仿宋"/>
                      <w:b w:val="0"/>
                      <w:bCs w:val="0"/>
                      <w:color w:val="auto"/>
                      <w:sz w:val="22"/>
                      <w:szCs w:val="22"/>
                    </w:rPr>
                    <w:t>—</w:t>
                  </w:r>
                </w:p>
              </w:tc>
              <w:tc>
                <w:tcPr>
                  <w:tcW w:w="1000" w:type="pct"/>
                  <w:tcBorders>
                    <w:tl2br w:val="nil"/>
                    <w:tr2bl w:val="nil"/>
                  </w:tcBorders>
                  <w:vAlign w:val="center"/>
                </w:tcPr>
                <w:p w14:paraId="4DEA2644">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rPr>
                    <w:t>—</w:t>
                  </w:r>
                </w:p>
              </w:tc>
              <w:tc>
                <w:tcPr>
                  <w:tcW w:w="1000" w:type="pct"/>
                  <w:tcBorders>
                    <w:tl2br w:val="nil"/>
                    <w:tr2bl w:val="nil"/>
                  </w:tcBorders>
                  <w:vAlign w:val="center"/>
                </w:tcPr>
                <w:p w14:paraId="0D290728">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lightGray"/>
                      <w:lang w:val="en-US" w:eastAsia="zh-CN"/>
                    </w:rPr>
                  </w:pPr>
                  <w:r>
                    <w:rPr>
                      <w:rFonts w:hint="eastAsia" w:ascii="仿宋" w:hAnsi="仿宋" w:eastAsia="仿宋" w:cs="仿宋"/>
                      <w:b w:val="0"/>
                      <w:bCs w:val="0"/>
                      <w:color w:val="auto"/>
                      <w:sz w:val="22"/>
                      <w:szCs w:val="22"/>
                      <w:lang w:eastAsia="zh-CN"/>
                    </w:rPr>
                    <w:t>生活热水系统热水表后或套内热水器不循环的热水供水支管长度不超过8m</w:t>
                  </w:r>
                </w:p>
              </w:tc>
            </w:tr>
            <w:tr w14:paraId="57AD96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477" w:hRule="atLeast"/>
                <w:jc w:val="center"/>
              </w:trPr>
              <w:tc>
                <w:tcPr>
                  <w:tcW w:w="750" w:type="pct"/>
                  <w:tcBorders>
                    <w:tl2br w:val="nil"/>
                    <w:tr2bl w:val="nil"/>
                  </w:tcBorders>
                  <w:vAlign w:val="center"/>
                </w:tcPr>
                <w:p w14:paraId="6930C0FC">
                  <w:pPr>
                    <w:pStyle w:val="12"/>
                    <w:keepNext w:val="0"/>
                    <w:keepLines w:val="0"/>
                    <w:suppressLineNumbers w:val="0"/>
                    <w:spacing w:before="44" w:beforeAutospacing="0" w:after="0" w:afterAutospacing="0" w:line="360" w:lineRule="auto"/>
                    <w:ind w:left="0" w:right="0"/>
                    <w:jc w:val="center"/>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strike w:val="0"/>
                      <w:dstrike w:val="0"/>
                      <w:color w:val="auto"/>
                      <w:sz w:val="22"/>
                      <w:szCs w:val="22"/>
                      <w:highlight w:val="none"/>
                    </w:rPr>
                    <w:t>数字家庭</w:t>
                  </w:r>
                </w:p>
              </w:tc>
              <w:tc>
                <w:tcPr>
                  <w:tcW w:w="1000" w:type="pct"/>
                  <w:gridSpan w:val="2"/>
                  <w:tcBorders>
                    <w:tl2br w:val="nil"/>
                    <w:tr2bl w:val="nil"/>
                  </w:tcBorders>
                  <w:vAlign w:val="center"/>
                </w:tcPr>
                <w:p w14:paraId="313B12FF">
                  <w:pPr>
                    <w:keepNext w:val="0"/>
                    <w:keepLines w:val="0"/>
                    <w:suppressLineNumbers w:val="0"/>
                    <w:spacing w:before="0" w:beforeAutospacing="0" w:after="0" w:afterAutospacing="0"/>
                    <w:ind w:left="0" w:right="0"/>
                    <w:jc w:val="center"/>
                    <w:rPr>
                      <w:rFonts w:hint="eastAsia" w:ascii="仿宋" w:hAnsi="仿宋" w:eastAsia="仿宋" w:cs="仿宋"/>
                      <w:color w:val="auto"/>
                      <w:sz w:val="22"/>
                      <w:szCs w:val="22"/>
                      <w:highlight w:val="none"/>
                      <w:lang w:val="en-US"/>
                    </w:rPr>
                  </w:pPr>
                  <w:r>
                    <w:rPr>
                      <w:rFonts w:hint="eastAsia" w:ascii="仿宋" w:hAnsi="仿宋" w:eastAsia="仿宋" w:cs="仿宋"/>
                      <w:b w:val="0"/>
                      <w:bCs w:val="0"/>
                      <w:color w:val="auto"/>
                      <w:sz w:val="22"/>
                      <w:szCs w:val="22"/>
                      <w:highlight w:val="none"/>
                    </w:rPr>
                    <w:t>数字</w:t>
                  </w:r>
                  <w:r>
                    <w:rPr>
                      <w:rFonts w:hint="eastAsia" w:ascii="仿宋" w:hAnsi="仿宋" w:eastAsia="仿宋" w:cs="仿宋"/>
                      <w:b w:val="0"/>
                      <w:bCs w:val="0"/>
                      <w:color w:val="auto"/>
                      <w:sz w:val="22"/>
                      <w:szCs w:val="22"/>
                      <w:highlight w:val="none"/>
                      <w:lang w:val="en-US" w:eastAsia="zh-CN"/>
                    </w:rPr>
                    <w:t>家庭应用达到二级</w:t>
                  </w:r>
                </w:p>
              </w:tc>
              <w:tc>
                <w:tcPr>
                  <w:tcW w:w="1000" w:type="pct"/>
                  <w:tcBorders>
                    <w:tl2br w:val="nil"/>
                    <w:tr2bl w:val="nil"/>
                  </w:tcBorders>
                  <w:vAlign w:val="center"/>
                </w:tcPr>
                <w:p w14:paraId="3EA27E23">
                  <w:pPr>
                    <w:pStyle w:val="12"/>
                    <w:keepNext w:val="0"/>
                    <w:keepLines w:val="0"/>
                    <w:suppressLineNumbers w:val="0"/>
                    <w:spacing w:before="0" w:beforeAutospacing="0" w:after="0" w:afterAutospacing="0" w:line="360" w:lineRule="auto"/>
                    <w:ind w:left="0" w:right="115"/>
                    <w:jc w:val="cente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数字</w:t>
                  </w:r>
                  <w:r>
                    <w:rPr>
                      <w:rFonts w:hint="eastAsia" w:ascii="仿宋" w:hAnsi="仿宋" w:eastAsia="仿宋" w:cs="仿宋"/>
                      <w:b w:val="0"/>
                      <w:bCs w:val="0"/>
                      <w:color w:val="auto"/>
                      <w:sz w:val="22"/>
                      <w:szCs w:val="22"/>
                      <w:highlight w:val="none"/>
                      <w:lang w:val="en-US" w:eastAsia="zh-CN"/>
                    </w:rPr>
                    <w:t>家庭应用达到三级</w:t>
                  </w:r>
                </w:p>
              </w:tc>
            </w:tr>
            <w:tr w14:paraId="47C6B2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493" w:hRule="atLeast"/>
                <w:jc w:val="center"/>
              </w:trPr>
              <w:tc>
                <w:tcPr>
                  <w:tcW w:w="750" w:type="pct"/>
                  <w:tcBorders>
                    <w:tl2br w:val="nil"/>
                    <w:tr2bl w:val="nil"/>
                  </w:tcBorders>
                  <w:vAlign w:val="center"/>
                </w:tcPr>
                <w:p w14:paraId="4D559F82">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室内主要空气污染物浓度降低比例</w:t>
                  </w:r>
                </w:p>
              </w:tc>
              <w:tc>
                <w:tcPr>
                  <w:tcW w:w="1000" w:type="pct"/>
                  <w:tcBorders>
                    <w:tl2br w:val="nil"/>
                    <w:tr2bl w:val="nil"/>
                  </w:tcBorders>
                  <w:vAlign w:val="center"/>
                </w:tcPr>
                <w:p w14:paraId="37439728">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10%</w:t>
                  </w:r>
                </w:p>
              </w:tc>
              <w:tc>
                <w:tcPr>
                  <w:tcW w:w="1000" w:type="pct"/>
                  <w:gridSpan w:val="2"/>
                  <w:tcBorders>
                    <w:tl2br w:val="nil"/>
                    <w:tr2bl w:val="nil"/>
                  </w:tcBorders>
                  <w:vAlign w:val="center"/>
                </w:tcPr>
                <w:p w14:paraId="473B8E6D">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20%</w:t>
                  </w:r>
                </w:p>
              </w:tc>
            </w:tr>
            <w:tr w14:paraId="5B678F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575" w:hRule="atLeast"/>
                <w:jc w:val="center"/>
              </w:trPr>
              <w:tc>
                <w:tcPr>
                  <w:tcW w:w="750" w:type="pct"/>
                  <w:tcBorders>
                    <w:tl2br w:val="nil"/>
                    <w:tr2bl w:val="nil"/>
                  </w:tcBorders>
                  <w:vAlign w:val="center"/>
                </w:tcPr>
                <w:p w14:paraId="62783235">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绿色建材应用比例</w:t>
                  </w:r>
                </w:p>
              </w:tc>
              <w:tc>
                <w:tcPr>
                  <w:tcW w:w="1000" w:type="pct"/>
                  <w:tcBorders>
                    <w:tl2br w:val="nil"/>
                    <w:tr2bl w:val="nil"/>
                  </w:tcBorders>
                  <w:vAlign w:val="center"/>
                </w:tcPr>
                <w:p w14:paraId="3F85AE58">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w:t>
                  </w:r>
                </w:p>
              </w:tc>
              <w:tc>
                <w:tcPr>
                  <w:tcW w:w="1000" w:type="pct"/>
                  <w:tcBorders>
                    <w:tl2br w:val="nil"/>
                    <w:tr2bl w:val="nil"/>
                  </w:tcBorders>
                  <w:vAlign w:val="center"/>
                </w:tcPr>
                <w:p w14:paraId="05E41995">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20%</w:t>
                  </w:r>
                </w:p>
              </w:tc>
              <w:tc>
                <w:tcPr>
                  <w:tcW w:w="1000" w:type="pct"/>
                  <w:tcBorders>
                    <w:tl2br w:val="nil"/>
                    <w:tr2bl w:val="nil"/>
                  </w:tcBorders>
                  <w:vAlign w:val="center"/>
                </w:tcPr>
                <w:p w14:paraId="15E5D153">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30%</w:t>
                  </w:r>
                </w:p>
              </w:tc>
            </w:tr>
            <w:tr w14:paraId="042270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575" w:hRule="atLeast"/>
                <w:jc w:val="center"/>
              </w:trPr>
              <w:tc>
                <w:tcPr>
                  <w:tcW w:w="750" w:type="pct"/>
                  <w:tcBorders>
                    <w:tl2br w:val="nil"/>
                    <w:tr2bl w:val="nil"/>
                  </w:tcBorders>
                  <w:vAlign w:val="center"/>
                </w:tcPr>
                <w:p w14:paraId="640E4BE4">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none"/>
                      <w:lang w:eastAsia="zh-CN"/>
                    </w:rPr>
                  </w:pPr>
                  <w:r>
                    <w:rPr>
                      <w:rFonts w:ascii="仿宋" w:hAnsi="仿宋" w:eastAsia="仿宋" w:cs="仿宋"/>
                      <w:b w:val="0"/>
                      <w:bCs w:val="0"/>
                      <w:color w:val="auto"/>
                      <w:sz w:val="22"/>
                      <w:szCs w:val="22"/>
                      <w:highlight w:val="none"/>
                    </w:rPr>
                    <w:t>装配式内装修</w:t>
                  </w:r>
                </w:p>
              </w:tc>
              <w:tc>
                <w:tcPr>
                  <w:tcW w:w="1000" w:type="pct"/>
                  <w:tcBorders>
                    <w:tl2br w:val="nil"/>
                    <w:tr2bl w:val="nil"/>
                  </w:tcBorders>
                  <w:vAlign w:val="center"/>
                </w:tcPr>
                <w:p w14:paraId="1DBD4214">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strike/>
                      <w:dstrike w:val="0"/>
                      <w:color w:val="auto"/>
                      <w:sz w:val="22"/>
                      <w:szCs w:val="22"/>
                      <w:highlight w:val="yellow"/>
                    </w:rPr>
                  </w:pPr>
                  <w:r>
                    <w:rPr>
                      <w:rFonts w:ascii="仿宋" w:hAnsi="仿宋" w:eastAsia="仿宋" w:cs="仿宋"/>
                      <w:b w:val="0"/>
                      <w:bCs w:val="0"/>
                      <w:color w:val="auto"/>
                      <w:sz w:val="22"/>
                      <w:szCs w:val="22"/>
                    </w:rPr>
                    <w:t>—</w:t>
                  </w:r>
                </w:p>
              </w:tc>
              <w:tc>
                <w:tcPr>
                  <w:tcW w:w="1000" w:type="pct"/>
                  <w:tcBorders>
                    <w:tl2br w:val="nil"/>
                    <w:tr2bl w:val="nil"/>
                  </w:tcBorders>
                  <w:vAlign w:val="center"/>
                </w:tcPr>
                <w:p w14:paraId="6BB409D9">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strike w:val="0"/>
                      <w:dstrike w:val="0"/>
                      <w:color w:val="auto"/>
                      <w:sz w:val="22"/>
                      <w:szCs w:val="22"/>
                      <w:highlight w:val="none"/>
                    </w:rPr>
                  </w:pPr>
                  <w:r>
                    <w:rPr>
                      <w:rFonts w:ascii="仿宋" w:hAnsi="仿宋" w:eastAsia="仿宋" w:cs="仿宋"/>
                      <w:b w:val="0"/>
                      <w:bCs w:val="0"/>
                      <w:color w:val="auto"/>
                      <w:sz w:val="22"/>
                      <w:szCs w:val="22"/>
                      <w:highlight w:val="none"/>
                    </w:rPr>
                    <w:t>—</w:t>
                  </w:r>
                </w:p>
              </w:tc>
              <w:tc>
                <w:tcPr>
                  <w:tcW w:w="1000" w:type="pct"/>
                  <w:tcBorders>
                    <w:tl2br w:val="nil"/>
                    <w:tr2bl w:val="nil"/>
                  </w:tcBorders>
                  <w:vAlign w:val="center"/>
                </w:tcPr>
                <w:p w14:paraId="0940A91B">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highlight w:val="none"/>
                    </w:rPr>
                  </w:pPr>
                  <w:r>
                    <w:rPr>
                      <w:rFonts w:ascii="仿宋" w:hAnsi="仿宋" w:eastAsia="仿宋" w:cs="仿宋"/>
                      <w:b w:val="0"/>
                      <w:bCs w:val="0"/>
                      <w:color w:val="auto"/>
                      <w:sz w:val="22"/>
                      <w:szCs w:val="22"/>
                      <w:highlight w:val="none"/>
                    </w:rPr>
                    <w:t>住宅公共空间及套内空间</w:t>
                  </w:r>
                </w:p>
                <w:p w14:paraId="4FE00353">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strike w:val="0"/>
                      <w:dstrike w:val="0"/>
                      <w:color w:val="auto"/>
                      <w:sz w:val="22"/>
                      <w:szCs w:val="22"/>
                      <w:highlight w:val="none"/>
                      <w:lang w:eastAsia="zh-CN"/>
                    </w:rPr>
                  </w:pPr>
                  <w:r>
                    <w:rPr>
                      <w:rFonts w:ascii="仿宋" w:hAnsi="仿宋" w:eastAsia="仿宋" w:cs="仿宋"/>
                      <w:b w:val="0"/>
                      <w:bCs w:val="0"/>
                      <w:color w:val="auto"/>
                      <w:sz w:val="22"/>
                      <w:szCs w:val="22"/>
                      <w:highlight w:val="none"/>
                    </w:rPr>
                    <w:t>采用装配式内装修</w:t>
                  </w:r>
                </w:p>
              </w:tc>
            </w:tr>
            <w:tr w14:paraId="4B04CE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1136" w:hRule="atLeast"/>
                <w:jc w:val="center"/>
              </w:trPr>
              <w:tc>
                <w:tcPr>
                  <w:tcW w:w="750" w:type="pct"/>
                  <w:tcBorders>
                    <w:tl2br w:val="nil"/>
                    <w:tr2bl w:val="nil"/>
                  </w:tcBorders>
                  <w:vAlign w:val="center"/>
                </w:tcPr>
                <w:p w14:paraId="73B0BCA6">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外窗</w:t>
                  </w:r>
                </w:p>
              </w:tc>
              <w:tc>
                <w:tcPr>
                  <w:tcW w:w="1000" w:type="pct"/>
                  <w:tcBorders>
                    <w:tl2br w:val="nil"/>
                    <w:tr2bl w:val="nil"/>
                  </w:tcBorders>
                  <w:vAlign w:val="center"/>
                </w:tcPr>
                <w:p w14:paraId="702A3186">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w:t>
                  </w:r>
                </w:p>
              </w:tc>
              <w:tc>
                <w:tcPr>
                  <w:tcW w:w="1000" w:type="pct"/>
                  <w:tcBorders>
                    <w:tl2br w:val="nil"/>
                    <w:tr2bl w:val="nil"/>
                  </w:tcBorders>
                  <w:vAlign w:val="center"/>
                </w:tcPr>
                <w:p w14:paraId="637DAD8D">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w:t>
                  </w:r>
                </w:p>
              </w:tc>
              <w:tc>
                <w:tcPr>
                  <w:tcW w:w="1000" w:type="pct"/>
                  <w:tcBorders>
                    <w:tl2br w:val="nil"/>
                    <w:tr2bl w:val="nil"/>
                  </w:tcBorders>
                  <w:vAlign w:val="center"/>
                </w:tcPr>
                <w:p w14:paraId="674D79E5">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sz w:val="22"/>
                      <w:szCs w:val="22"/>
                    </w:rPr>
                  </w:pPr>
                  <w:r>
                    <w:rPr>
                      <w:rFonts w:hint="eastAsia" w:ascii="仿宋" w:hAnsi="仿宋" w:eastAsia="仿宋" w:cs="仿宋"/>
                      <w:b w:val="0"/>
                      <w:bCs w:val="0"/>
                      <w:color w:val="auto"/>
                      <w:kern w:val="2"/>
                      <w:sz w:val="22"/>
                      <w:szCs w:val="22"/>
                      <w:highlight w:val="none"/>
                      <w:lang w:val="en-US" w:eastAsia="zh-CN" w:bidi="ar-SA"/>
                    </w:rPr>
                    <w:t>采用系统门窗</w:t>
                  </w:r>
                </w:p>
              </w:tc>
            </w:tr>
            <w:tr w14:paraId="350234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8" w:space="0"/>
                </w:tblBorders>
                <w:tblCellMar>
                  <w:top w:w="0" w:type="dxa"/>
                  <w:left w:w="0" w:type="dxa"/>
                  <w:bottom w:w="0" w:type="dxa"/>
                  <w:right w:w="0" w:type="dxa"/>
                </w:tblCellMar>
              </w:tblPrEx>
              <w:trPr>
                <w:trHeight w:val="1136" w:hRule="atLeast"/>
                <w:jc w:val="center"/>
              </w:trPr>
              <w:tc>
                <w:tcPr>
                  <w:tcW w:w="750" w:type="pct"/>
                  <w:tcBorders>
                    <w:tl2br w:val="nil"/>
                    <w:tr2bl w:val="nil"/>
                  </w:tcBorders>
                  <w:vAlign w:val="center"/>
                </w:tcPr>
                <w:p w14:paraId="3BFE4CCB">
                  <w:pPr>
                    <w:pStyle w:val="9"/>
                    <w:keepNext w:val="0"/>
                    <w:keepLines w:val="0"/>
                    <w:suppressLineNumbers w:val="0"/>
                    <w:spacing w:before="0" w:beforeAutospacing="0" w:after="0" w:afterAutospacing="0" w:line="360" w:lineRule="auto"/>
                    <w:ind w:left="0" w:right="0"/>
                    <w:jc w:val="center"/>
                    <w:rPr>
                      <w:rFonts w:ascii="仿宋" w:hAnsi="仿宋" w:eastAsia="仿宋" w:cs="仿宋"/>
                      <w:b w:val="0"/>
                      <w:bCs w:val="0"/>
                      <w:color w:val="auto"/>
                      <w:sz w:val="22"/>
                      <w:szCs w:val="22"/>
                    </w:rPr>
                  </w:pPr>
                  <w:r>
                    <w:rPr>
                      <w:rFonts w:ascii="仿宋" w:hAnsi="仿宋" w:eastAsia="仿宋" w:cs="仿宋"/>
                      <w:b w:val="0"/>
                      <w:bCs w:val="0"/>
                      <w:color w:val="auto"/>
                      <w:sz w:val="22"/>
                      <w:szCs w:val="22"/>
                    </w:rPr>
                    <w:t>碳减排</w:t>
                  </w:r>
                </w:p>
              </w:tc>
              <w:tc>
                <w:tcPr>
                  <w:tcW w:w="1000" w:type="pct"/>
                  <w:gridSpan w:val="3"/>
                  <w:tcBorders>
                    <w:tl2br w:val="nil"/>
                    <w:tr2bl w:val="nil"/>
                  </w:tcBorders>
                  <w:vAlign w:val="center"/>
                </w:tcPr>
                <w:p w14:paraId="4C7ECD12">
                  <w:pPr>
                    <w:pStyle w:val="9"/>
                    <w:keepNext w:val="0"/>
                    <w:keepLines w:val="0"/>
                    <w:suppressLineNumbers w:val="0"/>
                    <w:spacing w:before="0" w:beforeAutospacing="0" w:after="0" w:afterAutospacing="0" w:line="360" w:lineRule="auto"/>
                    <w:ind w:left="0" w:right="0"/>
                    <w:jc w:val="center"/>
                    <w:rPr>
                      <w:rFonts w:hint="eastAsia" w:ascii="仿宋" w:hAnsi="仿宋" w:eastAsia="仿宋" w:cs="仿宋"/>
                      <w:b w:val="0"/>
                      <w:bCs w:val="0"/>
                      <w:color w:val="auto"/>
                      <w:sz w:val="22"/>
                      <w:szCs w:val="22"/>
                    </w:rPr>
                  </w:pPr>
                  <w:r>
                    <w:rPr>
                      <w:rFonts w:ascii="仿宋" w:hAnsi="仿宋" w:eastAsia="仿宋" w:cs="仿宋"/>
                      <w:b w:val="0"/>
                      <w:bCs w:val="0"/>
                      <w:color w:val="auto"/>
                      <w:sz w:val="22"/>
                      <w:szCs w:val="22"/>
                    </w:rPr>
                    <w:t>明确全寿命期建筑碳排放强度，</w:t>
                  </w:r>
                </w:p>
                <w:p w14:paraId="434A7320">
                  <w:pPr>
                    <w:keepNext w:val="0"/>
                    <w:keepLines w:val="0"/>
                    <w:suppressLineNumbers w:val="0"/>
                    <w:spacing w:before="0" w:beforeAutospacing="0" w:after="0" w:afterAutospacing="0"/>
                    <w:ind w:left="0" w:right="0"/>
                    <w:jc w:val="center"/>
                    <w:rPr>
                      <w:rFonts w:hint="eastAsia" w:ascii="仿宋" w:hAnsi="仿宋" w:eastAsia="仿宋" w:cs="仿宋"/>
                      <w:b w:val="0"/>
                      <w:bCs w:val="0"/>
                      <w:color w:val="auto"/>
                      <w:kern w:val="2"/>
                      <w:sz w:val="22"/>
                      <w:szCs w:val="22"/>
                      <w:highlight w:val="none"/>
                      <w:lang w:val="en-US" w:eastAsia="zh-CN" w:bidi="ar-SA"/>
                    </w:rPr>
                  </w:pPr>
                  <w:r>
                    <w:rPr>
                      <w:rFonts w:hint="eastAsia" w:ascii="仿宋" w:hAnsi="仿宋" w:eastAsia="仿宋" w:cs="仿宋"/>
                      <w:b w:val="0"/>
                      <w:bCs w:val="0"/>
                      <w:color w:val="auto"/>
                      <w:sz w:val="22"/>
                      <w:szCs w:val="22"/>
                    </w:rPr>
                    <w:t>并明确降低碳排放强度的技术措施</w:t>
                  </w:r>
                </w:p>
              </w:tc>
            </w:tr>
          </w:tbl>
          <w:p w14:paraId="0BFA49C9">
            <w:pPr>
              <w:rPr>
                <w:rFonts w:hint="eastAsia" w:ascii="仿宋" w:hAnsi="仿宋" w:eastAsia="仿宋" w:cs="仿宋"/>
                <w:b w:val="0"/>
                <w:bCs w:val="0"/>
                <w:color w:val="auto"/>
                <w:sz w:val="22"/>
                <w:szCs w:val="22"/>
              </w:rPr>
            </w:pPr>
            <w:r>
              <w:rPr>
                <w:rFonts w:hint="eastAsia" w:ascii="仿宋" w:hAnsi="仿宋" w:eastAsia="仿宋" w:cs="仿宋"/>
                <w:b w:val="0"/>
                <w:bCs w:val="0"/>
                <w:color w:val="auto"/>
                <w:sz w:val="22"/>
                <w:szCs w:val="22"/>
              </w:rPr>
              <w:t>注：</w:t>
            </w:r>
            <w:r>
              <w:rPr>
                <w:rFonts w:hint="eastAsia" w:ascii="仿宋" w:hAnsi="仿宋" w:eastAsia="仿宋" w:cs="仿宋"/>
                <w:b w:val="0"/>
                <w:bCs w:val="0"/>
                <w:color w:val="auto"/>
                <w:sz w:val="22"/>
                <w:szCs w:val="22"/>
                <w:lang w:val="en-US" w:eastAsia="zh-CN"/>
              </w:rPr>
              <w:t xml:space="preserve">1  </w:t>
            </w:r>
            <w:r>
              <w:rPr>
                <w:rFonts w:hint="eastAsia" w:ascii="仿宋" w:hAnsi="仿宋" w:eastAsia="仿宋" w:cs="仿宋"/>
                <w:i w:val="0"/>
                <w:iCs w:val="0"/>
                <w:color w:val="000000"/>
                <w:sz w:val="22"/>
                <w:szCs w:val="22"/>
                <w:highlight w:val="none"/>
                <w:u w:val="none"/>
                <w:lang w:val="en-US" w:eastAsia="zh-CN"/>
              </w:rPr>
              <w:t>本条</w:t>
            </w:r>
            <w:r>
              <w:rPr>
                <w:rFonts w:hint="eastAsia" w:ascii="仿宋" w:hAnsi="仿宋" w:eastAsia="仿宋" w:cs="仿宋"/>
                <w:i w:val="0"/>
                <w:iCs w:val="0"/>
                <w:color w:val="000000"/>
                <w:sz w:val="22"/>
                <w:szCs w:val="22"/>
                <w:highlight w:val="none"/>
                <w:u w:val="none"/>
                <w:lang w:eastAsia="zh-CN"/>
              </w:rPr>
              <w:t>基本级不参评</w:t>
            </w:r>
          </w:p>
          <w:p w14:paraId="5E951456">
            <w:pPr>
              <w:ind w:firstLine="440" w:firstLineChars="200"/>
              <w:rPr>
                <w:rFonts w:hint="eastAsia" w:ascii="仿宋" w:hAnsi="仿宋" w:eastAsia="仿宋" w:cs="仿宋"/>
                <w:b w:val="0"/>
                <w:bCs w:val="0"/>
                <w:color w:val="auto"/>
                <w:sz w:val="22"/>
                <w:szCs w:val="22"/>
                <w:lang w:eastAsia="zh-CN"/>
              </w:rPr>
            </w:pPr>
            <w:r>
              <w:rPr>
                <w:rFonts w:hint="eastAsia" w:ascii="仿宋" w:hAnsi="仿宋" w:eastAsia="仿宋" w:cs="仿宋"/>
                <w:b w:val="0"/>
                <w:bCs w:val="0"/>
                <w:color w:val="auto"/>
                <w:sz w:val="22"/>
                <w:szCs w:val="22"/>
                <w:lang w:val="en-US" w:eastAsia="zh-CN"/>
              </w:rPr>
              <w:t>2</w:t>
            </w:r>
            <w:r>
              <w:rPr>
                <w:rFonts w:hint="eastAsia" w:ascii="仿宋" w:hAnsi="仿宋" w:eastAsia="仿宋" w:cs="仿宋"/>
                <w:b w:val="0"/>
                <w:bCs w:val="0"/>
                <w:color w:val="auto"/>
                <w:sz w:val="22"/>
                <w:szCs w:val="22"/>
              </w:rPr>
              <w:t xml:space="preserve"> </w:t>
            </w:r>
            <w:r>
              <w:rPr>
                <w:rFonts w:hint="eastAsia" w:ascii="仿宋" w:hAnsi="仿宋" w:eastAsia="仿宋" w:cs="仿宋"/>
                <w:b w:val="0"/>
                <w:bCs w:val="0"/>
                <w:color w:val="auto"/>
                <w:sz w:val="22"/>
                <w:szCs w:val="22"/>
                <w:lang w:val="en-US" w:eastAsia="zh-CN"/>
              </w:rPr>
              <w:t xml:space="preserve"> </w:t>
            </w:r>
            <w:r>
              <w:rPr>
                <w:rFonts w:hint="eastAsia" w:ascii="仿宋" w:hAnsi="仿宋" w:eastAsia="仿宋" w:cs="仿宋"/>
                <w:b w:val="0"/>
                <w:bCs w:val="0"/>
                <w:color w:val="auto"/>
                <w:sz w:val="22"/>
                <w:szCs w:val="22"/>
              </w:rPr>
              <w:t>围护结构热工性能的提高基准均为国家现行强制性工程建设规范《建筑节能与可再生能源利用通用规范》GB 55015 的要求</w:t>
            </w:r>
            <w:r>
              <w:rPr>
                <w:rFonts w:hint="eastAsia" w:ascii="仿宋" w:hAnsi="仿宋" w:eastAsia="仿宋" w:cs="仿宋"/>
                <w:b w:val="0"/>
                <w:bCs w:val="0"/>
                <w:color w:val="auto"/>
                <w:sz w:val="22"/>
                <w:szCs w:val="22"/>
                <w:lang w:eastAsia="zh-CN"/>
              </w:rPr>
              <w:t>；</w:t>
            </w:r>
          </w:p>
          <w:p w14:paraId="2BBBF62D">
            <w:pPr>
              <w:ind w:left="0" w:leftChars="0"/>
              <w:jc w:val="center"/>
              <w:rPr>
                <w:rFonts w:hint="eastAsia"/>
                <w:b w:val="0"/>
                <w:bCs w:val="0"/>
                <w:color w:val="auto"/>
                <w:highlight w:val="none"/>
                <w:lang w:eastAsia="zh-CN"/>
              </w:rPr>
            </w:pPr>
            <w:r>
              <w:rPr>
                <w:rFonts w:hint="eastAsia" w:ascii="仿宋" w:hAnsi="仿宋" w:eastAsia="仿宋" w:cs="仿宋"/>
                <w:b w:val="0"/>
                <w:bCs w:val="0"/>
                <w:color w:val="auto"/>
                <w:sz w:val="22"/>
                <w:szCs w:val="22"/>
                <w:lang w:val="en-US" w:eastAsia="zh-CN"/>
              </w:rPr>
              <w:t xml:space="preserve">    3</w:t>
            </w:r>
            <w:r>
              <w:rPr>
                <w:rFonts w:hint="eastAsia" w:ascii="仿宋" w:hAnsi="仿宋" w:eastAsia="仿宋" w:cs="仿宋"/>
                <w:b w:val="0"/>
                <w:bCs w:val="0"/>
                <w:color w:val="auto"/>
                <w:sz w:val="22"/>
                <w:szCs w:val="22"/>
              </w:rPr>
              <w:t xml:space="preserve">  室内氨、总挥发性有机物、PM2.5等室内空气污染物，其浓度降低基准为现行国家标准《室内空气质量标准》GB/T 18883的有关要求</w:t>
            </w:r>
            <w:r>
              <w:rPr>
                <w:rFonts w:hint="eastAsia" w:ascii="仿宋" w:hAnsi="仿宋" w:eastAsia="仿宋" w:cs="仿宋"/>
                <w:b w:val="0"/>
                <w:bCs w:val="0"/>
                <w:color w:val="auto"/>
                <w:sz w:val="22"/>
                <w:szCs w:val="22"/>
                <w:lang w:eastAsia="zh-CN"/>
              </w:rPr>
              <w:t>。</w:t>
            </w:r>
          </w:p>
          <w:p w14:paraId="59A6A912">
            <w:pPr>
              <w:keepNext w:val="0"/>
              <w:keepLines/>
              <w:pageBreakBefore w:val="0"/>
              <w:widowControl w:val="0"/>
              <w:suppressLineNumbers w:val="0"/>
              <w:kinsoku/>
              <w:wordWrap/>
              <w:overflowPunct/>
              <w:topLinePunct w:val="0"/>
              <w:autoSpaceDE/>
              <w:autoSpaceDN/>
              <w:bidi w:val="0"/>
              <w:adjustRightInd/>
              <w:snapToGrid/>
              <w:jc w:val="left"/>
              <w:textAlignment w:val="center"/>
              <w:rPr>
                <w:rFonts w:hint="default" w:ascii="仿宋" w:hAnsi="仿宋" w:eastAsia="仿宋" w:cs="仿宋"/>
                <w:i w:val="0"/>
                <w:iCs w:val="0"/>
                <w:color w:val="000000"/>
                <w:sz w:val="22"/>
                <w:szCs w:val="22"/>
                <w:highlight w:val="none"/>
                <w:u w:val="none"/>
                <w:lang w:val="en-US" w:eastAsia="zh-CN"/>
              </w:rPr>
            </w:pPr>
            <w:r>
              <w:rPr>
                <w:rFonts w:hint="eastAsia" w:ascii="仿宋" w:hAnsi="仿宋" w:eastAsia="仿宋" w:cs="仿宋"/>
                <w:i w:val="0"/>
                <w:iCs w:val="0"/>
                <w:color w:val="000000"/>
                <w:sz w:val="22"/>
                <w:szCs w:val="22"/>
                <w:highlight w:val="none"/>
                <w:u w:val="none"/>
                <w:lang w:val="en-US" w:eastAsia="zh-CN"/>
              </w:rPr>
              <w:t xml:space="preserve">    4  数字家庭应用配备本地平台的要求：一星级至少配置智能网关，二星级及以上需配置全屋智能主机。</w:t>
            </w:r>
          </w:p>
        </w:tc>
        <w:tc>
          <w:tcPr>
            <w:tcW w:w="1088" w:type="dxa"/>
            <w:tcBorders>
              <w:tl2br w:val="nil"/>
              <w:tr2bl w:val="nil"/>
            </w:tcBorders>
            <w:shd w:val="clear" w:color="auto" w:fill="auto"/>
            <w:noWrap/>
            <w:vAlign w:val="center"/>
          </w:tcPr>
          <w:p w14:paraId="629BB236">
            <w:pPr>
              <w:keepNext w:val="0"/>
              <w:keepLines/>
              <w:pageBreakBefore w:val="0"/>
              <w:widowControl w:val="0"/>
              <w:kinsoku/>
              <w:wordWrap/>
              <w:overflowPunct/>
              <w:topLinePunct w:val="0"/>
              <w:autoSpaceDE/>
              <w:autoSpaceDN/>
              <w:bidi w:val="0"/>
              <w:adjustRightInd/>
              <w:snapToGrid/>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各专业</w:t>
            </w:r>
          </w:p>
        </w:tc>
        <w:tc>
          <w:tcPr>
            <w:tcW w:w="1722" w:type="dxa"/>
            <w:tcBorders>
              <w:tl2br w:val="nil"/>
              <w:tr2bl w:val="nil"/>
            </w:tcBorders>
            <w:shd w:val="clear" w:color="auto" w:fill="auto"/>
            <w:noWrap/>
            <w:vAlign w:val="center"/>
          </w:tcPr>
          <w:p w14:paraId="143EB1C4">
            <w:pPr>
              <w:keepNext w:val="0"/>
              <w:keepLines/>
              <w:pageBreakBefore w:val="0"/>
              <w:widowControl w:val="0"/>
              <w:kinsoku/>
              <w:wordWrap/>
              <w:overflowPunct/>
              <w:topLinePunct w:val="0"/>
              <w:autoSpaceDE/>
              <w:autoSpaceDN/>
              <w:bidi w:val="0"/>
              <w:adjustRightInd/>
              <w:snapToGrid/>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达到</w:t>
            </w:r>
          </w:p>
          <w:p w14:paraId="453CFF5D">
            <w:pPr>
              <w:keepNext w:val="0"/>
              <w:keepLines/>
              <w:pageBreakBefore w:val="0"/>
              <w:widowControl w:val="0"/>
              <w:kinsoku/>
              <w:wordWrap/>
              <w:overflowPunct/>
              <w:topLinePunct w:val="0"/>
              <w:autoSpaceDE/>
              <w:autoSpaceDN/>
              <w:bidi w:val="0"/>
              <w:adjustRightInd/>
              <w:snapToGrid/>
              <w:ind w:firstLine="440" w:firstLineChars="200"/>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一星级□</w:t>
            </w:r>
          </w:p>
          <w:p w14:paraId="75E0C36D">
            <w:pPr>
              <w:keepNext w:val="0"/>
              <w:keepLines/>
              <w:pageBreakBefore w:val="0"/>
              <w:widowControl w:val="0"/>
              <w:kinsoku/>
              <w:wordWrap/>
              <w:overflowPunct/>
              <w:topLinePunct w:val="0"/>
              <w:autoSpaceDE/>
              <w:autoSpaceDN/>
              <w:bidi w:val="0"/>
              <w:adjustRightInd/>
              <w:snapToGrid/>
              <w:ind w:firstLine="440" w:firstLineChars="200"/>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二星级□</w:t>
            </w:r>
          </w:p>
          <w:p w14:paraId="3FA56655">
            <w:pPr>
              <w:keepNext w:val="0"/>
              <w:keepLines/>
              <w:pageBreakBefore w:val="0"/>
              <w:widowControl w:val="0"/>
              <w:kinsoku/>
              <w:wordWrap/>
              <w:overflowPunct/>
              <w:topLinePunct w:val="0"/>
              <w:autoSpaceDE/>
              <w:autoSpaceDN/>
              <w:bidi w:val="0"/>
              <w:adjustRightInd/>
              <w:snapToGrid/>
              <w:ind w:firstLine="440"/>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三星级□</w:t>
            </w:r>
          </w:p>
          <w:p w14:paraId="12616D80">
            <w:pPr>
              <w:keepNext w:val="0"/>
              <w:keepLines/>
              <w:pageBreakBefore w:val="0"/>
              <w:widowControl w:val="0"/>
              <w:kinsoku/>
              <w:wordWrap/>
              <w:overflowPunct/>
              <w:topLinePunct w:val="0"/>
              <w:autoSpaceDE/>
              <w:autoSpaceDN/>
              <w:bidi w:val="0"/>
              <w:adjustRightInd/>
              <w:snapToGrid/>
              <w:ind w:firstLine="0" w:firstLineChars="0"/>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要求。</w:t>
            </w:r>
          </w:p>
        </w:tc>
        <w:tc>
          <w:tcPr>
            <w:tcW w:w="2748" w:type="dxa"/>
            <w:tcBorders>
              <w:tl2br w:val="nil"/>
              <w:tr2bl w:val="nil"/>
            </w:tcBorders>
            <w:shd w:val="clear" w:color="auto" w:fill="auto"/>
            <w:noWrap/>
            <w:vAlign w:val="center"/>
          </w:tcPr>
          <w:p w14:paraId="439321C6">
            <w:pPr>
              <w:keepNext w:val="0"/>
              <w:keepLines/>
              <w:pageBreakBefore w:val="0"/>
              <w:widowControl w:val="0"/>
              <w:kinsoku/>
              <w:wordWrap/>
              <w:overflowPunct/>
              <w:topLinePunct w:val="0"/>
              <w:autoSpaceDE/>
              <w:autoSpaceDN/>
              <w:bidi w:val="0"/>
              <w:adjustRightInd/>
              <w:snapToGrid/>
              <w:rPr>
                <w:rFonts w:hint="eastAsia" w:ascii="仿宋" w:hAnsi="仿宋" w:eastAsia="仿宋" w:cs="仿宋"/>
                <w:i w:val="0"/>
                <w:iCs w:val="0"/>
                <w:color w:val="000000"/>
                <w:sz w:val="22"/>
                <w:szCs w:val="22"/>
                <w:u w:val="none"/>
                <w:lang w:eastAsia="zh-CN"/>
              </w:rPr>
            </w:pPr>
            <w:r>
              <w:rPr>
                <w:rFonts w:hint="eastAsia" w:ascii="仿宋" w:hAnsi="仿宋" w:eastAsia="仿宋" w:cs="仿宋"/>
                <w:i w:val="0"/>
                <w:iCs w:val="0"/>
                <w:color w:val="000000"/>
                <w:sz w:val="22"/>
                <w:szCs w:val="22"/>
                <w:u w:val="none"/>
                <w:lang w:eastAsia="zh-CN"/>
              </w:rPr>
              <w:t>按自评对应星级要求判定是否达标，</w:t>
            </w:r>
            <w:r>
              <w:rPr>
                <w:rFonts w:hint="eastAsia" w:ascii="仿宋" w:hAnsi="仿宋" w:eastAsia="仿宋" w:cs="仿宋"/>
                <w:i w:val="0"/>
                <w:iCs w:val="0"/>
                <w:color w:val="000000"/>
                <w:sz w:val="22"/>
                <w:szCs w:val="22"/>
                <w:u w:val="none"/>
                <w:lang w:val="en-US" w:eastAsia="zh-CN"/>
              </w:rPr>
              <w:t>并提交相应的设计图纸、设计说明及计算书、模拟报告、检测报告等</w:t>
            </w:r>
            <w:r>
              <w:rPr>
                <w:rFonts w:hint="eastAsia" w:ascii="仿宋" w:hAnsi="仿宋" w:eastAsia="仿宋" w:cs="仿宋"/>
                <w:i w:val="0"/>
                <w:iCs w:val="0"/>
                <w:color w:val="000000"/>
                <w:sz w:val="22"/>
                <w:szCs w:val="22"/>
                <w:u w:val="none"/>
                <w:lang w:eastAsia="zh-CN"/>
              </w:rPr>
              <w:t>。</w:t>
            </w:r>
          </w:p>
        </w:tc>
      </w:tr>
    </w:tbl>
    <w:p w14:paraId="1AB202AA">
      <w:pPr>
        <w:rPr>
          <w:rFonts w:hint="default" w:ascii="仿宋" w:hAnsi="仿宋" w:eastAsia="仿宋" w:cs="仿宋"/>
          <w:sz w:val="22"/>
          <w:szCs w:val="22"/>
          <w:lang w:val="en-US" w:eastAsia="zh-CN"/>
        </w:rPr>
      </w:pPr>
      <w:r>
        <w:rPr>
          <w:rFonts w:hint="eastAsia" w:ascii="仿宋" w:hAnsi="仿宋" w:eastAsia="仿宋" w:cs="仿宋"/>
          <w:lang w:val="en-US" w:eastAsia="zh-CN"/>
        </w:rPr>
        <w:t xml:space="preserve">注：本表由中山市土木建筑学会负责技术解析。                                                               </w:t>
      </w:r>
      <w:r>
        <w:rPr>
          <w:rFonts w:hint="eastAsia" w:ascii="仿宋" w:hAnsi="仿宋" w:eastAsia="仿宋" w:cs="仿宋"/>
          <w:sz w:val="22"/>
          <w:szCs w:val="22"/>
          <w:lang w:val="en-US" w:eastAsia="zh-CN"/>
        </w:rPr>
        <w:t xml:space="preserve"> 申报单位（盖章）：</w:t>
      </w:r>
    </w:p>
    <w:p w14:paraId="43384514">
      <w:pPr>
        <w:rPr>
          <w:rFonts w:hint="default" w:eastAsiaTheme="minorEastAsia"/>
          <w:lang w:val="en-US" w:eastAsia="zh-CN"/>
        </w:rPr>
      </w:pPr>
    </w:p>
    <w:sectPr>
      <w:pgSz w:w="16838" w:h="11906" w:orient="landscape"/>
      <w:pgMar w:top="567" w:right="567" w:bottom="567" w:left="28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8FDB8"/>
    <w:multiLevelType w:val="singleLevel"/>
    <w:tmpl w:val="90C8FDB8"/>
    <w:lvl w:ilvl="0" w:tentative="0">
      <w:start w:val="6"/>
      <w:numFmt w:val="chineseCounting"/>
      <w:suff w:val="space"/>
      <w:lvlText w:val="第%1章"/>
      <w:lvlJc w:val="left"/>
      <w:rPr>
        <w:rFonts w:hint="eastAsia"/>
        <w:b/>
        <w:bCs/>
        <w:sz w:val="26"/>
        <w:szCs w:val="26"/>
      </w:rPr>
    </w:lvl>
  </w:abstractNum>
  <w:abstractNum w:abstractNumId="1">
    <w:nsid w:val="A4D3BD0E"/>
    <w:multiLevelType w:val="singleLevel"/>
    <w:tmpl w:val="A4D3BD0E"/>
    <w:lvl w:ilvl="0" w:tentative="0">
      <w:start w:val="7"/>
      <w:numFmt w:val="chineseCounting"/>
      <w:suff w:val="space"/>
      <w:lvlText w:val="第%1章"/>
      <w:lvlJc w:val="left"/>
      <w:rPr>
        <w:rFonts w:hint="eastAsia"/>
        <w:b/>
        <w:bCs/>
        <w:sz w:val="26"/>
        <w:szCs w:val="26"/>
      </w:rPr>
    </w:lvl>
  </w:abstractNum>
  <w:abstractNum w:abstractNumId="2">
    <w:nsid w:val="DC3C9163"/>
    <w:multiLevelType w:val="singleLevel"/>
    <w:tmpl w:val="DC3C9163"/>
    <w:lvl w:ilvl="0" w:tentative="0">
      <w:start w:val="3"/>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E3C2C"/>
    <w:rsid w:val="00EE3D9B"/>
    <w:rsid w:val="02137F92"/>
    <w:rsid w:val="025B5E25"/>
    <w:rsid w:val="04974587"/>
    <w:rsid w:val="052B0CBB"/>
    <w:rsid w:val="05366D3E"/>
    <w:rsid w:val="07DE3C2C"/>
    <w:rsid w:val="0814667E"/>
    <w:rsid w:val="086065A5"/>
    <w:rsid w:val="08780604"/>
    <w:rsid w:val="09325656"/>
    <w:rsid w:val="09B21AF4"/>
    <w:rsid w:val="0B1F7084"/>
    <w:rsid w:val="0C3473C4"/>
    <w:rsid w:val="0FF5374D"/>
    <w:rsid w:val="12733E7A"/>
    <w:rsid w:val="179C1828"/>
    <w:rsid w:val="17DA29E1"/>
    <w:rsid w:val="18CA0C5D"/>
    <w:rsid w:val="19526877"/>
    <w:rsid w:val="1AE41DF2"/>
    <w:rsid w:val="1B4C38EE"/>
    <w:rsid w:val="1B9E385A"/>
    <w:rsid w:val="1C2841E6"/>
    <w:rsid w:val="1C8A6DB2"/>
    <w:rsid w:val="1D1B3E4A"/>
    <w:rsid w:val="1D1C2B4F"/>
    <w:rsid w:val="1F4676C8"/>
    <w:rsid w:val="218604FE"/>
    <w:rsid w:val="21BE339B"/>
    <w:rsid w:val="26180593"/>
    <w:rsid w:val="265A320F"/>
    <w:rsid w:val="272A498F"/>
    <w:rsid w:val="2A0B3C10"/>
    <w:rsid w:val="2AB342C7"/>
    <w:rsid w:val="2B0D2030"/>
    <w:rsid w:val="2C8830E6"/>
    <w:rsid w:val="2C8C7CC1"/>
    <w:rsid w:val="305331A8"/>
    <w:rsid w:val="30543E21"/>
    <w:rsid w:val="31325037"/>
    <w:rsid w:val="33681E65"/>
    <w:rsid w:val="33DB3025"/>
    <w:rsid w:val="33DD41FC"/>
    <w:rsid w:val="35912F56"/>
    <w:rsid w:val="376A75ED"/>
    <w:rsid w:val="381F28C7"/>
    <w:rsid w:val="39055E83"/>
    <w:rsid w:val="3BFD2D78"/>
    <w:rsid w:val="3C940DD1"/>
    <w:rsid w:val="3E3066C2"/>
    <w:rsid w:val="3F68658D"/>
    <w:rsid w:val="3FB77F27"/>
    <w:rsid w:val="407446C0"/>
    <w:rsid w:val="416F7722"/>
    <w:rsid w:val="42425D88"/>
    <w:rsid w:val="44824291"/>
    <w:rsid w:val="44B83ECB"/>
    <w:rsid w:val="44E90813"/>
    <w:rsid w:val="469528EA"/>
    <w:rsid w:val="48E409EA"/>
    <w:rsid w:val="49BA65C0"/>
    <w:rsid w:val="4ABE5C2C"/>
    <w:rsid w:val="4C9F6C0B"/>
    <w:rsid w:val="4D426F88"/>
    <w:rsid w:val="4D98130A"/>
    <w:rsid w:val="4E6D0CFB"/>
    <w:rsid w:val="4E750330"/>
    <w:rsid w:val="4FCC7745"/>
    <w:rsid w:val="506D7AE6"/>
    <w:rsid w:val="51EC090F"/>
    <w:rsid w:val="52C71BE2"/>
    <w:rsid w:val="54E572D9"/>
    <w:rsid w:val="582D357F"/>
    <w:rsid w:val="58644D7C"/>
    <w:rsid w:val="58D97E3F"/>
    <w:rsid w:val="5A6C1FA0"/>
    <w:rsid w:val="5C3435DF"/>
    <w:rsid w:val="5C521A71"/>
    <w:rsid w:val="5C7560D1"/>
    <w:rsid w:val="5CA77D67"/>
    <w:rsid w:val="5CF06AF3"/>
    <w:rsid w:val="5E1204BA"/>
    <w:rsid w:val="5EF70B8B"/>
    <w:rsid w:val="5F354E37"/>
    <w:rsid w:val="5F8D3D67"/>
    <w:rsid w:val="60CF2532"/>
    <w:rsid w:val="63043D0B"/>
    <w:rsid w:val="639840F5"/>
    <w:rsid w:val="65DA7B27"/>
    <w:rsid w:val="66650F64"/>
    <w:rsid w:val="666E7EBA"/>
    <w:rsid w:val="671977A1"/>
    <w:rsid w:val="6A333127"/>
    <w:rsid w:val="6B8A4FC9"/>
    <w:rsid w:val="6D082649"/>
    <w:rsid w:val="6D3C263F"/>
    <w:rsid w:val="6D6225C1"/>
    <w:rsid w:val="70230A08"/>
    <w:rsid w:val="70262ED9"/>
    <w:rsid w:val="71B14D19"/>
    <w:rsid w:val="72710130"/>
    <w:rsid w:val="72AA505B"/>
    <w:rsid w:val="72CB58E8"/>
    <w:rsid w:val="737E23D3"/>
    <w:rsid w:val="76360B77"/>
    <w:rsid w:val="76A458A9"/>
    <w:rsid w:val="78E71CAD"/>
    <w:rsid w:val="79730131"/>
    <w:rsid w:val="798D43CE"/>
    <w:rsid w:val="79A731EA"/>
    <w:rsid w:val="7A4236CD"/>
    <w:rsid w:val="7C2823C0"/>
    <w:rsid w:val="7D224AFA"/>
    <w:rsid w:val="7D786757"/>
    <w:rsid w:val="7E3E3E03"/>
    <w:rsid w:val="7E861620"/>
    <w:rsid w:val="E2957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11"/>
    <w:basedOn w:val="6"/>
    <w:qFormat/>
    <w:uiPriority w:val="0"/>
    <w:rPr>
      <w:rFonts w:hint="eastAsia" w:ascii="宋体" w:hAnsi="宋体" w:eastAsia="宋体" w:cs="宋体"/>
      <w:color w:val="000000"/>
      <w:sz w:val="21"/>
      <w:szCs w:val="21"/>
      <w:u w:val="none"/>
    </w:rPr>
  </w:style>
  <w:style w:type="character" w:customStyle="1" w:styleId="8">
    <w:name w:val="font21"/>
    <w:basedOn w:val="6"/>
    <w:qFormat/>
    <w:uiPriority w:val="0"/>
    <w:rPr>
      <w:rFonts w:ascii="宋体" w:hAnsi="宋体" w:eastAsia="宋体" w:cs="宋体"/>
      <w:color w:val="000000"/>
      <w:sz w:val="21"/>
      <w:szCs w:val="21"/>
      <w:u w:val="none"/>
    </w:rPr>
  </w:style>
  <w:style w:type="paragraph" w:customStyle="1" w:styleId="9">
    <w:name w:val="表格样式11"/>
    <w:basedOn w:val="1"/>
    <w:qFormat/>
    <w:uiPriority w:val="0"/>
    <w:pPr>
      <w:jc w:val="center"/>
    </w:pPr>
    <w:rPr>
      <w:rFonts w:hint="eastAsia"/>
      <w:sz w:val="24"/>
      <w:szCs w:val="24"/>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正文2"/>
    <w:basedOn w:val="1"/>
    <w:qFormat/>
    <w:uiPriority w:val="0"/>
    <w:pPr>
      <w:spacing w:line="240" w:lineRule="auto"/>
      <w:ind w:left="280" w:leftChars="100"/>
    </w:p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69fdee26-ab0a-43e6-b4ff-69e6b8e03516</errorID>
      <errorWord xmlns="http://schemas.wps.cn/vas-ai-hub/contract-review">通达至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通达</item>
      </candidateList>
      <explain xmlns="http://schemas.wps.cn/vas-ai-hub/contract-review"/>
      <paraID xmlns="http://schemas.wps.cn/vas-ai-hub/contract-review">4B9F2BDF</paraID>
      <start xmlns="http://schemas.wps.cn/vas-ai-hub/contract-review">173</start>
      <end xmlns="http://schemas.wps.cn/vas-ai-hub/contract-review">175</end>
      <status xmlns="http://schemas.wps.cn/vas-ai-hub/contract-review">modified</status>
      <modifiedWord xmlns="http://schemas.wps.cn/vas-ai-hub/contract-review">通达</modifiedWord>
      <trackRevisions xmlns="http://schemas.wps.cn/vas-ai-hub/contract-review">false</trackRevisions>
    </reviewItem>
    <reviewItem xmlns="http://schemas.wps.cn/vas-ai-hub/contract-review">
      <errorID xmlns="http://schemas.wps.cn/vas-ai-hub/contract-review">c19758e1-1b9f-4295-8486-d332de05efeb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638FD335</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74719d17-fefc-477c-9b5b-2630561f539a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780CEBF3</paraID>
      <start xmlns="http://schemas.wps.cn/vas-ai-hub/contract-review">218</start>
      <end xmlns="http://schemas.wps.cn/vas-ai-hub/contract-review">219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67ba03f0-83b1-4f7f-9191-3842d2d5cb10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675374DA</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16fd29e8-7eb7-42a1-8029-98f123d224ca</errorID>
      <errorWord xmlns="http://schemas.wps.cn/vas-ai-hub/contract-review">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捷地</item>
      </candidateList>
      <explain xmlns="http://schemas.wps.cn/vas-ai-hub/contract-review"/>
      <paraID xmlns="http://schemas.wps.cn/vas-ai-hub/contract-review">752B60AE</paraID>
      <start xmlns="http://schemas.wps.cn/vas-ai-hub/contract-review">68</start>
      <end xmlns="http://schemas.wps.cn/vas-ai-hub/contract-review">69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e071ec62-c468-4b67-9415-688e7f3a0f84</errorID>
      <errorWord xmlns="http://schemas.wps.cn/vas-ai-hub/contract-review">低端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底端</item>
      </candidateList>
      <explain xmlns="http://schemas.wps.cn/vas-ai-hub/contract-review"/>
      <paraID xmlns="http://schemas.wps.cn/vas-ai-hub/contract-review">2CA001FC</paraID>
      <start xmlns="http://schemas.wps.cn/vas-ai-hub/contract-review">46</start>
      <end xmlns="http://schemas.wps.cn/vas-ai-hub/contract-review">48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8340cdb3-e47d-48a0-96ef-a76e5247fab2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7A1DF2BF</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a462284d-9979-451a-8a35-42c914a18ade</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
      <paraID xmlns="http://schemas.wps.cn/vas-ai-hub/contract-review">7BB72A1D</paraID>
      <start xmlns="http://schemas.wps.cn/vas-ai-hub/contract-review">36</start>
      <end xmlns="http://schemas.wps.cn/vas-ai-hub/contract-review">38</end>
      <status xmlns="http://schemas.wps.cn/vas-ai-hub/contract-review">modified</status>
      <modifiedWord xmlns="http://schemas.wps.cn/vas-ai-hub/contract-review">，对</modifiedWord>
      <trackRevisions xmlns="http://schemas.wps.cn/vas-ai-hub/contract-review">false</trackRevisions>
    </reviewItem>
    <reviewItem xmlns="http://schemas.wps.cn/vas-ai-hub/contract-review">
      <errorID xmlns="http://schemas.wps.cn/vas-ai-hub/contract-review">52bda083-c912-436f-bb9a-05a9379d78ba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C247976</paraID>
      <start xmlns="http://schemas.wps.cn/vas-ai-hub/contract-review">23</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7484add6-268b-4de8-992a-6713e11b1ef8</errorID>
      <errorWord xmlns="http://schemas.wps.cn/vas-ai-hub/contract-review">消防的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消防</item>
      </candidateList>
      <explain xmlns="http://schemas.wps.cn/vas-ai-hub/contract-review"/>
      <paraID xmlns="http://schemas.wps.cn/vas-ai-hub/contract-review"> B4D1ABD</paraID>
      <start xmlns="http://schemas.wps.cn/vas-ai-hub/contract-review">24</start>
      <end xmlns="http://schemas.wps.cn/vas-ai-hub/contract-review">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8d66fd8c-9990-49ca-ab32-dd0614347d03</errorID>
      <errorWord xmlns="http://schemas.wps.cn/vas-ai-hub/contract-review">粘贴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黏贴</item>
      </candidateList>
      <explain xmlns="http://schemas.wps.cn/vas-ai-hub/contract-review"/>
      <paraID xmlns="http://schemas.wps.cn/vas-ai-hub/contract-review">5EBBAB31</paraID>
      <start xmlns="http://schemas.wps.cn/vas-ai-hub/contract-review">163</start>
      <end xmlns="http://schemas.wps.cn/vas-ai-hub/contract-review">165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0a11592b-23d5-4779-bfd6-054ee2ed7842</errorID>
      <errorWord xmlns="http://schemas.wps.cn/vas-ai-hub/contract-review">调适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调试</item>
      </candidateList>
      <explain xmlns="http://schemas.wps.cn/vas-ai-hub/contract-review">〈动〉试验并调整（机器、仪器等）：机床装好后经过～才能使用。</explain>
      <paraID xmlns="http://schemas.wps.cn/vas-ai-hub/contract-review">6AE749CE</paraID>
      <start xmlns="http://schemas.wps.cn/vas-ai-hub/contract-review">16</start>
      <end xmlns="http://schemas.wps.cn/vas-ai-hub/contract-review">18</end>
      <status xmlns="http://schemas.wps.cn/vas-ai-hub/contract-review">modified</status>
      <modifiedWord xmlns="http://schemas.wps.cn/vas-ai-hub/contract-review">调试</modifiedWord>
      <trackRevisions xmlns="http://schemas.wps.cn/vas-ai-hub/contract-review">false</trackRevisions>
    </reviewItem>
    <reviewItem xmlns="http://schemas.wps.cn/vas-ai-hub/contract-review">
      <errorID xmlns="http://schemas.wps.cn/vas-ai-hub/contract-review">724c97e1-9067-4224-a3ee-c2b1a195c3e3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58E372A6</paraID>
      <start xmlns="http://schemas.wps.cn/vas-ai-hub/contract-review">31</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a3a2c2aa-a18c-4af6-8d17-82c6bf92b47a</errorID>
      <errorWord xmlns="http://schemas.wps.cn/vas-ai-hub/contract-review">标识性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标志性</item>
      </candidateList>
      <explain xmlns="http://schemas.wps.cn/vas-ai-hub/contract-review">存在发音相近字词的误用。</explain>
      <paraID xmlns="http://schemas.wps.cn/vas-ai-hub/contract-review">3A954B38</paraID>
      <start xmlns="http://schemas.wps.cn/vas-ai-hub/contract-review">51</start>
      <end xmlns="http://schemas.wps.cn/vas-ai-hub/contract-review">54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0cec7f48-b0a7-42d9-b197-946160dcfe77</errorID>
      <errorWord xmlns="http://schemas.wps.cn/vas-ai-hub/contract-review">电子板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电子版</item>
      </candidateList>
      <explain xmlns="http://schemas.wps.cn/vas-ai-hub/contract-review">存在发音相同字词的误用。</explain>
      <paraID xmlns="http://schemas.wps.cn/vas-ai-hub/contract-review">5B8C9519</paraID>
      <start xmlns="http://schemas.wps.cn/vas-ai-hub/contract-review">21</start>
      <end xmlns="http://schemas.wps.cn/vas-ai-hub/contract-review">24</end>
      <status xmlns="http://schemas.wps.cn/vas-ai-hub/contract-review">modified</status>
      <modifiedWord xmlns="http://schemas.wps.cn/vas-ai-hub/contract-review">电子版</modifiedWord>
      <trackRevisions xmlns="http://schemas.wps.cn/vas-ai-hub/contract-review">false</trackRevisions>
    </reviewItem>
    <reviewItem xmlns="http://schemas.wps.cn/vas-ai-hub/contract-review">
      <errorID xmlns="http://schemas.wps.cn/vas-ai-hub/contract-review">6c8ad24b-1e15-41e9-abeb-636f77466427</errorID>
      <errorWord xmlns="http://schemas.wps.cn/vas-ai-hub/contract-review">电子板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电子版</item>
      </candidateList>
      <explain xmlns="http://schemas.wps.cn/vas-ai-hub/contract-review">存在发音相同字词的误用。</explain>
      <paraID xmlns="http://schemas.wps.cn/vas-ai-hub/contract-review"> 98A0B71</paraID>
      <start xmlns="http://schemas.wps.cn/vas-ai-hub/contract-review">19</start>
      <end xmlns="http://schemas.wps.cn/vas-ai-hub/contract-review">22</end>
      <status xmlns="http://schemas.wps.cn/vas-ai-hub/contract-review">modified</status>
      <modifiedWord xmlns="http://schemas.wps.cn/vas-ai-hub/contract-review">电子版</modifiedWord>
      <trackRevisions xmlns="http://schemas.wps.cn/vas-ai-hub/contract-review">false</trackRevisions>
    </reviewItem>
    <reviewItem xmlns="http://schemas.wps.cn/vas-ai-hub/contract-review">
      <errorID xmlns="http://schemas.wps.cn/vas-ai-hub/contract-review">cef8f14b-a48f-4fbe-8a7e-722573d67a82</errorID>
      <errorWord xmlns="http://schemas.wps.cn/vas-ai-hub/contract-review">内含应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内含</item>
      </candidateList>
      <explain xmlns="http://schemas.wps.cn/vas-ai-hub/contract-review"/>
      <paraID xmlns="http://schemas.wps.cn/vas-ai-hub/contract-review"> E5E3B6C</paraID>
      <start xmlns="http://schemas.wps.cn/vas-ai-hub/contract-review">20</start>
      <end xmlns="http://schemas.wps.cn/vas-ai-hub/contract-review">22</end>
      <status xmlns="http://schemas.wps.cn/vas-ai-hub/contract-review">modified</status>
      <modifiedWord xmlns="http://schemas.wps.cn/vas-ai-hub/contract-review">内含</modifiedWord>
      <trackRevisions xmlns="http://schemas.wps.cn/vas-ai-hub/contract-review">false</trackRevisions>
    </reviewItem>
    <reviewItem xmlns="http://schemas.wps.cn/vas-ai-hub/contract-review">
      <errorID xmlns="http://schemas.wps.cn/vas-ai-hub/contract-review">663bbc36-f9d4-4196-8ad1-8c20ab7cfb1b</errorID>
      <errorWord xmlns="http://schemas.wps.cn/vas-ai-hub/contract-review">干扰到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干扰</item>
      </candidateList>
      <explain xmlns="http://schemas.wps.cn/vas-ai-hub/contract-review"/>
      <paraID xmlns="http://schemas.wps.cn/vas-ai-hub/contract-review">329B662B</paraID>
      <start xmlns="http://schemas.wps.cn/vas-ai-hub/contract-review">32</start>
      <end xmlns="http://schemas.wps.cn/vas-ai-hub/contract-review">34</end>
      <status xmlns="http://schemas.wps.cn/vas-ai-hub/contract-review">modified</status>
      <modifiedWord xmlns="http://schemas.wps.cn/vas-ai-hub/contract-review">干扰</modifiedWord>
      <trackRevisions xmlns="http://schemas.wps.cn/vas-ai-hub/contract-review">false</trackRevisions>
    </reviewItem>
    <reviewItem xmlns="http://schemas.wps.cn/vas-ai-hub/contract-review">
      <errorID xmlns="http://schemas.wps.cn/vas-ai-hub/contract-review">3aaabf8b-b67d-4ec3-99c1-74c673c45dfc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439321C6</paraID>
      <start xmlns="http://schemas.wps.cn/vas-ai-hub/contract-review">46</start>
      <end xmlns="http://schemas.wps.cn/vas-ai-hub/contract-review">47</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ef3c88f8-2928-4002-bf9c-13878aeeb4d8}">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13011</Words>
  <Characters>14086</Characters>
  <Lines>0</Lines>
  <Paragraphs>0</Paragraphs>
  <TotalTime>5</TotalTime>
  <ScaleCrop>false</ScaleCrop>
  <LinksUpToDate>false</LinksUpToDate>
  <CharactersWithSpaces>14795</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2025-10-17T16:25:00Z</dcterms:created>
  <dc:creator>冯雨衡</dc:creator>
  <cp:lastModifiedBy>user</cp:lastModifiedBy>
  <cp:lastPrinted>2025-10-28T18:35:00Z</cp:lastPrinted>
  <dcterms:modified xsi:type="dcterms:W3CDTF">2026-05-25T14:42:28Z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3E96E45976FC44E5B25BC96297B2DD86_13</vt:lpwstr>
  </property>
  <property fmtid="{D5CDD505-2E9C-101B-9397-08002B2CF9AE}" pid="4" name="KSOTemplateDocerSaveRecord">
    <vt:lpwstr>eyJoZGlkIjoiNzc2MzhmZmNiMDczYTVhODk5MzE2NjEzMWJhMGE5MDYiLCJ1c2VySWQiOiI2OTAyNDc5MjIifQ==</vt:lpwstr>
  </property>
</Properties>
</file>