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80B90">
      <w:pPr>
        <w:pStyle w:val="3"/>
        <w:rPr>
          <w:rFonts w:hint="eastAsia" w:ascii="CESI黑体-GB13000" w:hAnsi="CESI黑体-GB13000" w:eastAsia="CESI黑体-GB13000" w:cs="CESI黑体-GB13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CESI黑体-GB13000" w:hAnsi="CESI黑体-GB13000" w:eastAsia="CESI黑体-GB13000" w:cs="CESI黑体-GB13000"/>
          <w:kern w:val="0"/>
          <w:sz w:val="32"/>
          <w:szCs w:val="32"/>
          <w:lang w:eastAsia="zh-CN"/>
        </w:rPr>
        <w:t>附件</w:t>
      </w:r>
      <w:r>
        <w:rPr>
          <w:rFonts w:hint="eastAsia" w:ascii="CESI黑体-GB13000" w:hAnsi="CESI黑体-GB13000" w:eastAsia="CESI黑体-GB13000" w:cs="CESI黑体-GB13000"/>
          <w:kern w:val="0"/>
          <w:sz w:val="32"/>
          <w:szCs w:val="32"/>
          <w:lang w:val="en-US" w:eastAsia="zh-CN"/>
        </w:rPr>
        <w:t>1</w:t>
      </w:r>
    </w:p>
    <w:p w14:paraId="44B1575E">
      <w:pPr>
        <w:pStyle w:val="3"/>
        <w:jc w:val="center"/>
        <w:rPr>
          <w:rFonts w:hint="eastAsia" w:eastAsia="宋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中深科技创新产业园位置图</w:t>
      </w:r>
    </w:p>
    <w:p w14:paraId="05D4A887">
      <w:pPr>
        <w:jc w:val="center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drawing>
          <wp:inline distT="0" distB="0" distL="114300" distR="114300">
            <wp:extent cx="3117215" cy="5404485"/>
            <wp:effectExtent l="0" t="0" r="6985" b="5715"/>
            <wp:docPr id="2" name="图片 1" descr="中深项目位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中深项目位置"/>
                    <pic:cNvPicPr>
                      <a:picLocks noChangeAspect="1"/>
                    </pic:cNvPicPr>
                  </pic:nvPicPr>
                  <pic:blipFill>
                    <a:blip r:embed="rId7"/>
                    <a:srcRect t="2576"/>
                    <a:stretch>
                      <a:fillRect/>
                    </a:stretch>
                  </pic:blipFill>
                  <pic:spPr>
                    <a:xfrm>
                      <a:off x="0" y="0"/>
                      <a:ext cx="3117215" cy="540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34F80">
      <w:pPr>
        <w:jc w:val="center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139E26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地址：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广东省中山市南朗镇（翠亨新区起步区）东二围</w:t>
      </w:r>
    </w:p>
    <w:p w14:paraId="0E3F3525">
      <w:pPr>
        <w:jc w:val="center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联系人：李志强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1D3B4671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ectPr>
          <w:footerReference r:id="rId3" w:type="default"/>
          <w:pgSz w:w="11850" w:h="16783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</w:p>
    <w:p w14:paraId="3296B6C2">
      <w:pPr>
        <w:spacing w:line="520" w:lineRule="exact"/>
        <w:jc w:val="left"/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</w:rPr>
        <w:t>附件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2</w:t>
      </w:r>
    </w:p>
    <w:p w14:paraId="4DDEEF94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年中山市住房城乡建设系统“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安全月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”观摩项目</w:t>
      </w:r>
    </w:p>
    <w:tbl>
      <w:tblPr>
        <w:tblStyle w:val="8"/>
        <w:tblW w:w="15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3428"/>
        <w:gridCol w:w="2377"/>
        <w:gridCol w:w="5109"/>
        <w:gridCol w:w="3606"/>
      </w:tblGrid>
      <w:tr w14:paraId="4D957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059" w:type="dxa"/>
            <w:vMerge w:val="restart"/>
            <w:shd w:val="clear" w:color="auto" w:fill="D7D7D7"/>
            <w:noWrap w:val="0"/>
            <w:vAlign w:val="center"/>
          </w:tcPr>
          <w:p w14:paraId="00C5DBA6"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428" w:type="dxa"/>
            <w:shd w:val="clear" w:color="auto" w:fill="D7D7D7"/>
            <w:noWrap w:val="0"/>
            <w:vAlign w:val="center"/>
          </w:tcPr>
          <w:p w14:paraId="6A684595"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2377" w:type="dxa"/>
            <w:vMerge w:val="restart"/>
            <w:shd w:val="clear" w:color="auto" w:fill="D7D7D7"/>
            <w:noWrap w:val="0"/>
            <w:vAlign w:val="center"/>
          </w:tcPr>
          <w:p w14:paraId="5B332EE6"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szCs w:val="24"/>
              </w:rPr>
              <w:t>施工单位</w:t>
            </w:r>
          </w:p>
        </w:tc>
        <w:tc>
          <w:tcPr>
            <w:tcW w:w="5109" w:type="dxa"/>
            <w:vMerge w:val="restart"/>
            <w:shd w:val="clear" w:color="auto" w:fill="D7D7D7"/>
            <w:noWrap w:val="0"/>
            <w:vAlign w:val="center"/>
          </w:tcPr>
          <w:p w14:paraId="78EF554F">
            <w:pPr>
              <w:jc w:val="center"/>
              <w:rPr>
                <w:rFonts w:hint="eastAsia" w:ascii="仿宋_GB2312" w:eastAsia="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szCs w:val="24"/>
                <w:lang w:eastAsia="zh-CN"/>
              </w:rPr>
              <w:t>项目亮点</w:t>
            </w:r>
          </w:p>
        </w:tc>
        <w:tc>
          <w:tcPr>
            <w:tcW w:w="3606" w:type="dxa"/>
            <w:vMerge w:val="restart"/>
            <w:shd w:val="clear" w:color="auto" w:fill="D7D7D7"/>
            <w:noWrap w:val="0"/>
            <w:vAlign w:val="center"/>
          </w:tcPr>
          <w:p w14:paraId="517E2EA2">
            <w:pPr>
              <w:jc w:val="center"/>
              <w:rPr>
                <w:rFonts w:hint="eastAsia" w:ascii="仿宋_GB2312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szCs w:val="24"/>
              </w:rPr>
              <w:t>施工单位现场观摩联系人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szCs w:val="24"/>
                <w:lang w:eastAsia="zh-CN"/>
              </w:rPr>
              <w:t>及开发时间</w:t>
            </w:r>
          </w:p>
        </w:tc>
      </w:tr>
      <w:tr w14:paraId="0C034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059" w:type="dxa"/>
            <w:vMerge w:val="continue"/>
            <w:shd w:val="clear" w:color="auto" w:fill="auto"/>
            <w:noWrap w:val="0"/>
            <w:vAlign w:val="center"/>
          </w:tcPr>
          <w:p w14:paraId="1CC626BB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428" w:type="dxa"/>
            <w:shd w:val="clear" w:color="auto" w:fill="D7D7D7"/>
            <w:noWrap w:val="0"/>
            <w:vAlign w:val="center"/>
          </w:tcPr>
          <w:p w14:paraId="2A4AC0C9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szCs w:val="24"/>
              </w:rPr>
              <w:t>项目地址</w:t>
            </w:r>
          </w:p>
        </w:tc>
        <w:tc>
          <w:tcPr>
            <w:tcW w:w="2377" w:type="dxa"/>
            <w:vMerge w:val="continue"/>
            <w:noWrap w:val="0"/>
            <w:vAlign w:val="center"/>
          </w:tcPr>
          <w:p w14:paraId="27F2469A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109" w:type="dxa"/>
            <w:vMerge w:val="continue"/>
            <w:noWrap w:val="0"/>
            <w:vAlign w:val="center"/>
          </w:tcPr>
          <w:p w14:paraId="205FC951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606" w:type="dxa"/>
            <w:vMerge w:val="continue"/>
            <w:noWrap w:val="0"/>
            <w:vAlign w:val="center"/>
          </w:tcPr>
          <w:p w14:paraId="45E20A30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21D5A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1059" w:type="dxa"/>
            <w:vMerge w:val="restart"/>
            <w:noWrap w:val="0"/>
            <w:vAlign w:val="center"/>
          </w:tcPr>
          <w:p w14:paraId="4D9EB15E">
            <w:pPr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1</w:t>
            </w:r>
          </w:p>
        </w:tc>
        <w:tc>
          <w:tcPr>
            <w:tcW w:w="3428" w:type="dxa"/>
            <w:noWrap w:val="0"/>
            <w:vAlign w:val="center"/>
          </w:tcPr>
          <w:p w14:paraId="6A6B94FA">
            <w:pPr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color w:val="000000"/>
                <w:sz w:val="21"/>
                <w:szCs w:val="21"/>
                <w:highlight w:val="none"/>
                <w:lang w:val="en-US" w:eastAsia="zh-CN" w:bidi="ar-SA"/>
              </w:rPr>
              <w:t>中深科技创新产业园（入选省级示范项目）</w:t>
            </w:r>
          </w:p>
        </w:tc>
        <w:tc>
          <w:tcPr>
            <w:tcW w:w="2377" w:type="dxa"/>
            <w:vMerge w:val="restart"/>
            <w:noWrap w:val="0"/>
            <w:vAlign w:val="center"/>
          </w:tcPr>
          <w:p w14:paraId="3F4D5F52">
            <w:pPr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中建</w:t>
            </w: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eastAsia="zh-CN"/>
              </w:rPr>
              <w:t>三</w:t>
            </w: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局</w:t>
            </w: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eastAsia="zh-CN"/>
              </w:rPr>
              <w:t>第一建筑工程</w:t>
            </w: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有限公司</w:t>
            </w:r>
          </w:p>
        </w:tc>
        <w:tc>
          <w:tcPr>
            <w:tcW w:w="5109" w:type="dxa"/>
            <w:vMerge w:val="restart"/>
            <w:noWrap w:val="0"/>
            <w:vAlign w:val="center"/>
          </w:tcPr>
          <w:p w14:paraId="18811016">
            <w:pPr>
              <w:jc w:val="left"/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1.党建工作：项目按照公司要求，设立党建活动室，并与业主开展党建共建活动，张贴党建CI标语等，致力于打造党建示范工地。</w:t>
            </w:r>
          </w:p>
          <w:p w14:paraId="267B80BB">
            <w:pPr>
              <w:jc w:val="left"/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2.安全文明施工方面：现场临边洞口防护、塔吊防攀爬、安全防护棚与通道均采用工具式成品防护，临水临电消防管线统一按标准化进行铺设并刷漆；现场设置安全体验区，可对消防灭火、心脏复苏等进行实际演练；</w:t>
            </w:r>
          </w:p>
          <w:p w14:paraId="3C091BBE">
            <w:pPr>
              <w:jc w:val="left"/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3.绿色施工方面：使用海水利用系统、自动喷淋、废料利用加工车间、预制构件加工车间、节能灯具等一系列措施达到节能减排的效果，符合国家推行的低碳环保理念；</w:t>
            </w:r>
          </w:p>
          <w:p w14:paraId="309FD2A3">
            <w:pPr>
              <w:jc w:val="left"/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4.项目积极推广BIM技术，已完成机电管综深化、砌体预留洞口三维出图、三维场布、实景建模、BIM安全标准化建模、塔吊防碰撞模拟、工程量统计等53项内容，利用BIM可视化特点，提高生产效率，减少返工；</w:t>
            </w:r>
          </w:p>
          <w:p w14:paraId="4663245D">
            <w:pPr>
              <w:jc w:val="left"/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5.智慧工地应用：投入使用智慧大屏、智能水电表、多功能门禁系统、防拆报警装置、全景监控、塔吊防碰撞、检到位系统、吊钩可视化系统、自动喷淋等智能设备，将项目打造成高效率的智慧工地。</w:t>
            </w:r>
          </w:p>
          <w:p w14:paraId="27CDF5A4">
            <w:pPr>
              <w:jc w:val="left"/>
              <w:rPr>
                <w:rFonts w:hint="eastAsia"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3606" w:type="dxa"/>
            <w:vMerge w:val="restart"/>
            <w:noWrap w:val="0"/>
            <w:vAlign w:val="top"/>
          </w:tcPr>
          <w:p w14:paraId="6D336664">
            <w:pPr>
              <w:jc w:val="center"/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eastAsia="zh-CN"/>
              </w:rPr>
              <w:t>李志强</w:t>
            </w:r>
          </w:p>
          <w:p w14:paraId="643F9C73">
            <w:pPr>
              <w:jc w:val="left"/>
              <w:rPr>
                <w:rFonts w:hint="eastAsia" w:ascii="仿宋_GB2312" w:eastAsia="仿宋_GB2312" w:cs="Times New Roman"/>
                <w:color w:val="000000"/>
                <w:szCs w:val="21"/>
                <w:lang w:val="en-US" w:eastAsia="zh-CN"/>
              </w:rPr>
            </w:pPr>
          </w:p>
          <w:p w14:paraId="042294E6">
            <w:pPr>
              <w:jc w:val="left"/>
              <w:rPr>
                <w:rFonts w:hint="default" w:ascii="仿宋_GB2312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000000"/>
                <w:szCs w:val="21"/>
                <w:lang w:val="en-US" w:eastAsia="zh-CN"/>
              </w:rPr>
              <w:t>观摩安排：</w:t>
            </w:r>
          </w:p>
          <w:p w14:paraId="718229F4">
            <w:pPr>
              <w:jc w:val="left"/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6月11日</w:t>
            </w:r>
          </w:p>
          <w:p w14:paraId="36DAC4A9">
            <w:pPr>
              <w:jc w:val="left"/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上午：小榄、古镇、横栏</w:t>
            </w: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eastAsia="仿宋_GB2312" w:cs="Times New Roman"/>
                <w:color w:val="000000"/>
                <w:szCs w:val="21"/>
                <w:lang w:val="en-US" w:eastAsia="zh-CN"/>
              </w:rPr>
              <w:t>阜沙</w:t>
            </w:r>
          </w:p>
          <w:p w14:paraId="47E469DD">
            <w:pPr>
              <w:jc w:val="left"/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下午：翠亨新区、火炬开发区、东区</w:t>
            </w:r>
          </w:p>
          <w:p w14:paraId="77D92210">
            <w:pPr>
              <w:jc w:val="left"/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</w:p>
          <w:p w14:paraId="3DD61499">
            <w:pPr>
              <w:jc w:val="left"/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6月12日</w:t>
            </w:r>
          </w:p>
          <w:p w14:paraId="42779D38">
            <w:pPr>
              <w:jc w:val="left"/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上午：黄圃、南头、东凤</w:t>
            </w: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、民众</w:t>
            </w:r>
          </w:p>
          <w:p w14:paraId="1E88B2D2">
            <w:pPr>
              <w:jc w:val="left"/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下午：</w:t>
            </w: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西</w:t>
            </w:r>
            <w:r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区、石岐区、南区</w:t>
            </w: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、板芙</w:t>
            </w:r>
          </w:p>
          <w:p w14:paraId="50BAAC1C">
            <w:pPr>
              <w:jc w:val="left"/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</w:p>
          <w:p w14:paraId="60678B8D">
            <w:pPr>
              <w:jc w:val="left"/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6月13日</w:t>
            </w:r>
          </w:p>
          <w:p w14:paraId="4429B01C">
            <w:pPr>
              <w:jc w:val="left"/>
              <w:rPr>
                <w:rFonts w:hint="default" w:ascii="仿宋_GB2312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上午：五桂山、</w:t>
            </w: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神湾、</w:t>
            </w:r>
            <w:r>
              <w:rPr>
                <w:rFonts w:hint="default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三乡、坦洲</w:t>
            </w:r>
          </w:p>
          <w:p w14:paraId="4D15533F">
            <w:pPr>
              <w:jc w:val="left"/>
              <w:rPr>
                <w:rFonts w:hint="default" w:ascii="仿宋_GB2312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000000"/>
                <w:szCs w:val="21"/>
                <w:lang w:val="en-US" w:eastAsia="zh-CN"/>
              </w:rPr>
              <w:t>下午：</w:t>
            </w:r>
            <w:r>
              <w:rPr>
                <w:rFonts w:hint="eastAsia" w:ascii="仿宋_GB2312" w:eastAsia="仿宋_GB2312" w:cs="Times New Roman"/>
                <w:color w:val="000000"/>
                <w:szCs w:val="21"/>
                <w:lang w:val="en-US" w:eastAsia="zh-CN"/>
              </w:rPr>
              <w:t>港口</w:t>
            </w:r>
            <w:r>
              <w:rPr>
                <w:rFonts w:hint="default" w:ascii="仿宋_GB2312" w:eastAsia="仿宋_GB2312" w:cs="Times New Roman"/>
                <w:color w:val="000000"/>
                <w:szCs w:val="21"/>
                <w:lang w:val="en-US" w:eastAsia="zh-CN"/>
              </w:rPr>
              <w:t>、沙溪、大涌</w:t>
            </w:r>
            <w:r>
              <w:rPr>
                <w:rFonts w:hint="eastAsia" w:ascii="仿宋_GB2312" w:eastAsia="仿宋_GB2312" w:cs="Times New Roman"/>
                <w:color w:val="000000"/>
                <w:szCs w:val="21"/>
                <w:lang w:val="en-US" w:eastAsia="zh-CN"/>
              </w:rPr>
              <w:t>、三角</w:t>
            </w:r>
          </w:p>
          <w:p w14:paraId="385BA617">
            <w:pPr>
              <w:pStyle w:val="2"/>
              <w:ind w:left="0" w:leftChars="0" w:firstLine="0" w:firstLineChars="0"/>
              <w:jc w:val="left"/>
              <w:rPr>
                <w:rFonts w:hint="default" w:ascii="仿宋_GB2312" w:cs="Times New Roman"/>
                <w:color w:val="000000"/>
                <w:szCs w:val="21"/>
                <w:lang w:val="en-US" w:eastAsia="zh-CN"/>
              </w:rPr>
            </w:pPr>
          </w:p>
        </w:tc>
      </w:tr>
      <w:tr w14:paraId="71B95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8" w:hRule="atLeas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 w14:paraId="622B39A1">
            <w:pPr>
              <w:jc w:val="center"/>
              <w:rPr>
                <w:rFonts w:hint="eastAsia"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3428" w:type="dxa"/>
            <w:noWrap w:val="0"/>
            <w:vAlign w:val="center"/>
          </w:tcPr>
          <w:p w14:paraId="27387108">
            <w:pPr>
              <w:jc w:val="center"/>
              <w:rPr>
                <w:rFonts w:hint="eastAsia" w:ascii="仿宋_GB2312" w:eastAsia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中山市南朗镇（翠亨新区起步区）东二围</w:t>
            </w:r>
          </w:p>
        </w:tc>
        <w:tc>
          <w:tcPr>
            <w:tcW w:w="2377" w:type="dxa"/>
            <w:vMerge w:val="continue"/>
            <w:noWrap w:val="0"/>
            <w:vAlign w:val="center"/>
          </w:tcPr>
          <w:p w14:paraId="462329F4">
            <w:pPr>
              <w:jc w:val="center"/>
              <w:rPr>
                <w:rFonts w:hint="eastAsia"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5109" w:type="dxa"/>
            <w:vMerge w:val="continue"/>
            <w:noWrap w:val="0"/>
            <w:vAlign w:val="center"/>
          </w:tcPr>
          <w:p w14:paraId="34A32670">
            <w:pPr>
              <w:jc w:val="center"/>
              <w:rPr>
                <w:rFonts w:hint="eastAsia"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3606" w:type="dxa"/>
            <w:vMerge w:val="continue"/>
            <w:noWrap w:val="0"/>
            <w:vAlign w:val="center"/>
          </w:tcPr>
          <w:p w14:paraId="7D0A1A9B">
            <w:pPr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</w:tr>
      <w:tr w14:paraId="38F61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  <w:jc w:val="center"/>
        </w:trPr>
        <w:tc>
          <w:tcPr>
            <w:tcW w:w="1059" w:type="dxa"/>
            <w:vMerge w:val="restart"/>
            <w:noWrap w:val="0"/>
            <w:vAlign w:val="center"/>
          </w:tcPr>
          <w:p w14:paraId="53E13F25">
            <w:pPr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2</w:t>
            </w:r>
          </w:p>
        </w:tc>
        <w:tc>
          <w:tcPr>
            <w:tcW w:w="3428" w:type="dxa"/>
            <w:noWrap w:val="0"/>
            <w:vAlign w:val="center"/>
          </w:tcPr>
          <w:p w14:paraId="602930FA">
            <w:pPr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1"/>
                <w:szCs w:val="21"/>
              </w:rPr>
              <w:t>中山粤海怡桂花园项目</w:t>
            </w:r>
          </w:p>
        </w:tc>
        <w:tc>
          <w:tcPr>
            <w:tcW w:w="2377" w:type="dxa"/>
            <w:vMerge w:val="restart"/>
            <w:noWrap w:val="0"/>
            <w:vAlign w:val="center"/>
          </w:tcPr>
          <w:p w14:paraId="5A9E4AF9">
            <w:pPr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中国建筑第五工程局有限公司</w:t>
            </w:r>
          </w:p>
        </w:tc>
        <w:tc>
          <w:tcPr>
            <w:tcW w:w="5109" w:type="dxa"/>
            <w:vMerge w:val="restart"/>
            <w:noWrap w:val="0"/>
            <w:vAlign w:val="top"/>
          </w:tcPr>
          <w:p w14:paraId="7940C279">
            <w:pPr>
              <w:jc w:val="both"/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1.党建安全一体化，以党建引领安全发展，筑牢安全生产工作的基础。</w:t>
            </w:r>
          </w:p>
          <w:p w14:paraId="2A3F7676">
            <w:pPr>
              <w:jc w:val="both"/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2.制度建设标准化，通过展示CI展示、视频宣传等手段展示项目安全标准化制度建设情况。</w:t>
            </w:r>
          </w:p>
          <w:p w14:paraId="4BD930B0">
            <w:pPr>
              <w:jc w:val="both"/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3.安全设施标准化。设置安全体验区、安全微模型样板区和安全文化长廊。</w:t>
            </w:r>
          </w:p>
          <w:p w14:paraId="4204E324">
            <w:pPr>
              <w:jc w:val="both"/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4.全钢附着式升降操作平台。</w:t>
            </w:r>
          </w:p>
          <w:p w14:paraId="4B05E6C4">
            <w:pPr>
              <w:jc w:val="both"/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5.施工设备通过二维码实现工地信息化。</w:t>
            </w:r>
          </w:p>
          <w:p w14:paraId="3D72E7B7">
            <w:pPr>
              <w:jc w:val="both"/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6.生活用电安全管理。工人生活区照明单独采用36V安全电压供电系统，宿舍全覆盖USB充电接口，电动工具集中充电柜等。</w:t>
            </w:r>
          </w:p>
          <w:p w14:paraId="0815E593">
            <w:pPr>
              <w:jc w:val="both"/>
              <w:rPr>
                <w:rFonts w:hint="eastAsia"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7.绿色建造智慧化。手机终端标记安全隐患定位及记录系统。塔吊、施工电梯等大型设备的实时运行状态进行监测系统。</w:t>
            </w:r>
          </w:p>
        </w:tc>
        <w:tc>
          <w:tcPr>
            <w:tcW w:w="3606" w:type="dxa"/>
            <w:vMerge w:val="restart"/>
            <w:noWrap w:val="0"/>
            <w:vAlign w:val="top"/>
          </w:tcPr>
          <w:p w14:paraId="274263E4">
            <w:pPr>
              <w:jc w:val="center"/>
              <w:rPr>
                <w:rFonts w:hint="eastAsia" w:ascii="仿宋_GB2312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</w:rPr>
              <w:t>李超</w:t>
            </w:r>
          </w:p>
          <w:p w14:paraId="04FE9E02">
            <w:pPr>
              <w:jc w:val="center"/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eastAsia="zh-CN"/>
              </w:rPr>
              <w:t>王军阵</w:t>
            </w:r>
          </w:p>
          <w:p w14:paraId="0F27E589">
            <w:pPr>
              <w:jc w:val="both"/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开放时间：6月11日至13日</w:t>
            </w:r>
          </w:p>
          <w:p w14:paraId="26827D96">
            <w:pPr>
              <w:pStyle w:val="2"/>
              <w:jc w:val="center"/>
              <w:rPr>
                <w:rFonts w:hint="eastAsia" w:ascii="Calibri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Calibri" w:eastAsia="宋体"/>
                <w:color w:val="000000"/>
                <w:sz w:val="21"/>
                <w:szCs w:val="24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39370</wp:posOffset>
                  </wp:positionV>
                  <wp:extent cx="1069340" cy="1794510"/>
                  <wp:effectExtent l="0" t="0" r="16510" b="15240"/>
                  <wp:wrapNone/>
                  <wp:docPr id="5" name="图片 3" descr="粤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 descr="粤海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5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40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1C1D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 w14:paraId="7EF7B70D">
            <w:pPr>
              <w:jc w:val="center"/>
              <w:rPr>
                <w:rFonts w:hint="eastAsia"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3428" w:type="dxa"/>
            <w:noWrap w:val="0"/>
            <w:vAlign w:val="center"/>
          </w:tcPr>
          <w:p w14:paraId="56079BAA">
            <w:pPr>
              <w:jc w:val="center"/>
              <w:rPr>
                <w:rFonts w:hint="eastAsia"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中山翠亨新区五桂路西侧，纬创中山光电园区南侧</w:t>
            </w:r>
          </w:p>
        </w:tc>
        <w:tc>
          <w:tcPr>
            <w:tcW w:w="2377" w:type="dxa"/>
            <w:vMerge w:val="continue"/>
            <w:noWrap w:val="0"/>
            <w:vAlign w:val="center"/>
          </w:tcPr>
          <w:p w14:paraId="7C534D7E">
            <w:pPr>
              <w:jc w:val="center"/>
              <w:rPr>
                <w:rFonts w:hint="eastAsia"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5109" w:type="dxa"/>
            <w:vMerge w:val="continue"/>
            <w:noWrap w:val="0"/>
            <w:vAlign w:val="center"/>
          </w:tcPr>
          <w:p w14:paraId="393CA131">
            <w:pPr>
              <w:jc w:val="center"/>
              <w:rPr>
                <w:rFonts w:hint="eastAsia"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3606" w:type="dxa"/>
            <w:vMerge w:val="continue"/>
            <w:noWrap w:val="0"/>
            <w:vAlign w:val="center"/>
          </w:tcPr>
          <w:p w14:paraId="03DBFEE2">
            <w:pPr>
              <w:jc w:val="center"/>
              <w:rPr>
                <w:rFonts w:hint="eastAsia" w:ascii="仿宋_GB2312" w:eastAsia="仿宋_GB2312"/>
                <w:color w:val="000000"/>
                <w:sz w:val="21"/>
                <w:szCs w:val="21"/>
              </w:rPr>
            </w:pPr>
          </w:p>
        </w:tc>
      </w:tr>
      <w:tr w14:paraId="03165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  <w:jc w:val="center"/>
        </w:trPr>
        <w:tc>
          <w:tcPr>
            <w:tcW w:w="1059" w:type="dxa"/>
            <w:vMerge w:val="restart"/>
            <w:noWrap w:val="0"/>
            <w:vAlign w:val="center"/>
          </w:tcPr>
          <w:p w14:paraId="3FCC83AC">
            <w:pPr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3</w:t>
            </w:r>
          </w:p>
        </w:tc>
        <w:tc>
          <w:tcPr>
            <w:tcW w:w="3428" w:type="dxa"/>
            <w:noWrap w:val="0"/>
            <w:vAlign w:val="center"/>
          </w:tcPr>
          <w:p w14:paraId="6D88C0B6">
            <w:pPr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1"/>
                <w:szCs w:val="21"/>
                <w:lang w:val="en-US" w:eastAsia="zh-CN"/>
              </w:rPr>
              <w:t>富逸长江北商业中心工程</w:t>
            </w:r>
          </w:p>
        </w:tc>
        <w:tc>
          <w:tcPr>
            <w:tcW w:w="2377" w:type="dxa"/>
            <w:vMerge w:val="restart"/>
            <w:noWrap w:val="0"/>
            <w:vAlign w:val="center"/>
          </w:tcPr>
          <w:p w14:paraId="55CC5C79">
            <w:pPr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中天建设集团有限公司</w:t>
            </w:r>
          </w:p>
        </w:tc>
        <w:tc>
          <w:tcPr>
            <w:tcW w:w="5109" w:type="dxa"/>
            <w:vMerge w:val="restart"/>
            <w:noWrap w:val="0"/>
            <w:vAlign w:val="center"/>
          </w:tcPr>
          <w:p w14:paraId="3C0471E3">
            <w:pPr>
              <w:jc w:val="left"/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1.党建引领：成立“项目部党小组”； 落实“三会一课”制度 ；党员亮身份、做表率； 发展党员“一帮一”；划分“党员安全责任区”； 成立“党员技术攻关组”；红色教育”主题活动；开展创优争先评比；“百年党史”专题学习。</w:t>
            </w:r>
          </w:p>
          <w:p w14:paraId="05734617">
            <w:pPr>
              <w:jc w:val="left"/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2.超危大工程管理体系：方案精细化、交底可视化、监管更精准、受力可视化系统 ；高支模智能无线采集终端信息化系统。</w:t>
            </w:r>
          </w:p>
          <w:p w14:paraId="76123974">
            <w:pPr>
              <w:jc w:val="left"/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3.安全标准化管理体系：安全风险双重预防管理体系；全员安全管理体系；防高坠、防物体打击管理体系； 机械管理体系；临时用电标准化管理体系；劳务一体化办公室管理体系；集装箱式安全体验区。</w:t>
            </w:r>
          </w:p>
          <w:p w14:paraId="7FA9524D">
            <w:pPr>
              <w:jc w:val="left"/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4.智慧建造：智慧化防疫哨兵管理系统；项目管理平台；安全管理智能化集成系统；VR管理体系；职业健康；BIM应用；项目管理数字化平台；劳务实名制。</w:t>
            </w:r>
          </w:p>
          <w:p w14:paraId="60016D00">
            <w:pPr>
              <w:jc w:val="left"/>
              <w:rPr>
                <w:rFonts w:hint="eastAsia"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5.绿色施工管理：工地上的一站式材料超市；绿色施工管理；节能与能源利用；节水与水资源利用。</w:t>
            </w:r>
          </w:p>
        </w:tc>
        <w:tc>
          <w:tcPr>
            <w:tcW w:w="3606" w:type="dxa"/>
            <w:vMerge w:val="restart"/>
            <w:noWrap w:val="0"/>
            <w:vAlign w:val="top"/>
          </w:tcPr>
          <w:p w14:paraId="206BF25C">
            <w:pPr>
              <w:jc w:val="center"/>
              <w:rPr>
                <w:rFonts w:hint="default" w:ascii="仿宋_GB2312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  <w:lang w:eastAsia="zh-CN"/>
              </w:rPr>
              <w:t>谢剑</w:t>
            </w:r>
          </w:p>
          <w:p w14:paraId="2508CCB7">
            <w:pPr>
              <w:jc w:val="center"/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开放时间：6月15日至17日</w:t>
            </w:r>
          </w:p>
          <w:p w14:paraId="13F70C75">
            <w:pPr>
              <w:pStyle w:val="2"/>
              <w:rPr>
                <w:rFonts w:hint="default" w:ascii="Calibri" w:cs="Times New Roman"/>
                <w:sz w:val="32"/>
                <w:szCs w:val="24"/>
                <w:lang w:val="en-US" w:eastAsia="zh-CN"/>
              </w:rPr>
            </w:pPr>
            <w:r>
              <w:rPr>
                <w:rFonts w:hint="default" w:ascii="仿宋_GB2312" w:cs="Times New Roman"/>
                <w:color w:val="000000"/>
                <w:sz w:val="21"/>
                <w:szCs w:val="21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483235</wp:posOffset>
                  </wp:positionH>
                  <wp:positionV relativeFrom="paragraph">
                    <wp:posOffset>69850</wp:posOffset>
                  </wp:positionV>
                  <wp:extent cx="1379220" cy="2614930"/>
                  <wp:effectExtent l="0" t="0" r="0" b="13970"/>
                  <wp:wrapNone/>
                  <wp:docPr id="6" name="图片 4" descr="富逸长江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 descr="富逸长江北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4347" r="-7631" b="38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261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EA056EE">
            <w:pPr>
              <w:pStyle w:val="2"/>
              <w:ind w:left="0" w:leftChars="0" w:firstLine="0" w:firstLineChars="0"/>
              <w:jc w:val="center"/>
              <w:rPr>
                <w:rFonts w:hint="default" w:ascii="仿宋_GB2312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40FFA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 w14:paraId="1E4A9E75">
            <w:pPr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428" w:type="dxa"/>
            <w:noWrap w:val="0"/>
            <w:vAlign w:val="center"/>
          </w:tcPr>
          <w:p w14:paraId="665DDBAC">
            <w:pPr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中山市火炬开发区长江北路 2 号</w:t>
            </w:r>
          </w:p>
        </w:tc>
        <w:tc>
          <w:tcPr>
            <w:tcW w:w="2377" w:type="dxa"/>
            <w:vMerge w:val="continue"/>
            <w:noWrap w:val="0"/>
            <w:vAlign w:val="center"/>
          </w:tcPr>
          <w:p w14:paraId="7BEFDED2">
            <w:pPr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5109" w:type="dxa"/>
            <w:vMerge w:val="continue"/>
            <w:noWrap w:val="0"/>
            <w:vAlign w:val="center"/>
          </w:tcPr>
          <w:p w14:paraId="76ED6F82">
            <w:pPr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606" w:type="dxa"/>
            <w:vMerge w:val="continue"/>
            <w:noWrap w:val="0"/>
            <w:vAlign w:val="center"/>
          </w:tcPr>
          <w:p w14:paraId="055098A0">
            <w:pPr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 w14:paraId="04AB7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1059" w:type="dxa"/>
            <w:vMerge w:val="restart"/>
            <w:noWrap w:val="0"/>
            <w:vAlign w:val="center"/>
          </w:tcPr>
          <w:p w14:paraId="47BD8443">
            <w:pPr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428" w:type="dxa"/>
            <w:noWrap w:val="0"/>
            <w:vAlign w:val="center"/>
          </w:tcPr>
          <w:p w14:paraId="1149F617">
            <w:pPr>
              <w:jc w:val="center"/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中山市万熙花园三期、四期项目</w:t>
            </w:r>
          </w:p>
        </w:tc>
        <w:tc>
          <w:tcPr>
            <w:tcW w:w="2377" w:type="dxa"/>
            <w:vMerge w:val="restart"/>
            <w:noWrap w:val="0"/>
            <w:vAlign w:val="center"/>
          </w:tcPr>
          <w:p w14:paraId="4620D69F">
            <w:pPr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</w:rPr>
              <w:t>中国建筑第</w:t>
            </w: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eastAsia="zh-CN"/>
              </w:rPr>
              <w:t>三</w:t>
            </w: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</w:rPr>
              <w:t>工程局有限公司</w:t>
            </w:r>
          </w:p>
        </w:tc>
        <w:tc>
          <w:tcPr>
            <w:tcW w:w="5109" w:type="dxa"/>
            <w:vMerge w:val="restart"/>
            <w:noWrap w:val="0"/>
            <w:vAlign w:val="center"/>
          </w:tcPr>
          <w:p w14:paraId="078DCE71">
            <w:pPr>
              <w:jc w:val="left"/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1.党建引领：成立“项目部工会”；红色教育”主题活动；党员亮身份、做表率；发展党员“一帮一”；划分“党员安全责任区”；定期组织学习党课，开展党员的批评和自我批评；党史、党章宣传。</w:t>
            </w:r>
          </w:p>
          <w:p w14:paraId="745D10F1">
            <w:pPr>
              <w:jc w:val="left"/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2.防疫管理：疫情网格化管理；疫情防控部署会、应急会（责任到人）；全员核酸七天三检；生活区、办公区一天三消杀；特岗人员专项交底；进出车辆、人员登记，两码一测，车辆密封；单独隔离间布置。</w:t>
            </w:r>
          </w:p>
          <w:p w14:paraId="5D64F48F">
            <w:pPr>
              <w:jc w:val="left"/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3.安全标准化管理体系：安全风险可视化、精细化、责任化管理体系；防高坠、防物体打击管理体系；大型机械数据可视化体系；临时用电标准化管理体系；高处作业申报、旁站监督管理体系；实名制智慧管理体系。</w:t>
            </w:r>
          </w:p>
          <w:p w14:paraId="526D9C78">
            <w:pPr>
              <w:jc w:val="left"/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4.智慧建造：安全、质量网络化管理系统；监控云端智慧操作平台；危大工程识别；机械、电表、扬尘集成一体数据平台；数据上墙、实测实量等大数据分析；高精砌块BIM模拟排砖；项目管理数字化平台。</w:t>
            </w:r>
          </w:p>
          <w:p w14:paraId="7C279B79">
            <w:pPr>
              <w:jc w:val="left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5.绿色施工管理：无人值守过磅系统；微信移动端（采购、供应）；自动喷淋系统；无纸化办公；环境保护；节水与水资源利用。</w:t>
            </w:r>
          </w:p>
        </w:tc>
        <w:tc>
          <w:tcPr>
            <w:tcW w:w="3606" w:type="dxa"/>
            <w:vMerge w:val="restart"/>
            <w:noWrap w:val="0"/>
            <w:vAlign w:val="top"/>
          </w:tcPr>
          <w:p w14:paraId="4227CDE3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余光付</w:t>
            </w:r>
          </w:p>
          <w:p w14:paraId="7A6A0356">
            <w:pPr>
              <w:jc w:val="center"/>
              <w:rPr>
                <w:rFonts w:hint="eastAsia"/>
                <w:lang w:val="en-US" w:eastAsia="zh-CN"/>
              </w:rPr>
            </w:pPr>
          </w:p>
          <w:p w14:paraId="7F3F125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开放时间：6月16日至17日</w:t>
            </w:r>
          </w:p>
          <w:p w14:paraId="32E5FAC1">
            <w:pPr>
              <w:pStyle w:val="2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35560</wp:posOffset>
                  </wp:positionV>
                  <wp:extent cx="1829435" cy="3080385"/>
                  <wp:effectExtent l="0" t="0" r="18415" b="5715"/>
                  <wp:wrapNone/>
                  <wp:docPr id="7" name="图片 5" descr="万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 descr="万熙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t="5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435" cy="308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D94C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 w14:paraId="466223A0">
            <w:pPr>
              <w:jc w:val="center"/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28" w:type="dxa"/>
            <w:noWrap w:val="0"/>
            <w:vAlign w:val="center"/>
          </w:tcPr>
          <w:p w14:paraId="64FE071F">
            <w:pPr>
              <w:jc w:val="center"/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1"/>
                <w:szCs w:val="21"/>
                <w:lang w:val="en-US" w:eastAsia="zh-CN"/>
              </w:rPr>
              <w:t>中山市民众镇浪网行政村，阳光大道北侧，毗邻中山保税物流中心</w:t>
            </w:r>
          </w:p>
        </w:tc>
        <w:tc>
          <w:tcPr>
            <w:tcW w:w="2377" w:type="dxa"/>
            <w:vMerge w:val="continue"/>
            <w:noWrap w:val="0"/>
            <w:vAlign w:val="center"/>
          </w:tcPr>
          <w:p w14:paraId="747B7C47">
            <w:pPr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5109" w:type="dxa"/>
            <w:vMerge w:val="continue"/>
            <w:noWrap w:val="0"/>
            <w:vAlign w:val="center"/>
          </w:tcPr>
          <w:p w14:paraId="080EC250">
            <w:pPr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606" w:type="dxa"/>
            <w:vMerge w:val="continue"/>
            <w:noWrap w:val="0"/>
            <w:vAlign w:val="center"/>
          </w:tcPr>
          <w:p w14:paraId="371FE0B3">
            <w:pPr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</w:tbl>
    <w:p w14:paraId="24B86B7E">
      <w:pPr>
        <w:jc w:val="center"/>
        <w:rPr>
          <w:rFonts w:ascii="仿宋_GB2312" w:eastAsia="仿宋_GB2312"/>
          <w:color w:val="000000"/>
          <w:sz w:val="32"/>
          <w:szCs w:val="32"/>
        </w:rPr>
      </w:pPr>
    </w:p>
    <w:p w14:paraId="153F7EA2">
      <w:pPr>
        <w:pStyle w:val="2"/>
        <w:rPr>
          <w:rFonts w:hint="eastAsia"/>
          <w:lang w:eastAsia="zh-CN"/>
        </w:rPr>
      </w:pPr>
    </w:p>
    <w:p w14:paraId="7EC25908">
      <w:pPr>
        <w:pStyle w:val="5"/>
        <w:rPr>
          <w:rFonts w:hint="eastAsia"/>
          <w:lang w:val="en-US" w:eastAsia="zh-CN"/>
        </w:rPr>
      </w:pPr>
    </w:p>
    <w:p w14:paraId="60C21974">
      <w:pPr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49ABD3E7">
      <w:pPr>
        <w:spacing w:beforeLines="0" w:afterLines="0" w:line="240" w:lineRule="auto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33DE0214">
      <w:pPr>
        <w:spacing w:beforeLines="0" w:afterLines="0" w:line="240" w:lineRule="auto"/>
        <w:jc w:val="left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val="en" w:eastAsia="zh-CN"/>
        </w:rPr>
        <w:t>3</w:t>
      </w:r>
    </w:p>
    <w:p w14:paraId="1B9A3B29">
      <w:pPr>
        <w:spacing w:beforeLines="0" w:afterLines="0" w:line="574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4A2DF59">
      <w:pPr>
        <w:spacing w:beforeLines="0" w:afterLines="0" w:line="574" w:lineRule="exact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中山市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建筑施工“安全生产月”和“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/>
        </w:rPr>
        <w:t>安全生产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南粤行”启动仪式视频会议</w:t>
      </w:r>
    </w:p>
    <w:p w14:paraId="7BB87C3C">
      <w:pPr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参 会 回 执</w:t>
      </w:r>
    </w:p>
    <w:p w14:paraId="57515FF3">
      <w:pPr>
        <w:ind w:firstLine="1960" w:firstLineChars="700"/>
        <w:jc w:val="left"/>
        <w:rPr>
          <w:rFonts w:hint="eastAsia" w:ascii="宋体" w:hAnsi="宋体" w:cs="宋体"/>
          <w:sz w:val="28"/>
          <w:szCs w:val="28"/>
          <w:lang w:eastAsia="zh-CN"/>
        </w:rPr>
      </w:pPr>
    </w:p>
    <w:p w14:paraId="10FC2920">
      <w:pPr>
        <w:ind w:firstLine="1960" w:firstLineChars="700"/>
        <w:jc w:val="left"/>
      </w:pPr>
      <w:r>
        <w:rPr>
          <w:rFonts w:hint="eastAsia" w:ascii="宋体" w:hAnsi="宋体" w:cs="宋体"/>
          <w:sz w:val="28"/>
          <w:szCs w:val="28"/>
          <w:lang w:eastAsia="zh-CN"/>
        </w:rPr>
        <w:t>填报单位（盖章）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905"/>
        <w:gridCol w:w="3838"/>
        <w:gridCol w:w="1777"/>
        <w:gridCol w:w="2643"/>
      </w:tblGrid>
      <w:tr w14:paraId="66EF7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noWrap w:val="0"/>
            <w:vAlign w:val="center"/>
          </w:tcPr>
          <w:p w14:paraId="036491DD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905" w:type="dxa"/>
            <w:noWrap w:val="0"/>
            <w:vAlign w:val="center"/>
          </w:tcPr>
          <w:p w14:paraId="178E03CB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姓 名</w:t>
            </w:r>
          </w:p>
        </w:tc>
        <w:tc>
          <w:tcPr>
            <w:tcW w:w="3838" w:type="dxa"/>
            <w:noWrap w:val="0"/>
            <w:vAlign w:val="center"/>
          </w:tcPr>
          <w:p w14:paraId="2B346279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单 位 名 称</w:t>
            </w:r>
          </w:p>
        </w:tc>
        <w:tc>
          <w:tcPr>
            <w:tcW w:w="1777" w:type="dxa"/>
            <w:noWrap w:val="0"/>
            <w:vAlign w:val="center"/>
          </w:tcPr>
          <w:p w14:paraId="11419CE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2643" w:type="dxa"/>
            <w:noWrap w:val="0"/>
            <w:vAlign w:val="center"/>
          </w:tcPr>
          <w:p w14:paraId="27B88440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eastAsia="zh-CN"/>
              </w:rPr>
              <w:t>电话号码</w:t>
            </w:r>
          </w:p>
        </w:tc>
      </w:tr>
      <w:tr w14:paraId="05569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noWrap w:val="0"/>
            <w:vAlign w:val="top"/>
          </w:tcPr>
          <w:p w14:paraId="772B91E5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05" w:type="dxa"/>
            <w:noWrap w:val="0"/>
            <w:vAlign w:val="top"/>
          </w:tcPr>
          <w:p w14:paraId="0EBFED1E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838" w:type="dxa"/>
            <w:noWrap w:val="0"/>
            <w:vAlign w:val="top"/>
          </w:tcPr>
          <w:p w14:paraId="08839CB6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top"/>
          </w:tcPr>
          <w:p w14:paraId="5B14ABE5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43" w:type="dxa"/>
            <w:noWrap w:val="0"/>
            <w:vAlign w:val="top"/>
          </w:tcPr>
          <w:p w14:paraId="2863BA34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5E8C0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noWrap w:val="0"/>
            <w:vAlign w:val="top"/>
          </w:tcPr>
          <w:p w14:paraId="2A850225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05" w:type="dxa"/>
            <w:noWrap w:val="0"/>
            <w:vAlign w:val="top"/>
          </w:tcPr>
          <w:p w14:paraId="6F20F666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838" w:type="dxa"/>
            <w:noWrap w:val="0"/>
            <w:vAlign w:val="top"/>
          </w:tcPr>
          <w:p w14:paraId="0B4B4DEC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top"/>
          </w:tcPr>
          <w:p w14:paraId="330F5908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43" w:type="dxa"/>
            <w:noWrap w:val="0"/>
            <w:vAlign w:val="top"/>
          </w:tcPr>
          <w:p w14:paraId="216113E7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39995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noWrap w:val="0"/>
            <w:vAlign w:val="top"/>
          </w:tcPr>
          <w:p w14:paraId="59F6E9B6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05" w:type="dxa"/>
            <w:noWrap w:val="0"/>
            <w:vAlign w:val="top"/>
          </w:tcPr>
          <w:p w14:paraId="00A92E74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838" w:type="dxa"/>
            <w:noWrap w:val="0"/>
            <w:vAlign w:val="top"/>
          </w:tcPr>
          <w:p w14:paraId="2904539B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top"/>
          </w:tcPr>
          <w:p w14:paraId="3C85BDD3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43" w:type="dxa"/>
            <w:noWrap w:val="0"/>
            <w:vAlign w:val="top"/>
          </w:tcPr>
          <w:p w14:paraId="536507F3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14590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noWrap w:val="0"/>
            <w:vAlign w:val="top"/>
          </w:tcPr>
          <w:p w14:paraId="1B7C7B99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05" w:type="dxa"/>
            <w:noWrap w:val="0"/>
            <w:vAlign w:val="top"/>
          </w:tcPr>
          <w:p w14:paraId="67913D7A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838" w:type="dxa"/>
            <w:noWrap w:val="0"/>
            <w:vAlign w:val="top"/>
          </w:tcPr>
          <w:p w14:paraId="302026B4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top"/>
          </w:tcPr>
          <w:p w14:paraId="3D11FF4D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43" w:type="dxa"/>
            <w:noWrap w:val="0"/>
            <w:vAlign w:val="top"/>
          </w:tcPr>
          <w:p w14:paraId="7BFBB017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102B3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noWrap w:val="0"/>
            <w:vAlign w:val="top"/>
          </w:tcPr>
          <w:p w14:paraId="01FFFBAA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05" w:type="dxa"/>
            <w:noWrap w:val="0"/>
            <w:vAlign w:val="top"/>
          </w:tcPr>
          <w:p w14:paraId="6CCA2EBB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838" w:type="dxa"/>
            <w:noWrap w:val="0"/>
            <w:vAlign w:val="top"/>
          </w:tcPr>
          <w:p w14:paraId="46E767F6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top"/>
          </w:tcPr>
          <w:p w14:paraId="59CFC9D9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43" w:type="dxa"/>
            <w:noWrap w:val="0"/>
            <w:vAlign w:val="top"/>
          </w:tcPr>
          <w:p w14:paraId="075A5040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247C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noWrap w:val="0"/>
            <w:vAlign w:val="top"/>
          </w:tcPr>
          <w:p w14:paraId="34663EF4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05" w:type="dxa"/>
            <w:noWrap w:val="0"/>
            <w:vAlign w:val="top"/>
          </w:tcPr>
          <w:p w14:paraId="203A0908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838" w:type="dxa"/>
            <w:noWrap w:val="0"/>
            <w:vAlign w:val="top"/>
          </w:tcPr>
          <w:p w14:paraId="36D53D20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top"/>
          </w:tcPr>
          <w:p w14:paraId="283B72B8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43" w:type="dxa"/>
            <w:noWrap w:val="0"/>
            <w:vAlign w:val="top"/>
          </w:tcPr>
          <w:p w14:paraId="68BCAF1E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 w14:paraId="6D8303A9">
      <w:pPr>
        <w:pStyle w:val="2"/>
        <w:rPr>
          <w:rFonts w:ascii="仿宋_GB2312" w:hAnsi="仿宋_GB2312" w:eastAsia="仿宋_GB2312" w:cs="仿宋_GB2312"/>
          <w:b/>
          <w:bCs/>
          <w:sz w:val="28"/>
          <w:szCs w:val="28"/>
        </w:rPr>
        <w:sectPr>
          <w:headerReference r:id="rId4" w:type="default"/>
          <w:footerReference r:id="rId5" w:type="default"/>
          <w:pgSz w:w="16783" w:h="11850" w:orient="landscape"/>
          <w:pgMar w:top="720" w:right="720" w:bottom="720" w:left="720" w:header="851" w:footer="992" w:gutter="0"/>
          <w:cols w:space="720" w:num="1"/>
          <w:docGrid w:type="lines" w:linePitch="312" w:charSpace="0"/>
        </w:sectPr>
      </w:pPr>
    </w:p>
    <w:p w14:paraId="4CD56F82">
      <w:pPr>
        <w:pStyle w:val="2"/>
        <w:ind w:left="0" w:leftChars="0" w:firstLine="0" w:firstLineChars="0"/>
        <w:jc w:val="left"/>
        <w:rPr>
          <w:rFonts w:hint="eastAsia" w:ascii="CESI黑体-GB2312" w:hAnsi="CESI黑体-GB2312" w:eastAsia="CESI黑体-GB2312" w:cs="CESI黑体-GB2312"/>
          <w:b/>
          <w:bCs/>
          <w:sz w:val="28"/>
          <w:szCs w:val="28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4</w:t>
      </w:r>
    </w:p>
    <w:p w14:paraId="4D55938D">
      <w:pPr>
        <w:pStyle w:val="3"/>
        <w:jc w:val="center"/>
        <w:rPr>
          <w:rFonts w:hint="eastAsia" w:ascii="仿宋_GB2312" w:hAnsi="仿宋_GB2312" w:eastAsia="仿宋_GB2312" w:cs="仿宋_GB2312"/>
          <w:kern w:val="0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44"/>
          <w:szCs w:val="44"/>
          <w:lang w:val="en-US" w:eastAsia="zh-CN"/>
        </w:rPr>
        <w:t>云观摩网址及二维码</w:t>
      </w:r>
    </w:p>
    <w:p w14:paraId="57CDF5C0">
      <w:pPr>
        <w:pStyle w:val="3"/>
        <w:jc w:val="center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5EDB0FBA">
      <w:pPr>
        <w:pStyle w:val="2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365125</wp:posOffset>
            </wp:positionV>
            <wp:extent cx="3475990" cy="3475990"/>
            <wp:effectExtent l="0" t="0" r="10160" b="10160"/>
            <wp:wrapNone/>
            <wp:docPr id="3" name="图片 6" descr="云观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 descr="云观摩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75990" cy="347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A4F139">
      <w:pPr>
        <w:pStyle w:val="2"/>
        <w:rPr>
          <w:rFonts w:hint="eastAsia" w:ascii="仿宋_GB2312" w:hAnsi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28"/>
          <w:szCs w:val="28"/>
          <w:lang w:val="en-US" w:eastAsia="zh-CN"/>
        </w:rPr>
        <w:t xml:space="preserve">   </w:t>
      </w:r>
    </w:p>
    <w:p w14:paraId="042973B3">
      <w:pPr>
        <w:pStyle w:val="2"/>
        <w:rPr>
          <w:rFonts w:hint="eastAsia" w:ascii="仿宋_GB2312" w:hAnsi="仿宋_GB2312" w:cs="仿宋_GB2312"/>
          <w:b/>
          <w:bCs/>
          <w:sz w:val="28"/>
          <w:szCs w:val="28"/>
          <w:lang w:val="en-US" w:eastAsia="zh-CN"/>
        </w:rPr>
      </w:pPr>
    </w:p>
    <w:p w14:paraId="34F08DBD">
      <w:pPr>
        <w:pStyle w:val="2"/>
        <w:rPr>
          <w:rFonts w:hint="eastAsia" w:ascii="仿宋_GB2312" w:hAnsi="仿宋_GB2312" w:cs="仿宋_GB2312"/>
          <w:b/>
          <w:bCs/>
          <w:sz w:val="28"/>
          <w:szCs w:val="28"/>
          <w:lang w:val="en-US" w:eastAsia="zh-CN"/>
        </w:rPr>
      </w:pPr>
    </w:p>
    <w:p w14:paraId="07219E5D">
      <w:pPr>
        <w:pStyle w:val="2"/>
        <w:rPr>
          <w:rFonts w:hint="eastAsia" w:ascii="仿宋_GB2312" w:hAnsi="仿宋_GB2312" w:cs="仿宋_GB2312"/>
          <w:b/>
          <w:bCs/>
          <w:sz w:val="28"/>
          <w:szCs w:val="28"/>
          <w:lang w:val="en-US" w:eastAsia="zh-CN"/>
        </w:rPr>
      </w:pPr>
    </w:p>
    <w:p w14:paraId="27284BBE">
      <w:pPr>
        <w:pStyle w:val="2"/>
        <w:rPr>
          <w:rFonts w:hint="eastAsia" w:ascii="仿宋_GB2312" w:hAnsi="仿宋_GB2312" w:cs="仿宋_GB2312"/>
          <w:b/>
          <w:bCs/>
          <w:sz w:val="28"/>
          <w:szCs w:val="28"/>
          <w:lang w:val="en-US" w:eastAsia="zh-CN"/>
        </w:rPr>
      </w:pPr>
    </w:p>
    <w:p w14:paraId="54BC1A9D">
      <w:pPr>
        <w:pStyle w:val="2"/>
        <w:rPr>
          <w:rFonts w:hint="eastAsia" w:ascii="仿宋_GB2312" w:hAnsi="仿宋_GB2312" w:cs="仿宋_GB2312"/>
          <w:b/>
          <w:bCs/>
          <w:sz w:val="28"/>
          <w:szCs w:val="28"/>
          <w:lang w:val="en-US" w:eastAsia="zh-CN"/>
        </w:rPr>
      </w:pPr>
    </w:p>
    <w:p w14:paraId="7EE8A509">
      <w:pPr>
        <w:pStyle w:val="2"/>
        <w:rPr>
          <w:rFonts w:hint="eastAsia" w:ascii="仿宋_GB2312" w:hAnsi="仿宋_GB2312" w:cs="仿宋_GB2312"/>
          <w:b/>
          <w:bCs/>
          <w:sz w:val="28"/>
          <w:szCs w:val="28"/>
          <w:lang w:val="en-US" w:eastAsia="zh-CN"/>
        </w:rPr>
      </w:pPr>
    </w:p>
    <w:p w14:paraId="27A83C25">
      <w:pPr>
        <w:pStyle w:val="2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28"/>
          <w:szCs w:val="28"/>
          <w:lang w:val="en-US" w:eastAsia="zh-CN"/>
        </w:rPr>
        <w:t xml:space="preserve">        https://wx.vzan.com/live/page/78F451F598F9D230184FED764798250E?topicid=750074510&amp;v=637902850947085807                          </w:t>
      </w:r>
    </w:p>
    <w:p w14:paraId="378B553B"/>
    <w:sectPr>
      <w:pgSz w:w="11850" w:h="16783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E6B404C-A5F9-4C80-866E-6499EF8350E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DBD3644-F167-4489-8D27-61DF123E4478}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E6508FC-A608-4687-8917-6939E06AB305}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4" w:fontKey="{030D97DD-8593-4698-A720-3ADD58E822B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1FF77F6-2744-47CF-B238-0E2A451B27D5}"/>
  </w:font>
  <w:font w:name="KSOF344F3A2C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DAA233C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DAA979B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EA68B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DA31AA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zSVju0AAAAAUBAAAPAAAAAAAAAAEAIAAAACIAAABkcnMv&#10;ZG93bnJldi54bWxQSwECFAAUAAAACACHTuJA3a36J9IBAACiAwAADgAAAAAAAAABACAAAAAfAQAA&#10;ZHJzL2Uyb0RvYy54bWxQSwUGAAAAAAYABgBZAQAAY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DA31AA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79458">
    <w:pPr>
      <w:widowControl w:val="0"/>
      <w:spacing w:line="1" w:lineRule="exact"/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1147B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1fWDns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1147B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24F40">
    <w:pPr>
      <w:widowControl w:val="0"/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12D93"/>
    <w:rsid w:val="004351C4"/>
    <w:rsid w:val="00877BF1"/>
    <w:rsid w:val="2E0C0EE8"/>
    <w:rsid w:val="2FC424D7"/>
    <w:rsid w:val="33896BA3"/>
    <w:rsid w:val="54590B80"/>
    <w:rsid w:val="5A012D93"/>
    <w:rsid w:val="5FFC1149"/>
    <w:rsid w:val="605A3559"/>
    <w:rsid w:val="674DB277"/>
    <w:rsid w:val="6F93241A"/>
    <w:rsid w:val="78A5058D"/>
    <w:rsid w:val="78C4792C"/>
    <w:rsid w:val="78EC0A74"/>
    <w:rsid w:val="7DEFAE7C"/>
    <w:rsid w:val="7EC77B91"/>
    <w:rsid w:val="B7AEFFF8"/>
    <w:rsid w:val="BFFE32E1"/>
    <w:rsid w:val="DADAE57E"/>
    <w:rsid w:val="DEAA4AB2"/>
    <w:rsid w:val="F7B6F911"/>
    <w:rsid w:val="FBBF2B5B"/>
    <w:rsid w:val="FCFDE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0"/>
    <w:pPr>
      <w:widowControl w:val="0"/>
      <w:spacing w:before="100" w:beforeAutospacing="1" w:line="600" w:lineRule="exact"/>
      <w:ind w:left="420" w:leftChars="200" w:firstLine="42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toc 5"/>
    <w:basedOn w:val="1"/>
    <w:next w:val="1"/>
    <w:qFormat/>
    <w:uiPriority w:val="0"/>
    <w:pPr>
      <w:suppressAutoHyphens/>
      <w:ind w:left="1680" w:leftChars="800"/>
    </w:pPr>
    <w:rPr>
      <w:rFonts w:eastAsia="宋体"/>
      <w:kern w:val="1"/>
      <w:sz w:val="21"/>
      <w:szCs w:val="24"/>
      <w:lang w:eastAsia="ar-SA"/>
    </w:rPr>
  </w:style>
  <w:style w:type="paragraph" w:styleId="5">
    <w:name w:val="Body Text Indent 2"/>
    <w:basedOn w:val="1"/>
    <w:next w:val="3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1951</Words>
  <Characters>2106</Characters>
  <Lines>0</Lines>
  <Paragraphs>0</Paragraphs>
  <TotalTime>7</TotalTime>
  <ScaleCrop>false</ScaleCrop>
  <LinksUpToDate>false</LinksUpToDate>
  <CharactersWithSpaces>2162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2020-09-18T02:21:00Z</dcterms:created>
  <dc:creator>系统管理员</dc:creator>
  <cp:lastModifiedBy>付翊苗</cp:lastModifiedBy>
  <dcterms:modified xsi:type="dcterms:W3CDTF">2026-08-10T09:18:43Z</dcterms:modified>
  <dc:title>中山市住房和城乡建设局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eyJoZGlkIjoiNTFjMGNlNTdkNDRhMzYyYjg2OGU2NmEyNzEyMWEyOWUiLCJ1c2VySWQiOiIxNjY4NTY0MTc0In0=</vt:lpwstr>
  </property>
  <property fmtid="{D5CDD505-2E9C-101B-9397-08002B2CF9AE}" pid="4" name="ICV">
    <vt:lpwstr>43B433146E0A4D2299D5DA2A2AF9FE0C_12</vt:lpwstr>
  </property>
</Properties>
</file>