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F880A">
      <w:pPr>
        <w:pStyle w:val="2"/>
        <w:jc w:val="right"/>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eastAsia="zh-CN"/>
        </w:rPr>
        <w:t>（</w:t>
      </w:r>
      <w:r>
        <w:rPr>
          <w:rFonts w:hint="eastAsia" w:ascii="Times New Roman" w:cs="Times New Roman"/>
          <w:color w:val="auto"/>
          <w:sz w:val="24"/>
          <w:szCs w:val="24"/>
          <w:lang w:val="en-US" w:eastAsia="zh-CN"/>
        </w:rPr>
        <w:t>A</w:t>
      </w:r>
      <w:r>
        <w:rPr>
          <w:rFonts w:hint="default" w:ascii="Times New Roman" w:hAnsi="Times New Roman" w:cs="Times New Roman"/>
          <w:color w:val="auto"/>
          <w:sz w:val="24"/>
          <w:szCs w:val="24"/>
          <w:lang w:val="en-US" w:eastAsia="zh-CN"/>
        </w:rPr>
        <w:t>类）</w:t>
      </w:r>
    </w:p>
    <w:p w14:paraId="1EBB89D2">
      <w:pPr>
        <w:tabs>
          <w:tab w:val="left" w:pos="5880"/>
        </w:tabs>
        <w:spacing w:line="240" w:lineRule="auto"/>
        <w:jc w:val="center"/>
        <w:rPr>
          <w:rFonts w:hint="default" w:ascii="Times New Roman" w:hAnsi="Times New Roman" w:eastAsia="方正小标宋简体" w:cs="Times New Roman"/>
          <w:b w:val="0"/>
          <w:bCs w:val="0"/>
          <w:color w:val="FF0000"/>
          <w:spacing w:val="57"/>
          <w:sz w:val="66"/>
          <w:szCs w:val="66"/>
          <w:lang w:val="en-US" w:eastAsia="zh-CN"/>
        </w:rPr>
      </w:pPr>
      <w:r>
        <w:rPr>
          <w:rFonts w:hint="default" w:ascii="Times New Roman" w:hAnsi="Times New Roman" w:eastAsia="方正小标宋简体" w:cs="Times New Roman"/>
          <w:b w:val="0"/>
          <w:bCs w:val="0"/>
          <w:color w:val="FF0000"/>
          <w:spacing w:val="57"/>
          <w:sz w:val="66"/>
          <w:szCs w:val="66"/>
        </w:rPr>
        <mc:AlternateContent>
          <mc:Choice Requires="wps">
            <w:drawing>
              <wp:anchor distT="0" distB="0" distL="114300" distR="114300" simplePos="0" relativeHeight="251660288" behindDoc="0" locked="0" layoutInCell="1" allowOverlap="1">
                <wp:simplePos x="0" y="0"/>
                <wp:positionH relativeFrom="column">
                  <wp:posOffset>-219075</wp:posOffset>
                </wp:positionH>
                <wp:positionV relativeFrom="paragraph">
                  <wp:posOffset>664845</wp:posOffset>
                </wp:positionV>
                <wp:extent cx="5962650" cy="635"/>
                <wp:effectExtent l="0" t="19050" r="0" b="37465"/>
                <wp:wrapNone/>
                <wp:docPr id="6" name="直接连接符 6"/>
                <wp:cNvGraphicFramePr/>
                <a:graphic xmlns:a="http://schemas.openxmlformats.org/drawingml/2006/main">
                  <a:graphicData uri="http://schemas.microsoft.com/office/word/2010/wordprocessingShape">
                    <wps:wsp>
                      <wps:cNvCnPr/>
                      <wps:spPr>
                        <a:xfrm>
                          <a:off x="0" y="0"/>
                          <a:ext cx="6057900" cy="0"/>
                        </a:xfrm>
                        <a:prstGeom prst="line">
                          <a:avLst/>
                        </a:prstGeom>
                        <a:ln w="381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7.25pt;margin-top:52.35pt;height:0.05pt;width:469.5pt;z-index:251660288;mso-width-relative:page;mso-height-relative:page;" filled="f" stroked="t" coordsize="21600,21600" o:gfxdata="UEsDBAoAAAAAAIdO4kAAAAAAAAAAAAAAAAAEAAAAZHJzL1BLAwQUAAAACACHTuJA52KTONsAAAAL&#10;AQAADwAAAGRycy9kb3ducmV2LnhtbE2PwU7DMBBE70j8g7VIXFBrF0opIU6FkBAtPVACEuLmJksS&#10;NV4H22nL37PlQo878zQ7k872thVb9KFxpGE0VCCQClc2VGl4f3scTEGEaKg0rSPU8IMBZtnpSWqS&#10;0u3oFbd5rASHUEiMhjrGLpEyFDVaE4auQ2Lvy3lrIp++kqU3Ow63rbxUaiKtaYg/1KbDhxqLTd5b&#10;DfbF3svP5VOf+9Xi+eN7OV9tLuZan5+N1B2IiPv4D8OhPleHjDutXU9lEK2GwdX4mlE21PgGBBO3&#10;6qCs/5QpyCyVxxuyX1BLAwQUAAAACACHTuJATwcJtPsBAADzAwAADgAAAGRycy9lMm9Eb2MueG1s&#10;rVPNjtMwEL4j8Q6W7zTpIspu1HQPW8oFQSXYB5g6TmLJf/K4TfsSvAASNzhx5M7bsDwGY6dbluXS&#10;Azk4Y8/MN/N9Hs+v90aznQyonK35dFJyJq1wjbJdzW8/rJ5dcoYRbAPaWVnzg0R+vXj6ZD74Sl64&#10;3ulGBkYgFqvB17yP0VdFgaKXBnDivLTkbF0wEGkbuqIJMBC60cVFWc6KwYXGByckIp0uRyc/IoZz&#10;AF3bKiGXTmyNtHFEDVJDJErYK498kbttWyniu7ZFGZmuOTGNeaUiZG/SWizmUHUBfK/EsQU4p4VH&#10;nAwoS0VPUEuIwLZB/QNllAgOXRsnwpliJJIVIRbT8pE273vwMnMhqdGfRMf/Byve7taBqabmM84s&#10;GLrwu0/ff3788uvHZ1rvvn1lsyTS4LGi2Bu7Dscd+nVIjPdtMOlPXNg+C3s4CSv3kQk6nJUvXl6V&#10;pLm49xV/En3A+Fo6w5JRc61s4gwV7N5gpGIUeh+SjrVlQ82fX04zHtAEtnTzBG08sUDb5WR0WjUr&#10;pXVKwdBtbnRgO6ApWK1K+hInAv4rLFVZAvZjXHaN89FLaF7ZhsWDJ30sPQueejCy4UxLekXJIkCo&#10;Iih9TiSV1jYlyDyjR6JJ5FHWZG1cc6C72fqgup6Emeaek4dmIXd/nNs0bA/3ZD98q4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2KTONsAAAALAQAADwAAAAAAAAABACAAAAAiAAAAZHJzL2Rvd25y&#10;ZXYueG1sUEsBAhQAFAAAAAgAh07iQE8HCbT7AQAA8wMAAA4AAAAAAAAAAQAgAAAAKgEAAGRycy9l&#10;Mm9Eb2MueG1sUEsFBgAAAAAGAAYAWQEAAJcFAAAAAA==&#10;">
                <v:fill on="f" focussize="0,0"/>
                <v:stroke weight="3pt" color="#FF0000" joinstyle="round"/>
                <v:imagedata o:title=""/>
                <o:lock v:ext="edit" aspectratio="f"/>
              </v:line>
            </w:pict>
          </mc:Fallback>
        </mc:AlternateContent>
      </w:r>
      <w:r>
        <w:rPr>
          <w:rFonts w:hint="default" w:ascii="Times New Roman" w:hAnsi="Times New Roman" w:eastAsia="方正小标宋简体" w:cs="Times New Roman"/>
          <w:b w:val="0"/>
          <w:bCs w:val="0"/>
          <w:color w:val="FF0000"/>
          <w:spacing w:val="57"/>
          <w:sz w:val="66"/>
          <w:szCs w:val="66"/>
        </w:rPr>
        <w:t>中山市住房和城乡建设局</w:t>
      </w:r>
    </w:p>
    <w:p w14:paraId="34044BB4">
      <w:pPr>
        <w:keepNext w:val="0"/>
        <w:keepLines w:val="0"/>
        <w:pageBreakBefore w:val="0"/>
        <w:widowControl w:val="0"/>
        <w:kinsoku/>
        <w:wordWrap w:val="0"/>
        <w:overflowPunct/>
        <w:topLinePunct/>
        <w:autoSpaceDE w:val="0"/>
        <w:autoSpaceDN w:val="0"/>
        <w:bidi w:val="0"/>
        <w:adjustRightInd/>
        <w:snapToGrid w:val="0"/>
        <w:spacing w:beforeLines="0" w:afterLines="0" w:line="574" w:lineRule="exact"/>
        <w:ind w:left="0" w:leftChars="0" w:right="0" w:rightChars="0"/>
        <w:jc w:val="right"/>
        <w:textAlignment w:val="auto"/>
        <w:outlineLvl w:val="9"/>
        <w:rPr>
          <w:rFonts w:hint="default" w:ascii="Times New Roman" w:hAnsi="Times New Roman" w:eastAsia="楷体_GB2312" w:cs="Times New Roman"/>
          <w:snapToGrid w:val="0"/>
          <w:spacing w:val="0"/>
          <w:kern w:val="0"/>
          <w:sz w:val="32"/>
          <w:szCs w:val="32"/>
        </w:rPr>
      </w:pPr>
      <w:r>
        <w:rPr>
          <w:rFonts w:hint="default" w:ascii="Times New Roman" w:hAnsi="Times New Roman" w:eastAsia="楷体_GB2312" w:cs="Times New Roman"/>
          <w:snapToGrid w:val="0"/>
          <w:spacing w:val="0"/>
          <w:kern w:val="0"/>
          <w:sz w:val="32"/>
          <w:szCs w:val="32"/>
        </w:rPr>
        <w:t>中建函〔202</w:t>
      </w:r>
      <w:r>
        <w:rPr>
          <w:rFonts w:hint="default" w:ascii="Times New Roman" w:hAnsi="Times New Roman" w:eastAsia="楷体_GB2312" w:cs="Times New Roman"/>
          <w:snapToGrid w:val="0"/>
          <w:spacing w:val="0"/>
          <w:kern w:val="0"/>
          <w:sz w:val="32"/>
          <w:szCs w:val="32"/>
          <w:lang w:val="en-US" w:eastAsia="zh-CN"/>
        </w:rPr>
        <w:t>6</w:t>
      </w:r>
      <w:r>
        <w:rPr>
          <w:rFonts w:hint="default" w:ascii="Times New Roman" w:hAnsi="Times New Roman" w:eastAsia="楷体_GB2312" w:cs="Times New Roman"/>
          <w:snapToGrid w:val="0"/>
          <w:spacing w:val="0"/>
          <w:kern w:val="0"/>
          <w:sz w:val="32"/>
          <w:szCs w:val="32"/>
        </w:rPr>
        <w:t>〕</w:t>
      </w:r>
      <w:r>
        <w:rPr>
          <w:rFonts w:hint="eastAsia" w:ascii="Times New Roman" w:hAnsi="Times New Roman" w:eastAsia="楷体_GB2312" w:cs="Times New Roman"/>
          <w:snapToGrid w:val="0"/>
          <w:spacing w:val="0"/>
          <w:kern w:val="0"/>
          <w:sz w:val="32"/>
          <w:szCs w:val="32"/>
          <w:lang w:eastAsia="zh"/>
          <w:woUserID w:val="1"/>
        </w:rPr>
        <w:t>110</w:t>
      </w:r>
      <w:r>
        <w:rPr>
          <w:rFonts w:hint="default" w:ascii="Times New Roman" w:hAnsi="Times New Roman" w:eastAsia="楷体_GB2312" w:cs="Times New Roman"/>
          <w:snapToGrid w:val="0"/>
          <w:spacing w:val="0"/>
          <w:kern w:val="0"/>
          <w:sz w:val="32"/>
          <w:szCs w:val="32"/>
        </w:rPr>
        <w:t>号</w:t>
      </w:r>
    </w:p>
    <w:p w14:paraId="1FA37E6C">
      <w:pPr>
        <w:spacing w:line="574" w:lineRule="exact"/>
        <w:jc w:val="center"/>
        <w:rPr>
          <w:rFonts w:hint="default" w:ascii="Times New Roman" w:hAnsi="Times New Roman" w:eastAsia="方正小标宋简体" w:cs="Times New Roman"/>
          <w:sz w:val="44"/>
          <w:szCs w:val="44"/>
        </w:rPr>
      </w:pPr>
    </w:p>
    <w:p w14:paraId="0B7B61E3">
      <w:pPr>
        <w:spacing w:line="574" w:lineRule="exact"/>
        <w:jc w:val="center"/>
        <w:rPr>
          <w:rFonts w:hint="default" w:ascii="Times New Roman" w:hAnsi="Times New Roman" w:eastAsia="方正小标宋简体" w:cs="Times New Roman"/>
          <w:color w:val="auto"/>
          <w:spacing w:val="-17"/>
          <w:sz w:val="44"/>
        </w:rPr>
      </w:pPr>
      <w:r>
        <w:rPr>
          <w:rFonts w:hint="default" w:ascii="Times New Roman" w:hAnsi="Times New Roman" w:eastAsia="方正小标宋简体" w:cs="Times New Roman"/>
          <w:sz w:val="44"/>
          <w:szCs w:val="44"/>
        </w:rPr>
        <w:t>关于</w:t>
      </w:r>
      <w:r>
        <w:rPr>
          <w:rFonts w:hint="default" w:ascii="Times New Roman" w:hAnsi="Times New Roman" w:eastAsia="方正小标宋简体" w:cs="Times New Roman"/>
          <w:color w:val="auto"/>
          <w:spacing w:val="-17"/>
          <w:sz w:val="44"/>
        </w:rPr>
        <w:t>市十六届人大七次会议第2026026号</w:t>
      </w:r>
    </w:p>
    <w:p w14:paraId="6E7EEF2A">
      <w:pPr>
        <w:spacing w:line="574"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color w:val="auto"/>
          <w:spacing w:val="-17"/>
          <w:sz w:val="44"/>
        </w:rPr>
        <w:t>建议答复</w:t>
      </w:r>
      <w:r>
        <w:rPr>
          <w:rFonts w:hint="default" w:ascii="Times New Roman" w:hAnsi="Times New Roman" w:eastAsia="方正小标宋简体" w:cs="Times New Roman"/>
          <w:color w:val="auto"/>
          <w:spacing w:val="-17"/>
          <w:sz w:val="44"/>
          <w:lang w:eastAsia="zh-CN"/>
        </w:rPr>
        <w:t>的函</w:t>
      </w:r>
    </w:p>
    <w:p w14:paraId="6D42BC4B">
      <w:pPr>
        <w:spacing w:line="574" w:lineRule="exact"/>
        <w:rPr>
          <w:rFonts w:hint="default" w:ascii="Times New Roman" w:hAnsi="Times New Roman" w:eastAsia="仿宋_GB2312" w:cs="Times New Roman"/>
          <w:bCs/>
          <w:sz w:val="32"/>
          <w:szCs w:val="32"/>
        </w:rPr>
      </w:pPr>
    </w:p>
    <w:p w14:paraId="70DCF57F">
      <w:pPr>
        <w:spacing w:line="574" w:lineRule="exact"/>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李多伦</w:t>
      </w:r>
      <w:r>
        <w:rPr>
          <w:rFonts w:hint="default" w:ascii="Times New Roman" w:hAnsi="Times New Roman" w:eastAsia="仿宋_GB2312" w:cs="Times New Roman"/>
          <w:bCs/>
          <w:sz w:val="32"/>
          <w:szCs w:val="32"/>
          <w:lang w:eastAsia="zh-CN"/>
        </w:rPr>
        <w:t>等</w:t>
      </w:r>
      <w:r>
        <w:rPr>
          <w:rFonts w:hint="default" w:ascii="Times New Roman" w:hAnsi="Times New Roman" w:eastAsia="仿宋_GB2312" w:cs="Times New Roman"/>
          <w:sz w:val="32"/>
          <w:szCs w:val="32"/>
        </w:rPr>
        <w:t>代表：</w:t>
      </w:r>
    </w:p>
    <w:p w14:paraId="2F8A8058">
      <w:pPr>
        <w:spacing w:line="574"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你们</w:t>
      </w:r>
      <w:r>
        <w:rPr>
          <w:rFonts w:hint="default" w:ascii="Times New Roman" w:hAnsi="Times New Roman" w:eastAsia="仿宋_GB2312" w:cs="Times New Roman"/>
          <w:sz w:val="32"/>
          <w:szCs w:val="32"/>
        </w:rPr>
        <w:t>提出的《关于完善</w:t>
      </w:r>
      <w:r>
        <w:rPr>
          <w:rFonts w:hint="default" w:ascii="Times New Roman" w:hAnsi="Times New Roman" w:eastAsia="仿宋_GB2312" w:cs="Times New Roman"/>
          <w:sz w:val="32"/>
          <w:szCs w:val="32"/>
          <w:lang w:val="en-US" w:eastAsia="zh-CN"/>
        </w:rPr>
        <w:t>&lt;</w:t>
      </w:r>
      <w:r>
        <w:rPr>
          <w:rFonts w:hint="default" w:ascii="Times New Roman" w:hAnsi="Times New Roman" w:eastAsia="仿宋_GB2312" w:cs="Times New Roman"/>
          <w:sz w:val="32"/>
          <w:szCs w:val="32"/>
        </w:rPr>
        <w:t>中山市物业管理条例</w:t>
      </w:r>
      <w:r>
        <w:rPr>
          <w:rFonts w:hint="default" w:ascii="Times New Roman" w:hAnsi="Times New Roman" w:eastAsia="仿宋_GB2312" w:cs="Times New Roman"/>
          <w:sz w:val="32"/>
          <w:szCs w:val="32"/>
          <w:lang w:val="en-US" w:eastAsia="zh-CN"/>
        </w:rPr>
        <w:t>&gt;</w:t>
      </w:r>
      <w:r>
        <w:rPr>
          <w:rFonts w:hint="default" w:ascii="Times New Roman" w:hAnsi="Times New Roman" w:eastAsia="仿宋_GB2312" w:cs="Times New Roman"/>
          <w:sz w:val="32"/>
          <w:szCs w:val="32"/>
        </w:rPr>
        <w:t>，规范+产业园区（工厂）管理的建议》</w:t>
      </w:r>
      <w:r>
        <w:rPr>
          <w:rFonts w:hint="default" w:ascii="Times New Roman" w:hAnsi="Times New Roman" w:eastAsia="仿宋_GB2312" w:cs="Times New Roman"/>
          <w:color w:val="auto"/>
          <w:sz w:val="32"/>
          <w:szCs w:val="32"/>
          <w:lang w:eastAsia="zh-CN"/>
        </w:rPr>
        <w:t>（建议第2026026号）</w:t>
      </w:r>
      <w:r>
        <w:rPr>
          <w:rFonts w:hint="default" w:ascii="Times New Roman" w:hAnsi="Times New Roman" w:eastAsia="仿宋_GB2312" w:cs="Times New Roman"/>
          <w:sz w:val="32"/>
          <w:szCs w:val="32"/>
        </w:rPr>
        <w:t>（下称《建议》）收悉。</w:t>
      </w:r>
      <w:r>
        <w:rPr>
          <w:rFonts w:hint="default" w:ascii="Times New Roman" w:hAnsi="Times New Roman" w:eastAsia="仿宋_GB2312" w:cs="Times New Roman"/>
          <w:sz w:val="32"/>
          <w:szCs w:val="32"/>
          <w:lang w:eastAsia="zh-CN"/>
        </w:rPr>
        <w:t>经综合</w:t>
      </w:r>
      <w:r>
        <w:rPr>
          <w:rFonts w:hint="default" w:ascii="Times New Roman" w:hAnsi="Times New Roman" w:eastAsia="仿宋_GB2312" w:cs="Times New Roman"/>
          <w:sz w:val="32"/>
          <w:szCs w:val="32"/>
        </w:rPr>
        <w:t>市发展改革局、市市场监管局、国家税务总局中山市税务局</w:t>
      </w:r>
      <w:r>
        <w:rPr>
          <w:rFonts w:hint="default" w:ascii="Times New Roman" w:hAnsi="Times New Roman" w:eastAsia="仿宋_GB2312" w:cs="Times New Roman"/>
          <w:sz w:val="32"/>
          <w:szCs w:val="32"/>
          <w:lang w:eastAsia="zh-CN"/>
        </w:rPr>
        <w:t>等会办单位意见，现答复如下：</w:t>
      </w:r>
    </w:p>
    <w:p w14:paraId="4C1E82A7">
      <w:pPr>
        <w:spacing w:line="574" w:lineRule="exact"/>
        <w:ind w:firstLine="640" w:firstLineChars="20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eastAsia="zh-CN"/>
        </w:rPr>
        <w:t>对建议的总体表态</w:t>
      </w:r>
    </w:p>
    <w:p w14:paraId="7FDDD3E9">
      <w:pPr>
        <w:spacing w:line="574"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感谢你们对我市工业园区物业管理工作的关心与关注。你们提出的将工业园区（工厂）物业服务纳入监管范畴的建议，反映了当前我市分租式厂房和可分割产权销售新型工业园区快速发展背景下，部分园区在物业服务、收费管理、公共收益等方面存在的现实问题。我局对此高度重视，会同市发展改革局、市市场监管局、市税务局等相关部门进行了认真研究和充分论证。经研究，我局认为工业厂房物业管理与住宅小区物业管理在法律属性、价格形成机制、政策导向等方面存在根本差异，前者属于市场商业性行为，后者涉及基本民生保障，二者不宜适用同一套行政监管逻辑。我局将在职责范围内配合相关部门做好价格行为监管、发票开具规范等专项执法工作，并引导工业园区通过合同约定、市场协商等方式解决物业管理中的具体问题。</w:t>
      </w:r>
    </w:p>
    <w:p w14:paraId="4C9AC778">
      <w:pPr>
        <w:spacing w:line="574" w:lineRule="exact"/>
        <w:ind w:firstLine="640" w:firstLineChars="200"/>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二、对建议内容的归纳分析</w:t>
      </w:r>
    </w:p>
    <w:p w14:paraId="1E06728A">
      <w:pPr>
        <w:spacing w:line="574"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建议主要反映三方面问题：一是现行《中山市物业管理条例》未将工业园区物业纳入适用范围，基层监管缺乏依据；二是部分工业园区物业管理公司在停车管理、水电费用等方面存在收费不合理、标准不透明等问题，开具发票时屡遭推诿拖延；三是园区公共收益收支情况未向业主公开，缺乏有效监督。针对上述问题，建议提出三项措施：完善法规政策明确监管职责、加强行业指导规范服务行为、健全公开机制强化收益监管。经综合各会办单位意见，我局对各项建议的采纳情况如下。</w:t>
      </w:r>
    </w:p>
    <w:p w14:paraId="134519E6">
      <w:pPr>
        <w:spacing w:line="574" w:lineRule="exact"/>
        <w:ind w:firstLine="640" w:firstLineChars="200"/>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三、对建议内容的采纳情况</w:t>
      </w:r>
    </w:p>
    <w:p w14:paraId="050B8779">
      <w:pPr>
        <w:spacing w:line="574" w:lineRule="exact"/>
        <w:ind w:firstLine="640" w:firstLineChars="20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lang w:eastAsia="zh-CN"/>
        </w:rPr>
        <w:t>（一）</w:t>
      </w:r>
      <w:r>
        <w:rPr>
          <w:rFonts w:hint="default" w:ascii="Times New Roman" w:hAnsi="Times New Roman" w:eastAsia="楷体_GB2312" w:cs="Times New Roman"/>
          <w:sz w:val="32"/>
          <w:szCs w:val="32"/>
          <w:highlight w:val="none"/>
        </w:rPr>
        <w:t>关于“完善法规政策，明确监管职责”的建议</w:t>
      </w:r>
    </w:p>
    <w:p w14:paraId="36FF9CC6">
      <w:pPr>
        <w:spacing w:line="574"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暂不采纳</w:t>
      </w:r>
      <w:r>
        <w:rPr>
          <w:rFonts w:hint="default" w:ascii="Times New Roman" w:hAnsi="Times New Roman" w:eastAsia="仿宋_GB2312" w:cs="Times New Roman"/>
          <w:sz w:val="32"/>
          <w:szCs w:val="32"/>
          <w:highlight w:val="none"/>
          <w:lang w:eastAsia="zh-CN"/>
        </w:rPr>
        <w:t>。具体理由如下：</w:t>
      </w:r>
    </w:p>
    <w:p w14:paraId="5380CDF5">
      <w:pPr>
        <w:spacing w:line="574"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业厂房物业管理在立法精神、价格机制、政策导向和各地实践上，均体现出其与住宅物业的本质区别。我们认为，对于工业园区内出现的物业服务问题，更应依赖于明晰产权关系、完善合同约定、强化司法救济和加强特定领域（如安全生产、价格欺诈、税收违法等）的专项执法。因此，对</w:t>
      </w:r>
      <w:r>
        <w:rPr>
          <w:rFonts w:hint="default" w:ascii="Times New Roman" w:hAnsi="Times New Roman" w:eastAsia="仿宋_GB2312" w:cs="Times New Roman"/>
          <w:sz w:val="32"/>
          <w:szCs w:val="32"/>
          <w:lang w:eastAsia="zh-CN"/>
        </w:rPr>
        <w:t>该建议</w:t>
      </w:r>
      <w:r>
        <w:rPr>
          <w:rFonts w:hint="default" w:ascii="Times New Roman" w:hAnsi="Times New Roman" w:eastAsia="仿宋_GB2312" w:cs="Times New Roman"/>
          <w:sz w:val="32"/>
          <w:szCs w:val="32"/>
        </w:rPr>
        <w:t>提出的修订法规、纳入全面行政监管的建议，我们认为条件尚不成熟，建议暂不采纳。</w:t>
      </w:r>
    </w:p>
    <w:p w14:paraId="2A22E26C">
      <w:pPr>
        <w:spacing w:line="574"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关于“加强行业指导，规范服务行为”的建议</w:t>
      </w:r>
    </w:p>
    <w:p w14:paraId="74A06E88">
      <w:pPr>
        <w:spacing w:line="574" w:lineRule="exact"/>
        <w:ind w:firstLine="640" w:firstLineChars="200"/>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部分采纳。我局赞同规范工业园区物业服务收费行为的建议，各相关部门已在各自职责范围内积极推动相关工作。</w:t>
      </w:r>
    </w:p>
    <w:p w14:paraId="274AB993">
      <w:pPr>
        <w:spacing w:line="574"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在规范收费行为方面，相关部门已形成监管合力。</w:t>
      </w:r>
      <w:r>
        <w:rPr>
          <w:rFonts w:hint="default" w:ascii="Times New Roman" w:hAnsi="Times New Roman" w:eastAsia="仿宋_GB2312" w:cs="Times New Roman"/>
          <w:sz w:val="32"/>
          <w:szCs w:val="32"/>
        </w:rPr>
        <w:t>建议中提及的水电费不合理、停车费不透明等问题，市</w:t>
      </w:r>
      <w:r>
        <w:rPr>
          <w:rFonts w:hint="default" w:ascii="Times New Roman" w:hAnsi="Times New Roman" w:eastAsia="仿宋_GB2312" w:cs="Times New Roman"/>
          <w:sz w:val="32"/>
          <w:szCs w:val="32"/>
          <w:lang w:eastAsia="zh-CN"/>
        </w:rPr>
        <w:t>发展改革</w:t>
      </w:r>
      <w:r>
        <w:rPr>
          <w:rFonts w:hint="default" w:ascii="Times New Roman" w:hAnsi="Times New Roman" w:eastAsia="仿宋_GB2312" w:cs="Times New Roman"/>
          <w:sz w:val="32"/>
          <w:szCs w:val="32"/>
        </w:rPr>
        <w:t>局和市市场监管局已开展了大量卓有成效的工作。</w:t>
      </w:r>
      <w:r>
        <w:rPr>
          <w:rFonts w:hint="default" w:ascii="Times New Roman" w:hAnsi="Times New Roman" w:eastAsia="仿宋_GB2312" w:cs="Times New Roman"/>
          <w:b/>
          <w:bCs/>
          <w:sz w:val="32"/>
          <w:szCs w:val="32"/>
          <w:lang w:eastAsia="zh-CN"/>
        </w:rPr>
        <w:t>一是</w:t>
      </w:r>
      <w:r>
        <w:rPr>
          <w:rFonts w:hint="default" w:ascii="Times New Roman" w:hAnsi="Times New Roman" w:eastAsia="仿宋_GB2312" w:cs="Times New Roman"/>
          <w:b w:val="0"/>
          <w:bCs w:val="0"/>
          <w:sz w:val="32"/>
          <w:szCs w:val="32"/>
          <w:lang w:eastAsia="zh-CN"/>
        </w:rPr>
        <w:t>市</w:t>
      </w:r>
      <w:r>
        <w:rPr>
          <w:rFonts w:hint="default" w:ascii="Times New Roman" w:hAnsi="Times New Roman" w:eastAsia="仿宋_GB2312" w:cs="Times New Roman"/>
          <w:sz w:val="32"/>
          <w:szCs w:val="32"/>
          <w:lang w:eastAsia="zh-CN"/>
        </w:rPr>
        <w:t>发展改革局已明确</w:t>
      </w:r>
      <w:r>
        <w:rPr>
          <w:rFonts w:hint="default" w:ascii="Times New Roman" w:hAnsi="Times New Roman" w:eastAsia="仿宋_GB2312" w:cs="Times New Roman"/>
          <w:sz w:val="32"/>
          <w:szCs w:val="32"/>
        </w:rPr>
        <w:t>工业园区的机动车停放保管服务收费实行市场调节价，由合同约定。同时，为规范转供电环节收费，已联合市市场监管局发出《提醒告诫通告》和《致全市转供电主体及工商业户的一封信》，并建立了“发改部门看政策、市监部门看执行、镇街单位抓后续”的联动协作机制，有效清理规范了水电气收费。</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rPr>
        <w:t>市市场监管局明确将工业园区作为转供电价格监管的重点，通过投诉举报核查与专项检查相结合，严厉打击价格违法行为。数据显示，“2025年以来，已查办涉工业园区物业及相关主体价格违法案件多宗，目前已办结案件累计退还多收电费约16.17万元”。其中不乏退费金额高达7万余元的个案，有力地保护了终端小微企业的利益。</w:t>
      </w:r>
    </w:p>
    <w:p w14:paraId="25FA069E">
      <w:pPr>
        <w:spacing w:line="574"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在规范发票开具方面，税务部门有明确的法律规定和救济渠道。</w:t>
      </w:r>
      <w:r>
        <w:rPr>
          <w:rFonts w:hint="default" w:ascii="Times New Roman" w:hAnsi="Times New Roman" w:eastAsia="仿宋_GB2312" w:cs="Times New Roman"/>
          <w:sz w:val="32"/>
          <w:szCs w:val="32"/>
          <w:lang w:eastAsia="zh-CN"/>
        </w:rPr>
        <w:t>建议中</w:t>
      </w:r>
      <w:r>
        <w:rPr>
          <w:rFonts w:hint="default" w:ascii="Times New Roman" w:hAnsi="Times New Roman" w:eastAsia="仿宋_GB2312" w:cs="Times New Roman"/>
          <w:sz w:val="32"/>
          <w:szCs w:val="32"/>
        </w:rPr>
        <w:t>提及的企业在申请开具发票时遭推诿拖延的问题，属于明确的税收违法行为。市税务局明确引用《中华人民共和国发票管理办法》第十八条和第二十一条，强调“销售商品、提供服务……收款方应当向付款方开具发票”，且不得以任何理由推诿拒绝。对于此类行为，企业可直接拨打12366纳税缴费服务热线或向主管税务机关举报，税务部门将依法核实处理。</w:t>
      </w:r>
    </w:p>
    <w:p w14:paraId="429B1D2B">
      <w:pPr>
        <w:spacing w:line="574" w:lineRule="exact"/>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关于“健全公开机制，强化收益监管”的建议</w:t>
      </w:r>
    </w:p>
    <w:p w14:paraId="28E9C66F">
      <w:pPr>
        <w:spacing w:line="574"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部分采纳。</w:t>
      </w:r>
      <w:r>
        <w:rPr>
          <w:rFonts w:hint="default" w:ascii="Times New Roman" w:hAnsi="Times New Roman" w:eastAsia="仿宋_GB2312" w:cs="Times New Roman"/>
          <w:sz w:val="32"/>
          <w:szCs w:val="32"/>
        </w:rPr>
        <w:t>我们高度赞同公共收益的收支情况应当公开透明，这是建立信任、减少猜忌、实现园区和谐共治的关键。</w:t>
      </w:r>
    </w:p>
    <w:p w14:paraId="64EFEB15">
      <w:pPr>
        <w:spacing w:line="574"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我们支持并鼓励工业园区物业服务企业参照住宅小区的良好实践，建立健全公共收益的公示制度。具体操作上，我们建议：</w:t>
      </w:r>
      <w:r>
        <w:rPr>
          <w:rFonts w:hint="default" w:ascii="Times New Roman" w:hAnsi="Times New Roman" w:eastAsia="仿宋_GB2312" w:cs="Times New Roman"/>
          <w:b/>
          <w:bCs/>
          <w:sz w:val="32"/>
          <w:szCs w:val="32"/>
          <w:lang w:eastAsia="zh-CN"/>
        </w:rPr>
        <w:t>一是</w:t>
      </w:r>
      <w:r>
        <w:rPr>
          <w:rFonts w:hint="default" w:ascii="Times New Roman" w:hAnsi="Times New Roman" w:eastAsia="仿宋_GB2312" w:cs="Times New Roman"/>
          <w:sz w:val="32"/>
          <w:szCs w:val="32"/>
        </w:rPr>
        <w:t>鼓励合同约定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引导园区业主（或企业主代表）在与物业服务企业签订物业服务合同时，明确约定公共收益（如广告、停车、公共场地租赁等收入）的范围、分配方式、账目公示周期和方式等具体条款，将“软要求”变为“硬约束”。</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rPr>
        <w:t>探索协商监督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鼓励有条件的工业园区，由业主（或入驻企业）通过协商方式，推选代表组成监督小组，或委托第三方审计机构，对公共收益的收支情况进行定期审查和监督，并将结果向全体业主（租户）公示。</w:t>
      </w:r>
    </w:p>
    <w:p w14:paraId="07D0E6D0">
      <w:pPr>
        <w:spacing w:line="574"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专此答复，诚挚</w:t>
      </w:r>
      <w:r>
        <w:rPr>
          <w:rFonts w:hint="default" w:ascii="Times New Roman" w:hAnsi="Times New Roman" w:eastAsia="仿宋_GB2312" w:cs="Times New Roman"/>
          <w:sz w:val="32"/>
          <w:szCs w:val="32"/>
        </w:rPr>
        <w:t>感谢</w:t>
      </w:r>
      <w:r>
        <w:rPr>
          <w:rFonts w:hint="default" w:ascii="Times New Roman" w:hAnsi="Times New Roman" w:eastAsia="仿宋_GB2312" w:cs="Times New Roman"/>
          <w:sz w:val="32"/>
          <w:szCs w:val="32"/>
          <w:lang w:eastAsia="zh-CN"/>
        </w:rPr>
        <w:t>你们</w:t>
      </w:r>
      <w:r>
        <w:rPr>
          <w:rFonts w:hint="default" w:ascii="Times New Roman" w:hAnsi="Times New Roman" w:eastAsia="仿宋_GB2312" w:cs="Times New Roman"/>
          <w:sz w:val="32"/>
          <w:szCs w:val="32"/>
        </w:rPr>
        <w:t>对我市城乡建设管理工作的关心和支持！希望</w:t>
      </w:r>
      <w:r>
        <w:rPr>
          <w:rFonts w:hint="default" w:ascii="Times New Roman" w:hAnsi="Times New Roman" w:eastAsia="仿宋_GB2312" w:cs="Times New Roman"/>
          <w:sz w:val="32"/>
          <w:szCs w:val="32"/>
          <w:lang w:eastAsia="zh-CN"/>
        </w:rPr>
        <w:t>你们</w:t>
      </w:r>
      <w:r>
        <w:rPr>
          <w:rFonts w:hint="default" w:ascii="Times New Roman" w:hAnsi="Times New Roman" w:eastAsia="仿宋_GB2312" w:cs="Times New Roman"/>
          <w:sz w:val="32"/>
          <w:szCs w:val="32"/>
        </w:rPr>
        <w:t>能理解我们基于法律和现实考量的立场，并一如既往地为我市高质量发展建言献策。</w:t>
      </w:r>
    </w:p>
    <w:p w14:paraId="3EF5303A">
      <w:pPr>
        <w:spacing w:line="574" w:lineRule="exact"/>
        <w:rPr>
          <w:rFonts w:hint="default" w:ascii="Times New Roman" w:hAnsi="Times New Roman" w:eastAsia="仿宋_GB2312" w:cs="Times New Roman"/>
          <w:sz w:val="32"/>
          <w:szCs w:val="32"/>
        </w:rPr>
      </w:pPr>
    </w:p>
    <w:p w14:paraId="14BDEB62">
      <w:pPr>
        <w:wordWrap w:val="0"/>
        <w:spacing w:line="574" w:lineRule="exact"/>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中山市住房和城乡建设局</w:t>
      </w:r>
      <w:r>
        <w:rPr>
          <w:rFonts w:hint="default" w:ascii="Times New Roman" w:hAnsi="Times New Roman" w:eastAsia="仿宋_GB2312" w:cs="Times New Roman"/>
          <w:sz w:val="32"/>
          <w:szCs w:val="32"/>
          <w:lang w:val="en-US" w:eastAsia="zh-CN"/>
        </w:rPr>
        <w:t xml:space="preserve">  </w:t>
      </w:r>
    </w:p>
    <w:p w14:paraId="3F8C0666">
      <w:pPr>
        <w:wordWrap w:val="0"/>
        <w:spacing w:line="574" w:lineRule="exact"/>
        <w:jc w:val="righ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
          <w:woUserID w:val="1"/>
        </w:rPr>
        <w:t>4</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val="en-US" w:eastAsia="zh-CN"/>
        </w:rPr>
        <w:t xml:space="preserve">    </w:t>
      </w:r>
    </w:p>
    <w:p w14:paraId="294F8D36">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jc w:val="both"/>
        <w:textAlignment w:val="auto"/>
        <w:rPr>
          <w:rFonts w:hint="default" w:ascii="Times New Roman" w:hAnsi="Times New Roman" w:eastAsia="仿宋_GB2312" w:cs="Times New Roman"/>
          <w:color w:val="auto"/>
          <w:sz w:val="32"/>
          <w:szCs w:val="32"/>
        </w:rPr>
      </w:pPr>
    </w:p>
    <w:p w14:paraId="3BF3F913">
      <w:pPr>
        <w:keepNext w:val="0"/>
        <w:keepLines w:val="0"/>
        <w:pageBreakBefore w:val="0"/>
        <w:widowControl w:val="0"/>
        <w:kinsoku/>
        <w:wordWrap/>
        <w:overflowPunct/>
        <w:topLinePunct w:val="0"/>
        <w:autoSpaceDE/>
        <w:autoSpaceDN/>
        <w:bidi w:val="0"/>
        <w:adjustRightInd w:val="0"/>
        <w:snapToGrid w:val="0"/>
        <w:spacing w:line="574"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（联系人及电话：</w:t>
      </w:r>
      <w:r>
        <w:rPr>
          <w:rFonts w:hint="eastAsia" w:ascii="Times New Roman" w:hAnsi="Times New Roman" w:eastAsia="仿宋_GB2312" w:cs="Times New Roman"/>
          <w:color w:val="auto"/>
          <w:sz w:val="32"/>
          <w:szCs w:val="32"/>
          <w:lang w:eastAsia="zh-CN"/>
        </w:rPr>
        <w:t>周善诚</w:t>
      </w:r>
      <w:r>
        <w:rPr>
          <w:rFonts w:hint="eastAsia" w:ascii="Times New Roman" w:hAnsi="Times New Roman"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88317880</w:t>
      </w:r>
      <w:r>
        <w:rPr>
          <w:rFonts w:hint="default" w:ascii="Times New Roman" w:hAnsi="Times New Roman" w:eastAsia="仿宋_GB2312" w:cs="Times New Roman"/>
          <w:color w:val="auto"/>
          <w:sz w:val="32"/>
          <w:szCs w:val="32"/>
        </w:rPr>
        <w:t>）</w:t>
      </w:r>
    </w:p>
    <w:p w14:paraId="644F26BE">
      <w:pPr>
        <w:spacing w:line="550" w:lineRule="exact"/>
        <w:ind w:right="624"/>
        <w:jc w:val="both"/>
        <w:rPr>
          <w:rFonts w:hint="default" w:ascii="Times New Roman" w:hAnsi="Times New Roman" w:eastAsia="黑体" w:cs="Times New Roman"/>
          <w:snapToGrid w:val="0"/>
          <w:color w:val="auto"/>
          <w:spacing w:val="0"/>
          <w:kern w:val="32"/>
          <w:sz w:val="32"/>
          <w:szCs w:val="32"/>
        </w:rPr>
      </w:pPr>
    </w:p>
    <w:p w14:paraId="1C4E5562">
      <w:pPr>
        <w:pStyle w:val="2"/>
        <w:rPr>
          <w:rFonts w:hint="default" w:ascii="Times New Roman" w:hAnsi="Times New Roman" w:eastAsia="黑体" w:cs="Times New Roman"/>
          <w:snapToGrid w:val="0"/>
          <w:color w:val="auto"/>
          <w:spacing w:val="0"/>
          <w:kern w:val="32"/>
          <w:sz w:val="32"/>
          <w:szCs w:val="32"/>
        </w:rPr>
      </w:pPr>
    </w:p>
    <w:p w14:paraId="50A11C91">
      <w:pPr>
        <w:pStyle w:val="3"/>
        <w:rPr>
          <w:rFonts w:hint="default" w:ascii="Times New Roman" w:hAnsi="Times New Roman" w:eastAsia="黑体" w:cs="Times New Roman"/>
          <w:snapToGrid w:val="0"/>
          <w:color w:val="auto"/>
          <w:spacing w:val="0"/>
          <w:kern w:val="32"/>
          <w:sz w:val="32"/>
          <w:szCs w:val="32"/>
        </w:rPr>
      </w:pPr>
    </w:p>
    <w:p w14:paraId="44B8ACDA">
      <w:pPr>
        <w:rPr>
          <w:rFonts w:hint="default" w:ascii="Times New Roman" w:hAnsi="Times New Roman" w:eastAsia="黑体" w:cs="Times New Roman"/>
          <w:snapToGrid w:val="0"/>
          <w:color w:val="auto"/>
          <w:spacing w:val="0"/>
          <w:kern w:val="32"/>
          <w:sz w:val="32"/>
          <w:szCs w:val="32"/>
        </w:rPr>
      </w:pPr>
    </w:p>
    <w:p w14:paraId="1012A135">
      <w:pPr>
        <w:pStyle w:val="2"/>
        <w:rPr>
          <w:rFonts w:hint="default" w:ascii="Times New Roman" w:hAnsi="Times New Roman" w:eastAsia="黑体" w:cs="Times New Roman"/>
          <w:snapToGrid w:val="0"/>
          <w:color w:val="auto"/>
          <w:spacing w:val="0"/>
          <w:kern w:val="32"/>
          <w:sz w:val="32"/>
          <w:szCs w:val="32"/>
        </w:rPr>
      </w:pPr>
    </w:p>
    <w:p w14:paraId="6963344F">
      <w:pPr>
        <w:pStyle w:val="3"/>
        <w:rPr>
          <w:rFonts w:hint="default" w:ascii="Times New Roman" w:hAnsi="Times New Roman" w:eastAsia="黑体" w:cs="Times New Roman"/>
          <w:snapToGrid w:val="0"/>
          <w:color w:val="auto"/>
          <w:spacing w:val="0"/>
          <w:kern w:val="32"/>
          <w:sz w:val="32"/>
          <w:szCs w:val="32"/>
        </w:rPr>
      </w:pPr>
    </w:p>
    <w:p w14:paraId="0D0F2258">
      <w:pPr>
        <w:rPr>
          <w:rFonts w:hint="default" w:ascii="Times New Roman" w:hAnsi="Times New Roman" w:eastAsia="黑体" w:cs="Times New Roman"/>
          <w:snapToGrid w:val="0"/>
          <w:color w:val="auto"/>
          <w:spacing w:val="0"/>
          <w:kern w:val="32"/>
          <w:sz w:val="32"/>
          <w:szCs w:val="32"/>
        </w:rPr>
      </w:pPr>
    </w:p>
    <w:p w14:paraId="7AD83291">
      <w:pPr>
        <w:pStyle w:val="2"/>
        <w:rPr>
          <w:rFonts w:hint="default" w:ascii="Times New Roman" w:hAnsi="Times New Roman" w:eastAsia="黑体" w:cs="Times New Roman"/>
          <w:snapToGrid w:val="0"/>
          <w:color w:val="auto"/>
          <w:spacing w:val="0"/>
          <w:kern w:val="32"/>
          <w:sz w:val="32"/>
          <w:szCs w:val="32"/>
        </w:rPr>
      </w:pPr>
    </w:p>
    <w:p w14:paraId="01F729E4">
      <w:pPr>
        <w:pStyle w:val="3"/>
        <w:rPr>
          <w:rFonts w:hint="default" w:ascii="Times New Roman" w:hAnsi="Times New Roman" w:eastAsia="黑体" w:cs="Times New Roman"/>
          <w:snapToGrid w:val="0"/>
          <w:color w:val="auto"/>
          <w:spacing w:val="0"/>
          <w:kern w:val="32"/>
          <w:sz w:val="32"/>
          <w:szCs w:val="32"/>
        </w:rPr>
      </w:pPr>
    </w:p>
    <w:p w14:paraId="1EE2404D">
      <w:pPr>
        <w:rPr>
          <w:rFonts w:hint="default" w:ascii="Times New Roman" w:hAnsi="Times New Roman" w:eastAsia="黑体" w:cs="Times New Roman"/>
          <w:snapToGrid w:val="0"/>
          <w:color w:val="auto"/>
          <w:spacing w:val="0"/>
          <w:kern w:val="32"/>
          <w:sz w:val="32"/>
          <w:szCs w:val="32"/>
        </w:rPr>
      </w:pPr>
    </w:p>
    <w:p w14:paraId="77B84BDD">
      <w:pPr>
        <w:pStyle w:val="2"/>
        <w:rPr>
          <w:rFonts w:hint="default" w:ascii="Times New Roman" w:hAnsi="Times New Roman" w:eastAsia="黑体" w:cs="Times New Roman"/>
          <w:snapToGrid w:val="0"/>
          <w:color w:val="auto"/>
          <w:spacing w:val="0"/>
          <w:kern w:val="32"/>
          <w:sz w:val="32"/>
          <w:szCs w:val="32"/>
        </w:rPr>
      </w:pPr>
    </w:p>
    <w:p w14:paraId="77C32D9F">
      <w:pPr>
        <w:pStyle w:val="3"/>
        <w:rPr>
          <w:rFonts w:hint="default" w:ascii="Times New Roman" w:hAnsi="Times New Roman" w:eastAsia="黑体" w:cs="Times New Roman"/>
          <w:snapToGrid w:val="0"/>
          <w:color w:val="auto"/>
          <w:spacing w:val="0"/>
          <w:kern w:val="32"/>
          <w:sz w:val="32"/>
          <w:szCs w:val="32"/>
        </w:rPr>
      </w:pPr>
    </w:p>
    <w:p w14:paraId="155C55C5">
      <w:pPr>
        <w:rPr>
          <w:rFonts w:hint="default" w:ascii="Times New Roman" w:hAnsi="Times New Roman" w:eastAsia="黑体" w:cs="Times New Roman"/>
          <w:snapToGrid w:val="0"/>
          <w:color w:val="auto"/>
          <w:spacing w:val="0"/>
          <w:kern w:val="32"/>
          <w:sz w:val="32"/>
          <w:szCs w:val="32"/>
        </w:rPr>
      </w:pPr>
    </w:p>
    <w:p w14:paraId="2864A74F">
      <w:pPr>
        <w:pStyle w:val="2"/>
        <w:rPr>
          <w:rFonts w:hint="default" w:ascii="Times New Roman" w:hAnsi="Times New Roman" w:eastAsia="黑体" w:cs="Times New Roman"/>
          <w:snapToGrid w:val="0"/>
          <w:color w:val="auto"/>
          <w:spacing w:val="0"/>
          <w:kern w:val="32"/>
          <w:sz w:val="32"/>
          <w:szCs w:val="32"/>
        </w:rPr>
      </w:pPr>
    </w:p>
    <w:p w14:paraId="4DF98876">
      <w:pPr>
        <w:pStyle w:val="3"/>
        <w:rPr>
          <w:rFonts w:hint="default" w:ascii="Times New Roman" w:hAnsi="Times New Roman" w:eastAsia="黑体" w:cs="Times New Roman"/>
          <w:snapToGrid w:val="0"/>
          <w:color w:val="auto"/>
          <w:spacing w:val="0"/>
          <w:kern w:val="32"/>
          <w:sz w:val="32"/>
          <w:szCs w:val="32"/>
        </w:rPr>
      </w:pPr>
    </w:p>
    <w:p w14:paraId="40831DC9">
      <w:pPr>
        <w:rPr>
          <w:rFonts w:hint="default" w:ascii="Times New Roman" w:hAnsi="Times New Roman" w:eastAsia="黑体" w:cs="Times New Roman"/>
          <w:snapToGrid w:val="0"/>
          <w:color w:val="auto"/>
          <w:spacing w:val="0"/>
          <w:kern w:val="32"/>
          <w:sz w:val="32"/>
          <w:szCs w:val="32"/>
        </w:rPr>
      </w:pPr>
    </w:p>
    <w:p w14:paraId="525D5B22">
      <w:pPr>
        <w:pStyle w:val="2"/>
        <w:rPr>
          <w:rFonts w:hint="default" w:ascii="Times New Roman" w:hAnsi="Times New Roman" w:eastAsia="黑体" w:cs="Times New Roman"/>
          <w:snapToGrid w:val="0"/>
          <w:color w:val="auto"/>
          <w:spacing w:val="0"/>
          <w:kern w:val="32"/>
          <w:sz w:val="32"/>
          <w:szCs w:val="32"/>
        </w:rPr>
      </w:pPr>
    </w:p>
    <w:p w14:paraId="3F67F284">
      <w:pPr>
        <w:pStyle w:val="3"/>
        <w:rPr>
          <w:rFonts w:hint="default"/>
        </w:rPr>
      </w:pPr>
      <w:bookmarkStart w:id="0" w:name="_GoBack"/>
      <w:bookmarkEnd w:id="0"/>
    </w:p>
    <w:p w14:paraId="54BE49B7">
      <w:pPr>
        <w:spacing w:line="550" w:lineRule="exact"/>
        <w:ind w:right="624"/>
        <w:jc w:val="both"/>
        <w:rPr>
          <w:rFonts w:hint="default" w:ascii="Times New Roman" w:hAnsi="Times New Roman" w:eastAsia="仿宋_GB2312" w:cs="Times New Roman"/>
          <w:snapToGrid w:val="0"/>
          <w:color w:val="auto"/>
          <w:spacing w:val="0"/>
          <w:kern w:val="32"/>
          <w:sz w:val="32"/>
          <w:szCs w:val="32"/>
        </w:rPr>
      </w:pPr>
      <w:r>
        <w:rPr>
          <w:rFonts w:hint="default" w:ascii="Times New Roman" w:hAnsi="Times New Roman" w:eastAsia="黑体" w:cs="Times New Roman"/>
          <w:snapToGrid w:val="0"/>
          <w:color w:val="auto"/>
          <w:spacing w:val="0"/>
          <w:kern w:val="32"/>
          <w:sz w:val="32"/>
          <w:szCs w:val="32"/>
        </w:rPr>
        <w:t>公开方式：</w:t>
      </w:r>
      <w:r>
        <w:rPr>
          <w:rFonts w:hint="default" w:ascii="Times New Roman" w:hAnsi="Times New Roman" w:eastAsia="仿宋_GB2312" w:cs="Times New Roman"/>
          <w:color w:val="auto"/>
          <w:sz w:val="32"/>
          <w:szCs w:val="32"/>
        </w:rPr>
        <w:t>摘要公开</w:t>
      </w:r>
    </w:p>
    <w:p w14:paraId="2044B2D1">
      <w:pPr>
        <w:keepNext w:val="0"/>
        <w:keepLines w:val="0"/>
        <w:pageBreakBefore w:val="0"/>
        <w:widowControl w:val="0"/>
        <w:kinsoku/>
        <w:wordWrap/>
        <w:overflowPunct/>
        <w:topLinePunct w:val="0"/>
        <w:autoSpaceDE/>
        <w:autoSpaceDN/>
        <w:bidi w:val="0"/>
        <w:adjustRightInd w:val="0"/>
        <w:snapToGrid w:val="0"/>
        <w:spacing w:beforeLines="0" w:afterLines="0" w:line="520" w:lineRule="exact"/>
        <w:ind w:right="0" w:rightChars="0"/>
        <w:jc w:val="both"/>
        <w:textAlignment w:val="auto"/>
        <w:outlineLvl w:val="9"/>
        <w:rPr>
          <w:rFonts w:hint="default" w:ascii="Times New Roman" w:hAnsi="Times New Roman" w:eastAsia="仿宋_GB2312" w:cs="Times New Roman"/>
          <w:snapToGrid w:val="0"/>
          <w:color w:val="auto"/>
          <w:spacing w:val="0"/>
          <w:kern w:val="32"/>
          <w:sz w:val="28"/>
          <w:szCs w:val="28"/>
        </w:rPr>
      </w:pPr>
      <w:r>
        <w:rPr>
          <w:rFonts w:hint="default" w:ascii="Times New Roman" w:hAnsi="Times New Roman" w:eastAsia="仿宋_GB2312" w:cs="Times New Roman"/>
          <w:color w:val="auto"/>
          <w:spacing w:val="0"/>
          <w:kern w:val="2"/>
          <w:sz w:val="28"/>
          <w:szCs w:val="28"/>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59055</wp:posOffset>
                </wp:positionV>
                <wp:extent cx="5600700" cy="15240"/>
                <wp:effectExtent l="0" t="4445" r="0" b="8890"/>
                <wp:wrapNone/>
                <wp:docPr id="4" name="直接连接符 4"/>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4.65pt;height:1.2pt;width:441pt;z-index:251663360;mso-width-relative:page;mso-height-relative:page;" filled="f" stroked="t" coordsize="21600,21600" o:gfxdata="UEsDBAoAAAAAAIdO4kAAAAAAAAAAAAAAAAAEAAAAZHJzL1BLAwQUAAAACACHTuJAm2pqqtMAAAAF&#10;AQAADwAAAGRycy9kb3ducmV2LnhtbE2PvU7EMBCEeyTewVokmhNnJydBCHGuANLRcIBo9+IliYjX&#10;udj3A0/PUkE5mtHMN9X65Ed1oDkOgS1kSwOKuA1u4M7C60tzVYCKCdnhGJgsfFGEdX1+VmHpwpGf&#10;6bBJnZISjiVa6FOaSq1j25PHuAwTsXgfYfaYRM6ddjMepdyPOjfmWnscWBZ6nOi+p/Zzs/cWYvNG&#10;u+Z70S7M+6oLlO8enh7R2suLzNyBSnRKf2H4xRd0qIVpG/bsohotyJFk4XYFSsyiyEVvJZXdgK4r&#10;/Z++/gFQSwMEFAAAAAgAh07iQI2BVef+AQAA9gMAAA4AAABkcnMvZTJvRG9jLnhtbK1TzY7TMBC+&#10;I/EOlu80adUuEDXdw5blgqAS8ABTx0ks+U8et2lfghdA4gYnjtx5G5bHYOyUsiyXHsjBGXtmvpnv&#10;83h5fTCa7WVA5WzNp5OSM2mFa5Ttav7+3e2TZ5xhBNuAdlbW/CiRX68eP1oOvpIz1zvdyMAIxGI1&#10;+Jr3MfqqKFD00gBOnJeWnK0LBiJtQ1c0AQZCN7qYleVVMbjQ+OCERKTT9ejkJ8RwCaBrWyXk2omd&#10;kTaOqEFqiEQJe+WRr3K3bStFfNO2KCPTNSemMa9UhOxtWovVEqougO+VOLUAl7TwgJMBZanoGWoN&#10;EdguqH+gjBLBoWvjRDhTjESyIsRiWj7Q5m0PXmYuJDX6s+j4/2DF6/0mMNXUfM6ZBUMXfvfx248P&#10;n39+/0Tr3dcvbJ5EGjxWFHtjN+G0Q78JifGhDSb9iQs7ZGGPZ2HlITJBh4ursnxakuaCfNPFbJ6F&#10;L/4k+4DxpXSGJaPmWtnEGyrYv8JIBSn0d0g61pYNNX++mC0IEmgIW7p8Mo0nImi7nItOq+ZWaZ0y&#10;MHTbGx3YHtIg5C/RIty/wlKRNWA/xmXXOCK9hOaFbVg8epLI0svgqQUjG860pIeULAKEKoLSl0RS&#10;aW1TgsxjeuKZdB6VTdbWNUe6np0PqutJl2nuOXloHHL3p9FN83Z/T/b957r6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tqaqrTAAAABQEAAA8AAAAAAAAAAQAgAAAAIgAAAGRycy9kb3ducmV2Lnht&#10;bFBLAQIUABQAAAAIAIdO4kCNgVXn/gEAAPYDAAAOAAAAAAAAAAEAIAAAACIBAABkcnMvZTJvRG9j&#10;LnhtbFBLBQYAAAAABgAGAFkBAACSBQ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pacing w:val="0"/>
          <w:sz w:val="28"/>
          <w:szCs w:val="28"/>
          <w:lang w:val="en-US" w:eastAsia="zh-CN"/>
        </w:rPr>
        <w:t>抄送：</w:t>
      </w:r>
      <w:r>
        <w:rPr>
          <w:rFonts w:hint="default" w:ascii="Times New Roman" w:hAnsi="Times New Roman" w:eastAsia="仿宋_GB2312" w:cs="Times New Roman"/>
          <w:color w:val="auto"/>
          <w:sz w:val="28"/>
          <w:szCs w:val="28"/>
        </w:rPr>
        <w:t>市人大常委会选联工委</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市政府办公室</w:t>
      </w:r>
      <w:r>
        <w:rPr>
          <w:rFonts w:hint="default" w:ascii="Times New Roman" w:hAnsi="Times New Roman" w:eastAsia="仿宋_GB2312" w:cs="Times New Roman"/>
          <w:color w:val="auto"/>
          <w:sz w:val="28"/>
          <w:szCs w:val="28"/>
          <w:lang w:eastAsia="zh-CN"/>
        </w:rPr>
        <w:t>、市发展改革局</w:t>
      </w:r>
      <w:r>
        <w:rPr>
          <w:rFonts w:hint="eastAsia" w:ascii="Times New Roman" w:hAnsi="Times New Roman" w:eastAsia="仿宋_GB2312" w:cs="Times New Roman"/>
          <w:color w:val="auto"/>
          <w:sz w:val="28"/>
          <w:szCs w:val="28"/>
          <w:lang w:eastAsia="zh-CN"/>
        </w:rPr>
        <w:t>、市市场监管局、国家税务总局中山市税务局</w:t>
      </w:r>
    </w:p>
    <w:p w14:paraId="53C159F3">
      <w:pPr>
        <w:spacing w:beforeLines="0" w:afterLines="0" w:line="520" w:lineRule="exact"/>
        <w:rPr>
          <w:rFonts w:hint="default" w:ascii="Times New Roman" w:hAnsi="Times New Roman" w:cs="Times New Roman"/>
          <w:lang w:val="en-US" w:eastAsia="zh-CN"/>
        </w:rPr>
      </w:pPr>
      <w:r>
        <w:rPr>
          <w:rFonts w:hint="default" w:ascii="Times New Roman" w:hAnsi="Times New Roman" w:eastAsia="仿宋_GB2312" w:cs="Times New Roman"/>
          <w:color w:val="auto"/>
          <w:spacing w:val="0"/>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30480</wp:posOffset>
                </wp:positionV>
                <wp:extent cx="5600700" cy="15240"/>
                <wp:effectExtent l="0" t="4445" r="0" b="8890"/>
                <wp:wrapNone/>
                <wp:docPr id="5" name="直接连接符 5"/>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4pt;height:1.2pt;width:441pt;z-index:251661312;mso-width-relative:page;mso-height-relative:page;" filled="f" stroked="t" coordsize="21600,21600" o:gfxdata="UEsDBAoAAAAAAIdO4kAAAAAAAAAAAAAAAAAEAAAAZHJzL1BLAwQUAAAACACHTuJAkYLe0tIAAAAE&#10;AQAADwAAAGRycy9kb3ducmV2LnhtbE2PzU7DMBCE70i8g7VIXKrWbkA0CnF6AHLjQgviuo2XJCJe&#10;p7H7A0/PcoLjaEYz35Trsx/UkabYB7awXBhQxE1wPbcWXrf1PAcVE7LDITBZ+KII6+ryosTChRO/&#10;0HGTWiUlHAu00KU0FlrHpiOPcRFGYvE+wuQxiZxa7SY8SbkfdGbMnfbYsyx0ONJDR83n5uAtxPqN&#10;9vX3rJmZ95s2ULZ/fH5Ca6+vluYeVKJz+gvDL76gQyVMu3BgF9VgQY4kC7eCL2aeZ6J3FlYZ6KrU&#10;/+GrH1BLAwQUAAAACACHTuJAj96Ls/4BAAD2AwAADgAAAGRycy9lMm9Eb2MueG1srVPNjtMwEL4j&#10;8Q6W7zRpRRc2arqHLcsFQSXgAaaOk1jynzxu074EL4DEDU4cufM2uzwGY6dbluXSAzk4Y8/MN/N9&#10;Hi+u9kaznQyonK35dFJyJq1wjbJdzT9+uHn2kjOMYBvQzsqaHyTyq+XTJ4vBV3LmeqcbGRiBWKwG&#10;X/M+Rl8VBYpeGsCJ89KSs3XBQKRt6IomwEDoRhezsrwoBhcaH5yQiHS6Gp38iBjOAXRtq4RcObE1&#10;0sYRNUgNkShhrzzyZe62baWI79oWZWS65sQ05pWKkL1Ja7FcQNUF8L0SxxbgnBYecTKgLBU9Qa0g&#10;AtsG9Q+UUSI4dG2cCGeKkUhWhFhMy0favO/By8yFpEZ/Eh3/H6x4u1sHppqazzmzYOjC7z7/uP30&#10;9dfPL7Teff/G5kmkwWNFsdd2HY479OuQGO/bYNKfuLB9FvZwElbuIxN0OL8oyxclaS7IN53Pnmfh&#10;iz/JPmB8LZ1hyai5Vjbxhgp2bzBSQQq9D0nH2rKh5pfzGTUtgIawpcsn03gigrbLuei0am6U1ikD&#10;Q7e51oHtIA1C/hItwv0rLBVZAfZjXHaNI9JLaF7ZhsWDJ4ksvQyeWjCy4UxLekjJIkCoIih9TiSV&#10;1jYlyDymR55J51HZZG1cc6Dr2fqgup50meaek4fGIXd/HN00bw/3ZD98rs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YLe0tIAAAAEAQAADwAAAAAAAAABACAAAAAiAAAAZHJzL2Rvd25yZXYueG1s&#10;UEsBAhQAFAAAAAgAh07iQI/ei7P+AQAA9gMAAA4AAAAAAAAAAQAgAAAAIQEAAGRycy9lMm9Eb2Mu&#10;eG1sUEsFBgAAAAAGAAYAWQEAAJEFA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pacing w:val="0"/>
          <w:kern w:val="2"/>
          <w:sz w:val="28"/>
          <w:szCs w:val="28"/>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381000</wp:posOffset>
                </wp:positionV>
                <wp:extent cx="5600700" cy="15240"/>
                <wp:effectExtent l="0" t="4445" r="0" b="8890"/>
                <wp:wrapNone/>
                <wp:docPr id="7" name="直接连接符 7"/>
                <wp:cNvGraphicFramePr/>
                <a:graphic xmlns:a="http://schemas.openxmlformats.org/drawingml/2006/main">
                  <a:graphicData uri="http://schemas.microsoft.com/office/word/2010/wordprocessingShape">
                    <wps:wsp>
                      <wps:cNvCnPr/>
                      <wps:spPr>
                        <a:xfrm>
                          <a:off x="0" y="0"/>
                          <a:ext cx="5600700" cy="15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pt;height:1.2pt;width:441pt;z-index:251662336;mso-width-relative:page;mso-height-relative:page;" filled="f" stroked="t" coordsize="21600,21600" o:gfxdata="UEsDBAoAAAAAAIdO4kAAAAAAAAAAAAAAAAAEAAAAZHJzL1BLAwQUAAAACACHTuJA7nmp9dQAAAAG&#10;AQAADwAAAGRycy9kb3ducmV2LnhtbE2Py07DMBBF90j8gzVIbCpqN6AqCnG6ALJjQyliO42nSdR4&#10;nMbuA76eYQWredzRvWfK1cUP6kRT7ANbWMwNKOImuJ5bC5v3+i4HFROywyEwWfiiCKvq+qrEwoUz&#10;v9FpnVolJhwLtNClNBZax6Yjj3EeRmLRdmHymGScWu0mPIu5H3RmzFJ77FkSOhzpqaNmvz56C7H+&#10;oEP9PWtm5vO+DZQdnl9f0Nrbm4V5BJXokv6O4Rdf0KESpm04sotqsCCPJAtLI1XUPM+k2coiewBd&#10;lfo/fvUDUEsDBBQAAAAIAIdO4kCLYDca/gEAAPYDAAAOAAAAZHJzL2Uyb0RvYy54bWytU82O0zAQ&#10;viPxDpbvNGlFtxA13cOW5YKgEvAAU8dJLPlPHrdpX4IXQOIGJ47ceRuWx2DslLIslx7IwRl7Zr6Z&#10;7/N4eX0wmu1lQOVszaeTkjNphWuU7Wr+/t3tk2ecYQTbgHZW1vwokV+vHj9aDr6SM9c73cjACMRi&#10;Nfia9zH6qihQ9NIATpyXlpytCwYibUNXNAEGQje6mJXlVTG40PjghESk0/Xo5CfEcAmga1sl5NqJ&#10;nZE2jqhBaohECXvlka9yt20rRXzTtigj0zUnpjGvVITsbVqL1RKqLoDvlTi1AJe08ICTAWWp6Blq&#10;DRHYLqh/oIwSwaFr40Q4U4xEsiLEYlo+0OZtD15mLiQ1+rPo+P9gxev9JjDV1HzBmQVDF3738duP&#10;D59/fv9E693XL2yRRBo8VhR7YzfhtEO/CYnxoQ0m/YkLO2Rhj2dh5SEyQYfzq7JclKS5IN90Pnua&#10;hS/+JPuA8aV0hiWj5lrZxBsq2L/CSAUp9HdIOtaWDTV/Pp/NCRJoCFu6fDKNJyJou5yLTqvmVmmd&#10;MjB02xsd2B7SIOQv0SLcv8JSkTVgP8Zl1zgivYTmhW1YPHqSyNLL4KkFIxvOtKSHlCwChCqC0pdE&#10;UmltU4LMY3rimXQelU3W1jVHup6dD6rrSZdp7jl5aBxy96fRTfN2f0/2/ee6+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uean11AAAAAYBAAAPAAAAAAAAAAEAIAAAACIAAABkcnMvZG93bnJldi54&#10;bWxQSwECFAAUAAAACACHTuJAi2A3Gv4BAAD2AwAADgAAAAAAAAABACAAAAAjAQAAZHJzL2Uyb0Rv&#10;Yy54bWxQSwUGAAAAAAYABgBZAQAAkwUAAAAA&#10;">
                <v:fill on="f" focussize="0,0"/>
                <v:stroke color="#000000" joinstyle="round"/>
                <v:imagedata o:title=""/>
                <o:lock v:ext="edit" aspectratio="f"/>
              </v:line>
            </w:pict>
          </mc:Fallback>
        </mc:AlternateContent>
      </w:r>
      <w:r>
        <w:rPr>
          <w:rFonts w:hint="default" w:ascii="Times New Roman" w:hAnsi="Times New Roman" w:eastAsia="仿宋_GB2312" w:cs="Times New Roman"/>
          <w:snapToGrid w:val="0"/>
          <w:color w:val="auto"/>
          <w:spacing w:val="0"/>
          <w:kern w:val="32"/>
          <w:sz w:val="28"/>
          <w:szCs w:val="28"/>
        </w:rPr>
        <w:t xml:space="preserve">中山市住房和城乡建设局办公室 </w:t>
      </w:r>
      <w:r>
        <w:rPr>
          <w:rFonts w:hint="default" w:ascii="Times New Roman" w:hAnsi="Times New Roman" w:eastAsia="仿宋_GB2312" w:cs="Times New Roman"/>
          <w:snapToGrid w:val="0"/>
          <w:color w:val="auto"/>
          <w:spacing w:val="0"/>
          <w:kern w:val="32"/>
          <w:sz w:val="28"/>
          <w:szCs w:val="28"/>
          <w:lang w:val="en-US" w:eastAsia="zh-CN"/>
        </w:rPr>
        <w:t xml:space="preserve">       </w:t>
      </w:r>
      <w:r>
        <w:rPr>
          <w:rFonts w:hint="default" w:ascii="Times New Roman" w:hAnsi="Times New Roman" w:cs="Times New Roman"/>
          <w:snapToGrid w:val="0"/>
          <w:color w:val="auto"/>
          <w:spacing w:val="0"/>
          <w:kern w:val="32"/>
          <w:sz w:val="28"/>
          <w:szCs w:val="28"/>
          <w:lang w:val="en-US" w:eastAsia="zh-CN"/>
        </w:rPr>
        <w:t xml:space="preserve">     </w:t>
      </w:r>
      <w:r>
        <w:rPr>
          <w:rFonts w:hint="default" w:ascii="Times New Roman" w:hAnsi="Times New Roman" w:cs="Times New Roman"/>
          <w:snapToGrid w:val="0"/>
          <w:color w:val="auto"/>
          <w:spacing w:val="0"/>
          <w:kern w:val="32"/>
          <w:sz w:val="28"/>
          <w:szCs w:val="28"/>
          <w:lang w:eastAsia="zh-CN"/>
        </w:rPr>
        <w:t>202</w:t>
      </w:r>
      <w:r>
        <w:rPr>
          <w:rFonts w:hint="default" w:ascii="Times New Roman" w:hAnsi="Times New Roman" w:cs="Times New Roman"/>
          <w:snapToGrid w:val="0"/>
          <w:color w:val="auto"/>
          <w:spacing w:val="0"/>
          <w:kern w:val="32"/>
          <w:sz w:val="28"/>
          <w:szCs w:val="28"/>
          <w:lang w:val="en-US" w:eastAsia="zh-CN"/>
        </w:rPr>
        <w:t>6</w:t>
      </w:r>
      <w:r>
        <w:rPr>
          <w:rFonts w:hint="default" w:ascii="Times New Roman" w:hAnsi="Times New Roman" w:eastAsia="仿宋_GB2312" w:cs="Times New Roman"/>
          <w:snapToGrid w:val="0"/>
          <w:color w:val="auto"/>
          <w:spacing w:val="0"/>
          <w:kern w:val="32"/>
          <w:sz w:val="28"/>
          <w:szCs w:val="28"/>
        </w:rPr>
        <w:t>年</w:t>
      </w:r>
      <w:r>
        <w:rPr>
          <w:rFonts w:hint="eastAsia" w:ascii="Times New Roman" w:hAnsi="Times New Roman" w:eastAsia="仿宋_GB2312" w:cs="Times New Roman"/>
          <w:snapToGrid w:val="0"/>
          <w:color w:val="auto"/>
          <w:spacing w:val="0"/>
          <w:kern w:val="32"/>
          <w:sz w:val="28"/>
          <w:szCs w:val="28"/>
          <w:lang w:eastAsia="zh"/>
          <w:woUserID w:val="1"/>
        </w:rPr>
        <w:t>8</w:t>
      </w:r>
      <w:r>
        <w:rPr>
          <w:rFonts w:hint="default" w:ascii="Times New Roman" w:hAnsi="Times New Roman" w:eastAsia="仿宋_GB2312" w:cs="Times New Roman"/>
          <w:snapToGrid w:val="0"/>
          <w:color w:val="auto"/>
          <w:spacing w:val="0"/>
          <w:kern w:val="32"/>
          <w:sz w:val="28"/>
          <w:szCs w:val="28"/>
        </w:rPr>
        <w:t>月</w:t>
      </w:r>
      <w:r>
        <w:rPr>
          <w:rFonts w:hint="eastAsia" w:ascii="Times New Roman" w:hAnsi="Times New Roman" w:eastAsia="仿宋_GB2312" w:cs="Times New Roman"/>
          <w:snapToGrid w:val="0"/>
          <w:color w:val="auto"/>
          <w:spacing w:val="0"/>
          <w:kern w:val="32"/>
          <w:sz w:val="28"/>
          <w:szCs w:val="28"/>
          <w:lang w:eastAsia="zh"/>
          <w:woUserID w:val="1"/>
        </w:rPr>
        <w:t>26</w:t>
      </w:r>
      <w:r>
        <w:rPr>
          <w:rFonts w:hint="default" w:ascii="Times New Roman" w:hAnsi="Times New Roman" w:eastAsia="仿宋_GB2312" w:cs="Times New Roman"/>
          <w:snapToGrid w:val="0"/>
          <w:color w:val="auto"/>
          <w:spacing w:val="0"/>
          <w:kern w:val="32"/>
          <w:sz w:val="28"/>
          <w:szCs w:val="28"/>
        </w:rPr>
        <w:t>日印发</w:t>
      </w:r>
    </w:p>
    <w:sectPr>
      <w:footerReference r:id="rId3" w:type="default"/>
      <w:pgSz w:w="11906" w:h="16838"/>
      <w:pgMar w:top="2098" w:right="1474" w:bottom="1701"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3C8E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BAD11B">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EBAD11B">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DF433C"/>
    <w:rsid w:val="0157933C"/>
    <w:rsid w:val="13B59D5F"/>
    <w:rsid w:val="1BEF29B4"/>
    <w:rsid w:val="2BEE17B3"/>
    <w:rsid w:val="377DA119"/>
    <w:rsid w:val="3BA69B9A"/>
    <w:rsid w:val="3CFEC796"/>
    <w:rsid w:val="3E3D8B80"/>
    <w:rsid w:val="51AF00D8"/>
    <w:rsid w:val="57FD1864"/>
    <w:rsid w:val="597736C7"/>
    <w:rsid w:val="59F31E79"/>
    <w:rsid w:val="5BCFEBDC"/>
    <w:rsid w:val="5DB5F95A"/>
    <w:rsid w:val="5F5F9B76"/>
    <w:rsid w:val="6DCF5CE2"/>
    <w:rsid w:val="6EEFE174"/>
    <w:rsid w:val="6F9F83B5"/>
    <w:rsid w:val="6FEB3D2E"/>
    <w:rsid w:val="77DF433C"/>
    <w:rsid w:val="7BF2D3EB"/>
    <w:rsid w:val="7DD7AF7D"/>
    <w:rsid w:val="7DE82243"/>
    <w:rsid w:val="7DFD471B"/>
    <w:rsid w:val="7DFFE56A"/>
    <w:rsid w:val="7EFFD970"/>
    <w:rsid w:val="7FBE6210"/>
    <w:rsid w:val="7FFF9831"/>
    <w:rsid w:val="B6FDFD64"/>
    <w:rsid w:val="B8E730E2"/>
    <w:rsid w:val="BE9FC595"/>
    <w:rsid w:val="BF79E2CC"/>
    <w:rsid w:val="BFEE4111"/>
    <w:rsid w:val="DD7D9901"/>
    <w:rsid w:val="DE6F6FD1"/>
    <w:rsid w:val="DEDF1DF9"/>
    <w:rsid w:val="E7D133AF"/>
    <w:rsid w:val="EABF9448"/>
    <w:rsid w:val="ECF6CE4E"/>
    <w:rsid w:val="F6FFE2C7"/>
    <w:rsid w:val="F7B77DF8"/>
    <w:rsid w:val="F8FE4572"/>
    <w:rsid w:val="F903D8B9"/>
    <w:rsid w:val="F9B9A11D"/>
    <w:rsid w:val="FA5A263D"/>
    <w:rsid w:val="FB4F5F42"/>
    <w:rsid w:val="FBC780CB"/>
    <w:rsid w:val="FBFDF17D"/>
    <w:rsid w:val="FCFF8B49"/>
    <w:rsid w:val="FDDE0D75"/>
    <w:rsid w:val="FED35935"/>
    <w:rsid w:val="FFB3F4BA"/>
    <w:rsid w:val="FFDB30F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suppressLineNumbers/>
      <w:adjustRightInd w:val="0"/>
      <w:snapToGrid w:val="0"/>
      <w:spacing w:line="574" w:lineRule="exact"/>
      <w:jc w:val="both"/>
    </w:pPr>
    <w:rPr>
      <w:rFonts w:ascii="仿宋_GB2312" w:hAnsi="Times New Roman" w:eastAsia="仿宋_GB2312" w:cs="Times New Roman"/>
      <w:snapToGrid w:val="0"/>
      <w:spacing w:val="-6"/>
      <w:kern w:val="32"/>
      <w:sz w:val="32"/>
      <w:szCs w:val="24"/>
      <w:lang w:val="en-US" w:eastAsia="zh-CN" w:bidi="ar-SA"/>
    </w:rPr>
  </w:style>
  <w:style w:type="paragraph" w:styleId="3">
    <w:name w:val="toc 5"/>
    <w:basedOn w:val="1"/>
    <w:next w:val="1"/>
    <w:qFormat/>
    <w:uiPriority w:val="0"/>
    <w:pPr>
      <w:ind w:left="168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0</Words>
  <Characters>0</Characters>
  <Lines>0</Lines>
  <Paragraphs>0</Paragraphs>
  <TotalTime>107</TotalTime>
  <ScaleCrop>false</ScaleCrop>
  <LinksUpToDate>false</LinksUpToDate>
  <CharactersWithSpaces>0</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2026-07-26T21:19:00Z</dcterms:created>
  <dc:creator>user</dc:creator>
  <cp:lastModifiedBy>user</cp:lastModifiedBy>
  <dcterms:modified xsi:type="dcterms:W3CDTF">2026-09-14T09:00:48Z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9F34A786FC9677DFB7B78E6AA34C289E_43</vt:lpwstr>
  </property>
</Properties>
</file>