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FD8C5">
      <w:pPr>
        <w:pStyle w:val="2"/>
        <w:jc w:val="right"/>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eastAsia="zh-CN"/>
        </w:rPr>
        <w:t>（</w:t>
      </w:r>
      <w:r>
        <w:rPr>
          <w:rFonts w:hint="eastAsia" w:ascii="Times New Roman" w:cs="Times New Roman"/>
          <w:color w:val="auto"/>
          <w:sz w:val="24"/>
          <w:szCs w:val="24"/>
          <w:u w:val="single"/>
          <w:lang w:val="en-US" w:eastAsia="zh-CN"/>
        </w:rPr>
        <w:t>A</w:t>
      </w:r>
      <w:r>
        <w:rPr>
          <w:rFonts w:hint="default" w:ascii="Times New Roman" w:hAnsi="Times New Roman" w:cs="Times New Roman"/>
          <w:color w:val="auto"/>
          <w:sz w:val="24"/>
          <w:szCs w:val="24"/>
          <w:lang w:val="en-US" w:eastAsia="zh-CN"/>
        </w:rPr>
        <w:t>类）</w:t>
      </w:r>
    </w:p>
    <w:p w14:paraId="249B0094">
      <w:pPr>
        <w:pStyle w:val="2"/>
        <w:keepNext w:val="0"/>
        <w:keepLines w:val="0"/>
        <w:pageBreakBefore w:val="0"/>
        <w:widowControl w:val="0"/>
        <w:kinsoku/>
        <w:wordWrap/>
        <w:overflowPunct/>
        <w:topLinePunct w:val="0"/>
        <w:autoSpaceDE/>
        <w:autoSpaceDN/>
        <w:bidi w:val="0"/>
        <w:adjustRightInd w:val="0"/>
        <w:snapToGrid w:val="0"/>
        <w:spacing w:line="334" w:lineRule="exact"/>
        <w:ind w:firstLine="3732" w:firstLineChars="1200"/>
        <w:jc w:val="both"/>
        <w:textAlignment w:val="auto"/>
        <w:rPr>
          <w:rFonts w:hint="default"/>
          <w:lang w:eastAsia="zh-CN"/>
        </w:rPr>
      </w:pPr>
    </w:p>
    <w:p w14:paraId="6C6EE208">
      <w:pPr>
        <w:tabs>
          <w:tab w:val="left" w:pos="5880"/>
        </w:tabs>
        <w:spacing w:line="240" w:lineRule="auto"/>
        <w:jc w:val="center"/>
        <w:rPr>
          <w:rFonts w:hint="eastAsia" w:ascii="方正小标宋简体" w:hAnsi="方正小标宋简体" w:eastAsia="方正小标宋简体" w:cs="方正小标宋简体"/>
          <w:b w:val="0"/>
          <w:bCs w:val="0"/>
          <w:color w:val="FF0000"/>
          <w:spacing w:val="57"/>
          <w:sz w:val="66"/>
          <w:szCs w:val="66"/>
          <w:lang w:val="en-US" w:eastAsia="zh-CN"/>
        </w:rPr>
      </w:pPr>
      <w:r>
        <w:rPr>
          <w:rFonts w:hint="eastAsia" w:ascii="方正小标宋简体" w:hAnsi="方正小标宋简体" w:eastAsia="方正小标宋简体" w:cs="方正小标宋简体"/>
          <w:b w:val="0"/>
          <w:bCs w:val="0"/>
          <w:color w:val="FF0000"/>
          <w:spacing w:val="57"/>
          <w:sz w:val="66"/>
          <w:szCs w:val="66"/>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664845</wp:posOffset>
                </wp:positionV>
                <wp:extent cx="5962650" cy="635"/>
                <wp:effectExtent l="0" t="19050" r="0" b="37465"/>
                <wp:wrapNone/>
                <wp:docPr id="6" name="直接连接符 6"/>
                <wp:cNvGraphicFramePr/>
                <a:graphic xmlns:a="http://schemas.openxmlformats.org/drawingml/2006/main">
                  <a:graphicData uri="http://schemas.microsoft.com/office/word/2010/wordprocessingShape">
                    <wps:wsp>
                      <wps:cNvCnPr/>
                      <wps:spPr>
                        <a:xfrm>
                          <a:off x="0" y="0"/>
                          <a:ext cx="60579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7.25pt;margin-top:52.35pt;height:0.05pt;width:469.5pt;z-index:251659264;mso-width-relative:page;mso-height-relative:page;" filled="f" stroked="t" coordsize="21600,21600" o:gfxdata="UEsDBAoAAAAAAIdO4kAAAAAAAAAAAAAAAAAEAAAAZHJzL1BLAwQUAAAACACHTuJA52KTONsAAAAL&#10;AQAADwAAAGRycy9kb3ducmV2LnhtbE2PwU7DMBBE70j8g7VIXFBrF0opIU6FkBAtPVACEuLmJksS&#10;NV4H22nL37PlQo878zQ7k872thVb9KFxpGE0VCCQClc2VGl4f3scTEGEaKg0rSPU8IMBZtnpSWqS&#10;0u3oFbd5rASHUEiMhjrGLpEyFDVaE4auQ2Lvy3lrIp++kqU3Ow63rbxUaiKtaYg/1KbDhxqLTd5b&#10;DfbF3svP5VOf+9Xi+eN7OV9tLuZan5+N1B2IiPv4D8OhPleHjDutXU9lEK2GwdX4mlE21PgGBBO3&#10;6qCs/5QpyCyVxxuyX1BLAwQUAAAACACHTuJATwcJtPsBAADzAwAADgAAAGRycy9lMm9Eb2MueG1s&#10;rVPNjtMwEL4j8Q6W7zTpIspu1HQPW8oFQSXYB5g6TmLJf/K4TfsSvAASNzhx5M7bsDwGY6dbluXS&#10;Azk4Y8/MN/N9Hs+v90aznQyonK35dFJyJq1wjbJdzW8/rJ5dcoYRbAPaWVnzg0R+vXj6ZD74Sl64&#10;3ulGBkYgFqvB17yP0VdFgaKXBnDivLTkbF0wEGkbuqIJMBC60cVFWc6KwYXGByckIp0uRyc/IoZz&#10;AF3bKiGXTmyNtHFEDVJDJErYK498kbttWyniu7ZFGZmuOTGNeaUiZG/SWizmUHUBfK/EsQU4p4VH&#10;nAwoS0VPUEuIwLZB/QNllAgOXRsnwpliJJIVIRbT8pE273vwMnMhqdGfRMf/Byve7taBqabmM84s&#10;GLrwu0/ff3788uvHZ1rvvn1lsyTS4LGi2Bu7Dscd+nVIjPdtMOlPXNg+C3s4CSv3kQk6nJUvXl6V&#10;pLm49xV/En3A+Fo6w5JRc61s4gwV7N5gpGIUeh+SjrVlQ82fX04zHtAEtnTzBG08sUDb5WR0WjUr&#10;pXVKwdBtbnRgO6ApWK1K+hInAv4rLFVZAvZjXHaN89FLaF7ZhsWDJ30sPQueejCy4UxLekXJIkCo&#10;Iih9TiSV1jYlyDyjR6JJ5FHWZG1cc6C72fqgup6Emeaek4dmIXd/nNs0bA/3ZD98q4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2KTONsAAAALAQAADwAAAAAAAAABACAAAAAiAAAAZHJzL2Rvd25y&#10;ZXYueG1sUEsBAhQAFAAAAAgAh07iQE8HCbT7AQAA8wMAAA4AAAAAAAAAAQAgAAAAKgEAAGRycy9l&#10;Mm9Eb2MueG1sUEsFBgAAAAAGAAYAWQEAAJcFAAAAAA==&#10;">
                <v:fill on="f" focussize="0,0"/>
                <v:stroke weight="3pt" color="#FF0000" joinstyle="round"/>
                <v:imagedata o:title=""/>
                <o:lock v:ext="edit" aspectratio="f"/>
              </v:line>
            </w:pict>
          </mc:Fallback>
        </mc:AlternateContent>
      </w:r>
      <w:r>
        <w:rPr>
          <w:rFonts w:hint="eastAsia" w:ascii="方正小标宋简体" w:hAnsi="方正小标宋简体" w:eastAsia="方正小标宋简体" w:cs="方正小标宋简体"/>
          <w:b w:val="0"/>
          <w:bCs w:val="0"/>
          <w:color w:val="FF0000"/>
          <w:spacing w:val="57"/>
          <w:sz w:val="66"/>
          <w:szCs w:val="66"/>
        </w:rPr>
        <w:t>中山市住房和城乡建设局</w:t>
      </w:r>
    </w:p>
    <w:p w14:paraId="2B245974">
      <w:pPr>
        <w:keepNext w:val="0"/>
        <w:keepLines w:val="0"/>
        <w:pageBreakBefore w:val="0"/>
        <w:widowControl w:val="0"/>
        <w:kinsoku/>
        <w:wordWrap w:val="0"/>
        <w:overflowPunct/>
        <w:topLinePunct/>
        <w:autoSpaceDE w:val="0"/>
        <w:autoSpaceDN w:val="0"/>
        <w:bidi w:val="0"/>
        <w:adjustRightInd/>
        <w:snapToGrid w:val="0"/>
        <w:spacing w:beforeLines="0" w:afterLines="0" w:line="574" w:lineRule="exact"/>
        <w:ind w:left="0" w:leftChars="0" w:right="0" w:rightChars="0"/>
        <w:jc w:val="right"/>
        <w:textAlignment w:val="auto"/>
        <w:outlineLvl w:val="9"/>
        <w:rPr>
          <w:rFonts w:hint="eastAsia" w:ascii="楷体_GB2312" w:hAnsi="楷体_GB2312" w:eastAsia="楷体_GB2312" w:cs="楷体_GB2312"/>
          <w:snapToGrid w:val="0"/>
          <w:spacing w:val="0"/>
          <w:kern w:val="0"/>
          <w:sz w:val="32"/>
          <w:szCs w:val="32"/>
        </w:rPr>
      </w:pPr>
      <w:r>
        <w:rPr>
          <w:rFonts w:hint="eastAsia" w:ascii="楷体_GB2312" w:hAnsi="楷体_GB2312" w:eastAsia="楷体_GB2312" w:cs="楷体_GB2312"/>
          <w:snapToGrid w:val="0"/>
          <w:spacing w:val="0"/>
          <w:kern w:val="0"/>
          <w:sz w:val="32"/>
          <w:szCs w:val="32"/>
        </w:rPr>
        <w:t>中建函〔202</w:t>
      </w:r>
      <w:r>
        <w:rPr>
          <w:rFonts w:hint="eastAsia" w:ascii="楷体_GB2312" w:hAnsi="楷体_GB2312" w:eastAsia="楷体_GB2312" w:cs="楷体_GB2312"/>
          <w:snapToGrid w:val="0"/>
          <w:spacing w:val="0"/>
          <w:kern w:val="0"/>
          <w:sz w:val="32"/>
          <w:szCs w:val="32"/>
          <w:lang w:val="en-US" w:eastAsia="zh-CN"/>
        </w:rPr>
        <w:t>6</w:t>
      </w:r>
      <w:r>
        <w:rPr>
          <w:rFonts w:hint="eastAsia" w:ascii="楷体_GB2312" w:hAnsi="楷体_GB2312" w:eastAsia="楷体_GB2312" w:cs="楷体_GB2312"/>
          <w:snapToGrid w:val="0"/>
          <w:spacing w:val="0"/>
          <w:kern w:val="0"/>
          <w:sz w:val="32"/>
          <w:szCs w:val="32"/>
        </w:rPr>
        <w:t>〕</w:t>
      </w:r>
      <w:r>
        <w:rPr>
          <w:rFonts w:hint="eastAsia" w:ascii="楷体_GB2312" w:hAnsi="楷体_GB2312" w:eastAsia="楷体_GB2312" w:cs="楷体_GB2312"/>
          <w:snapToGrid w:val="0"/>
          <w:spacing w:val="0"/>
          <w:kern w:val="0"/>
          <w:sz w:val="32"/>
          <w:szCs w:val="32"/>
          <w:lang w:eastAsia="zh"/>
          <w:woUserID w:val="1"/>
        </w:rPr>
        <w:t>109</w:t>
      </w:r>
      <w:r>
        <w:rPr>
          <w:rFonts w:hint="eastAsia" w:ascii="楷体_GB2312" w:hAnsi="楷体_GB2312" w:eastAsia="楷体_GB2312" w:cs="楷体_GB2312"/>
          <w:snapToGrid w:val="0"/>
          <w:spacing w:val="0"/>
          <w:kern w:val="0"/>
          <w:sz w:val="32"/>
          <w:szCs w:val="32"/>
        </w:rPr>
        <w:t>号</w:t>
      </w:r>
    </w:p>
    <w:p w14:paraId="04C3AEE4">
      <w:pPr>
        <w:spacing w:line="550" w:lineRule="exact"/>
        <w:jc w:val="center"/>
        <w:rPr>
          <w:rFonts w:hint="default" w:ascii="Times New Roman" w:hAnsi="Times New Roman" w:eastAsia="方正小标宋简体" w:cs="Times New Roman"/>
          <w:color w:val="auto"/>
          <w:sz w:val="44"/>
        </w:rPr>
      </w:pPr>
    </w:p>
    <w:p w14:paraId="612B36BD">
      <w:pPr>
        <w:keepNext w:val="0"/>
        <w:keepLines w:val="0"/>
        <w:pageBreakBefore w:val="0"/>
        <w:widowControl w:val="0"/>
        <w:kinsoku/>
        <w:wordWrap/>
        <w:overflowPunct/>
        <w:topLinePunct w:val="0"/>
        <w:autoSpaceDE/>
        <w:autoSpaceDN/>
        <w:bidi w:val="0"/>
        <w:adjustRightInd w:val="0"/>
        <w:snapToGrid w:val="0"/>
        <w:spacing w:line="574" w:lineRule="exact"/>
        <w:jc w:val="center"/>
        <w:textAlignment w:val="auto"/>
        <w:rPr>
          <w:rFonts w:hint="default" w:ascii="Times New Roman" w:hAnsi="Times New Roman" w:eastAsia="方正小标宋简体" w:cs="Times New Roman"/>
          <w:color w:val="auto"/>
          <w:spacing w:val="-17"/>
          <w:sz w:val="44"/>
        </w:rPr>
      </w:pPr>
      <w:r>
        <w:rPr>
          <w:rFonts w:hint="default" w:ascii="Times New Roman" w:hAnsi="Times New Roman" w:eastAsia="方正小标宋简体" w:cs="Times New Roman"/>
          <w:color w:val="auto"/>
          <w:spacing w:val="-17"/>
          <w:sz w:val="44"/>
        </w:rPr>
        <w:t>关于市十六届人大七次会议第</w:t>
      </w:r>
      <w:r>
        <w:rPr>
          <w:rFonts w:hint="default" w:ascii="Times New Roman" w:hAnsi="Times New Roman" w:eastAsia="方正小标宋简体" w:cs="Times New Roman"/>
          <w:color w:val="auto"/>
          <w:spacing w:val="-17"/>
          <w:sz w:val="44"/>
          <w:lang w:val="en-US" w:eastAsia="zh-CN"/>
        </w:rPr>
        <w:t>2026125</w:t>
      </w:r>
      <w:r>
        <w:rPr>
          <w:rFonts w:hint="default" w:ascii="Times New Roman" w:hAnsi="Times New Roman" w:eastAsia="方正小标宋简体" w:cs="Times New Roman"/>
          <w:color w:val="auto"/>
          <w:spacing w:val="-17"/>
          <w:sz w:val="44"/>
        </w:rPr>
        <w:t>号</w:t>
      </w:r>
    </w:p>
    <w:p w14:paraId="524255F4">
      <w:pPr>
        <w:keepNext w:val="0"/>
        <w:keepLines w:val="0"/>
        <w:pageBreakBefore w:val="0"/>
        <w:widowControl w:val="0"/>
        <w:kinsoku/>
        <w:wordWrap/>
        <w:overflowPunct/>
        <w:topLinePunct w:val="0"/>
        <w:autoSpaceDE/>
        <w:autoSpaceDN/>
        <w:bidi w:val="0"/>
        <w:adjustRightInd w:val="0"/>
        <w:snapToGrid w:val="0"/>
        <w:spacing w:line="574" w:lineRule="exact"/>
        <w:jc w:val="center"/>
        <w:textAlignment w:val="auto"/>
        <w:rPr>
          <w:rFonts w:hint="default" w:ascii="Times New Roman" w:hAnsi="Times New Roman" w:eastAsia="方正小标宋简体" w:cs="Times New Roman"/>
          <w:color w:val="auto"/>
          <w:spacing w:val="-17"/>
          <w:sz w:val="44"/>
          <w:lang w:eastAsia="zh-CN"/>
        </w:rPr>
      </w:pPr>
      <w:r>
        <w:rPr>
          <w:rFonts w:hint="eastAsia" w:ascii="Times New Roman" w:eastAsia="方正小标宋简体" w:cs="Times New Roman"/>
          <w:color w:val="auto"/>
          <w:spacing w:val="-17"/>
          <w:sz w:val="44"/>
          <w:lang w:eastAsia="zh-CN"/>
        </w:rPr>
        <w:t>建议</w:t>
      </w:r>
      <w:r>
        <w:rPr>
          <w:rFonts w:hint="default" w:ascii="Times New Roman" w:hAnsi="Times New Roman" w:eastAsia="方正小标宋简体" w:cs="Times New Roman"/>
          <w:color w:val="auto"/>
          <w:spacing w:val="-17"/>
          <w:sz w:val="44"/>
        </w:rPr>
        <w:t>答复</w:t>
      </w:r>
      <w:r>
        <w:rPr>
          <w:rFonts w:hint="default" w:ascii="Times New Roman" w:hAnsi="Times New Roman" w:eastAsia="方正小标宋简体" w:cs="Times New Roman"/>
          <w:color w:val="auto"/>
          <w:spacing w:val="-17"/>
          <w:sz w:val="44"/>
          <w:lang w:eastAsia="zh-CN"/>
        </w:rPr>
        <w:t>的函</w:t>
      </w:r>
    </w:p>
    <w:p w14:paraId="08254164">
      <w:pPr>
        <w:keepNext w:val="0"/>
        <w:keepLines w:val="0"/>
        <w:pageBreakBefore w:val="0"/>
        <w:widowControl w:val="0"/>
        <w:kinsoku/>
        <w:wordWrap/>
        <w:overflowPunct/>
        <w:topLinePunct w:val="0"/>
        <w:autoSpaceDE/>
        <w:autoSpaceDN/>
        <w:bidi w:val="0"/>
        <w:adjustRightInd w:val="0"/>
        <w:snapToGrid w:val="0"/>
        <w:spacing w:line="574" w:lineRule="exact"/>
        <w:jc w:val="left"/>
        <w:textAlignment w:val="auto"/>
        <w:rPr>
          <w:rFonts w:hint="default" w:ascii="Times New Roman" w:hAnsi="Times New Roman" w:eastAsia="仿宋_GB2312" w:cs="Times New Roman"/>
          <w:color w:val="auto"/>
          <w:sz w:val="32"/>
          <w:szCs w:val="32"/>
          <w:lang w:val="en-US" w:eastAsia="zh-CN"/>
        </w:rPr>
      </w:pPr>
    </w:p>
    <w:p w14:paraId="1161B65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textAlignment w:val="auto"/>
        <w:rPr>
          <w:rFonts w:hint="default" w:ascii="仿宋_GB2312" w:hAnsi="仿宋_GB2312" w:eastAsia="仿宋_GB2312" w:cs="仿宋_GB2312"/>
          <w:snapToGrid/>
          <w:spacing w:val="0"/>
          <w:kern w:val="2"/>
          <w:sz w:val="32"/>
          <w:szCs w:val="32"/>
        </w:rPr>
      </w:pPr>
      <w:r>
        <w:rPr>
          <w:rFonts w:hint="default" w:ascii="仿宋_GB2312" w:hAnsi="仿宋_GB2312" w:eastAsia="仿宋_GB2312" w:cs="仿宋_GB2312"/>
          <w:snapToGrid/>
          <w:spacing w:val="0"/>
          <w:kern w:val="2"/>
          <w:sz w:val="32"/>
          <w:szCs w:val="32"/>
          <w:lang w:val="en-US" w:eastAsia="zh-CN"/>
        </w:rPr>
        <w:t>郑壮苗</w:t>
      </w:r>
      <w:r>
        <w:rPr>
          <w:rFonts w:hint="default" w:ascii="仿宋_GB2312" w:hAnsi="仿宋_GB2312" w:eastAsia="仿宋_GB2312" w:cs="仿宋_GB2312"/>
          <w:snapToGrid/>
          <w:spacing w:val="0"/>
          <w:kern w:val="2"/>
          <w:sz w:val="32"/>
          <w:szCs w:val="32"/>
        </w:rPr>
        <w:t>代表：</w:t>
      </w:r>
    </w:p>
    <w:p w14:paraId="1E4A4D8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46" w:firstLineChars="200"/>
        <w:textAlignment w:val="auto"/>
        <w:rPr>
          <w:rFonts w:hint="default" w:ascii="仿宋_GB2312" w:hAnsi="仿宋_GB2312" w:eastAsia="仿宋_GB2312" w:cs="仿宋_GB2312"/>
          <w:snapToGrid/>
          <w:spacing w:val="0"/>
          <w:kern w:val="2"/>
          <w:sz w:val="32"/>
          <w:szCs w:val="32"/>
          <w:lang w:val="en-US" w:eastAsia="zh-CN"/>
        </w:rPr>
      </w:pPr>
      <w:r>
        <w:rPr>
          <w:rFonts w:hint="default" w:ascii="仿宋_GB2312" w:hAnsi="仿宋_GB2312" w:eastAsia="仿宋_GB2312" w:cs="仿宋_GB2312"/>
          <w:snapToGrid/>
          <w:spacing w:val="0"/>
          <w:kern w:val="2"/>
          <w:sz w:val="32"/>
          <w:szCs w:val="32"/>
          <w:lang w:val="en-US" w:eastAsia="zh-CN"/>
        </w:rPr>
        <w:t>您提出的《关于根治住宅小区违建痼疾，切实维护社区和谐与业主资产权益的建议》（建议第2026125号）收悉。该建议对我市住宅小区违建治理及物业服务行业监管工作具有重要参考价值。经综合市城管和执法局、市自然资源局、</w:t>
      </w:r>
      <w:r>
        <w:rPr>
          <w:rFonts w:hint="eastAsia" w:hAnsi="仿宋_GB2312" w:cs="仿宋_GB2312"/>
          <w:snapToGrid/>
          <w:spacing w:val="0"/>
          <w:kern w:val="2"/>
          <w:sz w:val="32"/>
          <w:szCs w:val="32"/>
          <w:lang w:val="en-US" w:eastAsia="zh-CN"/>
        </w:rPr>
        <w:t>市中级人民法院</w:t>
      </w:r>
      <w:r>
        <w:rPr>
          <w:rFonts w:hint="default" w:ascii="仿宋_GB2312" w:hAnsi="仿宋_GB2312" w:eastAsia="仿宋_GB2312" w:cs="仿宋_GB2312"/>
          <w:snapToGrid/>
          <w:spacing w:val="0"/>
          <w:kern w:val="2"/>
          <w:sz w:val="32"/>
          <w:szCs w:val="32"/>
          <w:lang w:val="en-US" w:eastAsia="zh-CN"/>
        </w:rPr>
        <w:t>等会办单位意见，现将办理情况答复如下：</w:t>
      </w:r>
    </w:p>
    <w:p w14:paraId="15627CB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eastAsia" w:ascii="黑体" w:hAnsi="黑体" w:eastAsia="黑体" w:cs="黑体"/>
          <w:snapToGrid/>
          <w:spacing w:val="0"/>
          <w:kern w:val="2"/>
          <w:sz w:val="32"/>
          <w:szCs w:val="32"/>
          <w:lang w:val="en-US" w:eastAsia="zh-CN"/>
        </w:rPr>
      </w:pPr>
      <w:r>
        <w:rPr>
          <w:rFonts w:hint="eastAsia" w:ascii="黑体" w:hAnsi="黑体" w:eastAsia="黑体" w:cs="黑体"/>
          <w:color w:val="auto"/>
          <w:sz w:val="32"/>
          <w:szCs w:val="32"/>
        </w:rPr>
        <w:t>一、对建议内容的</w:t>
      </w:r>
      <w:r>
        <w:rPr>
          <w:rFonts w:hint="eastAsia" w:ascii="黑体" w:hAnsi="黑体" w:eastAsia="黑体" w:cs="黑体"/>
          <w:snapToGrid/>
          <w:spacing w:val="0"/>
          <w:kern w:val="2"/>
          <w:sz w:val="32"/>
          <w:szCs w:val="32"/>
          <w:lang w:val="en-US" w:eastAsia="zh-CN"/>
        </w:rPr>
        <w:t>总体表态</w:t>
      </w:r>
    </w:p>
    <w:p w14:paraId="1EB79DE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46"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仿宋_GB2312" w:hAnsi="仿宋_GB2312" w:eastAsia="仿宋_GB2312" w:cs="仿宋_GB2312"/>
          <w:snapToGrid/>
          <w:spacing w:val="0"/>
          <w:kern w:val="2"/>
          <w:sz w:val="32"/>
          <w:szCs w:val="32"/>
          <w:lang w:val="en-US" w:eastAsia="zh-CN"/>
        </w:rPr>
        <w:t>对您指出的“收费放行”利益链、监管第一道关口失守等问题深表赞同。住宅小区违法</w:t>
      </w:r>
      <w:r>
        <w:rPr>
          <w:rFonts w:hint="default" w:ascii="Times New Roman" w:hAnsi="Times New Roman" w:eastAsia="仿宋_GB2312" w:cs="Times New Roman"/>
          <w:snapToGrid w:val="0"/>
          <w:color w:val="auto"/>
          <w:spacing w:val="-6"/>
          <w:kern w:val="32"/>
          <w:sz w:val="32"/>
          <w:szCs w:val="32"/>
          <w:lang w:val="en-US" w:eastAsia="zh-CN" w:bidi="ar-SA"/>
        </w:rPr>
        <w:t>建设屡禁不止，特别是别墅区违建问题，严重侵蚀社会公平正义，损害全体业主的合法权益，必须下决心根治。您的建议聚焦“结果刚性倒查”“双线顶格问责”“施工方案门前公示”等关键机制，具有很强的针对性和操作性。</w:t>
      </w:r>
      <w:r>
        <w:rPr>
          <w:rFonts w:hint="default" w:ascii="Times New Roman" w:hAnsi="Times New Roman" w:cs="Arial"/>
          <w:lang w:val="en-US" w:eastAsia="zh-CN"/>
          <w:woUserID w:val="1"/>
        </w:rPr>
        <w:t>各相关单位</w:t>
      </w:r>
      <w:r>
        <w:rPr>
          <w:rFonts w:hint="default" w:ascii="Times New Roman" w:hAnsi="Times New Roman" w:eastAsia="仿宋_GB2312" w:cs="Times New Roman"/>
          <w:snapToGrid w:val="0"/>
          <w:color w:val="auto"/>
          <w:spacing w:val="-6"/>
          <w:kern w:val="32"/>
          <w:sz w:val="32"/>
          <w:szCs w:val="32"/>
          <w:lang w:val="en-US" w:eastAsia="zh-CN" w:bidi="ar-SA"/>
        </w:rPr>
        <w:t>对该建议表示赞同并予以采纳，</w:t>
      </w:r>
      <w:r>
        <w:rPr>
          <w:rFonts w:hint="eastAsia" w:ascii="Times New Roman" w:cs="Times New Roman"/>
          <w:snapToGrid w:val="0"/>
          <w:color w:val="auto"/>
          <w:spacing w:val="-6"/>
          <w:kern w:val="32"/>
          <w:sz w:val="32"/>
          <w:szCs w:val="32"/>
          <w:lang w:val="en-US" w:eastAsia="zh" w:bidi="ar-SA"/>
          <w:woUserID w:val="1"/>
        </w:rPr>
        <w:t>并</w:t>
      </w:r>
      <w:r>
        <w:rPr>
          <w:rFonts w:hint="default" w:ascii="Times New Roman" w:hAnsi="Times New Roman" w:cs="Arial"/>
          <w:lang w:val="en-US" w:eastAsia="zh-CN"/>
          <w:woUserID w:val="1"/>
        </w:rPr>
        <w:t>将本次建议办理作为</w:t>
      </w:r>
      <w:r>
        <w:rPr>
          <w:rFonts w:hint="eastAsia" w:ascii="Times New Roman" w:cs="Arial"/>
          <w:lang w:val="en-US" w:eastAsia="zh"/>
          <w:woUserID w:val="1"/>
        </w:rPr>
        <w:t>强化我市</w:t>
      </w:r>
      <w:r>
        <w:rPr>
          <w:rFonts w:hint="default" w:ascii="仿宋_GB2312" w:hAnsi="仿宋_GB2312" w:eastAsia="仿宋_GB2312" w:cs="仿宋_GB2312"/>
          <w:snapToGrid/>
          <w:spacing w:val="0"/>
          <w:kern w:val="2"/>
          <w:sz w:val="32"/>
          <w:szCs w:val="32"/>
          <w:lang w:val="en-US" w:eastAsia="zh-CN"/>
          <w:woUserID w:val="1"/>
        </w:rPr>
        <w:t>住宅小区违建治理及</w:t>
      </w:r>
      <w:r>
        <w:rPr>
          <w:rFonts w:hint="eastAsia" w:hAnsi="仿宋_GB2312" w:cs="仿宋_GB2312"/>
          <w:snapToGrid/>
          <w:spacing w:val="0"/>
          <w:kern w:val="2"/>
          <w:sz w:val="32"/>
          <w:szCs w:val="32"/>
          <w:lang w:val="en-US" w:eastAsia="zh"/>
          <w:woUserID w:val="1"/>
        </w:rPr>
        <w:t>提升</w:t>
      </w:r>
      <w:r>
        <w:rPr>
          <w:rFonts w:hint="default" w:ascii="仿宋_GB2312" w:hAnsi="仿宋_GB2312" w:eastAsia="仿宋_GB2312" w:cs="仿宋_GB2312"/>
          <w:snapToGrid/>
          <w:spacing w:val="0"/>
          <w:kern w:val="2"/>
          <w:sz w:val="32"/>
          <w:szCs w:val="32"/>
          <w:lang w:val="en-US" w:eastAsia="zh-CN"/>
          <w:woUserID w:val="1"/>
        </w:rPr>
        <w:t>物业服务</w:t>
      </w:r>
      <w:r>
        <w:rPr>
          <w:rFonts w:hint="eastAsia" w:hAnsi="仿宋_GB2312" w:cs="仿宋_GB2312"/>
          <w:snapToGrid/>
          <w:spacing w:val="0"/>
          <w:kern w:val="2"/>
          <w:sz w:val="32"/>
          <w:szCs w:val="32"/>
          <w:lang w:val="en-US" w:eastAsia="zh"/>
          <w:woUserID w:val="1"/>
        </w:rPr>
        <w:t>水平的重要契机，</w:t>
      </w:r>
      <w:r>
        <w:rPr>
          <w:rFonts w:hint="eastAsia" w:ascii="Times New Roman" w:cs="Times New Roman"/>
          <w:snapToGrid w:val="0"/>
          <w:color w:val="auto"/>
          <w:spacing w:val="-6"/>
          <w:kern w:val="32"/>
          <w:sz w:val="32"/>
          <w:szCs w:val="32"/>
          <w:lang w:val="en-US" w:eastAsia="zh" w:bidi="ar-SA"/>
          <w:woUserID w:val="1"/>
        </w:rPr>
        <w:t>聚力</w:t>
      </w:r>
      <w:r>
        <w:rPr>
          <w:rFonts w:hint="default" w:ascii="Times New Roman" w:hAnsi="Times New Roman" w:eastAsia="仿宋_GB2312" w:cs="Times New Roman"/>
          <w:snapToGrid w:val="0"/>
          <w:color w:val="auto"/>
          <w:spacing w:val="-6"/>
          <w:kern w:val="32"/>
          <w:sz w:val="32"/>
          <w:szCs w:val="32"/>
          <w:lang w:val="en-US" w:eastAsia="zh-CN" w:bidi="ar-SA"/>
        </w:rPr>
        <w:t>构建“物业严管、执法必严、违建必究、失信重罚”的治理新格局。</w:t>
      </w:r>
    </w:p>
    <w:p w14:paraId="62E1A6C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黑体" w:hAnsi="黑体" w:eastAsia="黑体" w:cs="黑体"/>
          <w:color w:val="auto"/>
          <w:sz w:val="32"/>
          <w:szCs w:val="32"/>
        </w:rPr>
      </w:pPr>
      <w:r>
        <w:rPr>
          <w:rFonts w:hint="default" w:ascii="Times New Roman" w:hAnsi="Times New Roman" w:eastAsia="黑体" w:cs="Times New Roman"/>
          <w:color w:val="auto"/>
          <w:sz w:val="32"/>
          <w:szCs w:val="32"/>
        </w:rPr>
        <w:t>二、</w:t>
      </w:r>
      <w:r>
        <w:rPr>
          <w:rFonts w:hint="default" w:ascii="黑体" w:hAnsi="黑体" w:eastAsia="黑体" w:cs="黑体"/>
          <w:color w:val="auto"/>
          <w:sz w:val="32"/>
          <w:szCs w:val="32"/>
        </w:rPr>
        <w:t>对建议内容的归纳分析</w:t>
      </w:r>
    </w:p>
    <w:p w14:paraId="65295A6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Times New Roman" w:hAnsi="Times New Roman" w:eastAsia="仿宋_GB2312" w:cs="Times New Roman"/>
          <w:snapToGrid w:val="0"/>
          <w:color w:val="auto"/>
          <w:spacing w:val="-6"/>
          <w:kern w:val="32"/>
          <w:sz w:val="32"/>
          <w:szCs w:val="32"/>
          <w:lang w:val="en-US" w:eastAsia="zh-CN" w:bidi="ar-SA"/>
        </w:rPr>
        <w:t>您的建议核心聚焦三大治理方案：一是建立“施工方案门前公示”的轻量化监督触发机制，将监督权交予邻里群众，实现低成本、全覆盖的社会监督；二是执行“结果刚性倒查”与“双线顶格问责”机制，以物业信用等级评定为核心抓手，切断“收费放行”利益链；三是构建透明化、可追溯的线上保障平台，确保全过程留痕、全流程可查。上述建议系统回应了违建治理中“物业失职难追责”“违法成本低”等痛点，</w:t>
      </w:r>
      <w:r>
        <w:rPr>
          <w:rFonts w:hint="eastAsia" w:ascii="Times New Roman" w:cs="Times New Roman"/>
          <w:snapToGrid w:val="0"/>
          <w:color w:val="auto"/>
          <w:spacing w:val="-6"/>
          <w:kern w:val="32"/>
          <w:sz w:val="32"/>
          <w:szCs w:val="32"/>
          <w:lang w:val="en-US" w:eastAsia="zh" w:bidi="ar-SA"/>
          <w:woUserID w:val="1"/>
        </w:rPr>
        <w:t>各办理单位已</w:t>
      </w:r>
      <w:r>
        <w:rPr>
          <w:rFonts w:hint="default" w:ascii="Times New Roman" w:hAnsi="Times New Roman" w:eastAsia="仿宋_GB2312" w:cs="Times New Roman"/>
          <w:snapToGrid w:val="0"/>
          <w:color w:val="auto"/>
          <w:spacing w:val="-6"/>
          <w:kern w:val="32"/>
          <w:sz w:val="32"/>
          <w:szCs w:val="32"/>
          <w:lang w:val="en-US" w:eastAsia="zh-CN" w:bidi="ar-SA"/>
        </w:rPr>
        <w:t>结合</w:t>
      </w:r>
      <w:r>
        <w:rPr>
          <w:rFonts w:hint="eastAsia" w:ascii="Times New Roman" w:cs="Times New Roman"/>
          <w:snapToGrid w:val="0"/>
          <w:color w:val="auto"/>
          <w:spacing w:val="-6"/>
          <w:kern w:val="32"/>
          <w:sz w:val="32"/>
          <w:szCs w:val="32"/>
          <w:lang w:val="en-US" w:eastAsia="zh" w:bidi="ar-SA"/>
          <w:woUserID w:val="1"/>
        </w:rPr>
        <w:t>各自</w:t>
      </w:r>
      <w:r>
        <w:rPr>
          <w:rFonts w:hint="default" w:ascii="Times New Roman" w:hAnsi="Times New Roman" w:eastAsia="仿宋_GB2312" w:cs="Times New Roman"/>
          <w:snapToGrid w:val="0"/>
          <w:color w:val="auto"/>
          <w:spacing w:val="-6"/>
          <w:kern w:val="32"/>
          <w:sz w:val="32"/>
          <w:szCs w:val="32"/>
          <w:lang w:val="en-US" w:eastAsia="zh-CN" w:bidi="ar-SA"/>
        </w:rPr>
        <w:t>职责分工逐项研究落实。</w:t>
      </w:r>
    </w:p>
    <w:p w14:paraId="6E71750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黑体" w:hAnsi="黑体" w:eastAsia="黑体" w:cs="黑体"/>
          <w:color w:val="auto"/>
          <w:sz w:val="32"/>
          <w:szCs w:val="32"/>
        </w:rPr>
      </w:pPr>
      <w:r>
        <w:rPr>
          <w:rFonts w:hint="default" w:ascii="Times New Roman" w:hAnsi="Times New Roman" w:eastAsia="黑体" w:cs="Times New Roman"/>
          <w:color w:val="auto"/>
          <w:sz w:val="32"/>
          <w:szCs w:val="32"/>
        </w:rPr>
        <w:t>三、</w:t>
      </w:r>
      <w:r>
        <w:rPr>
          <w:rFonts w:hint="default" w:ascii="Times New Roman" w:hAnsi="Times New Roman" w:eastAsia="黑体" w:cs="Times New Roman"/>
          <w:color w:val="auto"/>
          <w:sz w:val="32"/>
          <w:szCs w:val="32"/>
          <w:lang w:val="en-US" w:eastAsia="zh-CN"/>
        </w:rPr>
        <w:t>对各</w:t>
      </w:r>
      <w:r>
        <w:rPr>
          <w:rFonts w:hint="default" w:ascii="黑体" w:hAnsi="黑体" w:eastAsia="黑体" w:cs="黑体"/>
          <w:color w:val="auto"/>
          <w:sz w:val="32"/>
          <w:szCs w:val="32"/>
          <w:lang w:val="en-US" w:eastAsia="zh-CN"/>
        </w:rPr>
        <w:t>项具体意见建议的采纳情况及落实措施</w:t>
      </w:r>
    </w:p>
    <w:p w14:paraId="05C8D64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楷体_GB2312" w:hAnsi="楷体_GB2312" w:eastAsia="楷体_GB2312" w:cs="楷体_GB2312"/>
          <w:snapToGrid w:val="0"/>
          <w:color w:val="auto"/>
          <w:spacing w:val="-6"/>
          <w:kern w:val="32"/>
          <w:sz w:val="32"/>
          <w:szCs w:val="32"/>
          <w:lang w:val="en-US" w:eastAsia="zh-CN" w:bidi="ar-SA"/>
        </w:rPr>
        <w:t>（一）关于推行“施工方案门前公示”与社会监督机制。</w:t>
      </w:r>
      <w:r>
        <w:rPr>
          <w:rFonts w:hint="default" w:ascii="Times New Roman" w:hAnsi="Times New Roman" w:eastAsia="仿宋_GB2312" w:cs="Times New Roman"/>
          <w:snapToGrid w:val="0"/>
          <w:color w:val="auto"/>
          <w:spacing w:val="-6"/>
          <w:kern w:val="32"/>
          <w:sz w:val="32"/>
          <w:szCs w:val="32"/>
          <w:lang w:val="en-US" w:eastAsia="zh-CN" w:bidi="ar-SA"/>
        </w:rPr>
        <w:t>该机制是实现低成本、全覆盖社会监督的有效举措，市城管和执法局在会办意见中亦表示赞同。我局将采纳并牵头落实：</w:t>
      </w:r>
    </w:p>
    <w:p w14:paraId="676549E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一是</w:t>
      </w:r>
      <w:r>
        <w:rPr>
          <w:rFonts w:hint="default" w:ascii="Times New Roman" w:hAnsi="Times New Roman" w:eastAsia="仿宋_GB2312" w:cs="Times New Roman"/>
          <w:snapToGrid w:val="0"/>
          <w:color w:val="auto"/>
          <w:spacing w:val="-6"/>
          <w:kern w:val="32"/>
          <w:sz w:val="32"/>
          <w:szCs w:val="32"/>
          <w:lang w:val="en-US" w:eastAsia="zh-CN" w:bidi="ar-SA"/>
        </w:rPr>
        <w:t>明确物业服务企业在办理装修登记时，须将经初审的施工方案（重点审查是否触碰“涉及结构安全、侵占公共空间、破坏风貌”三条红线）在业主入户门外或指定公共区域进行全程施工期公示。</w:t>
      </w:r>
    </w:p>
    <w:p w14:paraId="0CE5026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二是</w:t>
      </w:r>
      <w:r>
        <w:rPr>
          <w:rFonts w:hint="default" w:ascii="Times New Roman" w:hAnsi="Times New Roman" w:eastAsia="仿宋_GB2312" w:cs="Times New Roman"/>
          <w:snapToGrid w:val="0"/>
          <w:color w:val="auto"/>
          <w:spacing w:val="-6"/>
          <w:kern w:val="32"/>
          <w:sz w:val="32"/>
          <w:szCs w:val="32"/>
          <w:lang w:val="en-US" w:eastAsia="zh-CN" w:bidi="ar-SA"/>
        </w:rPr>
        <w:t>公示展板须醒目标注属地城管执法部门、住建部门的专用举报电话及线上投诉二维码。市城管和执法局已表示将建立快速响应机制，对物业报告或群众举报的违建线索依法及时到场处置。</w:t>
      </w:r>
    </w:p>
    <w:p w14:paraId="7894CC9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三是对</w:t>
      </w:r>
      <w:r>
        <w:rPr>
          <w:rFonts w:hint="default" w:ascii="Times New Roman" w:hAnsi="Times New Roman" w:eastAsia="仿宋_GB2312" w:cs="Times New Roman"/>
          <w:snapToGrid w:val="0"/>
          <w:color w:val="auto"/>
          <w:spacing w:val="-6"/>
          <w:kern w:val="32"/>
          <w:sz w:val="32"/>
          <w:szCs w:val="32"/>
          <w:lang w:val="en-US" w:eastAsia="zh-CN" w:bidi="ar-SA"/>
        </w:rPr>
        <w:t>“门前公示”执行情况纳入日常检查内容，对未按要求执行的，依据《中山市物业服务行业诚信管理办法》记入不良行为。</w:t>
      </w:r>
    </w:p>
    <w:p w14:paraId="76C6CC3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楷体_GB2312" w:hAnsi="楷体_GB2312" w:eastAsia="楷体_GB2312" w:cs="楷体_GB2312"/>
          <w:snapToGrid w:val="0"/>
          <w:color w:val="auto"/>
          <w:spacing w:val="-6"/>
          <w:kern w:val="32"/>
          <w:sz w:val="32"/>
          <w:szCs w:val="32"/>
          <w:lang w:val="en-US" w:eastAsia="zh-CN" w:bidi="ar-SA"/>
        </w:rPr>
      </w:pPr>
      <w:r>
        <w:rPr>
          <w:rFonts w:hint="default" w:ascii="楷体_GB2312" w:hAnsi="楷体_GB2312" w:eastAsia="楷体_GB2312" w:cs="楷体_GB2312"/>
          <w:snapToGrid w:val="0"/>
          <w:color w:val="auto"/>
          <w:spacing w:val="-6"/>
          <w:kern w:val="32"/>
          <w:sz w:val="32"/>
          <w:szCs w:val="32"/>
          <w:lang w:val="en-US" w:eastAsia="zh-CN" w:bidi="ar-SA"/>
        </w:rPr>
        <w:t>（二）关于执行“结果刚性倒查”与“双线顶格问责”机制</w:t>
      </w:r>
    </w:p>
    <w:p w14:paraId="0D64157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Times New Roman" w:hAnsi="Times New Roman" w:eastAsia="仿宋_GB2312" w:cs="Times New Roman"/>
          <w:snapToGrid w:val="0"/>
          <w:color w:val="auto"/>
          <w:spacing w:val="-6"/>
          <w:kern w:val="32"/>
          <w:sz w:val="32"/>
          <w:szCs w:val="32"/>
          <w:lang w:val="en-US" w:eastAsia="zh-CN" w:bidi="ar-SA"/>
        </w:rPr>
        <w:t>这是切断物业“收费放行”利益链的核心举措。市城管和执法局、市自然资源局、</w:t>
      </w:r>
      <w:bookmarkStart w:id="1" w:name="_GoBack"/>
      <w:bookmarkEnd w:id="1"/>
      <w:r>
        <w:rPr>
          <w:rFonts w:hint="eastAsia" w:ascii="Times New Roman" w:cs="Times New Roman"/>
          <w:snapToGrid w:val="0"/>
          <w:color w:val="auto"/>
          <w:spacing w:val="-6"/>
          <w:kern w:val="32"/>
          <w:sz w:val="32"/>
          <w:szCs w:val="32"/>
          <w:lang w:val="en-US" w:eastAsia="zh-CN" w:bidi="ar-SA"/>
        </w:rPr>
        <w:t>市中级人民法院</w:t>
      </w:r>
      <w:r>
        <w:rPr>
          <w:rFonts w:hint="default" w:ascii="Times New Roman" w:hAnsi="Times New Roman" w:eastAsia="仿宋_GB2312" w:cs="Times New Roman"/>
          <w:snapToGrid w:val="0"/>
          <w:color w:val="auto"/>
          <w:spacing w:val="-6"/>
          <w:kern w:val="32"/>
          <w:sz w:val="32"/>
          <w:szCs w:val="32"/>
          <w:lang w:val="en-US" w:eastAsia="zh-CN" w:bidi="ar-SA"/>
        </w:rPr>
        <w:t>均对该机制表示认同或提出协作意见。我局将牵头建立以下闭环制度：</w:t>
      </w:r>
    </w:p>
    <w:p w14:paraId="4F212AE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一是</w:t>
      </w:r>
      <w:r>
        <w:rPr>
          <w:rFonts w:hint="default" w:ascii="Times New Roman" w:hAnsi="Times New Roman" w:eastAsia="仿宋_GB2312" w:cs="Times New Roman"/>
          <w:snapToGrid w:val="0"/>
          <w:color w:val="auto"/>
          <w:spacing w:val="-6"/>
          <w:kern w:val="32"/>
          <w:sz w:val="32"/>
          <w:szCs w:val="32"/>
          <w:lang w:val="en-US" w:eastAsia="zh-CN" w:bidi="ar-SA"/>
        </w:rPr>
        <w:t>对于小区内出现的三类违建，我局在接到城管执法部门立案通报后，将同步启动对涉事物业服务企业的“履职情况倒查”程序。</w:t>
      </w:r>
    </w:p>
    <w:p w14:paraId="0450543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二是</w:t>
      </w:r>
      <w:r>
        <w:rPr>
          <w:rFonts w:hint="default" w:ascii="Times New Roman" w:hAnsi="Times New Roman" w:eastAsia="仿宋_GB2312" w:cs="Times New Roman"/>
          <w:snapToGrid w:val="0"/>
          <w:color w:val="auto"/>
          <w:spacing w:val="-6"/>
          <w:kern w:val="32"/>
          <w:sz w:val="32"/>
          <w:szCs w:val="32"/>
          <w:lang w:val="en-US" w:eastAsia="zh-CN" w:bidi="ar-SA"/>
        </w:rPr>
        <w:t>向涉事物业企业发出书面通知，要求其在</w:t>
      </w:r>
      <w:r>
        <w:rPr>
          <w:rFonts w:hint="eastAsia" w:ascii="Times New Roman" w:hAnsi="Times New Roman" w:eastAsia="仿宋_GB2312" w:cs="Times New Roman"/>
          <w:snapToGrid w:val="0"/>
          <w:color w:val="auto"/>
          <w:spacing w:val="-6"/>
          <w:kern w:val="32"/>
          <w:sz w:val="32"/>
          <w:szCs w:val="32"/>
          <w:lang w:val="en-US" w:eastAsia="zh-CN" w:bidi="ar-SA"/>
        </w:rPr>
        <w:t>规定</w:t>
      </w:r>
      <w:r>
        <w:rPr>
          <w:rFonts w:hint="default" w:ascii="Times New Roman" w:hAnsi="Times New Roman" w:eastAsia="仿宋_GB2312" w:cs="Times New Roman"/>
          <w:snapToGrid w:val="0"/>
          <w:color w:val="auto"/>
          <w:spacing w:val="-6"/>
          <w:kern w:val="32"/>
          <w:sz w:val="32"/>
          <w:szCs w:val="32"/>
          <w:lang w:val="en-US" w:eastAsia="zh-CN" w:bidi="ar-SA"/>
        </w:rPr>
        <w:t>时</w:t>
      </w:r>
      <w:r>
        <w:rPr>
          <w:rFonts w:hint="eastAsia" w:ascii="Times New Roman" w:hAnsi="Times New Roman" w:eastAsia="仿宋_GB2312" w:cs="Times New Roman"/>
          <w:snapToGrid w:val="0"/>
          <w:color w:val="auto"/>
          <w:spacing w:val="-6"/>
          <w:kern w:val="32"/>
          <w:sz w:val="32"/>
          <w:szCs w:val="32"/>
          <w:lang w:val="en-US" w:eastAsia="zh-CN" w:bidi="ar-SA"/>
        </w:rPr>
        <w:t>间</w:t>
      </w:r>
      <w:r>
        <w:rPr>
          <w:rFonts w:hint="default" w:ascii="Times New Roman" w:hAnsi="Times New Roman" w:eastAsia="仿宋_GB2312" w:cs="Times New Roman"/>
          <w:snapToGrid w:val="0"/>
          <w:color w:val="auto"/>
          <w:spacing w:val="-6"/>
          <w:kern w:val="32"/>
          <w:sz w:val="32"/>
          <w:szCs w:val="32"/>
          <w:lang w:val="en-US" w:eastAsia="zh-CN" w:bidi="ar-SA"/>
        </w:rPr>
        <w:t>内提交完整证据链，包括：入场管控记录（违规建材与施工人员阻拦证据）、每日不少于1次的巡查记录及现场劝阻书面材料、依法通过指定平台向城管执法部门报告的时间与内容凭证。</w:t>
      </w:r>
    </w:p>
    <w:p w14:paraId="222720C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三是</w:t>
      </w:r>
      <w:r>
        <w:rPr>
          <w:rFonts w:hint="default" w:ascii="Times New Roman" w:hAnsi="Times New Roman" w:eastAsia="仿宋_GB2312" w:cs="Times New Roman"/>
          <w:snapToGrid w:val="0"/>
          <w:color w:val="auto"/>
          <w:spacing w:val="-6"/>
          <w:kern w:val="32"/>
          <w:sz w:val="32"/>
          <w:szCs w:val="32"/>
          <w:lang w:val="en-US" w:eastAsia="zh-CN" w:bidi="ar-SA"/>
        </w:rPr>
        <w:t>对物业企业无法提供有效证据自证尽责的，我局将直接依据《中山市物业服务行业诚信管理办法》</w:t>
      </w:r>
      <w:r>
        <w:rPr>
          <w:rFonts w:hint="eastAsia" w:ascii="Times New Roman" w:cs="Times New Roman"/>
          <w:snapToGrid w:val="0"/>
          <w:color w:val="auto"/>
          <w:spacing w:val="-6"/>
          <w:kern w:val="32"/>
          <w:sz w:val="32"/>
          <w:szCs w:val="32"/>
          <w:lang w:val="en-US" w:eastAsia="zh" w:bidi="ar-SA"/>
          <w:woUserID w:val="1"/>
        </w:rPr>
        <w:t>依规扣罚</w:t>
      </w:r>
      <w:r>
        <w:rPr>
          <w:rFonts w:hint="default" w:ascii="Times New Roman" w:hAnsi="Times New Roman" w:eastAsia="仿宋_GB2312" w:cs="Times New Roman"/>
          <w:snapToGrid w:val="0"/>
          <w:color w:val="auto"/>
          <w:spacing w:val="-6"/>
          <w:kern w:val="32"/>
          <w:sz w:val="32"/>
          <w:szCs w:val="32"/>
          <w:lang w:val="en-US" w:eastAsia="zh-CN" w:bidi="ar-SA"/>
        </w:rPr>
        <w:t>，并</w:t>
      </w:r>
      <w:r>
        <w:rPr>
          <w:rFonts w:hint="eastAsia" w:ascii="Times New Roman" w:cs="Times New Roman"/>
          <w:snapToGrid w:val="0"/>
          <w:color w:val="auto"/>
          <w:spacing w:val="-6"/>
          <w:kern w:val="32"/>
          <w:sz w:val="32"/>
          <w:szCs w:val="32"/>
          <w:lang w:val="en-US" w:eastAsia="zh" w:bidi="ar-SA"/>
          <w:woUserID w:val="1"/>
        </w:rPr>
        <w:t>根据评分登记</w:t>
      </w:r>
      <w:r>
        <w:rPr>
          <w:rFonts w:hint="default" w:ascii="Times New Roman" w:hAnsi="Times New Roman" w:eastAsia="仿宋_GB2312" w:cs="Times New Roman"/>
          <w:snapToGrid w:val="0"/>
          <w:color w:val="auto"/>
          <w:spacing w:val="-6"/>
          <w:kern w:val="32"/>
          <w:sz w:val="32"/>
          <w:szCs w:val="32"/>
          <w:lang w:val="en-US" w:eastAsia="zh-CN" w:bidi="ar-SA"/>
        </w:rPr>
        <w:t>触发</w:t>
      </w:r>
      <w:r>
        <w:rPr>
          <w:rFonts w:hint="eastAsia" w:ascii="Times New Roman" w:cs="Times New Roman"/>
          <w:snapToGrid w:val="0"/>
          <w:color w:val="auto"/>
          <w:spacing w:val="-6"/>
          <w:kern w:val="32"/>
          <w:sz w:val="32"/>
          <w:szCs w:val="32"/>
          <w:lang w:val="en-US" w:eastAsia="zh" w:bidi="ar-SA"/>
          <w:woUserID w:val="1"/>
        </w:rPr>
        <w:t>相应惩戒手段</w:t>
      </w:r>
      <w:r>
        <w:rPr>
          <w:rFonts w:hint="default" w:ascii="Times New Roman" w:hAnsi="Times New Roman" w:eastAsia="仿宋_GB2312" w:cs="Times New Roman"/>
          <w:snapToGrid w:val="0"/>
          <w:color w:val="auto"/>
          <w:spacing w:val="-6"/>
          <w:kern w:val="32"/>
          <w:sz w:val="32"/>
          <w:szCs w:val="32"/>
          <w:lang w:val="en-US" w:eastAsia="zh-CN" w:bidi="ar-SA"/>
        </w:rPr>
        <w:t>，并将信用信息抄报市信用管理部门实施联合惩戒。</w:t>
      </w:r>
      <w:r>
        <w:rPr>
          <w:rFonts w:hint="eastAsia" w:ascii="Times New Roman" w:hAnsi="Times New Roman" w:eastAsia="仿宋_GB2312" w:cs="Times New Roman"/>
          <w:snapToGrid w:val="0"/>
          <w:color w:val="auto"/>
          <w:spacing w:val="-6"/>
          <w:kern w:val="32"/>
          <w:sz w:val="32"/>
          <w:szCs w:val="32"/>
          <w:lang w:val="en-US" w:eastAsia="zh-CN" w:bidi="ar-SA"/>
        </w:rPr>
        <w:t>）</w:t>
      </w:r>
    </w:p>
    <w:p w14:paraId="775437E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四是</w:t>
      </w:r>
      <w:r>
        <w:rPr>
          <w:rFonts w:hint="default" w:ascii="Times New Roman" w:hAnsi="Times New Roman" w:eastAsia="仿宋_GB2312" w:cs="Times New Roman"/>
          <w:snapToGrid w:val="0"/>
          <w:color w:val="auto"/>
          <w:spacing w:val="-6"/>
          <w:kern w:val="32"/>
          <w:sz w:val="32"/>
          <w:szCs w:val="32"/>
          <w:lang w:val="en-US" w:eastAsia="zh-CN" w:bidi="ar-SA"/>
        </w:rPr>
        <w:t>对违建方</w:t>
      </w:r>
      <w:r>
        <w:rPr>
          <w:rFonts w:hint="eastAsia" w:ascii="Times New Roman" w:hAnsi="Times New Roman" w:cs="Times New Roman"/>
          <w:snapToGrid w:val="0"/>
          <w:color w:val="auto"/>
          <w:spacing w:val="-6"/>
          <w:kern w:val="32"/>
          <w:sz w:val="32"/>
          <w:szCs w:val="32"/>
          <w:lang w:val="en-US" w:eastAsia="zh-CN" w:bidi="ar-SA"/>
        </w:rPr>
        <w:t>。</w:t>
      </w:r>
      <w:r>
        <w:rPr>
          <w:rFonts w:hint="default" w:ascii="Times New Roman" w:hAnsi="Times New Roman" w:eastAsia="仿宋_GB2312" w:cs="Times New Roman"/>
          <w:snapToGrid w:val="0"/>
          <w:color w:val="auto"/>
          <w:spacing w:val="-6"/>
          <w:kern w:val="32"/>
          <w:sz w:val="32"/>
          <w:szCs w:val="32"/>
          <w:lang w:val="en-US" w:eastAsia="zh-CN" w:bidi="ar-SA"/>
        </w:rPr>
        <w:t>依据《中华人民共和国城乡规划法》等法规，由城管执法部门依法责令限时恢复原貌。拒不执行的，市自然资源局在会办意见中已明确，对于已认定为违法建筑、各镇街已作出行政处罚决定书并函告该局的，将根据《不动产登记暂行条例》第二十二条第（一）项的规定及市政府整治“两违”共同责任制工作要求，协助暂停办理抵押、交易等不动产登记业务。</w:t>
      </w:r>
    </w:p>
    <w:p w14:paraId="2BB3816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Times New Roman" w:cs="Times New Roman"/>
          <w:snapToGrid w:val="0"/>
          <w:color w:val="auto"/>
          <w:spacing w:val="-6"/>
          <w:kern w:val="32"/>
          <w:sz w:val="32"/>
          <w:szCs w:val="32"/>
          <w:lang w:val="en-US" w:eastAsia="zh" w:bidi="ar-SA"/>
          <w:woUserID w:val="1"/>
        </w:rPr>
        <w:t>五是</w:t>
      </w:r>
      <w:r>
        <w:rPr>
          <w:rFonts w:hint="eastAsia" w:ascii="Times New Roman" w:cs="Times New Roman"/>
          <w:snapToGrid w:val="0"/>
          <w:color w:val="auto"/>
          <w:spacing w:val="-6"/>
          <w:kern w:val="32"/>
          <w:sz w:val="32"/>
          <w:szCs w:val="32"/>
          <w:lang w:val="en-US" w:eastAsia="zh-CN" w:bidi="ar-SA"/>
        </w:rPr>
        <w:t>市中级人民法院</w:t>
      </w:r>
      <w:r>
        <w:rPr>
          <w:rFonts w:hint="default" w:ascii="Times New Roman" w:hAnsi="Times New Roman" w:eastAsia="仿宋_GB2312" w:cs="Times New Roman"/>
          <w:snapToGrid w:val="0"/>
          <w:color w:val="auto"/>
          <w:spacing w:val="-6"/>
          <w:kern w:val="32"/>
          <w:sz w:val="32"/>
          <w:szCs w:val="32"/>
          <w:lang w:val="en-US" w:eastAsia="zh-CN" w:bidi="ar-SA"/>
        </w:rPr>
        <w:t>已明确表示对小区业主委员会就违建所致损失提起的民事诉讼常态化受理，将依法公正裁判，保障广大业主合法权益。我局将配合指导业主委员会依法维权。</w:t>
      </w:r>
    </w:p>
    <w:p w14:paraId="60B1D7D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楷体_GB2312" w:hAnsi="楷体_GB2312" w:eastAsia="楷体_GB2312" w:cs="楷体_GB2312"/>
          <w:snapToGrid w:val="0"/>
          <w:color w:val="auto"/>
          <w:spacing w:val="-6"/>
          <w:kern w:val="32"/>
          <w:sz w:val="32"/>
          <w:szCs w:val="32"/>
          <w:lang w:val="en-US" w:eastAsia="zh-CN" w:bidi="ar-SA"/>
        </w:rPr>
      </w:pPr>
      <w:r>
        <w:rPr>
          <w:rFonts w:hint="default" w:ascii="楷体_GB2312" w:hAnsi="楷体_GB2312" w:eastAsia="楷体_GB2312" w:cs="楷体_GB2312"/>
          <w:snapToGrid w:val="0"/>
          <w:color w:val="auto"/>
          <w:spacing w:val="-6"/>
          <w:kern w:val="32"/>
          <w:sz w:val="32"/>
          <w:szCs w:val="32"/>
          <w:lang w:val="en-US" w:eastAsia="zh-CN" w:bidi="ar-SA"/>
        </w:rPr>
        <w:t>（三）关于构建透明化、可追溯的线上保障平台</w:t>
      </w:r>
    </w:p>
    <w:p w14:paraId="3272A42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Times New Roman" w:hAnsi="Times New Roman" w:eastAsia="仿宋_GB2312" w:cs="Times New Roman"/>
          <w:snapToGrid w:val="0"/>
          <w:color w:val="auto"/>
          <w:spacing w:val="-6"/>
          <w:kern w:val="32"/>
          <w:sz w:val="32"/>
          <w:szCs w:val="32"/>
          <w:lang w:val="en-US" w:eastAsia="zh-CN" w:bidi="ar-SA"/>
        </w:rPr>
        <w:t>我局已将该建议纳入工作规划</w:t>
      </w:r>
      <w:r>
        <w:rPr>
          <w:rFonts w:hint="eastAsia" w:ascii="Times New Roman" w:cs="Times New Roman"/>
          <w:snapToGrid w:val="0"/>
          <w:color w:val="auto"/>
          <w:spacing w:val="-6"/>
          <w:kern w:val="32"/>
          <w:sz w:val="32"/>
          <w:szCs w:val="32"/>
          <w:lang w:val="en-US" w:eastAsia="zh" w:bidi="ar-SA"/>
          <w:woUserID w:val="1"/>
        </w:rPr>
        <w:t>，</w:t>
      </w:r>
      <w:r>
        <w:rPr>
          <w:rFonts w:hint="default" w:ascii="Times New Roman" w:hAnsi="Times New Roman" w:eastAsia="仿宋_GB2312" w:cs="Times New Roman"/>
          <w:snapToGrid w:val="0"/>
          <w:color w:val="auto"/>
          <w:spacing w:val="-6"/>
          <w:kern w:val="32"/>
          <w:sz w:val="32"/>
          <w:szCs w:val="32"/>
          <w:lang w:val="en-US" w:eastAsia="zh-CN" w:bidi="ar-SA"/>
          <w:woUserID w:val="1"/>
        </w:rPr>
        <w:t>下一步将</w:t>
      </w:r>
      <w:r>
        <w:rPr>
          <w:rFonts w:hint="eastAsia" w:ascii="Times New Roman" w:hAnsi="Times New Roman" w:eastAsia="仿宋_GB2312" w:cs="Times New Roman"/>
          <w:snapToGrid w:val="0"/>
          <w:color w:val="auto"/>
          <w:spacing w:val="-6"/>
          <w:kern w:val="32"/>
          <w:sz w:val="32"/>
          <w:szCs w:val="32"/>
          <w:lang w:val="en-US" w:eastAsia="zh-CN" w:bidi="ar-SA"/>
          <w:woUserID w:val="1"/>
        </w:rPr>
        <w:t>完善</w:t>
      </w:r>
      <w:r>
        <w:rPr>
          <w:rFonts w:hint="default" w:ascii="Times New Roman" w:hAnsi="Times New Roman" w:eastAsia="仿宋_GB2312" w:cs="Times New Roman"/>
          <w:snapToGrid w:val="0"/>
          <w:color w:val="auto"/>
          <w:spacing w:val="-6"/>
          <w:kern w:val="32"/>
          <w:sz w:val="32"/>
          <w:szCs w:val="32"/>
          <w:lang w:val="en-US" w:eastAsia="zh-CN" w:bidi="ar-SA"/>
        </w:rPr>
        <w:t>中山市物业管理信息化平台，实现装修方案报备、物业巡查报告、违建投诉受理、案件办理进度查询、处理结果公开等功能，确保监管全过程可追溯、可核查，接受社会监督。同时，整合市城管和执法局统一投诉渠道信息，便利群众“一键举报”。</w:t>
      </w:r>
    </w:p>
    <w:p w14:paraId="1E5264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eastAsia" w:ascii="黑体" w:hAnsi="黑体" w:eastAsia="黑体" w:cs="黑体"/>
          <w:snapToGrid w:val="0"/>
          <w:color w:val="auto"/>
          <w:spacing w:val="-6"/>
          <w:kern w:val="32"/>
          <w:sz w:val="32"/>
          <w:szCs w:val="32"/>
          <w:lang w:val="en-US" w:eastAsia="zh-CN" w:bidi="ar-SA"/>
        </w:rPr>
      </w:pPr>
      <w:r>
        <w:rPr>
          <w:rFonts w:hint="eastAsia" w:ascii="黑体" w:hAnsi="黑体" w:eastAsia="黑体" w:cs="黑体"/>
          <w:snapToGrid w:val="0"/>
          <w:color w:val="auto"/>
          <w:spacing w:val="-6"/>
          <w:kern w:val="32"/>
          <w:sz w:val="32"/>
          <w:szCs w:val="32"/>
          <w:lang w:val="en-US" w:eastAsia="zh-CN" w:bidi="ar-SA"/>
        </w:rPr>
        <w:t>四、下一步工作计划</w:t>
      </w:r>
    </w:p>
    <w:p w14:paraId="2A179B6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Times New Roman" w:hAnsi="Times New Roman" w:eastAsia="仿宋_GB2312" w:cs="Times New Roman"/>
          <w:snapToGrid w:val="0"/>
          <w:color w:val="auto"/>
          <w:spacing w:val="-6"/>
          <w:kern w:val="32"/>
          <w:sz w:val="32"/>
          <w:szCs w:val="32"/>
          <w:lang w:val="en-US" w:eastAsia="zh-CN" w:bidi="ar-SA"/>
        </w:rPr>
        <w:t>我局将持续协调推进全市住宅小区违法建设治理工作：</w:t>
      </w:r>
    </w:p>
    <w:p w14:paraId="130FC03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楷体_GB2312" w:hAnsi="楷体_GB2312" w:eastAsia="楷体_GB2312" w:cs="楷体_GB2312"/>
          <w:snapToGrid w:val="0"/>
          <w:color w:val="auto"/>
          <w:spacing w:val="-6"/>
          <w:kern w:val="32"/>
          <w:sz w:val="32"/>
          <w:szCs w:val="32"/>
          <w:lang w:val="en-US" w:eastAsia="zh-CN" w:bidi="ar-SA"/>
        </w:rPr>
        <w:t>（一）强化督导与约谈。</w:t>
      </w:r>
      <w:r>
        <w:rPr>
          <w:rFonts w:hint="default" w:ascii="Times New Roman" w:hAnsi="Times New Roman" w:eastAsia="仿宋_GB2312" w:cs="Times New Roman"/>
          <w:snapToGrid w:val="0"/>
          <w:color w:val="auto"/>
          <w:spacing w:val="-6"/>
          <w:kern w:val="32"/>
          <w:sz w:val="32"/>
          <w:szCs w:val="32"/>
          <w:lang w:val="en-US" w:eastAsia="zh-CN" w:bidi="ar-SA"/>
        </w:rPr>
        <w:t>对各镇街物业主管部门及物业服务企业落实本建议情况进行定期督导，对问题突出的区域和企业负责人进行约谈。</w:t>
      </w:r>
    </w:p>
    <w:p w14:paraId="7C889C5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eastAsia" w:ascii="楷体_GB2312" w:hAnsi="楷体_GB2312" w:eastAsia="楷体_GB2312" w:cs="楷体_GB2312"/>
          <w:snapToGrid w:val="0"/>
          <w:color w:val="auto"/>
          <w:spacing w:val="-6"/>
          <w:kern w:val="32"/>
          <w:sz w:val="32"/>
          <w:szCs w:val="32"/>
          <w:lang w:val="en-US" w:eastAsia="zh-CN" w:bidi="ar-SA"/>
        </w:rPr>
        <w:t>（二）</w:t>
      </w:r>
      <w:r>
        <w:rPr>
          <w:rFonts w:hint="default" w:ascii="楷体_GB2312" w:hAnsi="楷体_GB2312" w:eastAsia="楷体_GB2312" w:cs="楷体_GB2312"/>
          <w:snapToGrid w:val="0"/>
          <w:color w:val="auto"/>
          <w:spacing w:val="-6"/>
          <w:kern w:val="32"/>
          <w:sz w:val="32"/>
          <w:szCs w:val="32"/>
          <w:lang w:val="en-US" w:eastAsia="zh-CN" w:bidi="ar-SA"/>
        </w:rPr>
        <w:t>加强宣传培训</w:t>
      </w:r>
      <w:r>
        <w:rPr>
          <w:rFonts w:hint="eastAsia" w:ascii="楷体_GB2312" w:hAnsi="楷体_GB2312" w:eastAsia="楷体_GB2312" w:cs="楷体_GB2312"/>
          <w:snapToGrid w:val="0"/>
          <w:color w:val="auto"/>
          <w:spacing w:val="-6"/>
          <w:kern w:val="32"/>
          <w:sz w:val="32"/>
          <w:szCs w:val="32"/>
          <w:lang w:val="en-US" w:eastAsia="zh-CN" w:bidi="ar-SA"/>
        </w:rPr>
        <w:t>。</w:t>
      </w:r>
      <w:r>
        <w:rPr>
          <w:rFonts w:hint="default" w:ascii="Times New Roman" w:hAnsi="Times New Roman" w:eastAsia="仿宋_GB2312" w:cs="Times New Roman"/>
          <w:snapToGrid w:val="0"/>
          <w:color w:val="auto"/>
          <w:spacing w:val="-6"/>
          <w:kern w:val="32"/>
          <w:sz w:val="32"/>
          <w:szCs w:val="32"/>
          <w:lang w:val="en-US" w:eastAsia="zh-CN" w:bidi="ar-SA"/>
        </w:rPr>
        <w:t>联合市物业管理行业协会，对物业服务企业开展违建防控职责与诚信管理办法专题培训，提升其法律意识和履责能力。</w:t>
      </w:r>
    </w:p>
    <w:p w14:paraId="20253CD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74" w:lineRule="exact"/>
        <w:ind w:firstLine="622" w:firstLineChars="200"/>
        <w:textAlignment w:val="auto"/>
        <w:rPr>
          <w:rFonts w:hint="default" w:ascii="Times New Roman" w:hAnsi="Times New Roman" w:eastAsia="仿宋_GB2312" w:cs="Times New Roman"/>
          <w:snapToGrid w:val="0"/>
          <w:color w:val="auto"/>
          <w:spacing w:val="-6"/>
          <w:kern w:val="32"/>
          <w:sz w:val="32"/>
          <w:szCs w:val="32"/>
          <w:lang w:val="en-US" w:eastAsia="zh-CN" w:bidi="ar-SA"/>
        </w:rPr>
      </w:pPr>
      <w:r>
        <w:rPr>
          <w:rFonts w:hint="default" w:ascii="Times New Roman" w:hAnsi="Times New Roman" w:eastAsia="仿宋_GB2312" w:cs="Times New Roman"/>
          <w:snapToGrid w:val="0"/>
          <w:color w:val="auto"/>
          <w:spacing w:val="-6"/>
          <w:kern w:val="32"/>
          <w:sz w:val="32"/>
          <w:szCs w:val="32"/>
          <w:lang w:val="en-US" w:eastAsia="zh-CN" w:bidi="ar-SA"/>
        </w:rPr>
        <w:t>根治住宅小区违建痼疾，需要政府、物业、业主三方协同共治。我局将以本建议办理为契机，推动物业企业回归“忠诚看门人”角色，切实维护社区和谐与业主资产权益。</w:t>
      </w:r>
    </w:p>
    <w:p w14:paraId="5C7DD593">
      <w:pPr>
        <w:keepNext w:val="0"/>
        <w:keepLines w:val="0"/>
        <w:pageBreakBefore w:val="0"/>
        <w:widowControl w:val="0"/>
        <w:kinsoku/>
        <w:wordWrap/>
        <w:overflowPunct/>
        <w:topLinePunct w:val="0"/>
        <w:autoSpaceDE/>
        <w:autoSpaceDN/>
        <w:bidi w:val="0"/>
        <w:adjustRightInd w:val="0"/>
        <w:snapToGrid w:val="0"/>
        <w:spacing w:line="574" w:lineRule="exact"/>
        <w:ind w:firstLine="62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专此答复</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诚挚感谢您对</w:t>
      </w:r>
      <w:r>
        <w:rPr>
          <w:rFonts w:hint="default" w:ascii="Times New Roman" w:hAnsi="Times New Roman" w:eastAsia="仿宋_GB2312" w:cs="Times New Roman"/>
          <w:snapToGrid w:val="0"/>
          <w:color w:val="auto"/>
          <w:spacing w:val="-6"/>
          <w:kern w:val="32"/>
          <w:sz w:val="32"/>
          <w:szCs w:val="32"/>
          <w:lang w:val="en-US" w:eastAsia="zh-CN" w:bidi="ar-SA"/>
        </w:rPr>
        <w:t>我市物业管理工作</w:t>
      </w:r>
      <w:r>
        <w:rPr>
          <w:rFonts w:hint="default" w:ascii="Times New Roman" w:hAnsi="Times New Roman" w:eastAsia="仿宋_GB2312" w:cs="Times New Roman"/>
          <w:color w:val="auto"/>
          <w:sz w:val="32"/>
          <w:szCs w:val="32"/>
        </w:rPr>
        <w:t>的关心支持。</w:t>
      </w:r>
    </w:p>
    <w:p w14:paraId="74DC3855">
      <w:pPr>
        <w:keepNext w:val="0"/>
        <w:keepLines w:val="0"/>
        <w:pageBreakBefore w:val="0"/>
        <w:widowControl w:val="0"/>
        <w:kinsoku/>
        <w:wordWrap/>
        <w:overflowPunct/>
        <w:topLinePunct w:val="0"/>
        <w:autoSpaceDE/>
        <w:autoSpaceDN/>
        <w:bidi w:val="0"/>
        <w:adjustRightInd w:val="0"/>
        <w:snapToGrid w:val="0"/>
        <w:spacing w:line="574" w:lineRule="exact"/>
        <w:jc w:val="both"/>
        <w:textAlignment w:val="auto"/>
        <w:rPr>
          <w:rFonts w:hint="default" w:ascii="Times New Roman" w:hAnsi="Times New Roman" w:eastAsia="仿宋_GB2312" w:cs="Times New Roman"/>
          <w:color w:val="auto"/>
          <w:sz w:val="32"/>
          <w:szCs w:val="32"/>
        </w:rPr>
      </w:pPr>
    </w:p>
    <w:p w14:paraId="2E5195AA">
      <w:pPr>
        <w:keepNext w:val="0"/>
        <w:keepLines w:val="0"/>
        <w:pageBreakBefore w:val="0"/>
        <w:widowControl w:val="0"/>
        <w:kinsoku/>
        <w:wordWrap/>
        <w:overflowPunct/>
        <w:topLinePunct w:val="0"/>
        <w:autoSpaceDE/>
        <w:autoSpaceDN/>
        <w:bidi w:val="0"/>
        <w:adjustRightInd w:val="0"/>
        <w:snapToGrid w:val="0"/>
        <w:spacing w:line="574" w:lineRule="exact"/>
        <w:ind w:firstLine="0" w:firstLineChars="0"/>
        <w:jc w:val="right"/>
        <w:textAlignment w:val="auto"/>
        <w:rPr>
          <w:rFonts w:hint="eastAsia" w:ascii="Times New Roman" w:hAnsi="Times New Roman" w:cs="Times New Roman"/>
          <w:color w:val="auto"/>
          <w:sz w:val="32"/>
          <w:szCs w:val="32"/>
          <w:lang w:eastAsia="zh-CN"/>
        </w:rPr>
      </w:pPr>
    </w:p>
    <w:p w14:paraId="78F42984">
      <w:pPr>
        <w:keepNext w:val="0"/>
        <w:keepLines w:val="0"/>
        <w:pageBreakBefore w:val="0"/>
        <w:widowControl w:val="0"/>
        <w:kinsoku/>
        <w:wordWrap/>
        <w:overflowPunct/>
        <w:topLinePunct w:val="0"/>
        <w:autoSpaceDE/>
        <w:autoSpaceDN/>
        <w:bidi w:val="0"/>
        <w:adjustRightInd w:val="0"/>
        <w:snapToGrid w:val="0"/>
        <w:spacing w:line="574" w:lineRule="exact"/>
        <w:ind w:firstLine="0" w:firstLineChars="0"/>
        <w:jc w:val="left"/>
        <w:textAlignment w:val="auto"/>
        <w:rPr>
          <w:rFonts w:hint="eastAsia" w:ascii="Times New Roman" w:hAnsi="Times New Roman" w:eastAsia="仿宋_GB2312" w:cs="Times New Roman"/>
          <w:color w:val="auto"/>
          <w:sz w:val="32"/>
          <w:szCs w:val="32"/>
          <w:lang w:eastAsia="zh"/>
          <w:woUserID w:val="1"/>
        </w:rPr>
      </w:pPr>
      <w:r>
        <w:rPr>
          <w:rFonts w:hint="eastAsia" w:ascii="Times New Roman" w:cs="Times New Roman"/>
          <w:color w:val="auto"/>
          <w:sz w:val="32"/>
          <w:szCs w:val="32"/>
          <w:lang w:eastAsia="zh"/>
          <w:woUserID w:val="1"/>
        </w:rPr>
        <w:t>（此页无正文）</w:t>
      </w:r>
    </w:p>
    <w:p w14:paraId="40D50E4E">
      <w:pPr>
        <w:keepNext w:val="0"/>
        <w:keepLines w:val="0"/>
        <w:pageBreakBefore w:val="0"/>
        <w:widowControl w:val="0"/>
        <w:kinsoku/>
        <w:wordWrap/>
        <w:overflowPunct/>
        <w:topLinePunct w:val="0"/>
        <w:autoSpaceDE/>
        <w:autoSpaceDN/>
        <w:bidi w:val="0"/>
        <w:adjustRightInd w:val="0"/>
        <w:snapToGrid w:val="0"/>
        <w:spacing w:line="574" w:lineRule="exact"/>
        <w:ind w:firstLine="0" w:firstLineChars="0"/>
        <w:jc w:val="right"/>
        <w:textAlignment w:val="auto"/>
        <w:rPr>
          <w:rFonts w:hint="eastAsia" w:ascii="Times New Roman" w:hAnsi="Times New Roman" w:cs="Times New Roman"/>
          <w:color w:val="auto"/>
          <w:sz w:val="32"/>
          <w:szCs w:val="32"/>
          <w:lang w:eastAsia="zh-CN"/>
        </w:rPr>
      </w:pPr>
    </w:p>
    <w:p w14:paraId="1E6FE65C">
      <w:pPr>
        <w:keepNext w:val="0"/>
        <w:keepLines w:val="0"/>
        <w:pageBreakBefore w:val="0"/>
        <w:widowControl w:val="0"/>
        <w:kinsoku/>
        <w:wordWrap/>
        <w:overflowPunct/>
        <w:topLinePunct w:val="0"/>
        <w:autoSpaceDE/>
        <w:autoSpaceDN/>
        <w:bidi w:val="0"/>
        <w:adjustRightInd w:val="0"/>
        <w:snapToGrid w:val="0"/>
        <w:spacing w:line="574" w:lineRule="exact"/>
        <w:ind w:firstLine="0" w:firstLineChars="0"/>
        <w:jc w:val="right"/>
        <w:textAlignment w:val="auto"/>
        <w:rPr>
          <w:rFonts w:hint="default" w:ascii="Times New Roman" w:hAnsi="Times New Roman" w:cs="Times New Roman"/>
          <w:color w:val="auto"/>
          <w:sz w:val="32"/>
          <w:szCs w:val="32"/>
          <w:lang w:eastAsia="zh-CN"/>
        </w:rPr>
      </w:pPr>
      <w:r>
        <w:rPr>
          <w:rFonts w:hint="eastAsia" w:ascii="Times New Roman" w:hAnsi="Times New Roman" w:cs="Times New Roman"/>
          <w:color w:val="auto"/>
          <w:sz w:val="32"/>
          <w:szCs w:val="32"/>
          <w:lang w:eastAsia="zh-CN"/>
        </w:rPr>
        <w:t>中山市住房和城乡建设局</w:t>
      </w: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cs="Times New Roman"/>
          <w:color w:val="auto"/>
          <w:sz w:val="32"/>
          <w:szCs w:val="32"/>
          <w:lang w:val="en-US" w:eastAsia="zh-CN"/>
        </w:rPr>
        <w:t>2026</w:t>
      </w:r>
      <w:r>
        <w:rPr>
          <w:rFonts w:hint="default" w:ascii="Times New Roman" w:hAnsi="Times New Roman" w:cs="Times New Roman"/>
          <w:color w:val="auto"/>
          <w:sz w:val="32"/>
          <w:szCs w:val="32"/>
          <w:lang w:eastAsia="zh-CN"/>
        </w:rPr>
        <w:t>年</w:t>
      </w:r>
      <w:r>
        <w:rPr>
          <w:rFonts w:hint="eastAsia" w:ascii="Times New Roman" w:cs="Times New Roman"/>
          <w:color w:val="auto"/>
          <w:sz w:val="32"/>
          <w:szCs w:val="32"/>
          <w:lang w:eastAsia="zh"/>
          <w:woUserID w:val="1"/>
        </w:rPr>
        <w:t>8</w:t>
      </w:r>
      <w:r>
        <w:rPr>
          <w:rFonts w:hint="default" w:ascii="Times New Roman" w:hAnsi="Times New Roman" w:cs="Times New Roman"/>
          <w:color w:val="auto"/>
          <w:sz w:val="32"/>
          <w:szCs w:val="32"/>
          <w:lang w:val="en-US" w:eastAsia="zh-CN"/>
        </w:rPr>
        <w:t xml:space="preserve"> </w:t>
      </w:r>
      <w:r>
        <w:rPr>
          <w:rFonts w:hint="default" w:ascii="Times New Roman" w:hAnsi="Times New Roman" w:cs="Times New Roman"/>
          <w:color w:val="auto"/>
          <w:sz w:val="32"/>
          <w:szCs w:val="32"/>
          <w:lang w:eastAsia="zh-CN"/>
        </w:rPr>
        <w:t>月</w:t>
      </w:r>
      <w:r>
        <w:rPr>
          <w:rFonts w:hint="eastAsia" w:ascii="Times New Roman" w:cs="Times New Roman"/>
          <w:color w:val="auto"/>
          <w:sz w:val="32"/>
          <w:szCs w:val="32"/>
          <w:lang w:eastAsia="zh"/>
          <w:woUserID w:val="1"/>
        </w:rPr>
        <w:t>21</w:t>
      </w:r>
      <w:r>
        <w:rPr>
          <w:rFonts w:hint="default" w:ascii="Times New Roman" w:hAnsi="Times New Roman" w:cs="Times New Roman"/>
          <w:color w:val="auto"/>
          <w:sz w:val="32"/>
          <w:szCs w:val="32"/>
          <w:lang w:eastAsia="zh-CN"/>
        </w:rPr>
        <w:t xml:space="preserve"> 日</w:t>
      </w:r>
    </w:p>
    <w:p w14:paraId="30E7359D">
      <w:pPr>
        <w:keepNext w:val="0"/>
        <w:keepLines w:val="0"/>
        <w:pageBreakBefore w:val="0"/>
        <w:widowControl w:val="0"/>
        <w:kinsoku/>
        <w:wordWrap/>
        <w:overflowPunct/>
        <w:topLinePunct w:val="0"/>
        <w:autoSpaceDE/>
        <w:autoSpaceDN/>
        <w:bidi w:val="0"/>
        <w:adjustRightInd w:val="0"/>
        <w:snapToGrid w:val="0"/>
        <w:spacing w:line="574" w:lineRule="exact"/>
        <w:ind w:firstLine="622" w:firstLineChars="200"/>
        <w:jc w:val="both"/>
        <w:textAlignment w:val="auto"/>
        <w:rPr>
          <w:rFonts w:hint="default" w:ascii="Times New Roman" w:hAnsi="Times New Roman" w:eastAsia="仿宋_GB2312" w:cs="Times New Roman"/>
          <w:color w:val="auto"/>
          <w:sz w:val="32"/>
          <w:szCs w:val="32"/>
        </w:rPr>
      </w:pPr>
    </w:p>
    <w:p w14:paraId="52161F58">
      <w:pPr>
        <w:keepNext w:val="0"/>
        <w:keepLines w:val="0"/>
        <w:pageBreakBefore w:val="0"/>
        <w:widowControl w:val="0"/>
        <w:kinsoku/>
        <w:wordWrap/>
        <w:overflowPunct/>
        <w:topLinePunct w:val="0"/>
        <w:autoSpaceDE/>
        <w:autoSpaceDN/>
        <w:bidi w:val="0"/>
        <w:adjustRightInd w:val="0"/>
        <w:snapToGrid w:val="0"/>
        <w:spacing w:line="574" w:lineRule="exact"/>
        <w:ind w:firstLine="62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（联系人及电话：</w:t>
      </w:r>
      <w:r>
        <w:rPr>
          <w:rFonts w:hint="eastAsia" w:ascii="Times New Roman" w:hAnsi="Times New Roman" w:cs="Times New Roman"/>
          <w:color w:val="auto"/>
          <w:sz w:val="32"/>
          <w:szCs w:val="32"/>
          <w:lang w:eastAsia="zh-CN"/>
        </w:rPr>
        <w:t>卢钊文</w:t>
      </w: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cs="Times New Roman"/>
          <w:color w:val="auto"/>
          <w:sz w:val="32"/>
          <w:szCs w:val="32"/>
          <w:lang w:val="en-US" w:eastAsia="zh-CN"/>
        </w:rPr>
        <w:t>，88317880</w:t>
      </w:r>
      <w:r>
        <w:rPr>
          <w:rFonts w:hint="default" w:ascii="Times New Roman" w:hAnsi="Times New Roman" w:eastAsia="仿宋_GB2312" w:cs="Times New Roman"/>
          <w:color w:val="auto"/>
          <w:sz w:val="32"/>
          <w:szCs w:val="32"/>
        </w:rPr>
        <w:t>）</w:t>
      </w:r>
    </w:p>
    <w:p w14:paraId="199731A0">
      <w:pPr>
        <w:spacing w:line="550" w:lineRule="exact"/>
        <w:ind w:right="624"/>
        <w:jc w:val="both"/>
        <w:rPr>
          <w:rFonts w:hint="eastAsia" w:ascii="黑体" w:hAnsi="黑体" w:eastAsia="黑体" w:cs="黑体"/>
          <w:snapToGrid w:val="0"/>
          <w:color w:val="auto"/>
          <w:spacing w:val="0"/>
          <w:kern w:val="32"/>
          <w:sz w:val="32"/>
          <w:szCs w:val="32"/>
        </w:rPr>
      </w:pPr>
    </w:p>
    <w:p w14:paraId="6C999D79">
      <w:pPr>
        <w:spacing w:line="550" w:lineRule="exact"/>
        <w:ind w:right="624"/>
        <w:jc w:val="both"/>
        <w:rPr>
          <w:rFonts w:hint="eastAsia" w:ascii="黑体" w:hAnsi="黑体" w:eastAsia="黑体" w:cs="黑体"/>
          <w:snapToGrid w:val="0"/>
          <w:color w:val="auto"/>
          <w:spacing w:val="0"/>
          <w:kern w:val="32"/>
          <w:sz w:val="32"/>
          <w:szCs w:val="32"/>
        </w:rPr>
      </w:pPr>
    </w:p>
    <w:p w14:paraId="37B92D0F">
      <w:pPr>
        <w:spacing w:line="550" w:lineRule="exact"/>
        <w:ind w:right="624"/>
        <w:jc w:val="both"/>
        <w:rPr>
          <w:rFonts w:hint="eastAsia" w:ascii="黑体" w:hAnsi="黑体" w:eastAsia="黑体" w:cs="黑体"/>
          <w:snapToGrid w:val="0"/>
          <w:color w:val="auto"/>
          <w:spacing w:val="0"/>
          <w:kern w:val="32"/>
          <w:sz w:val="32"/>
          <w:szCs w:val="32"/>
        </w:rPr>
      </w:pPr>
    </w:p>
    <w:p w14:paraId="4E3BBD39">
      <w:pPr>
        <w:spacing w:line="550" w:lineRule="exact"/>
        <w:ind w:right="624"/>
        <w:jc w:val="both"/>
        <w:rPr>
          <w:rFonts w:hint="eastAsia" w:ascii="黑体" w:hAnsi="黑体" w:eastAsia="黑体" w:cs="黑体"/>
          <w:snapToGrid w:val="0"/>
          <w:color w:val="auto"/>
          <w:spacing w:val="0"/>
          <w:kern w:val="32"/>
          <w:sz w:val="32"/>
          <w:szCs w:val="32"/>
        </w:rPr>
      </w:pPr>
    </w:p>
    <w:p w14:paraId="5FDE799D">
      <w:pPr>
        <w:pStyle w:val="2"/>
        <w:rPr>
          <w:rFonts w:hint="eastAsia" w:ascii="黑体" w:hAnsi="黑体" w:eastAsia="黑体" w:cs="黑体"/>
          <w:snapToGrid w:val="0"/>
          <w:color w:val="auto"/>
          <w:spacing w:val="0"/>
          <w:kern w:val="32"/>
          <w:sz w:val="32"/>
          <w:szCs w:val="32"/>
        </w:rPr>
      </w:pPr>
    </w:p>
    <w:p w14:paraId="335093FB">
      <w:pPr>
        <w:pStyle w:val="3"/>
        <w:rPr>
          <w:rFonts w:hint="eastAsia"/>
        </w:rPr>
      </w:pPr>
    </w:p>
    <w:p w14:paraId="38B4D9AE">
      <w:pPr>
        <w:spacing w:line="550" w:lineRule="exact"/>
        <w:ind w:right="624"/>
        <w:jc w:val="both"/>
        <w:rPr>
          <w:rFonts w:hint="eastAsia" w:ascii="黑体" w:hAnsi="黑体" w:eastAsia="黑体" w:cs="黑体"/>
          <w:snapToGrid w:val="0"/>
          <w:color w:val="auto"/>
          <w:spacing w:val="0"/>
          <w:kern w:val="32"/>
          <w:sz w:val="32"/>
          <w:szCs w:val="32"/>
        </w:rPr>
      </w:pPr>
    </w:p>
    <w:p w14:paraId="5818EEA9">
      <w:pPr>
        <w:spacing w:line="550" w:lineRule="exact"/>
        <w:ind w:right="624"/>
        <w:jc w:val="both"/>
        <w:rPr>
          <w:rFonts w:hint="eastAsia" w:ascii="黑体" w:hAnsi="黑体" w:eastAsia="黑体" w:cs="黑体"/>
          <w:snapToGrid w:val="0"/>
          <w:color w:val="auto"/>
          <w:spacing w:val="0"/>
          <w:kern w:val="32"/>
          <w:sz w:val="32"/>
          <w:szCs w:val="32"/>
        </w:rPr>
      </w:pPr>
    </w:p>
    <w:p w14:paraId="34DDC124">
      <w:pPr>
        <w:spacing w:line="550" w:lineRule="exact"/>
        <w:ind w:right="624"/>
        <w:jc w:val="both"/>
        <w:rPr>
          <w:rFonts w:hint="eastAsia" w:ascii="黑体" w:hAnsi="黑体" w:eastAsia="黑体" w:cs="黑体"/>
          <w:snapToGrid w:val="0"/>
          <w:color w:val="auto"/>
          <w:spacing w:val="0"/>
          <w:kern w:val="32"/>
          <w:sz w:val="32"/>
          <w:szCs w:val="32"/>
        </w:rPr>
      </w:pPr>
    </w:p>
    <w:p w14:paraId="361871C0">
      <w:pPr>
        <w:spacing w:line="550" w:lineRule="exact"/>
        <w:ind w:right="624"/>
        <w:jc w:val="both"/>
        <w:rPr>
          <w:rFonts w:hint="eastAsia" w:ascii="黑体" w:hAnsi="黑体" w:eastAsia="黑体" w:cs="黑体"/>
          <w:snapToGrid w:val="0"/>
          <w:color w:val="auto"/>
          <w:spacing w:val="0"/>
          <w:kern w:val="32"/>
          <w:sz w:val="32"/>
          <w:szCs w:val="32"/>
        </w:rPr>
      </w:pPr>
    </w:p>
    <w:p w14:paraId="00563CB0">
      <w:pPr>
        <w:spacing w:line="550" w:lineRule="exact"/>
        <w:ind w:right="624"/>
        <w:jc w:val="both"/>
        <w:rPr>
          <w:rFonts w:hint="eastAsia" w:ascii="黑体" w:hAnsi="黑体" w:eastAsia="黑体" w:cs="黑体"/>
          <w:snapToGrid w:val="0"/>
          <w:color w:val="auto"/>
          <w:spacing w:val="0"/>
          <w:kern w:val="32"/>
          <w:sz w:val="32"/>
          <w:szCs w:val="32"/>
        </w:rPr>
      </w:pPr>
    </w:p>
    <w:p w14:paraId="0E28B89C">
      <w:pPr>
        <w:spacing w:line="550" w:lineRule="exact"/>
        <w:ind w:right="624"/>
        <w:jc w:val="both"/>
        <w:rPr>
          <w:rFonts w:hint="eastAsia" w:ascii="黑体" w:hAnsi="黑体" w:eastAsia="黑体" w:cs="黑体"/>
          <w:snapToGrid w:val="0"/>
          <w:color w:val="auto"/>
          <w:spacing w:val="0"/>
          <w:kern w:val="32"/>
          <w:sz w:val="32"/>
          <w:szCs w:val="32"/>
        </w:rPr>
      </w:pPr>
    </w:p>
    <w:p w14:paraId="646B57C8">
      <w:pPr>
        <w:spacing w:line="550" w:lineRule="exact"/>
        <w:ind w:right="624"/>
        <w:jc w:val="both"/>
        <w:rPr>
          <w:rFonts w:hint="eastAsia" w:ascii="黑体" w:hAnsi="黑体" w:eastAsia="黑体" w:cs="黑体"/>
          <w:snapToGrid w:val="0"/>
          <w:color w:val="auto"/>
          <w:spacing w:val="0"/>
          <w:kern w:val="32"/>
          <w:sz w:val="32"/>
          <w:szCs w:val="32"/>
        </w:rPr>
      </w:pPr>
    </w:p>
    <w:p w14:paraId="4D5C7465">
      <w:pPr>
        <w:spacing w:line="550" w:lineRule="exact"/>
        <w:ind w:right="624"/>
        <w:jc w:val="both"/>
        <w:rPr>
          <w:rFonts w:hint="eastAsia" w:ascii="仿宋_GB2312" w:hAnsi="仿宋_GB2312" w:eastAsia="仿宋_GB2312" w:cs="仿宋_GB2312"/>
          <w:snapToGrid w:val="0"/>
          <w:color w:val="auto"/>
          <w:spacing w:val="0"/>
          <w:kern w:val="32"/>
          <w:sz w:val="32"/>
          <w:szCs w:val="32"/>
        </w:rPr>
      </w:pPr>
      <w:r>
        <w:rPr>
          <w:rFonts w:hint="eastAsia" w:ascii="黑体" w:hAnsi="黑体" w:eastAsia="黑体" w:cs="黑体"/>
          <w:snapToGrid w:val="0"/>
          <w:color w:val="auto"/>
          <w:spacing w:val="0"/>
          <w:kern w:val="32"/>
          <w:sz w:val="32"/>
          <w:szCs w:val="32"/>
        </w:rPr>
        <w:t>公开方式：</w:t>
      </w:r>
      <w:r>
        <w:rPr>
          <w:rFonts w:hint="default" w:ascii="Times New Roman" w:hAnsi="Times New Roman" w:eastAsia="仿宋_GB2312" w:cs="Times New Roman"/>
          <w:color w:val="auto"/>
          <w:sz w:val="32"/>
          <w:szCs w:val="32"/>
        </w:rPr>
        <w:t>主动公开</w:t>
      </w:r>
    </w:p>
    <w:p w14:paraId="5292AA58">
      <w:pPr>
        <w:keepNext w:val="0"/>
        <w:keepLines w:val="0"/>
        <w:pageBreakBefore w:val="0"/>
        <w:widowControl w:val="0"/>
        <w:kinsoku/>
        <w:wordWrap/>
        <w:overflowPunct/>
        <w:topLinePunct w:val="0"/>
        <w:autoSpaceDE/>
        <w:autoSpaceDN/>
        <w:bidi w:val="0"/>
        <w:adjustRightInd w:val="0"/>
        <w:snapToGrid w:val="0"/>
        <w:spacing w:beforeLines="0" w:afterLines="0" w:line="520" w:lineRule="exact"/>
        <w:ind w:right="0" w:rightChars="0"/>
        <w:jc w:val="both"/>
        <w:textAlignment w:val="auto"/>
        <w:outlineLvl w:val="9"/>
        <w:rPr>
          <w:rFonts w:hint="eastAsia" w:ascii="仿宋_GB2312" w:hAnsi="仿宋_GB2312" w:eastAsia="仿宋_GB2312" w:cs="仿宋_GB2312"/>
          <w:snapToGrid w:val="0"/>
          <w:color w:val="auto"/>
          <w:spacing w:val="0"/>
          <w:kern w:val="32"/>
          <w:sz w:val="28"/>
          <w:szCs w:val="28"/>
          <w:lang w:eastAsia="zh"/>
          <w:woUserID w:val="1"/>
        </w:rPr>
      </w:pPr>
      <w:r>
        <w:rPr>
          <w:rFonts w:hint="eastAsia" w:ascii="仿宋_GB2312" w:hAnsi="仿宋_GB2312" w:eastAsia="仿宋_GB2312" w:cs="仿宋_GB2312"/>
          <w:color w:val="auto"/>
          <w:spacing w:val="0"/>
          <w:kern w:val="2"/>
          <w:sz w:val="28"/>
          <w:szCs w:val="28"/>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59055</wp:posOffset>
                </wp:positionV>
                <wp:extent cx="5600700" cy="15240"/>
                <wp:effectExtent l="0" t="4445" r="0" b="8890"/>
                <wp:wrapNone/>
                <wp:docPr id="4" name="直接连接符 4"/>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4.65pt;height:1.2pt;width:441pt;z-index:251662336;mso-width-relative:page;mso-height-relative:page;" filled="f" stroked="t" coordsize="21600,21600" o:gfxdata="UEsDBAoAAAAAAIdO4kAAAAAAAAAAAAAAAAAEAAAAZHJzL1BLAwQUAAAACACHTuJAm2pqqtMAAAAF&#10;AQAADwAAAGRycy9kb3ducmV2LnhtbE2PvU7EMBCEeyTewVokmhNnJydBCHGuANLRcIBo9+IliYjX&#10;udj3A0/PUkE5mtHMN9X65Ed1oDkOgS1kSwOKuA1u4M7C60tzVYCKCdnhGJgsfFGEdX1+VmHpwpGf&#10;6bBJnZISjiVa6FOaSq1j25PHuAwTsXgfYfaYRM6ddjMepdyPOjfmWnscWBZ6nOi+p/Zzs/cWYvNG&#10;u+Z70S7M+6oLlO8enh7R2suLzNyBSnRKf2H4xRd0qIVpG/bsohotyJFk4XYFSsyiyEVvJZXdgK4r&#10;/Z++/gFQSwMEFAAAAAgAh07iQI2BVef+AQAA9gMAAA4AAABkcnMvZTJvRG9jLnhtbK1TzY7TMBC+&#10;I/EOlu80adUuEDXdw5blgqAS8ABTx0ks+U8et2lfghdA4gYnjtx5G5bHYOyUsiyXHsjBGXtmvpnv&#10;83h5fTCa7WVA5WzNp5OSM2mFa5Ttav7+3e2TZ5xhBNuAdlbW/CiRX68eP1oOvpIz1zvdyMAIxGI1&#10;+Jr3MfqqKFD00gBOnJeWnK0LBiJtQ1c0AQZCN7qYleVVMbjQ+OCERKTT9ejkJ8RwCaBrWyXk2omd&#10;kTaOqEFqiEQJe+WRr3K3bStFfNO2KCPTNSemMa9UhOxtWovVEqougO+VOLUAl7TwgJMBZanoGWoN&#10;EdguqH+gjBLBoWvjRDhTjESyIsRiWj7Q5m0PXmYuJDX6s+j4/2DF6/0mMNXUfM6ZBUMXfvfx248P&#10;n39+/0Tr3dcvbJ5EGjxWFHtjN+G0Q78JifGhDSb9iQs7ZGGPZ2HlITJBh4ursnxakuaCfNPFbJ6F&#10;L/4k+4DxpXSGJaPmWtnEGyrYv8JIBSn0d0g61pYNNX++mC0IEmgIW7p8Mo0nImi7nItOq+ZWaZ0y&#10;MHTbGx3YHtIg5C/RIty/wlKRNWA/xmXXOCK9hOaFbVg8epLI0svgqQUjG860pIeULAKEKoLSl0RS&#10;aW1TgsxjeuKZdB6VTdbWNUe6np0PqutJl2nuOXloHHL3p9FN83Z/T/b957r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tqaqrTAAAABQEAAA8AAAAAAAAAAQAgAAAAIgAAAGRycy9kb3ducmV2Lnht&#10;bFBLAQIUABQAAAAIAIdO4kCNgVXn/gEAAPYDAAAOAAAAAAAAAAEAIAAAACIBAABkcnMvZTJvRG9j&#10;LnhtbFBLBQYAAAAABgAGAFkBAACS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pacing w:val="0"/>
          <w:sz w:val="28"/>
          <w:szCs w:val="28"/>
          <w:lang w:val="en-US" w:eastAsia="zh-CN"/>
        </w:rPr>
        <w:t>抄送：</w:t>
      </w:r>
      <w:r>
        <w:rPr>
          <w:rFonts w:hint="default" w:ascii="Times New Roman" w:hAnsi="Times New Roman" w:eastAsia="仿宋_GB2312" w:cs="Times New Roman"/>
          <w:color w:val="auto"/>
          <w:sz w:val="28"/>
          <w:szCs w:val="28"/>
        </w:rPr>
        <w:t>市人大常委会选联工委</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市政府办公室</w:t>
      </w:r>
      <w:r>
        <w:rPr>
          <w:rFonts w:hint="eastAsia" w:ascii="Times New Roman" w:cs="Times New Roman"/>
          <w:color w:val="auto"/>
          <w:sz w:val="28"/>
          <w:szCs w:val="28"/>
          <w:lang w:eastAsia="zh"/>
          <w:woUserID w:val="1"/>
        </w:rPr>
        <w:t>、市自然资源局、市中级人民法院、市城管和执法局。</w:t>
      </w:r>
    </w:p>
    <w:p w14:paraId="3E21F238">
      <w:pPr>
        <w:spacing w:beforeLines="0" w:afterLines="0" w:line="520" w:lineRule="exact"/>
        <w:ind w:firstLine="283" w:firstLineChars="100"/>
      </w:pPr>
      <w:r>
        <w:rPr>
          <w:rFonts w:hint="eastAsia" w:ascii="仿宋_GB2312" w:hAnsi="仿宋_GB2312" w:eastAsia="仿宋_GB2312" w:cs="仿宋_GB2312"/>
          <w:color w:val="auto"/>
          <w:spacing w:val="0"/>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30480</wp:posOffset>
                </wp:positionV>
                <wp:extent cx="5600700" cy="15240"/>
                <wp:effectExtent l="0" t="4445" r="0" b="8890"/>
                <wp:wrapNone/>
                <wp:docPr id="5" name="直接连接符 5"/>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4pt;height:1.2pt;width:441pt;z-index:251660288;mso-width-relative:page;mso-height-relative:page;" filled="f" stroked="t" coordsize="21600,21600" o:gfxdata="UEsDBAoAAAAAAIdO4kAAAAAAAAAAAAAAAAAEAAAAZHJzL1BLAwQUAAAACACHTuJAkYLe0tIAAAAE&#10;AQAADwAAAGRycy9kb3ducmV2LnhtbE2PzU7DMBCE70i8g7VIXKrWbkA0CnF6AHLjQgviuo2XJCJe&#10;p7H7A0/PcoLjaEYz35Trsx/UkabYB7awXBhQxE1wPbcWXrf1PAcVE7LDITBZ+KII6+ryosTChRO/&#10;0HGTWiUlHAu00KU0FlrHpiOPcRFGYvE+wuQxiZxa7SY8SbkfdGbMnfbYsyx0ONJDR83n5uAtxPqN&#10;9vX3rJmZ95s2ULZ/fH5Ca6+vluYeVKJz+gvDL76gQyVMu3BgF9VgQY4kC7eCL2aeZ6J3FlYZ6KrU&#10;/+GrH1BLAwQUAAAACACHTuJAj96Ls/4BAAD2AwAADgAAAGRycy9lMm9Eb2MueG1srVPNjtMwEL4j&#10;8Q6W7zRpRRc2arqHLcsFQSXgAaaOk1jynzxu074EL4DEDU4cufM2uzwGY6dbluXSAzk4Y8/MN/N9&#10;Hi+u9kaznQyonK35dFJyJq1wjbJdzT9+uHn2kjOMYBvQzsqaHyTyq+XTJ4vBV3LmeqcbGRiBWKwG&#10;X/M+Rl8VBYpeGsCJ89KSs3XBQKRt6IomwEDoRhezsrwoBhcaH5yQiHS6Gp38iBjOAXRtq4RcObE1&#10;0sYRNUgNkShhrzzyZe62baWI79oWZWS65sQ05pWKkL1Ja7FcQNUF8L0SxxbgnBYecTKgLBU9Qa0g&#10;AtsG9Q+UUSI4dG2cCGeKkUhWhFhMy0favO/By8yFpEZ/Eh3/H6x4u1sHppqazzmzYOjC7z7/uP30&#10;9dfPL7Teff/G5kmkwWNFsdd2HY479OuQGO/bYNKfuLB9FvZwElbuIxN0OL8oyxclaS7IN53Pnmfh&#10;iz/JPmB8LZ1hyai5Vjbxhgp2bzBSQQq9D0nH2rKh5pfzGTUtgIawpcsn03gigrbLuei0am6U1ikD&#10;Q7e51oHtIA1C/hItwv0rLBVZAfZjXHaNI9JLaF7ZhsWDJ4ksvQyeWjCy4UxLekjJIkCoIih9TiSV&#10;1jYlyDymR55J51HZZG1cc6Dr2fqgup50meaek4fGIXd/HN00bw/3ZD98rs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YLe0tIAAAAEAQAADwAAAAAAAAABACAAAAAiAAAAZHJzL2Rvd25yZXYueG1s&#10;UEsBAhQAFAAAAAgAh07iQI/ei7P+AQAA9gMAAA4AAAAAAAAAAQAgAAAAIQEAAGRycy9lMm9Eb2Mu&#10;eG1sUEsFBgAAAAAGAAYAWQEAAJEFA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pacing w:val="0"/>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381000</wp:posOffset>
                </wp:positionV>
                <wp:extent cx="5600700" cy="15240"/>
                <wp:effectExtent l="0" t="4445" r="0" b="8890"/>
                <wp:wrapNone/>
                <wp:docPr id="7" name="直接连接符 7"/>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pt;height:1.2pt;width:441pt;z-index:251661312;mso-width-relative:page;mso-height-relative:page;" filled="f" stroked="t" coordsize="21600,21600" o:gfxdata="UEsDBAoAAAAAAIdO4kAAAAAAAAAAAAAAAAAEAAAAZHJzL1BLAwQUAAAACACHTuJA7nmp9dQAAAAG&#10;AQAADwAAAGRycy9kb3ducmV2LnhtbE2Py07DMBBF90j8gzVIbCpqN6AqCnG6ALJjQyliO42nSdR4&#10;nMbuA76eYQWredzRvWfK1cUP6kRT7ANbWMwNKOImuJ5bC5v3+i4HFROywyEwWfiiCKvq+qrEwoUz&#10;v9FpnVolJhwLtNClNBZax6Yjj3EeRmLRdmHymGScWu0mPIu5H3RmzFJ77FkSOhzpqaNmvz56C7H+&#10;oEP9PWtm5vO+DZQdnl9f0Nrbm4V5BJXokv6O4Rdf0KESpm04sotqsCCPJAtLI1XUPM+k2coiewBd&#10;lfo/fvUDUEsDBBQAAAAIAIdO4kCLYDca/gEAAPYDAAAOAAAAZHJzL2Uyb0RvYy54bWytU82O0zAQ&#10;viPxDpbvNGlFtxA13cOW5YKgEvAAU8dJLPlPHrdpX4IXQOIGJ47ceRuWx2DslLIslx7IwRl7Zr6Z&#10;7/N4eX0wmu1lQOVszaeTkjNphWuU7Wr+/t3tk2ecYQTbgHZW1vwokV+vHj9aDr6SM9c73cjACMRi&#10;Nfia9zH6qihQ9NIATpyXlpytCwYibUNXNAEGQje6mJXlVTG40PjghESk0/Xo5CfEcAmga1sl5NqJ&#10;nZE2jqhBaohECXvlka9yt20rRXzTtigj0zUnpjGvVITsbVqL1RKqLoDvlTi1AJe08ICTAWWp6Blq&#10;DRHYLqh/oIwSwaFr40Q4U4xEsiLEYlo+0OZtD15mLiQ1+rPo+P9gxev9JjDV1HzBmQVDF3738duP&#10;D59/fv9E693XL2yRRBo8VhR7YzfhtEO/CYnxoQ0m/YkLO2Rhj2dh5SEyQYfzq7JclKS5IN90Pnua&#10;hS/+JPuA8aV0hiWj5lrZxBsq2L/CSAUp9HdIOtaWDTV/Pp/NCRJoCFu6fDKNJyJou5yLTqvmVmmd&#10;MjB02xsd2B7SIOQv0SLcv8JSkTVgP8Zl1zgivYTmhW1YPHqSyNLL4KkFIxvOtKSHlCwChCqC0pdE&#10;UmltU4LMY3rimXQelU3W1jVHup6dD6rrSZdp7jl5aBxy96fRTfN2f0/2/ee6+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uean11AAAAAYBAAAPAAAAAAAAAAEAIAAAACIAAABkcnMvZG93bnJldi54&#10;bWxQSwECFAAUAAAACACHTuJAi2A3Gv4BAAD2AwAADgAAAAAAAAABACAAAAAjAQAAZHJzL2Uyb0Rv&#10;Yy54bWxQSwUGAAAAAAYABgBZAQAAkwUAAAAA&#10;">
                <v:fill on="f" focussize="0,0"/>
                <v:stroke color="#000000" joinstyle="round"/>
                <v:imagedata o:title=""/>
                <o:lock v:ext="edit" aspectratio="f"/>
              </v:line>
            </w:pict>
          </mc:Fallback>
        </mc:AlternateContent>
      </w:r>
      <w:r>
        <w:rPr>
          <w:rFonts w:hint="eastAsia" w:ascii="仿宋_GB2312" w:hAnsi="仿宋_GB2312" w:eastAsia="仿宋_GB2312" w:cs="仿宋_GB2312"/>
          <w:snapToGrid w:val="0"/>
          <w:color w:val="auto"/>
          <w:spacing w:val="0"/>
          <w:kern w:val="32"/>
          <w:sz w:val="28"/>
          <w:szCs w:val="28"/>
        </w:rPr>
        <w:t xml:space="preserve">中山市住房和城乡建设局办公室 </w:t>
      </w:r>
      <w:r>
        <w:rPr>
          <w:rFonts w:hint="eastAsia" w:ascii="仿宋_GB2312" w:hAnsi="仿宋_GB2312" w:eastAsia="仿宋_GB2312" w:cs="仿宋_GB2312"/>
          <w:snapToGrid w:val="0"/>
          <w:color w:val="auto"/>
          <w:spacing w:val="0"/>
          <w:kern w:val="32"/>
          <w:sz w:val="28"/>
          <w:szCs w:val="28"/>
          <w:lang w:val="en-US" w:eastAsia="zh-CN"/>
        </w:rPr>
        <w:t xml:space="preserve">       </w:t>
      </w:r>
      <w:r>
        <w:rPr>
          <w:rFonts w:hint="eastAsia" w:hAnsi="仿宋_GB2312" w:cs="仿宋_GB2312"/>
          <w:snapToGrid w:val="0"/>
          <w:color w:val="auto"/>
          <w:spacing w:val="0"/>
          <w:kern w:val="32"/>
          <w:sz w:val="28"/>
          <w:szCs w:val="28"/>
          <w:lang w:val="en-US" w:eastAsia="zh-CN"/>
        </w:rPr>
        <w:t xml:space="preserve">     </w:t>
      </w:r>
      <w:r>
        <w:rPr>
          <w:rFonts w:hint="eastAsia" w:hAnsi="仿宋_GB2312" w:cs="仿宋_GB2312"/>
          <w:snapToGrid w:val="0"/>
          <w:color w:val="auto"/>
          <w:spacing w:val="0"/>
          <w:kern w:val="32"/>
          <w:sz w:val="28"/>
          <w:szCs w:val="28"/>
          <w:lang w:eastAsia="zh-CN"/>
        </w:rPr>
        <w:t>202</w:t>
      </w:r>
      <w:r>
        <w:rPr>
          <w:rFonts w:hint="eastAsia" w:hAnsi="仿宋_GB2312" w:cs="仿宋_GB2312"/>
          <w:snapToGrid w:val="0"/>
          <w:color w:val="auto"/>
          <w:spacing w:val="0"/>
          <w:kern w:val="32"/>
          <w:sz w:val="28"/>
          <w:szCs w:val="28"/>
          <w:lang w:val="en-US" w:eastAsia="zh-CN"/>
        </w:rPr>
        <w:t>6</w:t>
      </w:r>
      <w:r>
        <w:rPr>
          <w:rFonts w:hint="eastAsia" w:ascii="仿宋_GB2312" w:hAnsi="仿宋_GB2312" w:eastAsia="仿宋_GB2312" w:cs="仿宋_GB2312"/>
          <w:snapToGrid w:val="0"/>
          <w:color w:val="auto"/>
          <w:spacing w:val="0"/>
          <w:kern w:val="32"/>
          <w:sz w:val="28"/>
          <w:szCs w:val="28"/>
        </w:rPr>
        <w:t>年</w:t>
      </w:r>
      <w:r>
        <w:rPr>
          <w:rFonts w:hint="eastAsia" w:hAnsi="仿宋_GB2312" w:cs="仿宋_GB2312"/>
          <w:snapToGrid w:val="0"/>
          <w:color w:val="auto"/>
          <w:spacing w:val="0"/>
          <w:kern w:val="32"/>
          <w:sz w:val="28"/>
          <w:szCs w:val="28"/>
          <w:lang w:eastAsia="zh"/>
          <w:woUserID w:val="1"/>
        </w:rPr>
        <w:t>8</w:t>
      </w:r>
      <w:r>
        <w:rPr>
          <w:rFonts w:hint="eastAsia" w:ascii="仿宋_GB2312" w:hAnsi="仿宋_GB2312" w:eastAsia="仿宋_GB2312" w:cs="仿宋_GB2312"/>
          <w:snapToGrid w:val="0"/>
          <w:color w:val="auto"/>
          <w:spacing w:val="0"/>
          <w:kern w:val="32"/>
          <w:sz w:val="28"/>
          <w:szCs w:val="28"/>
        </w:rPr>
        <w:t>月</w:t>
      </w:r>
      <w:r>
        <w:rPr>
          <w:rFonts w:hint="eastAsia" w:hAnsi="仿宋_GB2312" w:cs="仿宋_GB2312"/>
          <w:snapToGrid w:val="0"/>
          <w:color w:val="auto"/>
          <w:spacing w:val="0"/>
          <w:kern w:val="32"/>
          <w:sz w:val="28"/>
          <w:szCs w:val="28"/>
          <w:lang w:eastAsia="zh"/>
          <w:woUserID w:val="1"/>
        </w:rPr>
        <w:t>26</w:t>
      </w:r>
      <w:r>
        <w:rPr>
          <w:rFonts w:hint="eastAsia" w:ascii="仿宋_GB2312" w:hAnsi="仿宋_GB2312" w:eastAsia="仿宋_GB2312" w:cs="仿宋_GB2312"/>
          <w:snapToGrid w:val="0"/>
          <w:color w:val="auto"/>
          <w:spacing w:val="0"/>
          <w:kern w:val="32"/>
          <w:sz w:val="28"/>
          <w:szCs w:val="28"/>
        </w:rPr>
        <w:t>日印发</w:t>
      </w:r>
      <w:bookmarkStart w:id="0" w:name="cs"/>
      <w:bookmarkEnd w:id="0"/>
    </w:p>
    <w:sectPr>
      <w:footerReference r:id="rId5" w:type="default"/>
      <w:footerReference r:id="rId6" w:type="even"/>
      <w:pgSz w:w="11906" w:h="16838"/>
      <w:pgMar w:top="2098" w:right="1474" w:bottom="1984" w:left="1587" w:header="850" w:footer="850" w:gutter="0"/>
      <w:pgBorders>
        <w:top w:val="none" w:sz="0" w:space="0"/>
        <w:left w:val="none" w:sz="0" w:space="0"/>
        <w:bottom w:val="none" w:sz="0" w:space="0"/>
        <w:right w:val="none" w:sz="0" w:space="0"/>
      </w:pgBorders>
      <w:cols w:space="720" w:num="1"/>
      <w:rtlGutter w:val="0"/>
      <w:docGrid w:type="linesAndChars" w:linePitch="574" w:charSpace="77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599740F-D3F4-4008-A8F2-1F9B11B9C6EA}"/>
  </w:font>
  <w:font w:name="黑体">
    <w:panose1 w:val="02010609060101010101"/>
    <w:charset w:val="86"/>
    <w:family w:val="auto"/>
    <w:pitch w:val="default"/>
    <w:sig w:usb0="800002BF" w:usb1="38CF7CFA" w:usb2="00000016" w:usb3="00000000" w:csb0="00040001" w:csb1="00000000"/>
    <w:embedRegular r:id="rId2" w:fontKey="{8C7E2757-0F2E-428F-B374-32CE8426F1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FFCB555-D39B-484B-9ED5-C25D75ACFE00}"/>
  </w:font>
  <w:font w:name="仿宋_GB2312">
    <w:panose1 w:val="02010609030101010101"/>
    <w:charset w:val="86"/>
    <w:family w:val="modern"/>
    <w:pitch w:val="default"/>
    <w:sig w:usb0="00000001" w:usb1="080E0000" w:usb2="00000000" w:usb3="00000000" w:csb0="00040000" w:csb1="00000000"/>
    <w:embedRegular r:id="rId4" w:fontKey="{2A2F600C-12C1-4B1B-B58E-3DC9723A75DE}"/>
  </w:font>
  <w:font w:name="方正小标宋简体">
    <w:panose1 w:val="02000000000000000000"/>
    <w:charset w:val="86"/>
    <w:family w:val="auto"/>
    <w:pitch w:val="default"/>
    <w:sig w:usb0="00000001" w:usb1="080E0000" w:usb2="00000000" w:usb3="00000000" w:csb0="00040000" w:csb1="00000000"/>
    <w:embedRegular r:id="rId5" w:fontKey="{D3898252-405D-4D5D-9274-6510F163ED4C}"/>
  </w:font>
  <w:font w:name="楷体_GB2312">
    <w:panose1 w:val="02010609030101010101"/>
    <w:charset w:val="86"/>
    <w:family w:val="auto"/>
    <w:pitch w:val="default"/>
    <w:sig w:usb0="00000001" w:usb1="080E0000" w:usb2="00000000" w:usb3="00000000" w:csb0="00040000" w:csb1="00000000"/>
    <w:embedRegular r:id="rId6" w:fontKey="{8A78F673-4E4D-4B38-9756-E70D624877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AC034">
    <w:pPr>
      <w:pStyle w:val="4"/>
      <w:framePr w:wrap="around" w:vAnchor="text" w:hAnchor="page" w:x="9560" w:y="31"/>
      <w:rPr>
        <w:rStyle w:val="7"/>
        <w:rFonts w:hint="eastAsia"/>
        <w:sz w:val="28"/>
      </w:rPr>
    </w:pPr>
    <w:r>
      <w:rPr>
        <w:rStyle w:val="7"/>
        <w:rFonts w:hint="eastAsia"/>
        <w:sz w:val="28"/>
      </w:rPr>
      <w:t xml:space="preserve">- </w:t>
    </w:r>
    <w:r>
      <w:rPr>
        <w:sz w:val="28"/>
      </w:rPr>
      <w:fldChar w:fldCharType="begin"/>
    </w:r>
    <w:r>
      <w:rPr>
        <w:rStyle w:val="7"/>
        <w:sz w:val="28"/>
      </w:rPr>
      <w:instrText xml:space="preserve">PAGE  </w:instrText>
    </w:r>
    <w:r>
      <w:rPr>
        <w:sz w:val="28"/>
      </w:rPr>
      <w:fldChar w:fldCharType="separate"/>
    </w:r>
    <w:r>
      <w:rPr>
        <w:rStyle w:val="7"/>
        <w:sz w:val="28"/>
      </w:rPr>
      <w:t>2</w:t>
    </w:r>
    <w:r>
      <w:rPr>
        <w:sz w:val="28"/>
      </w:rPr>
      <w:fldChar w:fldCharType="end"/>
    </w:r>
    <w:r>
      <w:rPr>
        <w:rStyle w:val="7"/>
        <w:rFonts w:hint="eastAsia"/>
        <w:sz w:val="28"/>
      </w:rPr>
      <w:t xml:space="preserve"> -</w:t>
    </w:r>
  </w:p>
  <w:p w14:paraId="4CED8A0F">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F867">
    <w:pPr>
      <w:pStyle w:val="4"/>
      <w:framePr w:wrap="around" w:vAnchor="text" w:hAnchor="margin" w:xAlign="outside" w:y="1"/>
      <w:rPr>
        <w:rStyle w:val="7"/>
      </w:rPr>
    </w:pPr>
    <w:r>
      <w:fldChar w:fldCharType="begin"/>
    </w:r>
    <w:r>
      <w:rPr>
        <w:rStyle w:val="7"/>
      </w:rPr>
      <w:instrText xml:space="preserve">PAGE  </w:instrText>
    </w:r>
    <w:r>
      <w:fldChar w:fldCharType="end"/>
    </w:r>
  </w:p>
  <w:p w14:paraId="5BB4FD1F">
    <w:pPr>
      <w:pStyle w:val="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7723E"/>
    <w:rsid w:val="0D67723E"/>
    <w:rsid w:val="2FEA9BE7"/>
    <w:rsid w:val="3BF69C47"/>
    <w:rsid w:val="3FEBBB2F"/>
    <w:rsid w:val="48845E5B"/>
    <w:rsid w:val="4BF42BD1"/>
    <w:rsid w:val="5EEDA46B"/>
    <w:rsid w:val="6FEFC258"/>
    <w:rsid w:val="756AF4FD"/>
    <w:rsid w:val="7B971589"/>
    <w:rsid w:val="7F96599E"/>
    <w:rsid w:val="7FFF27C8"/>
    <w:rsid w:val="B7E3950A"/>
    <w:rsid w:val="DEBF3751"/>
    <w:rsid w:val="ED67D0E4"/>
    <w:rsid w:val="EEBA751B"/>
    <w:rsid w:val="F2FFC571"/>
    <w:rsid w:val="FBFFC82B"/>
    <w:rsid w:val="FDF5FF9C"/>
    <w:rsid w:val="FDFD83D3"/>
    <w:rsid w:val="FF7D463C"/>
    <w:rsid w:val="FFFD34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LineNumbers/>
      <w:adjustRightInd w:val="0"/>
      <w:snapToGrid w:val="0"/>
      <w:spacing w:line="574" w:lineRule="exact"/>
      <w:jc w:val="both"/>
    </w:pPr>
    <w:rPr>
      <w:rFonts w:ascii="仿宋_GB2312" w:hAnsi="Times New Roman" w:eastAsia="仿宋_GB2312" w:cs="Times New Roman"/>
      <w:snapToGrid w:val="0"/>
      <w:spacing w:val="-6"/>
      <w:kern w:val="3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uppressLineNumbers/>
      <w:adjustRightInd w:val="0"/>
      <w:snapToGrid w:val="0"/>
      <w:spacing w:line="574" w:lineRule="exact"/>
      <w:jc w:val="both"/>
    </w:pPr>
    <w:rPr>
      <w:rFonts w:ascii="仿宋_GB2312" w:hAnsi="Times New Roman" w:eastAsia="仿宋_GB2312" w:cs="Times New Roman"/>
      <w:snapToGrid w:val="0"/>
      <w:spacing w:val="-6"/>
      <w:kern w:val="32"/>
      <w:sz w:val="32"/>
      <w:szCs w:val="24"/>
      <w:lang w:val="en-US" w:eastAsia="zh-CN" w:bidi="ar-SA"/>
    </w:rPr>
  </w:style>
  <w:style w:type="paragraph" w:styleId="3">
    <w:name w:val="toc 5"/>
    <w:basedOn w:val="1"/>
    <w:next w:val="1"/>
    <w:qFormat/>
    <w:uiPriority w:val="0"/>
    <w:pPr>
      <w:ind w:left="1680"/>
    </w:pPr>
  </w:style>
  <w:style w:type="paragraph" w:styleId="4">
    <w:name w:val="footer"/>
    <w:basedOn w:val="1"/>
    <w:qFormat/>
    <w:uiPriority w:val="0"/>
    <w:pPr>
      <w:tabs>
        <w:tab w:val="center" w:pos="4153"/>
        <w:tab w:val="right" w:pos="8306"/>
      </w:tabs>
      <w:spacing w:line="240" w:lineRule="atLeast"/>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2063</Words>
  <Characters>2098</Characters>
  <Lines>0</Lines>
  <Paragraphs>0</Paragraphs>
  <TotalTime>1</TotalTime>
  <ScaleCrop>false</ScaleCrop>
  <LinksUpToDate>false</LinksUpToDate>
  <CharactersWithSpaces>2151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2026-07-17T06:48:00Z</dcterms:created>
  <dc:creator>user</dc:creator>
  <cp:lastModifiedBy>付翊苗</cp:lastModifiedBy>
  <cp:lastPrinted>2026-08-01T08:33:00Z</cp:lastPrinted>
  <dcterms:modified xsi:type="dcterms:W3CDTF">2026-09-15T10:20:57Z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0F502F2457FA4028FB31916AFB9DA595_43</vt:lpwstr>
  </property>
  <property fmtid="{D5CDD505-2E9C-101B-9397-08002B2CF9AE}" pid="4" name="KSOTemplateDocerSaveRecord">
    <vt:lpwstr>eyJoZGlkIjoiMmI1NGRjNjk4OWE0ODFlMjUxNmQwNTgxMDQ0ZTU5ZmUiLCJ1c2VySWQiOiIxNjY4NTY0MTc0In0=</vt:lpwstr>
  </property>
</Properties>
</file>