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cs="黑体"/>
          <w:sz w:val="32"/>
          <w:szCs w:val="32"/>
          <w:lang w:val="zh-CN"/>
        </w:rPr>
      </w:pPr>
      <w:bookmarkStart w:id="0" w:name="_GoBack"/>
      <w:bookmarkEnd w:id="0"/>
      <w:r>
        <w:rPr>
          <w:rFonts w:hint="eastAsia" w:cs="黑体"/>
          <w:sz w:val="32"/>
          <w:szCs w:val="32"/>
          <w:lang w:val="zh-CN"/>
        </w:rPr>
        <w:t>附件</w:t>
      </w:r>
    </w:p>
    <w:p>
      <w:pPr>
        <w:tabs>
          <w:tab w:val="left" w:pos="1259"/>
        </w:tabs>
        <w:ind w:firstLine="561"/>
        <w:jc w:val="both"/>
        <w:rPr>
          <w:rFonts w:ascii="Times New Roman" w:hAnsi="Times New Roman"/>
          <w:kern w:val="2"/>
          <w:sz w:val="28"/>
          <w:szCs w:val="28"/>
        </w:rPr>
      </w:pP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2000" w:right="0" w:hanging="2000" w:hangingChars="500"/>
        <w:rPr>
          <w:rFonts w:hAnsi="黑体"/>
          <w:kern w:val="2"/>
          <w:sz w:val="36"/>
          <w:szCs w:val="36"/>
        </w:rPr>
      </w:pPr>
      <w:r>
        <w:rPr>
          <w:rFonts w:hint="eastAsia" w:hAnsi="黑体" w:cs="小标宋"/>
          <w:kern w:val="2"/>
          <w:sz w:val="40"/>
          <w:szCs w:val="40"/>
          <w:lang w:val="en-US" w:eastAsia="zh-CN"/>
        </w:rPr>
        <w:t xml:space="preserve">   </w:t>
      </w:r>
      <w:r>
        <w:rPr>
          <w:rFonts w:hint="eastAsia" w:hAnsi="黑体" w:cs="小标宋"/>
          <w:kern w:val="2"/>
          <w:sz w:val="40"/>
          <w:szCs w:val="40"/>
          <w:lang w:val="zh-CN"/>
        </w:rPr>
        <w:t>201</w:t>
      </w:r>
      <w:r>
        <w:rPr>
          <w:rFonts w:hint="eastAsia" w:hAnsi="黑体" w:cs="小标宋"/>
          <w:kern w:val="2"/>
          <w:sz w:val="40"/>
          <w:szCs w:val="40"/>
          <w:lang w:val="en-US" w:eastAsia="zh-CN"/>
        </w:rPr>
        <w:t>8</w:t>
      </w:r>
      <w:r>
        <w:rPr>
          <w:rFonts w:hint="eastAsia" w:hAnsi="黑体" w:cs="小标宋"/>
          <w:kern w:val="2"/>
          <w:sz w:val="40"/>
          <w:szCs w:val="40"/>
          <w:lang w:val="zh-CN"/>
        </w:rPr>
        <w:t>年</w:t>
      </w:r>
      <w:r>
        <w:rPr>
          <w:rFonts w:hint="eastAsia" w:hAnsi="黑体" w:cs="小标宋"/>
          <w:kern w:val="2"/>
          <w:sz w:val="40"/>
          <w:szCs w:val="40"/>
          <w:lang w:val="zh-CN" w:eastAsia="zh-CN"/>
        </w:rPr>
        <w:t>第二季度</w:t>
      </w:r>
      <w:r>
        <w:rPr>
          <w:rFonts w:hint="eastAsia" w:hAnsi="黑体" w:cs="小标宋"/>
          <w:kern w:val="2"/>
          <w:sz w:val="40"/>
          <w:szCs w:val="40"/>
          <w:lang w:val="zh-CN"/>
        </w:rPr>
        <w:t>各</w:t>
      </w:r>
      <w:r>
        <w:rPr>
          <w:rFonts w:hint="eastAsia" w:hAnsi="黑体" w:cs="小标宋"/>
          <w:kern w:val="2"/>
          <w:sz w:val="40"/>
          <w:szCs w:val="40"/>
          <w:lang w:val="zh-CN" w:eastAsia="zh-CN"/>
        </w:rPr>
        <w:t>部门</w:t>
      </w:r>
      <w:r>
        <w:rPr>
          <w:rFonts w:hint="eastAsia" w:hAnsi="黑体" w:cs="小标宋"/>
          <w:kern w:val="2"/>
          <w:sz w:val="40"/>
          <w:szCs w:val="40"/>
          <w:lang w:val="zh-CN"/>
        </w:rPr>
        <w:t>查处的违法违规房地产开发企业和中介机构汇总表</w:t>
      </w:r>
    </w:p>
    <w:tbl>
      <w:tblPr>
        <w:tblStyle w:val="5"/>
        <w:tblW w:w="9562" w:type="dxa"/>
        <w:tblInd w:w="-622" w:type="dxa"/>
        <w:tblLayout w:type="fixed"/>
        <w:tblCellMar>
          <w:top w:w="0" w:type="dxa"/>
          <w:left w:w="10" w:type="dxa"/>
          <w:bottom w:w="0" w:type="dxa"/>
          <w:right w:w="10" w:type="dxa"/>
        </w:tblCellMar>
      </w:tblPr>
      <w:tblGrid>
        <w:gridCol w:w="720"/>
        <w:gridCol w:w="2220"/>
        <w:gridCol w:w="4897"/>
        <w:gridCol w:w="1725"/>
      </w:tblGrid>
      <w:tr>
        <w:tblPrEx>
          <w:tblLayout w:type="fixed"/>
          <w:tblCellMar>
            <w:top w:w="0" w:type="dxa"/>
            <w:left w:w="10" w:type="dxa"/>
            <w:bottom w:w="0" w:type="dxa"/>
            <w:right w:w="10" w:type="dxa"/>
          </w:tblCellMar>
        </w:tblPrEx>
        <w:trPr>
          <w:trHeight w:val="66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宋体"/>
                <w:b/>
                <w:bCs/>
                <w:color w:val="000000"/>
                <w:kern w:val="2"/>
                <w:lang w:val="zh-CN"/>
              </w:rPr>
            </w:pPr>
            <w:r>
              <w:rPr>
                <w:rFonts w:hint="eastAsia" w:ascii="宋体" w:hAnsi="Times New Roman" w:eastAsia="宋体" w:cs="宋体"/>
                <w:b/>
                <w:bCs/>
                <w:color w:val="000000"/>
                <w:kern w:val="2"/>
                <w:lang w:val="zh-CN"/>
              </w:rPr>
              <w:t>序号</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宋体"/>
                <w:b/>
                <w:bCs/>
                <w:color w:val="000000"/>
                <w:kern w:val="2"/>
                <w:lang w:val="zh-CN"/>
              </w:rPr>
            </w:pPr>
            <w:r>
              <w:rPr>
                <w:rFonts w:hint="eastAsia" w:ascii="宋体" w:hAnsi="Times New Roman" w:eastAsia="宋体" w:cs="宋体"/>
                <w:b/>
                <w:bCs/>
                <w:color w:val="000000"/>
                <w:kern w:val="2"/>
                <w:lang w:val="zh-CN"/>
              </w:rPr>
              <w:t>企业名称</w:t>
            </w:r>
          </w:p>
        </w:tc>
        <w:tc>
          <w:tcPr>
            <w:tcW w:w="48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宋体"/>
                <w:b/>
                <w:bCs/>
                <w:color w:val="000000"/>
                <w:kern w:val="2"/>
                <w:lang w:val="zh-CN"/>
              </w:rPr>
            </w:pPr>
            <w:r>
              <w:rPr>
                <w:rFonts w:hint="eastAsia" w:ascii="宋体" w:hAnsi="Times New Roman" w:eastAsia="宋体" w:cs="宋体"/>
                <w:b/>
                <w:bCs/>
                <w:color w:val="000000"/>
                <w:kern w:val="2"/>
                <w:lang w:val="zh-CN"/>
              </w:rPr>
              <w:t>具体违法违规行为</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宋体"/>
                <w:b/>
                <w:bCs/>
                <w:color w:val="000000"/>
                <w:kern w:val="2"/>
                <w:lang w:val="zh-CN"/>
              </w:rPr>
            </w:pPr>
            <w:r>
              <w:rPr>
                <w:rFonts w:hint="eastAsia" w:ascii="宋体" w:hAnsi="Times New Roman" w:eastAsia="宋体" w:cs="宋体"/>
                <w:b/>
                <w:bCs/>
                <w:color w:val="000000"/>
                <w:kern w:val="2"/>
                <w:lang w:val="zh-CN"/>
              </w:rPr>
              <w:t>整改处理情况</w:t>
            </w:r>
          </w:p>
        </w:tc>
      </w:tr>
      <w:tr>
        <w:tblPrEx>
          <w:tblLayout w:type="fixed"/>
          <w:tblCellMar>
            <w:top w:w="0" w:type="dxa"/>
            <w:left w:w="10" w:type="dxa"/>
            <w:bottom w:w="0" w:type="dxa"/>
            <w:right w:w="10" w:type="dxa"/>
          </w:tblCellMar>
        </w:tblPrEx>
        <w:trPr>
          <w:trHeight w:val="600" w:hRule="atLeast"/>
        </w:trPr>
        <w:tc>
          <w:tcPr>
            <w:tcW w:w="720"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仿宋_GB2312"/>
                <w:color w:val="000000"/>
                <w:kern w:val="2"/>
                <w:sz w:val="21"/>
                <w:szCs w:val="21"/>
                <w:lang w:val="zh-CN"/>
              </w:rPr>
            </w:pPr>
            <w:r>
              <w:rPr>
                <w:rFonts w:ascii="宋体" w:hAnsi="宋体" w:eastAsia="宋体" w:cs="仿宋_GB2312"/>
                <w:color w:val="000000"/>
                <w:kern w:val="2"/>
                <w:sz w:val="21"/>
                <w:szCs w:val="21"/>
                <w:lang w:val="zh-CN"/>
              </w:rPr>
              <w:t>1</w:t>
            </w:r>
          </w:p>
        </w:tc>
        <w:tc>
          <w:tcPr>
            <w:tcW w:w="2220"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中山市誉峰顾问房地产有限公司</w:t>
            </w:r>
          </w:p>
        </w:tc>
        <w:tc>
          <w:tcPr>
            <w:tcW w:w="4897"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kern w:val="2"/>
                <w:sz w:val="22"/>
                <w:szCs w:val="22"/>
                <w:lang w:eastAsia="zh-CN"/>
              </w:rPr>
            </w:pPr>
            <w:r>
              <w:rPr>
                <w:rFonts w:hint="eastAsia" w:ascii="宋体" w:hAnsi="宋体" w:eastAsia="宋体"/>
                <w:color w:val="000000"/>
                <w:kern w:val="2"/>
                <w:sz w:val="22"/>
                <w:szCs w:val="22"/>
                <w:lang w:eastAsia="zh-CN"/>
              </w:rPr>
              <w:t>违反了《房地产经纪管理办法》第十一条：“房地产经纪机构及其分支机构应当自领取营业执照之日起30天内，到所在直辖市、市、县人民政府建设（房地产）主管部门备案。”</w:t>
            </w:r>
          </w:p>
        </w:tc>
        <w:tc>
          <w:tcPr>
            <w:tcW w:w="1725"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kern w:val="2"/>
                <w:sz w:val="22"/>
                <w:szCs w:val="22"/>
                <w:lang w:eastAsia="zh-CN"/>
              </w:rPr>
            </w:pPr>
            <w:r>
              <w:rPr>
                <w:rFonts w:hint="eastAsia" w:ascii="宋体" w:hAnsi="宋体" w:eastAsia="宋体"/>
                <w:color w:val="000000"/>
                <w:kern w:val="2"/>
                <w:sz w:val="22"/>
                <w:szCs w:val="22"/>
                <w:lang w:eastAsia="zh-CN"/>
              </w:rPr>
              <w:t>整改已完成。</w:t>
            </w:r>
          </w:p>
        </w:tc>
      </w:tr>
      <w:tr>
        <w:tblPrEx>
          <w:tblLayout w:type="fixed"/>
          <w:tblCellMar>
            <w:top w:w="0" w:type="dxa"/>
            <w:left w:w="10" w:type="dxa"/>
            <w:bottom w:w="0" w:type="dxa"/>
            <w:right w:w="10" w:type="dxa"/>
          </w:tblCellMar>
        </w:tblPrEx>
        <w:trPr>
          <w:trHeight w:val="54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color w:val="000000"/>
                <w:kern w:val="2"/>
                <w:sz w:val="21"/>
                <w:szCs w:val="21"/>
                <w:lang w:val="zh-CN"/>
              </w:rPr>
            </w:pPr>
            <w:r>
              <w:rPr>
                <w:rFonts w:ascii="宋体" w:hAnsi="宋体" w:eastAsia="宋体" w:cs="仿宋_GB2312"/>
                <w:color w:val="000000"/>
                <w:kern w:val="2"/>
                <w:sz w:val="21"/>
                <w:szCs w:val="21"/>
                <w:lang w:val="zh-CN"/>
              </w:rPr>
              <w:t>2</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中山市朗晴房地产置业有限公司</w:t>
            </w:r>
          </w:p>
        </w:tc>
        <w:tc>
          <w:tcPr>
            <w:tcW w:w="48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违反了《广东省商品房预售管理条例》第十八条：“预售人委托房地产中介机构代理销售的，应当委托有资格的中介机构代理并出具委托书，明确委托代理的范围和权限。”</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整改已完成。</w:t>
            </w:r>
          </w:p>
        </w:tc>
      </w:tr>
      <w:tr>
        <w:tblPrEx>
          <w:tblLayout w:type="fixed"/>
          <w:tblCellMar>
            <w:top w:w="0" w:type="dxa"/>
            <w:left w:w="10" w:type="dxa"/>
            <w:bottom w:w="0" w:type="dxa"/>
            <w:right w:w="10" w:type="dxa"/>
          </w:tblCellMar>
        </w:tblPrEx>
        <w:trPr>
          <w:trHeight w:val="810" w:hRule="atLeast"/>
        </w:trPr>
        <w:tc>
          <w:tcPr>
            <w:tcW w:w="720"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仿宋_GB2312"/>
                <w:color w:val="000000"/>
                <w:kern w:val="2"/>
                <w:sz w:val="21"/>
                <w:szCs w:val="21"/>
                <w:lang w:val="zh-CN"/>
              </w:rPr>
            </w:pPr>
            <w:r>
              <w:rPr>
                <w:rFonts w:ascii="宋体" w:hAnsi="宋体" w:eastAsia="宋体" w:cs="仿宋_GB2312"/>
                <w:color w:val="000000"/>
                <w:kern w:val="2"/>
                <w:sz w:val="21"/>
                <w:szCs w:val="21"/>
                <w:lang w:val="zh-CN"/>
              </w:rPr>
              <w:t>3</w:t>
            </w:r>
          </w:p>
        </w:tc>
        <w:tc>
          <w:tcPr>
            <w:tcW w:w="22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中山市华富房地产开发有限公司</w:t>
            </w:r>
          </w:p>
        </w:tc>
        <w:tc>
          <w:tcPr>
            <w:tcW w:w="48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整改已完成。</w:t>
            </w:r>
          </w:p>
        </w:tc>
      </w:tr>
      <w:tr>
        <w:tblPrEx>
          <w:tblLayout w:type="fixed"/>
          <w:tblCellMar>
            <w:top w:w="0" w:type="dxa"/>
            <w:left w:w="10" w:type="dxa"/>
            <w:bottom w:w="0" w:type="dxa"/>
            <w:right w:w="10" w:type="dxa"/>
          </w:tblCellMar>
        </w:tblPrEx>
        <w:trPr>
          <w:trHeight w:val="975" w:hRule="atLeast"/>
        </w:trPr>
        <w:tc>
          <w:tcPr>
            <w:tcW w:w="72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仿宋_GB2312"/>
                <w:color w:val="000000"/>
                <w:kern w:val="2"/>
                <w:sz w:val="21"/>
                <w:szCs w:val="21"/>
                <w:lang w:val="zh-CN"/>
              </w:rPr>
            </w:pPr>
            <w:r>
              <w:rPr>
                <w:rFonts w:ascii="宋体" w:hAnsi="宋体" w:eastAsia="宋体" w:cs="仿宋_GB2312"/>
                <w:color w:val="000000"/>
                <w:kern w:val="2"/>
                <w:sz w:val="21"/>
                <w:szCs w:val="21"/>
                <w:lang w:val="zh-CN"/>
              </w:rPr>
              <w:t>4</w:t>
            </w:r>
          </w:p>
        </w:tc>
        <w:tc>
          <w:tcPr>
            <w:tcW w:w="222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olor w:val="000000"/>
                <w:kern w:val="2"/>
                <w:sz w:val="22"/>
                <w:szCs w:val="22"/>
                <w:lang w:eastAsia="zh-CN"/>
              </w:rPr>
            </w:pPr>
            <w:r>
              <w:rPr>
                <w:rFonts w:hint="eastAsia" w:ascii="宋体" w:hAnsi="宋体" w:eastAsia="宋体"/>
                <w:color w:val="000000"/>
                <w:kern w:val="2"/>
                <w:sz w:val="22"/>
                <w:szCs w:val="22"/>
                <w:lang w:eastAsia="zh-CN"/>
              </w:rPr>
              <w:t>中山市三乡镇宏泰房地产开发有限公司</w:t>
            </w:r>
          </w:p>
        </w:tc>
        <w:tc>
          <w:tcPr>
            <w:tcW w:w="489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olor w:val="000000"/>
                <w:kern w:val="2"/>
                <w:sz w:val="22"/>
                <w:szCs w:val="22"/>
                <w:lang w:eastAsia="zh-CN"/>
              </w:rPr>
            </w:pPr>
            <w:r>
              <w:rPr>
                <w:rFonts w:hint="eastAsia" w:ascii="宋体" w:hAnsi="宋体" w:eastAsia="宋体"/>
                <w:color w:val="000000"/>
                <w:kern w:val="2"/>
                <w:sz w:val="22"/>
                <w:szCs w:val="22"/>
                <w:lang w:eastAsia="zh-CN"/>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整改已完成。</w:t>
            </w:r>
          </w:p>
        </w:tc>
      </w:tr>
      <w:tr>
        <w:tblPrEx>
          <w:tblLayout w:type="fixed"/>
          <w:tblCellMar>
            <w:top w:w="0" w:type="dxa"/>
            <w:left w:w="10" w:type="dxa"/>
            <w:bottom w:w="0" w:type="dxa"/>
            <w:right w:w="10" w:type="dxa"/>
          </w:tblCellMar>
        </w:tblPrEx>
        <w:trPr>
          <w:trHeight w:val="96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kern w:val="2"/>
                <w:sz w:val="21"/>
                <w:szCs w:val="21"/>
                <w:lang w:val="zh-CN"/>
              </w:rPr>
            </w:pPr>
            <w:r>
              <w:rPr>
                <w:rFonts w:ascii="宋体" w:hAnsi="宋体" w:eastAsia="宋体" w:cs="仿宋_GB2312"/>
                <w:color w:val="000000"/>
                <w:kern w:val="2"/>
                <w:sz w:val="21"/>
                <w:szCs w:val="21"/>
                <w:lang w:val="zh-CN"/>
              </w:rPr>
              <w:t>5</w:t>
            </w:r>
          </w:p>
        </w:tc>
        <w:tc>
          <w:tcPr>
            <w:tcW w:w="22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kern w:val="2"/>
                <w:sz w:val="22"/>
                <w:szCs w:val="22"/>
                <w:lang w:eastAsia="zh-CN"/>
              </w:rPr>
            </w:pPr>
            <w:r>
              <w:rPr>
                <w:rFonts w:hint="eastAsia" w:ascii="宋体" w:hAnsi="宋体" w:eastAsia="宋体"/>
                <w:color w:val="000000"/>
                <w:kern w:val="2"/>
                <w:sz w:val="22"/>
                <w:szCs w:val="22"/>
                <w:lang w:eastAsia="zh-CN"/>
              </w:rPr>
              <w:t>中山金旭房地产投资有限公司</w:t>
            </w:r>
          </w:p>
        </w:tc>
        <w:tc>
          <w:tcPr>
            <w:tcW w:w="48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整改已完成。</w:t>
            </w:r>
          </w:p>
        </w:tc>
      </w:tr>
      <w:tr>
        <w:tblPrEx>
          <w:tblLayout w:type="fixed"/>
          <w:tblCellMar>
            <w:top w:w="0" w:type="dxa"/>
            <w:left w:w="10" w:type="dxa"/>
            <w:bottom w:w="0" w:type="dxa"/>
            <w:right w:w="10" w:type="dxa"/>
          </w:tblCellMar>
        </w:tblPrEx>
        <w:trPr>
          <w:trHeight w:val="884" w:hRule="atLeast"/>
        </w:trPr>
        <w:tc>
          <w:tcPr>
            <w:tcW w:w="72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仿宋_GB2312"/>
                <w:color w:val="000000"/>
                <w:kern w:val="2"/>
                <w:sz w:val="21"/>
                <w:szCs w:val="21"/>
                <w:lang w:val="zh-CN"/>
              </w:rPr>
            </w:pPr>
            <w:r>
              <w:rPr>
                <w:rFonts w:ascii="宋体" w:hAnsi="宋体" w:eastAsia="宋体" w:cs="仿宋_GB2312"/>
                <w:color w:val="000000"/>
                <w:kern w:val="2"/>
                <w:sz w:val="21"/>
                <w:szCs w:val="21"/>
                <w:lang w:val="zh-CN"/>
              </w:rPr>
              <w:t>6</w:t>
            </w:r>
          </w:p>
        </w:tc>
        <w:tc>
          <w:tcPr>
            <w:tcW w:w="222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kern w:val="2"/>
                <w:sz w:val="22"/>
                <w:szCs w:val="22"/>
                <w:lang w:eastAsia="zh-CN"/>
              </w:rPr>
            </w:pPr>
            <w:r>
              <w:rPr>
                <w:rFonts w:hint="eastAsia" w:ascii="宋体" w:hAnsi="宋体" w:eastAsia="宋体"/>
                <w:color w:val="000000"/>
                <w:kern w:val="2"/>
                <w:sz w:val="22"/>
                <w:szCs w:val="22"/>
                <w:lang w:eastAsia="zh-CN"/>
              </w:rPr>
              <w:t>中山市碧朗房地产开发有限公司</w:t>
            </w:r>
          </w:p>
        </w:tc>
        <w:tc>
          <w:tcPr>
            <w:tcW w:w="489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kern w:val="2"/>
                <w:sz w:val="22"/>
                <w:szCs w:val="22"/>
                <w:lang w:eastAsia="zh-CN"/>
              </w:rPr>
            </w:pPr>
            <w:r>
              <w:rPr>
                <w:rFonts w:hint="eastAsia" w:ascii="宋体" w:hAnsi="宋体" w:eastAsia="宋体"/>
                <w:color w:val="000000"/>
                <w:kern w:val="2"/>
                <w:sz w:val="22"/>
                <w:szCs w:val="22"/>
                <w:lang w:eastAsia="zh-CN"/>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kern w:val="2"/>
                <w:sz w:val="22"/>
                <w:szCs w:val="22"/>
                <w:lang w:eastAsia="zh-CN"/>
              </w:rPr>
            </w:pPr>
            <w:r>
              <w:rPr>
                <w:rFonts w:hint="eastAsia" w:ascii="宋体" w:hAnsi="宋体" w:eastAsia="宋体"/>
                <w:color w:val="000000"/>
                <w:kern w:val="2"/>
                <w:sz w:val="22"/>
                <w:szCs w:val="22"/>
                <w:lang w:eastAsia="zh-CN"/>
              </w:rPr>
              <w:t>整改已完成</w:t>
            </w:r>
            <w:r>
              <w:rPr>
                <w:rFonts w:hint="eastAsia" w:ascii="宋体" w:hAnsi="宋体" w:eastAsia="宋体"/>
                <w:color w:val="000000"/>
                <w:kern w:val="2"/>
                <w:sz w:val="22"/>
                <w:szCs w:val="22"/>
                <w:lang w:val="en-US" w:eastAsia="zh-CN"/>
              </w:rPr>
              <w:t>。</w:t>
            </w:r>
          </w:p>
        </w:tc>
      </w:tr>
      <w:tr>
        <w:tblPrEx>
          <w:tblLayout w:type="fixed"/>
          <w:tblCellMar>
            <w:top w:w="0" w:type="dxa"/>
            <w:left w:w="10" w:type="dxa"/>
            <w:bottom w:w="0" w:type="dxa"/>
            <w:right w:w="10" w:type="dxa"/>
          </w:tblCellMar>
        </w:tblPrEx>
        <w:trPr>
          <w:trHeight w:val="1740" w:hRule="atLeast"/>
        </w:trPr>
        <w:tc>
          <w:tcPr>
            <w:tcW w:w="72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仿宋_GB2312"/>
                <w:color w:val="000000"/>
                <w:kern w:val="2"/>
                <w:sz w:val="21"/>
                <w:szCs w:val="21"/>
                <w:lang w:val="zh-CN" w:eastAsia="zh-CN"/>
              </w:rPr>
            </w:pPr>
            <w:r>
              <w:rPr>
                <w:rFonts w:hint="eastAsia" w:ascii="宋体" w:hAnsi="宋体" w:eastAsia="宋体" w:cs="仿宋_GB2312"/>
                <w:color w:val="000000"/>
                <w:sz w:val="21"/>
                <w:szCs w:val="21"/>
                <w:lang w:val="en-US" w:eastAsia="zh-CN"/>
              </w:rPr>
              <w:t>7</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中山华诚房地产有限公司</w:t>
            </w:r>
          </w:p>
        </w:tc>
        <w:tc>
          <w:tcPr>
            <w:tcW w:w="4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整改已完成。</w:t>
            </w:r>
          </w:p>
        </w:tc>
      </w:tr>
      <w:tr>
        <w:tblPrEx>
          <w:tblLayout w:type="fixed"/>
          <w:tblCellMar>
            <w:top w:w="0" w:type="dxa"/>
            <w:left w:w="10" w:type="dxa"/>
            <w:bottom w:w="0" w:type="dxa"/>
            <w:right w:w="10" w:type="dxa"/>
          </w:tblCellMar>
        </w:tblPrEx>
        <w:trPr>
          <w:trHeight w:val="1840" w:hRule="atLeast"/>
        </w:trPr>
        <w:tc>
          <w:tcPr>
            <w:tcW w:w="72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仿宋_GB2312"/>
                <w:color w:val="000000"/>
                <w:kern w:val="2"/>
                <w:sz w:val="21"/>
                <w:szCs w:val="21"/>
                <w:lang w:val="zh-CN" w:eastAsia="zh-CN"/>
              </w:rPr>
            </w:pPr>
            <w:r>
              <w:rPr>
                <w:rFonts w:hint="eastAsia" w:ascii="宋体" w:hAnsi="宋体" w:eastAsia="宋体" w:cs="仿宋_GB2312"/>
                <w:color w:val="000000"/>
                <w:sz w:val="21"/>
                <w:szCs w:val="21"/>
                <w:lang w:val="en-US" w:eastAsia="zh-CN"/>
              </w:rPr>
              <w:t>8</w:t>
            </w:r>
          </w:p>
        </w:tc>
        <w:tc>
          <w:tcPr>
            <w:tcW w:w="222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中山市威利置业发展有限公司</w:t>
            </w:r>
          </w:p>
        </w:tc>
        <w:tc>
          <w:tcPr>
            <w:tcW w:w="4897"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整改已完成。</w:t>
            </w:r>
          </w:p>
        </w:tc>
      </w:tr>
      <w:tr>
        <w:tblPrEx>
          <w:tblLayout w:type="fixed"/>
          <w:tblCellMar>
            <w:top w:w="0" w:type="dxa"/>
            <w:left w:w="10" w:type="dxa"/>
            <w:bottom w:w="0" w:type="dxa"/>
            <w:right w:w="10" w:type="dxa"/>
          </w:tblCellMar>
        </w:tblPrEx>
        <w:trPr>
          <w:trHeight w:val="81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_GB2312"/>
                <w:color w:val="000000"/>
                <w:kern w:val="2"/>
                <w:sz w:val="21"/>
                <w:szCs w:val="21"/>
                <w:lang w:val="en-US" w:eastAsia="zh-CN"/>
              </w:rPr>
            </w:pPr>
            <w:r>
              <w:rPr>
                <w:rFonts w:hint="eastAsia" w:ascii="宋体" w:hAnsi="宋体" w:eastAsia="宋体" w:cs="仿宋_GB2312"/>
                <w:color w:val="000000"/>
                <w:kern w:val="2"/>
                <w:sz w:val="21"/>
                <w:szCs w:val="21"/>
                <w:lang w:val="en-US" w:eastAsia="zh-CN"/>
              </w:rPr>
              <w:t>9</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中山市平深房地产开发有限公司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违反了《关于进一步促进我市房地产市场平稳健康发展的通知》中府办函〔2017〕55号第三条：“（一）实行限购政策。非本市户籍居民家庭能提供购房之日前半年以上在本市连续缴纳个人所得税证明或社会保险证明的，允许购买1套新建商品住房。对拥有1套住房、无法提供购房之日前2年内在本市连续缴纳2年以上个人所得税证明或社会保险证明的非本市户籍居民家庭，暂停向其销售新建商品住房。”</w:t>
            </w:r>
          </w:p>
        </w:tc>
        <w:tc>
          <w:tcPr>
            <w:tcW w:w="172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整改已完成。</w:t>
            </w:r>
          </w:p>
        </w:tc>
      </w:tr>
      <w:tr>
        <w:tblPrEx>
          <w:tblLayout w:type="fixed"/>
          <w:tblCellMar>
            <w:top w:w="0" w:type="dxa"/>
            <w:left w:w="10" w:type="dxa"/>
            <w:bottom w:w="0" w:type="dxa"/>
            <w:right w:w="10" w:type="dxa"/>
          </w:tblCellMar>
        </w:tblPrEx>
        <w:trPr>
          <w:trHeight w:val="81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_GB2312"/>
                <w:color w:val="000000"/>
                <w:kern w:val="2"/>
                <w:sz w:val="21"/>
                <w:szCs w:val="21"/>
                <w:lang w:val="en-US" w:eastAsia="zh-CN"/>
              </w:rPr>
            </w:pPr>
            <w:r>
              <w:rPr>
                <w:rFonts w:hint="eastAsia" w:ascii="宋体" w:hAnsi="宋体" w:eastAsia="宋体" w:cs="仿宋_GB2312"/>
                <w:color w:val="000000"/>
                <w:kern w:val="2"/>
                <w:sz w:val="21"/>
                <w:szCs w:val="21"/>
                <w:lang w:val="en-US" w:eastAsia="zh-CN"/>
              </w:rPr>
              <w:t>10</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中山市威利置业发展有限公司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整改已完成。</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仿宋_GB2312"/>
                <w:color w:val="000000"/>
                <w:kern w:val="2"/>
                <w:sz w:val="21"/>
                <w:szCs w:val="21"/>
                <w:lang w:val="en-US" w:eastAsia="zh-CN"/>
              </w:rPr>
            </w:pPr>
            <w:r>
              <w:rPr>
                <w:rFonts w:hint="eastAsia" w:ascii="宋体" w:hAnsi="宋体" w:eastAsia="宋体" w:cs="仿宋_GB2312"/>
                <w:color w:val="000000"/>
                <w:kern w:val="2"/>
                <w:sz w:val="21"/>
                <w:szCs w:val="21"/>
                <w:lang w:val="en-US" w:eastAsia="zh-CN"/>
              </w:rPr>
              <w:t>11</w:t>
            </w:r>
          </w:p>
        </w:tc>
        <w:tc>
          <w:tcPr>
            <w:tcW w:w="222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中山市神马房地产开发有限公司</w:t>
            </w:r>
          </w:p>
        </w:tc>
        <w:tc>
          <w:tcPr>
            <w:tcW w:w="4897"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整改已完成。</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_GB2312"/>
                <w:color w:val="000000"/>
                <w:kern w:val="2"/>
                <w:sz w:val="21"/>
                <w:szCs w:val="21"/>
                <w:lang w:val="en-US" w:eastAsia="zh-CN"/>
              </w:rPr>
            </w:pPr>
            <w:r>
              <w:rPr>
                <w:rFonts w:hint="eastAsia" w:ascii="宋体" w:hAnsi="宋体" w:eastAsia="宋体" w:cs="仿宋_GB2312"/>
                <w:color w:val="000000"/>
                <w:sz w:val="21"/>
                <w:szCs w:val="21"/>
                <w:lang w:val="en-US" w:eastAsia="zh-CN"/>
              </w:rPr>
              <w:t>12</w:t>
            </w:r>
          </w:p>
        </w:tc>
        <w:tc>
          <w:tcPr>
            <w:tcW w:w="222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中山市民森房地产发展有限公司</w:t>
            </w:r>
          </w:p>
        </w:tc>
        <w:tc>
          <w:tcPr>
            <w:tcW w:w="4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olor w:val="000000"/>
                <w:kern w:val="2"/>
                <w:sz w:val="22"/>
                <w:szCs w:val="22"/>
                <w:lang w:eastAsia="zh-CN"/>
              </w:rPr>
              <w:t>整改已完成。</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仿宋_GB2312"/>
                <w:color w:val="000000"/>
                <w:kern w:val="2"/>
                <w:sz w:val="21"/>
                <w:szCs w:val="21"/>
                <w:lang w:val="en-US" w:eastAsia="zh-CN"/>
              </w:rPr>
            </w:pPr>
            <w:r>
              <w:rPr>
                <w:rFonts w:hint="eastAsia" w:ascii="宋体" w:hAnsi="宋体" w:eastAsia="宋体" w:cs="仿宋_GB2312"/>
                <w:color w:val="000000"/>
                <w:kern w:val="2"/>
                <w:sz w:val="21"/>
                <w:szCs w:val="21"/>
                <w:lang w:val="en-US" w:eastAsia="zh-CN"/>
              </w:rPr>
              <w:t>13</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中山市华炬房地产开发有限公司</w:t>
            </w:r>
          </w:p>
        </w:tc>
        <w:tc>
          <w:tcPr>
            <w:tcW w:w="4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违反了《广东省住房和城乡建设厅 广东省财政厅 中国人民银行广州分行 广东省国土资源厅转发住房城乡建设部等四部门关于维护住房公积金缴存职工购房贷款权益的通知》粤建金〔2018〕14号第三条：“加强销售行为管理。住房城乡建设主管部门要加强市场监管，要求房地产开发企业在销售商品房时，提供不拒绝购房人使用住房公积金贷款的书面承诺，并在楼盘销售现场予以公示。房地产开发企业要认真履行承诺，不得以提高住房销售价格、减少价格折扣等方式限制、阻侥、拒绝购房人使用住房公积金贷款，不得要求或变相要求购房人签署自愿放弃住房公积金贷款权力的书面文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整改已完成。</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_GB2312"/>
                <w:color w:val="000000"/>
                <w:kern w:val="2"/>
                <w:sz w:val="21"/>
                <w:szCs w:val="21"/>
                <w:lang w:val="en-US" w:eastAsia="zh-CN"/>
              </w:rPr>
            </w:pPr>
            <w:r>
              <w:rPr>
                <w:rFonts w:hint="eastAsia" w:ascii="宋体" w:hAnsi="宋体" w:eastAsia="宋体" w:cs="仿宋_GB2312"/>
                <w:color w:val="000000"/>
                <w:kern w:val="2"/>
                <w:sz w:val="21"/>
                <w:szCs w:val="21"/>
                <w:lang w:val="en-US" w:eastAsia="zh-CN"/>
              </w:rPr>
              <w:t>14</w:t>
            </w:r>
          </w:p>
        </w:tc>
        <w:tc>
          <w:tcPr>
            <w:tcW w:w="222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中山市锦绣大地房地产有限公司</w:t>
            </w:r>
          </w:p>
        </w:tc>
        <w:tc>
          <w:tcPr>
            <w:tcW w:w="4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未取得施工许可擅自开工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eastAsia="宋体"/>
                <w:color w:val="000000"/>
                <w:kern w:val="2"/>
                <w:sz w:val="22"/>
                <w:szCs w:val="22"/>
              </w:rPr>
            </w:pPr>
            <w:r>
              <w:rPr>
                <w:rFonts w:hint="eastAsia" w:ascii="宋体" w:hAnsi="宋体" w:eastAsia="宋体" w:cs="宋体"/>
                <w:i w:val="0"/>
                <w:color w:val="000000"/>
                <w:kern w:val="0"/>
                <w:sz w:val="21"/>
                <w:szCs w:val="21"/>
                <w:u w:val="none"/>
                <w:lang w:val="en-US" w:eastAsia="zh-CN" w:bidi="ar"/>
              </w:rPr>
              <w:t>诚信扣20分。</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_GB2312"/>
                <w:color w:val="000000"/>
                <w:kern w:val="2"/>
                <w:sz w:val="21"/>
                <w:szCs w:val="21"/>
                <w:lang w:val="en-US" w:eastAsia="zh-CN"/>
              </w:rPr>
            </w:pPr>
            <w:r>
              <w:rPr>
                <w:rFonts w:hint="eastAsia" w:ascii="宋体" w:hAnsi="宋体" w:eastAsia="宋体" w:cs="仿宋_GB2312"/>
                <w:color w:val="000000"/>
                <w:kern w:val="2"/>
                <w:sz w:val="21"/>
                <w:szCs w:val="21"/>
                <w:lang w:val="en-US" w:eastAsia="zh-CN"/>
              </w:rPr>
              <w:t>15</w:t>
            </w:r>
          </w:p>
        </w:tc>
        <w:tc>
          <w:tcPr>
            <w:tcW w:w="222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中山市碧景房地产开发有限公司</w:t>
            </w:r>
          </w:p>
        </w:tc>
        <w:tc>
          <w:tcPr>
            <w:tcW w:w="4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未取得施工许可擅自开工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诚信扣20分。</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_GB2312"/>
                <w:color w:val="000000"/>
                <w:kern w:val="2"/>
                <w:sz w:val="21"/>
                <w:szCs w:val="21"/>
                <w:lang w:val="en-US" w:eastAsia="zh-CN"/>
              </w:rPr>
            </w:pPr>
            <w:r>
              <w:rPr>
                <w:rFonts w:hint="eastAsia" w:ascii="宋体" w:hAnsi="宋体" w:eastAsia="宋体" w:cs="仿宋_GB2312"/>
                <w:color w:val="000000"/>
                <w:kern w:val="2"/>
                <w:sz w:val="21"/>
                <w:szCs w:val="21"/>
                <w:lang w:val="en-US" w:eastAsia="zh-CN"/>
              </w:rPr>
              <w:t>16</w:t>
            </w:r>
          </w:p>
        </w:tc>
        <w:tc>
          <w:tcPr>
            <w:tcW w:w="2220"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中山市佰盛房地产开发有限公司</w:t>
            </w:r>
          </w:p>
        </w:tc>
        <w:tc>
          <w:tcPr>
            <w:tcW w:w="4897"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未取得施工许可擅自开工</w:t>
            </w:r>
          </w:p>
        </w:tc>
        <w:tc>
          <w:tcPr>
            <w:tcW w:w="172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诚信扣20分。</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仿宋_GB2312"/>
                <w:color w:val="000000"/>
                <w:kern w:val="2"/>
                <w:sz w:val="21"/>
                <w:szCs w:val="21"/>
                <w:lang w:val="en-US" w:eastAsia="zh-CN"/>
              </w:rPr>
            </w:pPr>
            <w:r>
              <w:rPr>
                <w:rFonts w:hint="eastAsia" w:ascii="宋体" w:hAnsi="宋体" w:eastAsia="宋体" w:cs="宋体"/>
                <w:i w:val="0"/>
                <w:color w:val="000000"/>
                <w:kern w:val="0"/>
                <w:sz w:val="21"/>
                <w:szCs w:val="21"/>
                <w:u w:val="none"/>
                <w:lang w:val="en-US" w:eastAsia="zh-CN" w:bidi="ar"/>
              </w:rPr>
              <w:t>17</w:t>
            </w:r>
          </w:p>
        </w:tc>
        <w:tc>
          <w:tcPr>
            <w:tcW w:w="2220"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zh-CN" w:eastAsia="zh-CN" w:bidi="ar"/>
              </w:rPr>
              <w:t>中山市华裕房地产开发有限公司</w:t>
            </w:r>
          </w:p>
        </w:tc>
        <w:tc>
          <w:tcPr>
            <w:tcW w:w="4897"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未取得施工许可擅自开工</w:t>
            </w:r>
          </w:p>
        </w:tc>
        <w:tc>
          <w:tcPr>
            <w:tcW w:w="172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诚信扣20分。</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zh-CN" w:eastAsia="zh-CN" w:bidi="ar"/>
              </w:rPr>
              <w:t>中山奥园房地产开发建设有限公司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zh-CN" w:eastAsia="zh-CN" w:bidi="ar"/>
              </w:rPr>
              <w:t>将5-11栋及地下室消防工程违法发包穗港消防服务公司</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zh-CN" w:eastAsia="zh-CN" w:bidi="ar"/>
              </w:rPr>
              <w:t>罚款人民币64816.43元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中山奥园房地产开发建设有限公司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防雷工程违法发包给广东华群安装工程有限公司</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罚款人民币25628.09元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中山市佳轩房地产开发有限公司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富丽湾花园工程因甲方原因进行土方开挖或绿植施工等工作需要，导致施工现场出入车辆未清洗干净驶出工地、有污染道路的情况</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限期整改并诚信扣分</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中山市华富房地产开发有限公司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华花园二期工程因甲方原因进行土方开挖或绿植施工等工作需要，导致施工现场出入车辆未清洗干净驶出工地、有污染道路的情况</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限期整改并诚信扣分</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中山市东凤佛奥房地产开发有限公司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已取得规划报建，但未经规划部门验线擅自开工建设1幢建筑物。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罚款10000元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中山市东方实业有限公司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已取得规划报建，但未经规划部门验线擅自开工建设1幢建筑物。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罚款10000元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中山市联发利房地产开发有限公司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已取得规划报建，但未经规划部门验线擅自开工建设9幢商住楼。</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罚款90000元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中山市骏佳房地产开发有限公司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 xml:space="preserve"> 未取得规划报建，擅自开工建设1幢门楼。</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罚款87653元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中山市创业房地产有限公司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 xml:space="preserve"> 已取得规划报建，但未经规划部门验线擅自开工建设7幢商业楼。</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罚款70000元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中山市三宝房地产有限公司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已取得规划报建，但未经规划部门验线擅自开工建设1幢商业楼。</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罚款10000元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中山市祥盛房地产开发有限公司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 xml:space="preserve"> 已取得规划报建，但未经规划部门验线擅自开工建设。</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案件处理中</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中山市弘泰房地产开发有限公司</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 xml:space="preserve"> 未取得规划报建，擅自开工建设1幢门楼。</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罚款477490元</w:t>
            </w:r>
          </w:p>
        </w:tc>
      </w:tr>
      <w:tr>
        <w:tblPrEx>
          <w:tblLayout w:type="fixed"/>
          <w:tblCellMar>
            <w:top w:w="0" w:type="dxa"/>
            <w:left w:w="10" w:type="dxa"/>
            <w:bottom w:w="0" w:type="dxa"/>
            <w:right w:w="10" w:type="dxa"/>
          </w:tblCellMar>
        </w:tblPrEx>
        <w:trPr>
          <w:trHeight w:val="540" w:hRule="atLeast"/>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中山市民森房地产发展有限公司违法建设案</w:t>
            </w:r>
          </w:p>
        </w:tc>
        <w:tc>
          <w:tcPr>
            <w:tcW w:w="48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 xml:space="preserve"> 已取得规划报建，但未经规划部门验线擅自开工建设16幢商住楼。</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zh-CN" w:eastAsia="zh-CN" w:bidi="ar"/>
              </w:rPr>
              <w:t>罚款160000元</w:t>
            </w:r>
          </w:p>
        </w:tc>
      </w:tr>
    </w:tbl>
    <w:p/>
    <w:sectPr>
      <w:pgSz w:w="11906" w:h="16838"/>
      <w:pgMar w:top="1440" w:right="1800" w:bottom="56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小标宋">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64768"/>
    <w:rsid w:val="0865601E"/>
    <w:rsid w:val="0D786A96"/>
    <w:rsid w:val="2285227F"/>
    <w:rsid w:val="268E3B26"/>
    <w:rsid w:val="29DD4F80"/>
    <w:rsid w:val="32FF6168"/>
    <w:rsid w:val="39A44E32"/>
    <w:rsid w:val="3E4C66B7"/>
    <w:rsid w:val="4A627AA2"/>
    <w:rsid w:val="61D82B41"/>
    <w:rsid w:val="655C0C93"/>
    <w:rsid w:val="69A758C0"/>
    <w:rsid w:val="6D535020"/>
    <w:rsid w:val="71DF51F6"/>
    <w:rsid w:val="72DB363C"/>
    <w:rsid w:val="76853A29"/>
    <w:rsid w:val="7D6B0BB8"/>
    <w:rsid w:val="7F1248A9"/>
    <w:rsid w:val="7F29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黑体" w:eastAsia="黑体" w:cs="Times New Roman" w:hAnsiTheme="minorHAnsi"/>
      <w:sz w:val="24"/>
      <w:szCs w:val="24"/>
      <w:lang w:val="en-US" w:eastAsia="zh-CN" w:bidi="ar-SA"/>
    </w:rPr>
  </w:style>
  <w:style w:type="paragraph" w:styleId="2">
    <w:name w:val="heading 3"/>
    <w:basedOn w:val="1"/>
    <w:next w:val="1"/>
    <w:unhideWhenUsed/>
    <w:qFormat/>
    <w:uiPriority w:val="0"/>
    <w:pPr>
      <w:outlineLvl w:val="2"/>
    </w:p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4035</Words>
  <Characters>4160</Characters>
  <Lines>0</Lines>
  <Paragraphs>0</Paragraphs>
  <TotalTime>1</TotalTime>
  <ScaleCrop>false</ScaleCrop>
  <LinksUpToDate>false</LinksUpToDate>
  <CharactersWithSpaces>4198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2018-04-09T07:10:00Z</dcterms:created>
  <dc:creator>Administrator</dc:creator>
  <cp:lastModifiedBy>杨婷婷</cp:lastModifiedBy>
  <cp:lastPrinted>2018-07-18T00:54:00Z</cp:lastPrinted>
  <dcterms:modified xsi:type="dcterms:W3CDTF">2018-07-24T03:27:03Z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